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633539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5395" cy="24765"/>
                    </a:xfrm>
                    <a:prstGeom prst="rect">
                      <a:avLst/>
                    </a:prstGeom>
                    <a:noFill/>
                  </pic:spPr>
                </pic:pic>
              </a:graphicData>
            </a:graphic>
          </wp:anchor>
        </w:drawing>
      </w:r>
    </w:p>
    <w:p>
      <w:pPr>
        <w:spacing w:after="0" w:line="298"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Washington, D.C. 20549</w:t>
      </w:r>
    </w:p>
    <w:p>
      <w:pPr>
        <w:spacing w:after="0" w:line="84" w:lineRule="exact"/>
        <w:rPr>
          <w:sz w:val="20"/>
          <w:szCs w:val="20"/>
          <w:color w:val="auto"/>
        </w:rPr>
      </w:pPr>
    </w:p>
    <w:p>
      <w:pPr>
        <w:ind w:left="5120"/>
        <w:spacing w:after="0"/>
        <w:rPr>
          <w:sz w:val="20"/>
          <w:szCs w:val="20"/>
          <w:color w:val="auto"/>
        </w:rPr>
      </w:pPr>
      <w:r>
        <w:rPr>
          <w:rFonts w:ascii="Arial" w:cs="Arial" w:eastAsia="Arial" w:hAnsi="Arial"/>
          <w:sz w:val="24"/>
          <w:szCs w:val="24"/>
          <w:b w:val="1"/>
          <w:bCs w:val="1"/>
          <w:color w:val="auto"/>
        </w:rPr>
        <w:t>Form 10-Q</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3"/>
          <w:szCs w:val="13"/>
          <w:color w:val="auto"/>
        </w:rPr>
        <w:t>(Mark One)</w:t>
      </w:r>
    </w:p>
    <w:p>
      <w:pPr>
        <w:spacing w:after="0" w:line="7" w:lineRule="exact"/>
        <w:rPr>
          <w:sz w:val="20"/>
          <w:szCs w:val="20"/>
          <w:color w:val="auto"/>
        </w:rPr>
      </w:pPr>
    </w:p>
    <w:p>
      <w:pPr>
        <w:ind w:left="1880" w:hanging="710"/>
        <w:spacing w:after="0"/>
        <w:tabs>
          <w:tab w:leader="none" w:pos="18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w:t>
      </w:r>
    </w:p>
    <w:p>
      <w:pPr>
        <w:ind w:left="1880"/>
        <w:spacing w:after="0" w:line="235" w:lineRule="auto"/>
        <w:rPr>
          <w:sz w:val="20"/>
          <w:szCs w:val="20"/>
          <w:color w:val="auto"/>
        </w:rPr>
      </w:pPr>
      <w:r>
        <w:rPr>
          <w:rFonts w:ascii="Arial" w:cs="Arial" w:eastAsia="Arial" w:hAnsi="Arial"/>
          <w:sz w:val="16"/>
          <w:szCs w:val="16"/>
          <w:b w:val="1"/>
          <w:bCs w:val="1"/>
          <w:color w:val="auto"/>
        </w:rPr>
        <w:t>OF THE SECURITIES EXCHANGE ACT OF 1934</w:t>
      </w:r>
    </w:p>
    <w:p>
      <w:pPr>
        <w:ind w:left="1880"/>
        <w:spacing w:after="0"/>
        <w:rPr>
          <w:sz w:val="20"/>
          <w:szCs w:val="20"/>
          <w:color w:val="auto"/>
        </w:rPr>
      </w:pPr>
      <w:r>
        <w:rPr>
          <w:rFonts w:ascii="Arial" w:cs="Arial" w:eastAsia="Arial" w:hAnsi="Arial"/>
          <w:sz w:val="13"/>
          <w:szCs w:val="13"/>
          <w:b w:val="1"/>
          <w:bCs w:val="1"/>
          <w:color w:val="auto"/>
        </w:rPr>
        <w:t>For the Quarterly Period Ended June 30, 2010</w:t>
      </w:r>
    </w:p>
    <w:p>
      <w:pPr>
        <w:spacing w:after="0" w:line="13"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OR</w:t>
      </w:r>
    </w:p>
    <w:p>
      <w:pPr>
        <w:spacing w:after="0" w:line="15" w:lineRule="exact"/>
        <w:rPr>
          <w:sz w:val="20"/>
          <w:szCs w:val="20"/>
          <w:color w:val="auto"/>
        </w:rPr>
      </w:pPr>
    </w:p>
    <w:p>
      <w:pPr>
        <w:ind w:left="1880" w:hanging="681"/>
        <w:spacing w:after="0"/>
        <w:tabs>
          <w:tab w:leader="none" w:pos="188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tbl>
      <w:tblPr>
        <w:tblLayout w:type="fixed"/>
        <w:tblInd w:w="1880" w:type="dxa"/>
        <w:tblCellMar>
          <w:top w:w="0" w:type="dxa"/>
          <w:left w:w="0" w:type="dxa"/>
          <w:bottom w:w="0" w:type="dxa"/>
          <w:right w:w="0" w:type="dxa"/>
        </w:tblCellMar>
      </w:tblPr>
      <w:tr>
        <w:trPr>
          <w:trHeight w:val="169"/>
        </w:trPr>
        <w:tc>
          <w:tcPr>
            <w:tcW w:w="1980" w:type="dxa"/>
            <w:vAlign w:val="bottom"/>
          </w:tcPr>
          <w:p>
            <w:pPr>
              <w:spacing w:after="0"/>
              <w:rPr>
                <w:sz w:val="20"/>
                <w:szCs w:val="20"/>
                <w:color w:val="auto"/>
              </w:rPr>
            </w:pPr>
            <w:r>
              <w:rPr>
                <w:rFonts w:ascii="Arial" w:cs="Arial" w:eastAsia="Arial" w:hAnsi="Arial"/>
                <w:sz w:val="13"/>
                <w:szCs w:val="13"/>
                <w:b w:val="1"/>
                <w:bCs w:val="1"/>
                <w:color w:val="auto"/>
              </w:rPr>
              <w:t>For the transition period from</w:t>
            </w:r>
          </w:p>
        </w:tc>
        <w:tc>
          <w:tcPr>
            <w:tcW w:w="4800" w:type="dxa"/>
            <w:vAlign w:val="bottom"/>
          </w:tcPr>
          <w:p>
            <w:pPr>
              <w:ind w:left="40"/>
              <w:spacing w:after="0"/>
              <w:rPr>
                <w:sz w:val="20"/>
                <w:szCs w:val="20"/>
                <w:color w:val="auto"/>
              </w:rPr>
            </w:pPr>
            <w:r>
              <w:rPr>
                <w:rFonts w:ascii="Arial" w:cs="Arial" w:eastAsia="Arial" w:hAnsi="Arial"/>
                <w:sz w:val="13"/>
                <w:szCs w:val="13"/>
                <w:b w:val="1"/>
                <w:bCs w:val="1"/>
                <w:color w:val="auto"/>
              </w:rPr>
              <w:t>to</w:t>
            </w:r>
          </w:p>
        </w:tc>
      </w:tr>
      <w:tr>
        <w:trPr>
          <w:trHeight w:val="222"/>
        </w:trPr>
        <w:tc>
          <w:tcPr>
            <w:tcW w:w="1980" w:type="dxa"/>
            <w:vAlign w:val="bottom"/>
          </w:tcPr>
          <w:p>
            <w:pPr>
              <w:spacing w:after="0"/>
              <w:rPr>
                <w:sz w:val="19"/>
                <w:szCs w:val="19"/>
                <w:color w:val="auto"/>
              </w:rPr>
            </w:pPr>
          </w:p>
        </w:tc>
        <w:tc>
          <w:tcPr>
            <w:tcW w:w="4800" w:type="dxa"/>
            <w:vAlign w:val="bottom"/>
          </w:tcPr>
          <w:p>
            <w:pPr>
              <w:jc w:val="center"/>
              <w:ind w:right="1092"/>
              <w:spacing w:after="0"/>
              <w:rPr>
                <w:sz w:val="20"/>
                <w:szCs w:val="20"/>
                <w:color w:val="auto"/>
              </w:rPr>
            </w:pPr>
            <w:r>
              <w:rPr>
                <w:rFonts w:ascii="Arial" w:cs="Arial" w:eastAsia="Arial" w:hAnsi="Arial"/>
                <w:sz w:val="13"/>
                <w:szCs w:val="13"/>
                <w:b w:val="1"/>
                <w:bCs w:val="1"/>
                <w:color w:val="auto"/>
                <w:w w:val="90"/>
              </w:rPr>
              <w:t>Commission file number 1-12154</w:t>
            </w:r>
          </w:p>
        </w:tc>
      </w:tr>
      <w:tr>
        <w:trPr>
          <w:trHeight w:val="382"/>
        </w:trPr>
        <w:tc>
          <w:tcPr>
            <w:tcW w:w="1980" w:type="dxa"/>
            <w:vAlign w:val="bottom"/>
          </w:tcPr>
          <w:p>
            <w:pPr>
              <w:spacing w:after="0"/>
              <w:rPr>
                <w:sz w:val="24"/>
                <w:szCs w:val="24"/>
                <w:color w:val="auto"/>
              </w:rPr>
            </w:pPr>
          </w:p>
        </w:tc>
        <w:tc>
          <w:tcPr>
            <w:tcW w:w="4800" w:type="dxa"/>
            <w:vAlign w:val="bottom"/>
          </w:tcPr>
          <w:p>
            <w:pPr>
              <w:jc w:val="center"/>
              <w:ind w:right="1112"/>
              <w:spacing w:after="0"/>
              <w:rPr>
                <w:sz w:val="20"/>
                <w:szCs w:val="20"/>
                <w:color w:val="auto"/>
              </w:rPr>
            </w:pPr>
            <w:r>
              <w:rPr>
                <w:rFonts w:ascii="Arial" w:cs="Arial" w:eastAsia="Arial" w:hAnsi="Arial"/>
                <w:sz w:val="31"/>
                <w:szCs w:val="31"/>
                <w:b w:val="1"/>
                <w:bCs w:val="1"/>
                <w:color w:val="auto"/>
                <w:w w:val="92"/>
              </w:rPr>
              <w:t>Waste Management, Inc.</w:t>
            </w:r>
          </w:p>
        </w:tc>
      </w:tr>
      <w:tr>
        <w:trPr>
          <w:trHeight w:val="131"/>
        </w:trPr>
        <w:tc>
          <w:tcPr>
            <w:tcW w:w="1980" w:type="dxa"/>
            <w:vAlign w:val="bottom"/>
          </w:tcPr>
          <w:p>
            <w:pPr>
              <w:spacing w:after="0"/>
              <w:rPr>
                <w:sz w:val="11"/>
                <w:szCs w:val="11"/>
                <w:color w:val="auto"/>
              </w:rPr>
            </w:pPr>
          </w:p>
        </w:tc>
        <w:tc>
          <w:tcPr>
            <w:tcW w:w="4800" w:type="dxa"/>
            <w:vAlign w:val="bottom"/>
          </w:tcPr>
          <w:p>
            <w:pPr>
              <w:jc w:val="center"/>
              <w:ind w:right="1092"/>
              <w:spacing w:after="0"/>
              <w:rPr>
                <w:sz w:val="20"/>
                <w:szCs w:val="20"/>
                <w:color w:val="auto"/>
              </w:rPr>
            </w:pPr>
            <w:r>
              <w:rPr>
                <w:rFonts w:ascii="Arial" w:cs="Arial" w:eastAsia="Arial" w:hAnsi="Arial"/>
                <w:sz w:val="10"/>
                <w:szCs w:val="10"/>
                <w:i w:val="1"/>
                <w:iCs w:val="1"/>
                <w:color w:val="auto"/>
                <w:w w:val="96"/>
              </w:rPr>
              <w:t>(Exact name of registrant as specified in its charter)</w:t>
            </w:r>
          </w:p>
        </w:tc>
      </w:tr>
      <w:tr>
        <w:trPr>
          <w:trHeight w:val="232"/>
        </w:trPr>
        <w:tc>
          <w:tcPr>
            <w:tcW w:w="1980" w:type="dxa"/>
            <w:vAlign w:val="bottom"/>
          </w:tcPr>
          <w:p>
            <w:pPr>
              <w:jc w:val="center"/>
              <w:ind w:left="561"/>
              <w:spacing w:after="0"/>
              <w:rPr>
                <w:sz w:val="20"/>
                <w:szCs w:val="20"/>
                <w:color w:val="auto"/>
              </w:rPr>
            </w:pPr>
            <w:r>
              <w:rPr>
                <w:rFonts w:ascii="Arial" w:cs="Arial" w:eastAsia="Arial" w:hAnsi="Arial"/>
                <w:sz w:val="13"/>
                <w:szCs w:val="13"/>
                <w:b w:val="1"/>
                <w:bCs w:val="1"/>
                <w:color w:val="auto"/>
                <w:w w:val="91"/>
              </w:rPr>
              <w:t>Delaware</w:t>
            </w:r>
          </w:p>
        </w:tc>
        <w:tc>
          <w:tcPr>
            <w:tcW w:w="4800" w:type="dxa"/>
            <w:vAlign w:val="bottom"/>
          </w:tcPr>
          <w:p>
            <w:pPr>
              <w:jc w:val="center"/>
              <w:ind w:left="3952"/>
              <w:spacing w:after="0"/>
              <w:rPr>
                <w:sz w:val="20"/>
                <w:szCs w:val="20"/>
                <w:color w:val="auto"/>
              </w:rPr>
            </w:pPr>
            <w:r>
              <w:rPr>
                <w:rFonts w:ascii="Arial" w:cs="Arial" w:eastAsia="Arial" w:hAnsi="Arial"/>
                <w:sz w:val="13"/>
                <w:szCs w:val="13"/>
                <w:b w:val="1"/>
                <w:bCs w:val="1"/>
                <w:color w:val="auto"/>
                <w:w w:val="89"/>
              </w:rPr>
              <w:t>73-1309529</w:t>
            </w:r>
          </w:p>
        </w:tc>
      </w:tr>
      <w:tr>
        <w:trPr>
          <w:trHeight w:val="108"/>
        </w:trPr>
        <w:tc>
          <w:tcPr>
            <w:tcW w:w="1980" w:type="dxa"/>
            <w:vAlign w:val="bottom"/>
          </w:tcPr>
          <w:p>
            <w:pPr>
              <w:jc w:val="center"/>
              <w:ind w:left="581"/>
              <w:spacing w:after="0" w:line="108" w:lineRule="exact"/>
              <w:rPr>
                <w:sz w:val="20"/>
                <w:szCs w:val="20"/>
                <w:color w:val="auto"/>
              </w:rPr>
            </w:pPr>
            <w:r>
              <w:rPr>
                <w:rFonts w:ascii="Arial" w:cs="Arial" w:eastAsia="Arial" w:hAnsi="Arial"/>
                <w:sz w:val="10"/>
                <w:szCs w:val="10"/>
                <w:i w:val="1"/>
                <w:iCs w:val="1"/>
                <w:color w:val="auto"/>
                <w:w w:val="97"/>
              </w:rPr>
              <w:t>(State or other jurisdiction of</w:t>
            </w:r>
          </w:p>
        </w:tc>
        <w:tc>
          <w:tcPr>
            <w:tcW w:w="4800" w:type="dxa"/>
            <w:vAlign w:val="bottom"/>
          </w:tcPr>
          <w:p>
            <w:pPr>
              <w:jc w:val="center"/>
              <w:ind w:left="3952"/>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08"/>
        </w:trPr>
        <w:tc>
          <w:tcPr>
            <w:tcW w:w="1980" w:type="dxa"/>
            <w:vAlign w:val="bottom"/>
          </w:tcPr>
          <w:p>
            <w:pPr>
              <w:jc w:val="center"/>
              <w:ind w:left="581"/>
              <w:spacing w:after="0" w:line="108" w:lineRule="exact"/>
              <w:rPr>
                <w:sz w:val="20"/>
                <w:szCs w:val="20"/>
                <w:color w:val="auto"/>
              </w:rPr>
            </w:pPr>
            <w:r>
              <w:rPr>
                <w:rFonts w:ascii="Arial" w:cs="Arial" w:eastAsia="Arial" w:hAnsi="Arial"/>
                <w:sz w:val="10"/>
                <w:szCs w:val="10"/>
                <w:i w:val="1"/>
                <w:iCs w:val="1"/>
                <w:color w:val="auto"/>
                <w:w w:val="99"/>
              </w:rPr>
              <w:t>incorporation or organization)</w:t>
            </w:r>
          </w:p>
        </w:tc>
        <w:tc>
          <w:tcPr>
            <w:tcW w:w="4800" w:type="dxa"/>
            <w:vAlign w:val="bottom"/>
          </w:tcPr>
          <w:p>
            <w:pPr>
              <w:jc w:val="center"/>
              <w:ind w:left="3952"/>
              <w:spacing w:after="0" w:line="108" w:lineRule="exact"/>
              <w:rPr>
                <w:sz w:val="20"/>
                <w:szCs w:val="20"/>
                <w:color w:val="auto"/>
              </w:rPr>
            </w:pPr>
            <w:r>
              <w:rPr>
                <w:rFonts w:ascii="Arial" w:cs="Arial" w:eastAsia="Arial" w:hAnsi="Arial"/>
                <w:sz w:val="10"/>
                <w:szCs w:val="10"/>
                <w:i w:val="1"/>
                <w:iCs w:val="1"/>
                <w:color w:val="auto"/>
              </w:rPr>
              <w:t>Identification No.)</w:t>
            </w:r>
          </w:p>
        </w:tc>
      </w:tr>
      <w:tr>
        <w:trPr>
          <w:trHeight w:val="157"/>
        </w:trPr>
        <w:tc>
          <w:tcPr>
            <w:tcW w:w="1980" w:type="dxa"/>
            <w:vAlign w:val="bottom"/>
          </w:tcPr>
          <w:p>
            <w:pPr>
              <w:spacing w:after="0"/>
              <w:rPr>
                <w:sz w:val="13"/>
                <w:szCs w:val="13"/>
                <w:color w:val="auto"/>
              </w:rPr>
            </w:pPr>
          </w:p>
        </w:tc>
        <w:tc>
          <w:tcPr>
            <w:tcW w:w="4800" w:type="dxa"/>
            <w:vAlign w:val="bottom"/>
          </w:tcPr>
          <w:p>
            <w:pPr>
              <w:jc w:val="center"/>
              <w:ind w:right="1112"/>
              <w:spacing w:after="0"/>
              <w:rPr>
                <w:sz w:val="20"/>
                <w:szCs w:val="20"/>
                <w:color w:val="auto"/>
              </w:rPr>
            </w:pPr>
            <w:r>
              <w:rPr>
                <w:rFonts w:ascii="Arial" w:cs="Arial" w:eastAsia="Arial" w:hAnsi="Arial"/>
                <w:sz w:val="13"/>
                <w:szCs w:val="13"/>
                <w:b w:val="1"/>
                <w:bCs w:val="1"/>
                <w:color w:val="auto"/>
                <w:w w:val="93"/>
              </w:rPr>
              <w:t>1001 Fannin</w:t>
            </w:r>
          </w:p>
        </w:tc>
      </w:tr>
      <w:tr>
        <w:trPr>
          <w:trHeight w:val="157"/>
        </w:trPr>
        <w:tc>
          <w:tcPr>
            <w:tcW w:w="1980" w:type="dxa"/>
            <w:vAlign w:val="bottom"/>
          </w:tcPr>
          <w:p>
            <w:pPr>
              <w:spacing w:after="0"/>
              <w:rPr>
                <w:sz w:val="13"/>
                <w:szCs w:val="13"/>
                <w:color w:val="auto"/>
              </w:rPr>
            </w:pPr>
          </w:p>
        </w:tc>
        <w:tc>
          <w:tcPr>
            <w:tcW w:w="4800" w:type="dxa"/>
            <w:vAlign w:val="bottom"/>
          </w:tcPr>
          <w:p>
            <w:pPr>
              <w:jc w:val="center"/>
              <w:ind w:right="1112"/>
              <w:spacing w:after="0"/>
              <w:rPr>
                <w:sz w:val="20"/>
                <w:szCs w:val="20"/>
                <w:color w:val="auto"/>
              </w:rPr>
            </w:pPr>
            <w:r>
              <w:rPr>
                <w:rFonts w:ascii="Arial" w:cs="Arial" w:eastAsia="Arial" w:hAnsi="Arial"/>
                <w:sz w:val="13"/>
                <w:szCs w:val="13"/>
                <w:b w:val="1"/>
                <w:bCs w:val="1"/>
                <w:color w:val="auto"/>
                <w:w w:val="90"/>
              </w:rPr>
              <w:t>Suite 4000</w:t>
            </w:r>
          </w:p>
        </w:tc>
      </w:tr>
      <w:tr>
        <w:trPr>
          <w:trHeight w:val="157"/>
        </w:trPr>
        <w:tc>
          <w:tcPr>
            <w:tcW w:w="1980" w:type="dxa"/>
            <w:vAlign w:val="bottom"/>
          </w:tcPr>
          <w:p>
            <w:pPr>
              <w:spacing w:after="0"/>
              <w:rPr>
                <w:sz w:val="13"/>
                <w:szCs w:val="13"/>
                <w:color w:val="auto"/>
              </w:rPr>
            </w:pPr>
          </w:p>
        </w:tc>
        <w:tc>
          <w:tcPr>
            <w:tcW w:w="4800" w:type="dxa"/>
            <w:vAlign w:val="bottom"/>
          </w:tcPr>
          <w:p>
            <w:pPr>
              <w:jc w:val="center"/>
              <w:ind w:right="1112"/>
              <w:spacing w:after="0"/>
              <w:rPr>
                <w:sz w:val="20"/>
                <w:szCs w:val="20"/>
                <w:color w:val="auto"/>
              </w:rPr>
            </w:pPr>
            <w:r>
              <w:rPr>
                <w:rFonts w:ascii="Arial" w:cs="Arial" w:eastAsia="Arial" w:hAnsi="Arial"/>
                <w:sz w:val="13"/>
                <w:szCs w:val="13"/>
                <w:b w:val="1"/>
                <w:bCs w:val="1"/>
                <w:color w:val="auto"/>
                <w:w w:val="89"/>
              </w:rPr>
              <w:t>Houston, Texas 77002</w:t>
            </w:r>
          </w:p>
        </w:tc>
      </w:tr>
      <w:tr>
        <w:trPr>
          <w:trHeight w:val="131"/>
        </w:trPr>
        <w:tc>
          <w:tcPr>
            <w:tcW w:w="1980" w:type="dxa"/>
            <w:vAlign w:val="bottom"/>
          </w:tcPr>
          <w:p>
            <w:pPr>
              <w:spacing w:after="0"/>
              <w:rPr>
                <w:sz w:val="11"/>
                <w:szCs w:val="11"/>
                <w:color w:val="auto"/>
              </w:rPr>
            </w:pPr>
          </w:p>
        </w:tc>
        <w:tc>
          <w:tcPr>
            <w:tcW w:w="4800" w:type="dxa"/>
            <w:vAlign w:val="bottom"/>
          </w:tcPr>
          <w:p>
            <w:pPr>
              <w:jc w:val="center"/>
              <w:ind w:right="1092"/>
              <w:spacing w:after="0"/>
              <w:rPr>
                <w:sz w:val="20"/>
                <w:szCs w:val="20"/>
                <w:color w:val="auto"/>
              </w:rPr>
            </w:pPr>
            <w:r>
              <w:rPr>
                <w:rFonts w:ascii="Arial" w:cs="Arial" w:eastAsia="Arial" w:hAnsi="Arial"/>
                <w:sz w:val="10"/>
                <w:szCs w:val="10"/>
                <w:i w:val="1"/>
                <w:iCs w:val="1"/>
                <w:color w:val="auto"/>
                <w:w w:val="95"/>
              </w:rPr>
              <w:t>(Address of principal executive offices)</w:t>
            </w:r>
          </w:p>
        </w:tc>
      </w:tr>
      <w:tr>
        <w:trPr>
          <w:trHeight w:val="222"/>
        </w:trPr>
        <w:tc>
          <w:tcPr>
            <w:tcW w:w="1980" w:type="dxa"/>
            <w:vAlign w:val="bottom"/>
          </w:tcPr>
          <w:p>
            <w:pPr>
              <w:spacing w:after="0"/>
              <w:rPr>
                <w:sz w:val="19"/>
                <w:szCs w:val="19"/>
                <w:color w:val="auto"/>
              </w:rPr>
            </w:pPr>
          </w:p>
        </w:tc>
        <w:tc>
          <w:tcPr>
            <w:tcW w:w="4800" w:type="dxa"/>
            <w:vAlign w:val="bottom"/>
          </w:tcPr>
          <w:p>
            <w:pPr>
              <w:jc w:val="center"/>
              <w:ind w:right="1112"/>
              <w:spacing w:after="0"/>
              <w:rPr>
                <w:sz w:val="20"/>
                <w:szCs w:val="20"/>
                <w:color w:val="auto"/>
              </w:rPr>
            </w:pPr>
            <w:r>
              <w:rPr>
                <w:rFonts w:ascii="Arial" w:cs="Arial" w:eastAsia="Arial" w:hAnsi="Arial"/>
                <w:sz w:val="13"/>
                <w:szCs w:val="13"/>
                <w:b w:val="1"/>
                <w:bCs w:val="1"/>
                <w:color w:val="auto"/>
                <w:w w:val="92"/>
              </w:rPr>
              <w:t>(713) 512-6200</w:t>
            </w:r>
          </w:p>
        </w:tc>
      </w:tr>
      <w:tr>
        <w:trPr>
          <w:trHeight w:val="131"/>
        </w:trPr>
        <w:tc>
          <w:tcPr>
            <w:tcW w:w="1980" w:type="dxa"/>
            <w:vAlign w:val="bottom"/>
          </w:tcPr>
          <w:p>
            <w:pPr>
              <w:spacing w:after="0"/>
              <w:rPr>
                <w:sz w:val="11"/>
                <w:szCs w:val="11"/>
                <w:color w:val="auto"/>
              </w:rPr>
            </w:pPr>
          </w:p>
        </w:tc>
        <w:tc>
          <w:tcPr>
            <w:tcW w:w="4800" w:type="dxa"/>
            <w:vAlign w:val="bottom"/>
          </w:tcPr>
          <w:p>
            <w:pPr>
              <w:jc w:val="center"/>
              <w:ind w:right="1112"/>
              <w:spacing w:after="0"/>
              <w:rPr>
                <w:sz w:val="20"/>
                <w:szCs w:val="20"/>
                <w:color w:val="auto"/>
              </w:rPr>
            </w:pPr>
            <w:r>
              <w:rPr>
                <w:rFonts w:ascii="Arial" w:cs="Arial" w:eastAsia="Arial" w:hAnsi="Arial"/>
                <w:sz w:val="10"/>
                <w:szCs w:val="10"/>
                <w:i w:val="1"/>
                <w:iCs w:val="1"/>
                <w:color w:val="auto"/>
                <w:w w:val="94"/>
              </w:rPr>
              <w:t>(Registrant’s telephone number, including area code)</w:t>
            </w:r>
          </w:p>
        </w:tc>
      </w:tr>
    </w:tbl>
    <w:p>
      <w:pPr>
        <w:spacing w:after="0" w:line="69" w:lineRule="exact"/>
        <w:rPr>
          <w:sz w:val="20"/>
          <w:szCs w:val="20"/>
          <w:color w:val="auto"/>
        </w:rPr>
      </w:pPr>
    </w:p>
    <w:p>
      <w:pPr>
        <w:ind w:left="680" w:right="500" w:firstLine="399"/>
        <w:spacing w:after="0" w:line="16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66" w:lineRule="exact"/>
        <w:rPr>
          <w:sz w:val="20"/>
          <w:szCs w:val="20"/>
          <w:color w:val="auto"/>
        </w:rPr>
      </w:pPr>
    </w:p>
    <w:p>
      <w:pPr>
        <w:ind w:left="680" w:right="20" w:firstLine="399"/>
        <w:spacing w:after="0" w:line="169"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6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0660"/>
          </w:cols>
          <w:pgMar w:left="220" w:top="127" w:right="1019" w:bottom="1440" w:gutter="0" w:footer="0" w:header="0"/>
        </w:sectPr>
      </w:pPr>
    </w:p>
    <w:p>
      <w:pPr>
        <w:spacing w:after="0" w:line="15" w:lineRule="exact"/>
        <w:rPr>
          <w:sz w:val="20"/>
          <w:szCs w:val="20"/>
          <w:color w:val="auto"/>
        </w:rPr>
      </w:pPr>
    </w:p>
    <w:p>
      <w:pPr>
        <w:ind w:left="680"/>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Accelerated filer o</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Non-accelerated filer o</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Smaller reporting company o</w:t>
      </w:r>
    </w:p>
    <w:p>
      <w:pPr>
        <w:spacing w:after="0" w:line="251" w:lineRule="exact"/>
        <w:rPr>
          <w:sz w:val="20"/>
          <w:szCs w:val="20"/>
          <w:color w:val="auto"/>
        </w:rPr>
      </w:pPr>
    </w:p>
    <w:p>
      <w:pPr>
        <w:sectPr>
          <w:pgSz w:w="11900" w:h="16838" w:orient="portrait"/>
          <w:cols w:equalWidth="0" w:num="4">
            <w:col w:w="3220" w:space="720"/>
            <w:col w:w="1100" w:space="720"/>
            <w:col w:w="2660" w:space="720"/>
            <w:col w:w="1520"/>
          </w:cols>
          <w:pgMar w:left="220" w:top="127" w:right="1019" w:bottom="1440" w:gutter="0" w:footer="0" w:header="0"/>
          <w:type w:val="continuous"/>
        </w:sectPr>
      </w:pPr>
    </w:p>
    <w:p>
      <w:pPr>
        <w:spacing w:after="0" w:line="25"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143" w:lineRule="exact"/>
        <w:rPr>
          <w:sz w:val="20"/>
          <w:szCs w:val="20"/>
          <w:color w:val="auto"/>
        </w:rPr>
      </w:pPr>
    </w:p>
    <w:p>
      <w:pPr>
        <w:sectPr>
          <w:pgSz w:w="11900" w:h="16838" w:orient="portrait"/>
          <w:cols w:equalWidth="0" w:num="2">
            <w:col w:w="7380" w:space="180"/>
            <w:col w:w="3100"/>
          </w:cols>
          <w:pgMar w:left="220" w:top="127" w:right="1019" w:bottom="1440" w:gutter="0" w:footer="0" w:header="0"/>
          <w:type w:val="continuous"/>
        </w:sectPr>
      </w:pPr>
    </w:p>
    <w:p>
      <w:pPr>
        <w:ind w:left="1080"/>
        <w:spacing w:after="0"/>
        <w:rPr>
          <w:sz w:val="20"/>
          <w:szCs w:val="20"/>
          <w:color w:val="auto"/>
        </w:rPr>
      </w:pPr>
      <w:r>
        <w:rPr>
          <w:rFonts w:ascii="Arial" w:cs="Arial" w:eastAsia="Arial" w:hAnsi="Arial"/>
          <w:sz w:val="11"/>
          <w:szCs w:val="11"/>
          <w:color w:val="auto"/>
        </w:rPr>
        <w:t>The number of shares of Common Stock, $0.01 par value, of the registrant outstanding at July 27, 2010 was 477,435,789 (excluding treasury shares of 152,846,672).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100330</wp:posOffset>
            </wp:positionV>
            <wp:extent cx="633539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539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221615</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127" w:right="1019" w:bottom="1440" w:gutter="0" w:footer="0" w:header="0"/>
          <w:type w:val="continuous"/>
        </w:sectPr>
      </w:pPr>
    </w:p>
    <w:bookmarkStart w:id="2" w:name="page3"/>
    <w:bookmarkEnd w:id="2"/>
    <w:p>
      <w:pPr>
        <w:jc w:val="center"/>
        <w:ind w:right="59"/>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154" w:lineRule="exact"/>
        <w:rPr>
          <w:sz w:val="20"/>
          <w:szCs w:val="20"/>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PART I.</w:t>
        </w:r>
      </w:hyperlink>
    </w:p>
    <w:p>
      <w:pPr>
        <w:ind w:left="28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Item 1. Financial Statements.</w:t>
        </w:r>
      </w:hyperlink>
    </w:p>
    <w:p>
      <w:pPr>
        <w:spacing w:after="0" w:line="230" w:lineRule="auto"/>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CONDENSED CONSOLIDATED BALANCE SHEETS</w:t>
        </w:r>
      </w:hyperlink>
    </w:p>
    <w:p>
      <w:pPr>
        <w:spacing w:after="0" w:line="1" w:lineRule="exact"/>
        <w:rPr>
          <w:sz w:val="20"/>
          <w:szCs w:val="20"/>
          <w:color w:val="auto"/>
        </w:rPr>
      </w:pPr>
    </w:p>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CONDENSED CONSOLIDATED STATEMENTS OF OPERATIONS (In Millions, Except Per Share Amounts) (Unaudited)</w:t>
        </w:r>
      </w:hyperlink>
    </w:p>
    <w:p>
      <w:pPr>
        <w:spacing w:after="0" w:line="27" w:lineRule="exact"/>
        <w:rPr>
          <w:sz w:val="20"/>
          <w:szCs w:val="20"/>
          <w:color w:val="auto"/>
        </w:rPr>
      </w:pPr>
    </w:p>
    <w:p>
      <w:pPr>
        <w:ind w:right="3979"/>
        <w:spacing w:after="0" w:line="246" w:lineRule="auto"/>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CONDENSED CONSOLIDATED STATEMENTS OF CASH FLOWS</w:t>
        </w:r>
      </w:hyperlink>
      <w:r>
        <w:rPr>
          <w:rFonts w:ascii="Arial" w:cs="Arial" w:eastAsia="Arial" w:hAnsi="Arial"/>
          <w:sz w:val="15"/>
          <w:szCs w:val="15"/>
          <w:u w:val="single" w:color="auto"/>
          <w:color w:val="0000EE"/>
        </w:rPr>
        <w:t xml:space="preserve"> </w:t>
      </w:r>
      <w:hyperlink w:anchor="page7">
        <w:r>
          <w:rPr>
            <w:rFonts w:ascii="Arial" w:cs="Arial" w:eastAsia="Arial" w:hAnsi="Arial"/>
            <w:sz w:val="15"/>
            <w:szCs w:val="15"/>
            <w:u w:val="single" w:color="auto"/>
            <w:color w:val="0000EE"/>
          </w:rPr>
          <w:t>CONDENSED CONSOLIDATED STATEMENTS OF CHANGES IN EQUITY</w:t>
        </w:r>
      </w:hyperlink>
      <w:r>
        <w:rPr>
          <w:rFonts w:ascii="Arial" w:cs="Arial" w:eastAsia="Arial" w:hAnsi="Arial"/>
          <w:sz w:val="15"/>
          <w:szCs w:val="15"/>
          <w:u w:val="single" w:color="auto"/>
          <w:color w:val="0000EE"/>
        </w:rPr>
        <w:t xml:space="preserve"> </w:t>
      </w:r>
      <w:hyperlink w:anchor="page8">
        <w:r>
          <w:rPr>
            <w:rFonts w:ascii="Arial" w:cs="Arial" w:eastAsia="Arial" w:hAnsi="Arial"/>
            <w:sz w:val="15"/>
            <w:szCs w:val="15"/>
            <w:u w:val="single" w:color="auto"/>
            <w:color w:val="0000EE"/>
          </w:rPr>
          <w:t>NOTES TO CONDENSED CONSOLIDATED FINANCIAL STATEMENTS</w:t>
        </w:r>
      </w:hyperlink>
    </w:p>
    <w:p>
      <w:pPr>
        <w:ind w:left="280"/>
        <w:spacing w:after="0" w:line="231" w:lineRule="auto"/>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Item 2. Management’s Discussion and Analysis of Financial Condition and Results of Operations.</w:t>
        </w:r>
      </w:hyperlink>
    </w:p>
    <w:p>
      <w:pPr>
        <w:ind w:left="280"/>
        <w:spacing w:after="0" w:line="231" w:lineRule="auto"/>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Item 3. Quantitative and Qualitative Disclosures About Market Risk</w:t>
        </w:r>
      </w:hyperlink>
    </w:p>
    <w:p>
      <w:pPr>
        <w:ind w:left="280"/>
        <w:spacing w:after="0" w:line="230" w:lineRule="auto"/>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Item 4. Controls and Procedures.</w:t>
        </w:r>
      </w:hyperlink>
    </w:p>
    <w:p>
      <w:pPr>
        <w:spacing w:after="0" w:line="231" w:lineRule="auto"/>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PART II.</w:t>
        </w:r>
      </w:hyperlink>
    </w:p>
    <w:p>
      <w:pPr>
        <w:ind w:left="280"/>
        <w:spacing w:after="0" w:line="231" w:lineRule="auto"/>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Item 1. Legal Proceedings.</w:t>
        </w:r>
      </w:hyperlink>
    </w:p>
    <w:p>
      <w:pPr>
        <w:ind w:left="280"/>
        <w:spacing w:after="0" w:line="231" w:lineRule="auto"/>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Item 1A. Risk Factors.</w:t>
        </w:r>
      </w:hyperlink>
    </w:p>
    <w:p>
      <w:pPr>
        <w:ind w:left="280"/>
        <w:spacing w:after="0" w:line="231" w:lineRule="auto"/>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Item 2. Unregistered Sales of Equity Securities and Use of Proceeds.</w:t>
        </w:r>
      </w:hyperlink>
    </w:p>
    <w:p>
      <w:pPr>
        <w:ind w:left="280"/>
        <w:spacing w:after="0" w:line="230" w:lineRule="auto"/>
        <w:rPr>
          <w:rFonts w:ascii="Arial" w:cs="Arial" w:eastAsia="Arial" w:hAnsi="Arial"/>
          <w:sz w:val="16"/>
          <w:szCs w:val="16"/>
          <w:u w:val="single" w:color="auto"/>
          <w:color w:val="0000EE"/>
        </w:rPr>
      </w:pPr>
      <w:hyperlink w:anchor="page55">
        <w:r>
          <w:rPr>
            <w:rFonts w:ascii="Arial" w:cs="Arial" w:eastAsia="Arial" w:hAnsi="Arial"/>
            <w:sz w:val="16"/>
            <w:szCs w:val="16"/>
            <w:u w:val="single" w:color="auto"/>
            <w:color w:val="0000EE"/>
          </w:rPr>
          <w:t>Item 6. Exhibits.</w:t>
        </w:r>
      </w:hyperlink>
    </w:p>
    <w:p>
      <w:pPr>
        <w:spacing w:after="0" w:line="231" w:lineRule="auto"/>
        <w:rPr>
          <w:sz w:val="20"/>
          <w:szCs w:val="20"/>
          <w:color w:val="auto"/>
        </w:rPr>
      </w:pPr>
      <w:r>
        <w:rPr>
          <w:rFonts w:ascii="Arial" w:cs="Arial" w:eastAsia="Arial" w:hAnsi="Arial"/>
          <w:sz w:val="16"/>
          <w:szCs w:val="16"/>
          <w:u w:val="single" w:color="auto"/>
          <w:color w:val="0000EE"/>
        </w:rPr>
        <w:t>EX-3.1</w:t>
      </w:r>
    </w:p>
    <w:p>
      <w:pPr>
        <w:spacing w:after="0" w:line="231" w:lineRule="auto"/>
        <w:rPr>
          <w:sz w:val="20"/>
          <w:szCs w:val="20"/>
          <w:color w:val="auto"/>
        </w:rPr>
      </w:pPr>
      <w:r>
        <w:rPr>
          <w:rFonts w:ascii="Arial" w:cs="Arial" w:eastAsia="Arial" w:hAnsi="Arial"/>
          <w:sz w:val="16"/>
          <w:szCs w:val="16"/>
          <w:u w:val="single" w:color="auto"/>
          <w:color w:val="0000EE"/>
        </w:rPr>
        <w:t>EX-4,1</w:t>
      </w:r>
    </w:p>
    <w:p>
      <w:pPr>
        <w:spacing w:after="0" w:line="231" w:lineRule="auto"/>
        <w:rPr>
          <w:sz w:val="20"/>
          <w:szCs w:val="20"/>
          <w:color w:val="auto"/>
        </w:rPr>
      </w:pPr>
      <w:r>
        <w:rPr>
          <w:rFonts w:ascii="Arial" w:cs="Arial" w:eastAsia="Arial" w:hAnsi="Arial"/>
          <w:sz w:val="16"/>
          <w:szCs w:val="16"/>
          <w:u w:val="single" w:color="auto"/>
          <w:color w:val="0000EE"/>
        </w:rPr>
        <w:t>EX-4.2</w:t>
      </w:r>
    </w:p>
    <w:p>
      <w:pPr>
        <w:spacing w:after="0" w:line="231" w:lineRule="auto"/>
        <w:rPr>
          <w:sz w:val="20"/>
          <w:szCs w:val="20"/>
          <w:color w:val="auto"/>
        </w:rPr>
      </w:pPr>
      <w:r>
        <w:rPr>
          <w:rFonts w:ascii="Arial" w:cs="Arial" w:eastAsia="Arial" w:hAnsi="Arial"/>
          <w:sz w:val="16"/>
          <w:szCs w:val="16"/>
          <w:u w:val="single" w:color="auto"/>
          <w:color w:val="0000EE"/>
        </w:rPr>
        <w:t>EX-10.1</w:t>
      </w:r>
    </w:p>
    <w:p>
      <w:pPr>
        <w:spacing w:after="0" w:line="230" w:lineRule="auto"/>
        <w:rPr>
          <w:sz w:val="20"/>
          <w:szCs w:val="20"/>
          <w:color w:val="auto"/>
        </w:rPr>
      </w:pPr>
      <w:r>
        <w:rPr>
          <w:rFonts w:ascii="Arial" w:cs="Arial" w:eastAsia="Arial" w:hAnsi="Arial"/>
          <w:sz w:val="16"/>
          <w:szCs w:val="16"/>
          <w:u w:val="single" w:color="auto"/>
          <w:color w:val="0000EE"/>
        </w:rPr>
        <w:t>EX-31.1</w:t>
      </w:r>
    </w:p>
    <w:p>
      <w:pPr>
        <w:spacing w:after="0" w:line="231" w:lineRule="auto"/>
        <w:rPr>
          <w:sz w:val="20"/>
          <w:szCs w:val="20"/>
          <w:color w:val="auto"/>
        </w:rPr>
      </w:pPr>
      <w:r>
        <w:rPr>
          <w:rFonts w:ascii="Arial" w:cs="Arial" w:eastAsia="Arial" w:hAnsi="Arial"/>
          <w:sz w:val="16"/>
          <w:szCs w:val="16"/>
          <w:u w:val="single" w:color="auto"/>
          <w:color w:val="0000EE"/>
        </w:rPr>
        <w:t>EX-31.2</w:t>
      </w:r>
    </w:p>
    <w:p>
      <w:pPr>
        <w:spacing w:after="0" w:line="231" w:lineRule="auto"/>
        <w:rPr>
          <w:sz w:val="20"/>
          <w:szCs w:val="20"/>
          <w:color w:val="auto"/>
        </w:rPr>
      </w:pPr>
      <w:r>
        <w:rPr>
          <w:rFonts w:ascii="Arial" w:cs="Arial" w:eastAsia="Arial" w:hAnsi="Arial"/>
          <w:sz w:val="16"/>
          <w:szCs w:val="16"/>
          <w:u w:val="single" w:color="auto"/>
          <w:color w:val="0000EE"/>
        </w:rPr>
        <w:t>EX-32.1</w:t>
      </w:r>
    </w:p>
    <w:p>
      <w:pPr>
        <w:spacing w:after="0" w:line="231" w:lineRule="auto"/>
        <w:rPr>
          <w:sz w:val="20"/>
          <w:szCs w:val="20"/>
          <w:color w:val="auto"/>
        </w:rPr>
      </w:pPr>
      <w:r>
        <w:rPr>
          <w:rFonts w:ascii="Arial" w:cs="Arial" w:eastAsia="Arial" w:hAnsi="Arial"/>
          <w:sz w:val="16"/>
          <w:szCs w:val="16"/>
          <w:u w:val="single" w:color="auto"/>
          <w:color w:val="0000EE"/>
        </w:rPr>
        <w:t>EX-32.2</w:t>
      </w:r>
    </w:p>
    <w:p>
      <w:pPr>
        <w:spacing w:after="0" w:line="230" w:lineRule="auto"/>
        <w:rPr>
          <w:sz w:val="20"/>
          <w:szCs w:val="20"/>
          <w:color w:val="auto"/>
        </w:rPr>
      </w:pPr>
      <w:r>
        <w:rPr>
          <w:rFonts w:ascii="Arial" w:cs="Arial" w:eastAsia="Arial" w:hAnsi="Arial"/>
          <w:sz w:val="16"/>
          <w:szCs w:val="16"/>
          <w:u w:val="single" w:color="auto"/>
          <w:color w:val="0000EE"/>
        </w:rPr>
        <w:t>EX-101 INSTANCE DOCUMENT</w:t>
      </w:r>
    </w:p>
    <w:p>
      <w:pPr>
        <w:spacing w:after="0" w:line="231" w:lineRule="auto"/>
        <w:rPr>
          <w:sz w:val="20"/>
          <w:szCs w:val="20"/>
          <w:color w:val="auto"/>
        </w:rPr>
      </w:pPr>
      <w:r>
        <w:rPr>
          <w:rFonts w:ascii="Arial" w:cs="Arial" w:eastAsia="Arial" w:hAnsi="Arial"/>
          <w:sz w:val="16"/>
          <w:szCs w:val="16"/>
          <w:u w:val="single" w:color="auto"/>
          <w:color w:val="0000EE"/>
        </w:rPr>
        <w:t>EX-101 SCHEMA DOCUMENT</w:t>
      </w:r>
    </w:p>
    <w:p>
      <w:pPr>
        <w:spacing w:after="0" w:line="231" w:lineRule="auto"/>
        <w:rPr>
          <w:sz w:val="20"/>
          <w:szCs w:val="20"/>
          <w:color w:val="auto"/>
        </w:rPr>
      </w:pPr>
      <w:r>
        <w:rPr>
          <w:rFonts w:ascii="Arial" w:cs="Arial" w:eastAsia="Arial" w:hAnsi="Arial"/>
          <w:sz w:val="16"/>
          <w:szCs w:val="16"/>
          <w:u w:val="single" w:color="auto"/>
          <w:color w:val="0000EE"/>
        </w:rPr>
        <w:t>EX-101 CALCULATION LINKBASE DOCUMENT</w:t>
      </w:r>
    </w:p>
    <w:p>
      <w:pPr>
        <w:spacing w:after="0" w:line="231" w:lineRule="auto"/>
        <w:rPr>
          <w:sz w:val="20"/>
          <w:szCs w:val="20"/>
          <w:color w:val="auto"/>
        </w:rPr>
      </w:pPr>
      <w:r>
        <w:rPr>
          <w:rFonts w:ascii="Arial" w:cs="Arial" w:eastAsia="Arial" w:hAnsi="Arial"/>
          <w:sz w:val="16"/>
          <w:szCs w:val="16"/>
          <w:u w:val="single" w:color="auto"/>
          <w:color w:val="0000EE"/>
        </w:rPr>
        <w:t>EX-101 LABELS LINKBASE DOCUMENT</w:t>
      </w:r>
    </w:p>
    <w:p>
      <w:pPr>
        <w:spacing w:after="0" w:line="231" w:lineRule="auto"/>
        <w:rPr>
          <w:sz w:val="20"/>
          <w:szCs w:val="20"/>
          <w:color w:val="auto"/>
        </w:rPr>
      </w:pPr>
      <w:r>
        <w:rPr>
          <w:rFonts w:ascii="Arial" w:cs="Arial" w:eastAsia="Arial" w:hAnsi="Arial"/>
          <w:sz w:val="16"/>
          <w:szCs w:val="16"/>
          <w:u w:val="single" w:color="auto"/>
          <w:color w:val="0000EE"/>
        </w:rPr>
        <w:t>EX-101 PRESENTATION LINKBASE DOCUMENT</w:t>
      </w:r>
    </w:p>
    <w:p>
      <w:pPr>
        <w:spacing w:after="0"/>
        <w:rPr>
          <w:sz w:val="20"/>
          <w:szCs w:val="20"/>
          <w:color w:val="auto"/>
        </w:rPr>
      </w:pPr>
      <w:r>
        <w:rPr>
          <w:rFonts w:ascii="Arial" w:cs="Arial" w:eastAsia="Arial" w:hAnsi="Arial"/>
          <w:sz w:val="16"/>
          <w:szCs w:val="16"/>
          <w:u w:val="single" w:color="auto"/>
          <w:color w:val="0000EE"/>
        </w:rPr>
        <w:t>EX-101 DEFINITION LINKBASE DOCUMENT</w:t>
      </w:r>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-315595</wp:posOffset>
            </wp:positionH>
            <wp:positionV relativeFrom="paragraph">
              <wp:posOffset>93980</wp:posOffset>
            </wp:positionV>
            <wp:extent cx="634174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41745" cy="19050"/>
                    </a:xfrm>
                    <a:prstGeom prst="rect">
                      <a:avLst/>
                    </a:prstGeom>
                    <a:noFill/>
                  </pic:spPr>
                </pic:pic>
              </a:graphicData>
            </a:graphic>
          </wp:anchor>
        </w:drawing>
      </w:r>
    </w:p>
    <w:p>
      <w:pPr>
        <w:sectPr>
          <w:pgSz w:w="11900" w:h="16838" w:orient="portrait"/>
          <w:cols w:equalWidth="0" w:num="1">
            <w:col w:w="9059"/>
          </w:cols>
          <w:pgMar w:left="1400" w:top="120"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9"/>
        </w:trPr>
        <w:tc>
          <w:tcPr>
            <w:tcW w:w="7800" w:type="dxa"/>
            <w:vAlign w:val="bottom"/>
            <w:gridSpan w:val="3"/>
          </w:tcPr>
          <w:p>
            <w:pPr>
              <w:spacing w:after="0"/>
              <w:rPr>
                <w:rFonts w:ascii="Arial" w:cs="Arial" w:eastAsia="Arial" w:hAnsi="Arial"/>
                <w:sz w:val="13"/>
                <w:szCs w:val="13"/>
                <w:b w:val="1"/>
                <w:bCs w:val="1"/>
                <w:color w:val="0000EE"/>
              </w:rPr>
            </w:pPr>
            <w:hyperlink w:anchor="page2">
              <w:r>
                <w:rPr>
                  <w:rFonts w:ascii="Arial" w:cs="Arial" w:eastAsia="Arial" w:hAnsi="Arial"/>
                  <w:sz w:val="13"/>
                  <w:szCs w:val="13"/>
                  <w:b w:val="1"/>
                  <w:bCs w:val="1"/>
                  <w:color w:val="0000EE"/>
                </w:rPr>
                <w:t>Table of Contents</w:t>
              </w:r>
            </w:hyperlink>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1"/>
        </w:trPr>
        <w:tc>
          <w:tcPr>
            <w:tcW w:w="8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820" w:type="dxa"/>
            <w:vAlign w:val="bottom"/>
          </w:tcPr>
          <w:p>
            <w:pPr>
              <w:jc w:val="center"/>
              <w:ind w:left="1137"/>
              <w:spacing w:after="0"/>
              <w:rPr>
                <w:sz w:val="20"/>
                <w:szCs w:val="20"/>
                <w:color w:val="auto"/>
              </w:rPr>
            </w:pPr>
            <w:r>
              <w:rPr>
                <w:rFonts w:ascii="Arial" w:cs="Arial" w:eastAsia="Arial" w:hAnsi="Arial"/>
                <w:sz w:val="13"/>
                <w:szCs w:val="13"/>
                <w:b w:val="1"/>
                <w:bCs w:val="1"/>
                <w:color w:val="auto"/>
                <w:w w:val="99"/>
              </w:rPr>
              <w:t>PART I.</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3"/>
                <w:szCs w:val="13"/>
                <w:b w:val="1"/>
                <w:bCs w:val="1"/>
                <w:color w:val="auto"/>
              </w:rPr>
              <w:t>Item 1.</w:t>
            </w:r>
          </w:p>
        </w:tc>
        <w:tc>
          <w:tcPr>
            <w:tcW w:w="700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Financial Statements.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20" w:type="dxa"/>
            <w:vAlign w:val="bottom"/>
          </w:tcPr>
          <w:p>
            <w:pPr>
              <w:jc w:val="center"/>
              <w:ind w:left="1157"/>
              <w:spacing w:after="0"/>
              <w:rPr>
                <w:sz w:val="20"/>
                <w:szCs w:val="20"/>
                <w:color w:val="auto"/>
              </w:rPr>
            </w:pPr>
            <w:r>
              <w:rPr>
                <w:rFonts w:ascii="Arial" w:cs="Arial" w:eastAsia="Arial" w:hAnsi="Arial"/>
                <w:sz w:val="13"/>
                <w:szCs w:val="13"/>
                <w:b w:val="1"/>
                <w:bCs w:val="1"/>
                <w:color w:val="auto"/>
              </w:rPr>
              <w:t>WASTE MANAGEMENT, INC.</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20" w:type="dxa"/>
            <w:vAlign w:val="bottom"/>
          </w:tcPr>
          <w:p>
            <w:pPr>
              <w:ind w:left="2440"/>
              <w:spacing w:after="0"/>
              <w:rPr>
                <w:sz w:val="20"/>
                <w:szCs w:val="20"/>
                <w:color w:val="auto"/>
              </w:rPr>
            </w:pPr>
            <w:r>
              <w:rPr>
                <w:rFonts w:ascii="Arial" w:cs="Arial" w:eastAsia="Arial" w:hAnsi="Arial"/>
                <w:sz w:val="13"/>
                <w:szCs w:val="13"/>
                <w:b w:val="1"/>
                <w:bCs w:val="1"/>
                <w:color w:val="auto"/>
              </w:rPr>
              <w:t>CONDENSED CONSOLIDATED BALANCE SHEETS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20" w:type="dxa"/>
            <w:vAlign w:val="bottom"/>
          </w:tcPr>
          <w:p>
            <w:pPr>
              <w:jc w:val="center"/>
              <w:ind w:left="1157"/>
              <w:spacing w:after="0"/>
              <w:rPr>
                <w:sz w:val="20"/>
                <w:szCs w:val="20"/>
                <w:color w:val="auto"/>
              </w:rPr>
            </w:pPr>
            <w:r>
              <w:rPr>
                <w:rFonts w:ascii="Arial" w:cs="Arial" w:eastAsia="Arial" w:hAnsi="Arial"/>
                <w:sz w:val="13"/>
                <w:szCs w:val="13"/>
                <w:b w:val="1"/>
                <w:bCs w:val="1"/>
                <w:color w:val="auto"/>
                <w:w w:val="92"/>
              </w:rPr>
              <w:t>(In Millions, Except Share and Par Value Amounts)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9"/>
              </w:rPr>
              <w:t>June 30,</w:t>
            </w:r>
          </w:p>
        </w:tc>
        <w:tc>
          <w:tcPr>
            <w:tcW w:w="100" w:type="dxa"/>
            <w:vAlign w:val="bottom"/>
          </w:tcPr>
          <w:p>
            <w:pPr>
              <w:spacing w:after="0"/>
              <w:rPr>
                <w:sz w:val="23"/>
                <w:szCs w:val="2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125"/>
        </w:trPr>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89"/>
              </w:rPr>
              <w:t>2010</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2"/>
              <w:spacing w:after="0"/>
              <w:rPr>
                <w:sz w:val="20"/>
                <w:szCs w:val="20"/>
                <w:color w:val="auto"/>
              </w:rPr>
            </w:pPr>
            <w:r>
              <w:rPr>
                <w:rFonts w:ascii="Arial" w:cs="Arial" w:eastAsia="Arial" w:hAnsi="Arial"/>
                <w:sz w:val="10"/>
                <w:szCs w:val="10"/>
                <w:b w:val="1"/>
                <w:bCs w:val="1"/>
                <w:color w:val="auto"/>
                <w:w w:val="97"/>
              </w:rPr>
              <w:t>(Unaudited)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20" w:type="dxa"/>
            <w:vAlign w:val="bottom"/>
            <w:shd w:val="clear" w:color="auto" w:fill="CCEEFF"/>
          </w:tcPr>
          <w:p>
            <w:pPr>
              <w:jc w:val="center"/>
              <w:ind w:left="1157"/>
              <w:spacing w:after="0"/>
              <w:rPr>
                <w:sz w:val="20"/>
                <w:szCs w:val="20"/>
                <w:color w:val="auto"/>
              </w:rPr>
            </w:pPr>
            <w:r>
              <w:rPr>
                <w:rFonts w:ascii="Arial" w:cs="Arial" w:eastAsia="Arial" w:hAnsi="Arial"/>
                <w:sz w:val="12"/>
                <w:szCs w:val="12"/>
                <w:b w:val="1"/>
                <w:bCs w:val="1"/>
                <w:color w:val="auto"/>
                <w:w w:val="91"/>
              </w:rPr>
              <w:t>ASSETS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800" w:type="dxa"/>
            <w:vAlign w:val="bottom"/>
          </w:tcPr>
          <w:p>
            <w:pPr>
              <w:spacing w:after="0"/>
              <w:rPr>
                <w:sz w:val="20"/>
                <w:szCs w:val="20"/>
                <w:color w:val="auto"/>
              </w:rPr>
            </w:pPr>
            <w:r>
              <w:rPr>
                <w:rFonts w:ascii="Arial" w:cs="Arial" w:eastAsia="Arial" w:hAnsi="Arial"/>
                <w:sz w:val="12"/>
                <w:szCs w:val="12"/>
                <w:color w:val="auto"/>
                <w:w w:val="95"/>
              </w:rPr>
              <w:t>Current assets:</w:t>
            </w:r>
          </w:p>
        </w:tc>
        <w:tc>
          <w:tcPr>
            <w:tcW w:w="18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1,169</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1,140</w:t>
            </w:r>
          </w:p>
        </w:tc>
        <w:tc>
          <w:tcPr>
            <w:tcW w:w="0" w:type="dxa"/>
            <w:vAlign w:val="bottom"/>
          </w:tcPr>
          <w:p>
            <w:pPr>
              <w:spacing w:after="0"/>
              <w:rPr>
                <w:sz w:val="1"/>
                <w:szCs w:val="1"/>
                <w:color w:val="auto"/>
              </w:rPr>
            </w:pPr>
          </w:p>
        </w:tc>
      </w:tr>
      <w:tr>
        <w:trPr>
          <w:trHeight w:val="147"/>
        </w:trPr>
        <w:tc>
          <w:tcPr>
            <w:tcW w:w="7800" w:type="dxa"/>
            <w:vAlign w:val="bottom"/>
            <w:gridSpan w:val="3"/>
          </w:tcPr>
          <w:p>
            <w:pPr>
              <w:ind w:left="120"/>
              <w:spacing w:after="0"/>
              <w:rPr>
                <w:sz w:val="20"/>
                <w:szCs w:val="20"/>
                <w:color w:val="auto"/>
              </w:rPr>
            </w:pPr>
            <w:r>
              <w:rPr>
                <w:rFonts w:ascii="Arial" w:cs="Arial" w:eastAsia="Arial" w:hAnsi="Arial"/>
                <w:sz w:val="12"/>
                <w:szCs w:val="12"/>
                <w:color w:val="auto"/>
              </w:rPr>
              <w:t>Accounts receivable, net of allowance for doubtful accounts of $27 and $31, respectively</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1,485</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1,408</w:t>
            </w:r>
          </w:p>
        </w:tc>
        <w:tc>
          <w:tcPr>
            <w:tcW w:w="0" w:type="dxa"/>
            <w:vAlign w:val="bottom"/>
          </w:tcPr>
          <w:p>
            <w:pPr>
              <w:spacing w:after="0"/>
              <w:rPr>
                <w:sz w:val="1"/>
                <w:szCs w:val="1"/>
                <w:color w:val="auto"/>
              </w:rPr>
            </w:pPr>
          </w:p>
        </w:tc>
      </w:tr>
      <w:tr>
        <w:trPr>
          <w:trHeight w:val="147"/>
        </w:trPr>
        <w:tc>
          <w:tcPr>
            <w:tcW w:w="78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Other receivables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119</w:t>
            </w:r>
          </w:p>
        </w:tc>
        <w:tc>
          <w:tcPr>
            <w:tcW w:w="0" w:type="dxa"/>
            <w:vAlign w:val="bottom"/>
          </w:tcPr>
          <w:p>
            <w:pPr>
              <w:spacing w:after="0"/>
              <w:rPr>
                <w:sz w:val="1"/>
                <w:szCs w:val="1"/>
                <w:color w:val="auto"/>
              </w:rPr>
            </w:pPr>
          </w:p>
        </w:tc>
      </w:tr>
      <w:tr>
        <w:trPr>
          <w:trHeight w:val="147"/>
        </w:trPr>
        <w:tc>
          <w:tcPr>
            <w:tcW w:w="7800" w:type="dxa"/>
            <w:vAlign w:val="bottom"/>
            <w:gridSpan w:val="3"/>
          </w:tcPr>
          <w:p>
            <w:pPr>
              <w:ind w:left="120"/>
              <w:spacing w:after="0"/>
              <w:rPr>
                <w:sz w:val="20"/>
                <w:szCs w:val="20"/>
                <w:color w:val="auto"/>
              </w:rPr>
            </w:pPr>
            <w:r>
              <w:rPr>
                <w:rFonts w:ascii="Arial" w:cs="Arial" w:eastAsia="Arial" w:hAnsi="Arial"/>
                <w:sz w:val="12"/>
                <w:szCs w:val="12"/>
                <w:color w:val="auto"/>
              </w:rPr>
              <w:t>Parts and supplies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110</w:t>
            </w:r>
          </w:p>
        </w:tc>
        <w:tc>
          <w:tcPr>
            <w:tcW w:w="0" w:type="dxa"/>
            <w:vAlign w:val="bottom"/>
          </w:tcPr>
          <w:p>
            <w:pPr>
              <w:spacing w:after="0"/>
              <w:rPr>
                <w:sz w:val="1"/>
                <w:szCs w:val="1"/>
                <w:color w:val="auto"/>
              </w:rPr>
            </w:pPr>
          </w:p>
        </w:tc>
      </w:tr>
      <w:tr>
        <w:trPr>
          <w:trHeight w:val="147"/>
        </w:trPr>
        <w:tc>
          <w:tcPr>
            <w:tcW w:w="78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Deferred income taxes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147"/>
        </w:trPr>
        <w:tc>
          <w:tcPr>
            <w:tcW w:w="800" w:type="dxa"/>
            <w:vAlign w:val="bottom"/>
          </w:tcPr>
          <w:p>
            <w:pPr>
              <w:ind w:left="120"/>
              <w:spacing w:after="0"/>
              <w:rPr>
                <w:sz w:val="20"/>
                <w:szCs w:val="20"/>
                <w:color w:val="auto"/>
              </w:rPr>
            </w:pPr>
            <w:r>
              <w:rPr>
                <w:rFonts w:ascii="Arial" w:cs="Arial" w:eastAsia="Arial" w:hAnsi="Arial"/>
                <w:sz w:val="12"/>
                <w:szCs w:val="12"/>
                <w:color w:val="auto"/>
                <w:w w:val="96"/>
              </w:rPr>
              <w:t>Other assets</w:t>
            </w:r>
          </w:p>
        </w:tc>
        <w:tc>
          <w:tcPr>
            <w:tcW w:w="18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123</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117</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0" w:type="dxa"/>
            <w:vAlign w:val="bottom"/>
            <w:gridSpan w:val="3"/>
            <w:shd w:val="clear" w:color="auto" w:fill="CCEEFF"/>
          </w:tcPr>
          <w:p>
            <w:pPr>
              <w:ind w:left="240"/>
              <w:spacing w:after="0"/>
              <w:rPr>
                <w:sz w:val="20"/>
                <w:szCs w:val="20"/>
                <w:color w:val="auto"/>
              </w:rPr>
            </w:pPr>
            <w:r>
              <w:rPr>
                <w:rFonts w:ascii="Arial" w:cs="Arial" w:eastAsia="Arial" w:hAnsi="Arial"/>
                <w:sz w:val="12"/>
                <w:szCs w:val="12"/>
                <w:color w:val="auto"/>
              </w:rPr>
              <w:t>Total current assets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3,156</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3,010</w:t>
            </w:r>
          </w:p>
        </w:tc>
        <w:tc>
          <w:tcPr>
            <w:tcW w:w="0" w:type="dxa"/>
            <w:vAlign w:val="bottom"/>
          </w:tcPr>
          <w:p>
            <w:pPr>
              <w:spacing w:after="0"/>
              <w:rPr>
                <w:sz w:val="1"/>
                <w:szCs w:val="1"/>
                <w:color w:val="auto"/>
              </w:rPr>
            </w:pPr>
          </w:p>
        </w:tc>
      </w:tr>
      <w:tr>
        <w:trPr>
          <w:trHeight w:val="147"/>
        </w:trPr>
        <w:tc>
          <w:tcPr>
            <w:tcW w:w="7800" w:type="dxa"/>
            <w:vAlign w:val="bottom"/>
            <w:gridSpan w:val="3"/>
          </w:tcPr>
          <w:p>
            <w:pPr>
              <w:spacing w:after="0"/>
              <w:rPr>
                <w:sz w:val="20"/>
                <w:szCs w:val="20"/>
                <w:color w:val="auto"/>
              </w:rPr>
            </w:pPr>
            <w:r>
              <w:rPr>
                <w:rFonts w:ascii="Arial" w:cs="Arial" w:eastAsia="Arial" w:hAnsi="Arial"/>
                <w:sz w:val="12"/>
                <w:szCs w:val="12"/>
                <w:color w:val="auto"/>
              </w:rPr>
              <w:t>Property and equipment, net of accumulated depreciation and amortization of $14,319 and $13,994, respectively</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11,575</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11,541</w:t>
            </w:r>
          </w:p>
        </w:tc>
        <w:tc>
          <w:tcPr>
            <w:tcW w:w="0" w:type="dxa"/>
            <w:vAlign w:val="bottom"/>
          </w:tcPr>
          <w:p>
            <w:pPr>
              <w:spacing w:after="0"/>
              <w:rPr>
                <w:sz w:val="1"/>
                <w:szCs w:val="1"/>
                <w:color w:val="auto"/>
              </w:rPr>
            </w:pPr>
          </w:p>
        </w:tc>
      </w:tr>
      <w:tr>
        <w:trPr>
          <w:trHeight w:val="147"/>
        </w:trPr>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Goodwill</w:t>
            </w:r>
          </w:p>
        </w:tc>
        <w:tc>
          <w:tcPr>
            <w:tcW w:w="180" w:type="dxa"/>
            <w:vAlign w:val="bottom"/>
            <w:shd w:val="clear" w:color="auto" w:fill="CCEEFF"/>
          </w:tcPr>
          <w:p>
            <w:pPr>
              <w:spacing w:after="0"/>
              <w:rPr>
                <w:sz w:val="12"/>
                <w:szCs w:val="12"/>
                <w:color w:val="auto"/>
              </w:rPr>
            </w:pPr>
          </w:p>
        </w:tc>
        <w:tc>
          <w:tcPr>
            <w:tcW w:w="6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5,667</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5,632</w:t>
            </w:r>
          </w:p>
        </w:tc>
        <w:tc>
          <w:tcPr>
            <w:tcW w:w="0" w:type="dxa"/>
            <w:vAlign w:val="bottom"/>
          </w:tcPr>
          <w:p>
            <w:pPr>
              <w:spacing w:after="0"/>
              <w:rPr>
                <w:sz w:val="1"/>
                <w:szCs w:val="1"/>
                <w:color w:val="auto"/>
              </w:rPr>
            </w:pPr>
          </w:p>
        </w:tc>
      </w:tr>
      <w:tr>
        <w:trPr>
          <w:trHeight w:val="147"/>
        </w:trPr>
        <w:tc>
          <w:tcPr>
            <w:tcW w:w="7800" w:type="dxa"/>
            <w:vAlign w:val="bottom"/>
            <w:gridSpan w:val="3"/>
          </w:tcPr>
          <w:p>
            <w:pPr>
              <w:spacing w:after="0"/>
              <w:rPr>
                <w:sz w:val="20"/>
                <w:szCs w:val="20"/>
                <w:color w:val="auto"/>
              </w:rPr>
            </w:pPr>
            <w:r>
              <w:rPr>
                <w:rFonts w:ascii="Arial" w:cs="Arial" w:eastAsia="Arial" w:hAnsi="Arial"/>
                <w:sz w:val="12"/>
                <w:szCs w:val="12"/>
                <w:color w:val="auto"/>
              </w:rPr>
              <w:t>Other intangible assets, net</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256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238</w:t>
            </w:r>
          </w:p>
        </w:tc>
        <w:tc>
          <w:tcPr>
            <w:tcW w:w="0" w:type="dxa"/>
            <w:vAlign w:val="bottom"/>
          </w:tcPr>
          <w:p>
            <w:pPr>
              <w:spacing w:after="0"/>
              <w:rPr>
                <w:sz w:val="1"/>
                <w:szCs w:val="1"/>
                <w:color w:val="auto"/>
              </w:rPr>
            </w:pPr>
          </w:p>
        </w:tc>
      </w:tr>
      <w:tr>
        <w:trPr>
          <w:trHeight w:val="147"/>
        </w:trPr>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180" w:type="dxa"/>
            <w:vAlign w:val="bottom"/>
            <w:shd w:val="clear" w:color="auto" w:fill="CCEEFF"/>
          </w:tcPr>
          <w:p>
            <w:pPr>
              <w:spacing w:after="0"/>
              <w:rPr>
                <w:sz w:val="12"/>
                <w:szCs w:val="12"/>
                <w:color w:val="auto"/>
              </w:rPr>
            </w:pPr>
          </w:p>
        </w:tc>
        <w:tc>
          <w:tcPr>
            <w:tcW w:w="6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1,105</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733</w:t>
            </w:r>
          </w:p>
        </w:tc>
        <w:tc>
          <w:tcPr>
            <w:tcW w:w="0" w:type="dxa"/>
            <w:vAlign w:val="bottom"/>
          </w:tcPr>
          <w:p>
            <w:pPr>
              <w:spacing w:after="0"/>
              <w:rPr>
                <w:sz w:val="1"/>
                <w:szCs w:val="1"/>
                <w:color w:val="auto"/>
              </w:rPr>
            </w:pPr>
          </w:p>
        </w:tc>
      </w:tr>
      <w:tr>
        <w:trPr>
          <w:trHeight w:val="20"/>
        </w:trPr>
        <w:tc>
          <w:tcPr>
            <w:tcW w:w="800" w:type="dxa"/>
            <w:vAlign w:val="bottom"/>
            <w:vMerge w:val="restart"/>
          </w:tcPr>
          <w:p>
            <w:pPr>
              <w:ind w:left="240"/>
              <w:spacing w:after="0"/>
              <w:rPr>
                <w:sz w:val="20"/>
                <w:szCs w:val="20"/>
                <w:color w:val="auto"/>
              </w:rPr>
            </w:pPr>
            <w:r>
              <w:rPr>
                <w:rFonts w:ascii="Arial" w:cs="Arial" w:eastAsia="Arial" w:hAnsi="Arial"/>
                <w:sz w:val="12"/>
                <w:szCs w:val="12"/>
                <w:color w:val="auto"/>
                <w:w w:val="83"/>
              </w:rPr>
              <w:t>Total assets</w:t>
            </w:r>
          </w:p>
        </w:tc>
        <w:tc>
          <w:tcPr>
            <w:tcW w:w="1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21,759</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21,154</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20" w:type="dxa"/>
            <w:vAlign w:val="bottom"/>
            <w:shd w:val="clear" w:color="auto" w:fill="CCEEFF"/>
          </w:tcPr>
          <w:p>
            <w:pPr>
              <w:jc w:val="center"/>
              <w:ind w:left="1157"/>
              <w:spacing w:after="0"/>
              <w:rPr>
                <w:sz w:val="20"/>
                <w:szCs w:val="20"/>
                <w:color w:val="auto"/>
              </w:rPr>
            </w:pPr>
            <w:r>
              <w:rPr>
                <w:rFonts w:ascii="Arial" w:cs="Arial" w:eastAsia="Arial" w:hAnsi="Arial"/>
                <w:sz w:val="12"/>
                <w:szCs w:val="12"/>
                <w:b w:val="1"/>
                <w:bCs w:val="1"/>
                <w:color w:val="auto"/>
              </w:rPr>
              <w:t>LIABILITIES AND EQUITY</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gridSpan w:val="3"/>
          </w:tcPr>
          <w:p>
            <w:pPr>
              <w:spacing w:after="0"/>
              <w:rPr>
                <w:sz w:val="20"/>
                <w:szCs w:val="20"/>
                <w:color w:val="auto"/>
              </w:rPr>
            </w:pPr>
            <w:r>
              <w:rPr>
                <w:rFonts w:ascii="Arial" w:cs="Arial" w:eastAsia="Arial" w:hAnsi="Arial"/>
                <w:sz w:val="12"/>
                <w:szCs w:val="12"/>
                <w:color w:val="auto"/>
              </w:rPr>
              <w:t>Current liabilities: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543</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567</w:t>
            </w:r>
          </w:p>
        </w:tc>
        <w:tc>
          <w:tcPr>
            <w:tcW w:w="0" w:type="dxa"/>
            <w:vAlign w:val="bottom"/>
          </w:tcPr>
          <w:p>
            <w:pPr>
              <w:spacing w:after="0"/>
              <w:rPr>
                <w:sz w:val="1"/>
                <w:szCs w:val="1"/>
                <w:color w:val="auto"/>
              </w:rPr>
            </w:pPr>
          </w:p>
        </w:tc>
      </w:tr>
      <w:tr>
        <w:trPr>
          <w:trHeight w:val="147"/>
        </w:trPr>
        <w:tc>
          <w:tcPr>
            <w:tcW w:w="7800" w:type="dxa"/>
            <w:vAlign w:val="bottom"/>
            <w:gridSpan w:val="3"/>
          </w:tcPr>
          <w:p>
            <w:pPr>
              <w:ind w:left="120"/>
              <w:spacing w:after="0"/>
              <w:rPr>
                <w:sz w:val="20"/>
                <w:szCs w:val="20"/>
                <w:color w:val="auto"/>
              </w:rPr>
            </w:pPr>
            <w:r>
              <w:rPr>
                <w:rFonts w:ascii="Arial" w:cs="Arial" w:eastAsia="Arial" w:hAnsi="Arial"/>
                <w:sz w:val="12"/>
                <w:szCs w:val="12"/>
                <w:color w:val="auto"/>
              </w:rPr>
              <w:t>Accrued liabilities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1,098</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1,128</w:t>
            </w:r>
          </w:p>
        </w:tc>
        <w:tc>
          <w:tcPr>
            <w:tcW w:w="0" w:type="dxa"/>
            <w:vAlign w:val="bottom"/>
          </w:tcPr>
          <w:p>
            <w:pPr>
              <w:spacing w:after="0"/>
              <w:rPr>
                <w:sz w:val="1"/>
                <w:szCs w:val="1"/>
                <w:color w:val="auto"/>
              </w:rPr>
            </w:pPr>
          </w:p>
        </w:tc>
      </w:tr>
      <w:tr>
        <w:trPr>
          <w:trHeight w:val="147"/>
        </w:trPr>
        <w:tc>
          <w:tcPr>
            <w:tcW w:w="78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Deferred revenues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459</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457</w:t>
            </w:r>
          </w:p>
        </w:tc>
        <w:tc>
          <w:tcPr>
            <w:tcW w:w="0" w:type="dxa"/>
            <w:vAlign w:val="bottom"/>
          </w:tcPr>
          <w:p>
            <w:pPr>
              <w:spacing w:after="0"/>
              <w:rPr>
                <w:sz w:val="1"/>
                <w:szCs w:val="1"/>
                <w:color w:val="auto"/>
              </w:rPr>
            </w:pPr>
          </w:p>
        </w:tc>
      </w:tr>
      <w:tr>
        <w:trPr>
          <w:trHeight w:val="147"/>
        </w:trPr>
        <w:tc>
          <w:tcPr>
            <w:tcW w:w="7800" w:type="dxa"/>
            <w:vAlign w:val="bottom"/>
            <w:gridSpan w:val="3"/>
          </w:tcPr>
          <w:p>
            <w:pPr>
              <w:ind w:left="120"/>
              <w:spacing w:after="0"/>
              <w:rPr>
                <w:sz w:val="20"/>
                <w:szCs w:val="20"/>
                <w:color w:val="auto"/>
              </w:rPr>
            </w:pPr>
            <w:r>
              <w:rPr>
                <w:rFonts w:ascii="Arial" w:cs="Arial" w:eastAsia="Arial" w:hAnsi="Arial"/>
                <w:sz w:val="12"/>
                <w:szCs w:val="12"/>
                <w:color w:val="auto"/>
              </w:rPr>
              <w:t>Current portion of long-term debt</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758</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749</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0" w:type="dxa"/>
            <w:vAlign w:val="bottom"/>
            <w:gridSpan w:val="3"/>
            <w:shd w:val="clear" w:color="auto" w:fill="CCEEFF"/>
          </w:tcPr>
          <w:p>
            <w:pPr>
              <w:ind w:left="240"/>
              <w:spacing w:after="0"/>
              <w:rPr>
                <w:sz w:val="20"/>
                <w:szCs w:val="20"/>
                <w:color w:val="auto"/>
              </w:rPr>
            </w:pPr>
            <w:r>
              <w:rPr>
                <w:rFonts w:ascii="Arial" w:cs="Arial" w:eastAsia="Arial" w:hAnsi="Arial"/>
                <w:sz w:val="12"/>
                <w:szCs w:val="12"/>
                <w:color w:val="auto"/>
              </w:rPr>
              <w:t>Total current liabilities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2,858</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2,901</w:t>
            </w:r>
          </w:p>
        </w:tc>
        <w:tc>
          <w:tcPr>
            <w:tcW w:w="0" w:type="dxa"/>
            <w:vAlign w:val="bottom"/>
          </w:tcPr>
          <w:p>
            <w:pPr>
              <w:spacing w:after="0"/>
              <w:rPr>
                <w:sz w:val="1"/>
                <w:szCs w:val="1"/>
                <w:color w:val="auto"/>
              </w:rPr>
            </w:pPr>
          </w:p>
        </w:tc>
      </w:tr>
      <w:tr>
        <w:trPr>
          <w:trHeight w:val="147"/>
        </w:trPr>
        <w:tc>
          <w:tcPr>
            <w:tcW w:w="7800" w:type="dxa"/>
            <w:vAlign w:val="bottom"/>
            <w:gridSpan w:val="3"/>
          </w:tcPr>
          <w:p>
            <w:pPr>
              <w:spacing w:after="0"/>
              <w:rPr>
                <w:sz w:val="20"/>
                <w:szCs w:val="20"/>
                <w:color w:val="auto"/>
              </w:rPr>
            </w:pPr>
            <w:r>
              <w:rPr>
                <w:rFonts w:ascii="Arial" w:cs="Arial" w:eastAsia="Arial" w:hAnsi="Arial"/>
                <w:sz w:val="12"/>
                <w:szCs w:val="12"/>
                <w:color w:val="auto"/>
              </w:rPr>
              <w:t>Long-term debt, less current portion</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8,827</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8,124</w:t>
            </w:r>
          </w:p>
        </w:tc>
        <w:tc>
          <w:tcPr>
            <w:tcW w:w="0" w:type="dxa"/>
            <w:vAlign w:val="bottom"/>
          </w:tcPr>
          <w:p>
            <w:pPr>
              <w:spacing w:after="0"/>
              <w:rPr>
                <w:sz w:val="1"/>
                <w:szCs w:val="1"/>
                <w:color w:val="auto"/>
              </w:rPr>
            </w:pPr>
          </w:p>
        </w:tc>
      </w:tr>
      <w:tr>
        <w:trPr>
          <w:trHeight w:val="147"/>
        </w:trPr>
        <w:tc>
          <w:tcPr>
            <w:tcW w:w="78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Deferred income taxes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1,518</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1,509</w:t>
            </w:r>
          </w:p>
        </w:tc>
        <w:tc>
          <w:tcPr>
            <w:tcW w:w="0" w:type="dxa"/>
            <w:vAlign w:val="bottom"/>
          </w:tcPr>
          <w:p>
            <w:pPr>
              <w:spacing w:after="0"/>
              <w:rPr>
                <w:sz w:val="1"/>
                <w:szCs w:val="1"/>
                <w:color w:val="auto"/>
              </w:rPr>
            </w:pPr>
          </w:p>
        </w:tc>
      </w:tr>
      <w:tr>
        <w:trPr>
          <w:trHeight w:val="147"/>
        </w:trPr>
        <w:tc>
          <w:tcPr>
            <w:tcW w:w="7800" w:type="dxa"/>
            <w:vAlign w:val="bottom"/>
            <w:gridSpan w:val="3"/>
          </w:tcPr>
          <w:p>
            <w:pPr>
              <w:spacing w:after="0"/>
              <w:rPr>
                <w:sz w:val="20"/>
                <w:szCs w:val="20"/>
                <w:color w:val="auto"/>
              </w:rPr>
            </w:pPr>
            <w:r>
              <w:rPr>
                <w:rFonts w:ascii="Arial" w:cs="Arial" w:eastAsia="Arial" w:hAnsi="Arial"/>
                <w:sz w:val="12"/>
                <w:szCs w:val="12"/>
                <w:color w:val="auto"/>
              </w:rPr>
              <w:t>Landfill and environmental remediation liabilities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1,427</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1,357</w:t>
            </w:r>
          </w:p>
        </w:tc>
        <w:tc>
          <w:tcPr>
            <w:tcW w:w="0" w:type="dxa"/>
            <w:vAlign w:val="bottom"/>
          </w:tcPr>
          <w:p>
            <w:pPr>
              <w:spacing w:after="0"/>
              <w:rPr>
                <w:sz w:val="1"/>
                <w:szCs w:val="1"/>
                <w:color w:val="auto"/>
              </w:rPr>
            </w:pPr>
          </w:p>
        </w:tc>
      </w:tr>
      <w:tr>
        <w:trPr>
          <w:trHeight w:val="147"/>
        </w:trPr>
        <w:tc>
          <w:tcPr>
            <w:tcW w:w="800" w:type="dxa"/>
            <w:vAlign w:val="bottom"/>
            <w:shd w:val="clear" w:color="auto" w:fill="CCEEFF"/>
          </w:tcPr>
          <w:p>
            <w:pPr>
              <w:spacing w:after="0"/>
              <w:rPr>
                <w:sz w:val="20"/>
                <w:szCs w:val="20"/>
                <w:color w:val="auto"/>
              </w:rPr>
            </w:pPr>
            <w:r>
              <w:rPr>
                <w:rFonts w:ascii="Arial" w:cs="Arial" w:eastAsia="Arial" w:hAnsi="Arial"/>
                <w:sz w:val="12"/>
                <w:szCs w:val="12"/>
                <w:color w:val="auto"/>
                <w:w w:val="99"/>
              </w:rPr>
              <w:t>Other liabilities</w:t>
            </w:r>
          </w:p>
        </w:tc>
        <w:tc>
          <w:tcPr>
            <w:tcW w:w="180" w:type="dxa"/>
            <w:vAlign w:val="bottom"/>
            <w:shd w:val="clear" w:color="auto" w:fill="CCEEFF"/>
          </w:tcPr>
          <w:p>
            <w:pPr>
              <w:spacing w:after="0"/>
              <w:rPr>
                <w:sz w:val="12"/>
                <w:szCs w:val="12"/>
                <w:color w:val="auto"/>
              </w:rPr>
            </w:pPr>
          </w:p>
        </w:tc>
        <w:tc>
          <w:tcPr>
            <w:tcW w:w="6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721</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672</w:t>
            </w:r>
          </w:p>
        </w:tc>
        <w:tc>
          <w:tcPr>
            <w:tcW w:w="0" w:type="dxa"/>
            <w:vAlign w:val="bottom"/>
          </w:tcPr>
          <w:p>
            <w:pPr>
              <w:spacing w:after="0"/>
              <w:rPr>
                <w:sz w:val="1"/>
                <w:szCs w:val="1"/>
                <w:color w:val="auto"/>
              </w:rPr>
            </w:pPr>
          </w:p>
        </w:tc>
      </w:tr>
      <w:tr>
        <w:trPr>
          <w:trHeight w:val="20"/>
        </w:trPr>
        <w:tc>
          <w:tcPr>
            <w:tcW w:w="7800" w:type="dxa"/>
            <w:vAlign w:val="bottom"/>
            <w:gridSpan w:val="3"/>
            <w:vMerge w:val="restart"/>
          </w:tcPr>
          <w:p>
            <w:pPr>
              <w:ind w:left="120"/>
              <w:spacing w:after="0"/>
              <w:rPr>
                <w:sz w:val="20"/>
                <w:szCs w:val="20"/>
                <w:color w:val="auto"/>
              </w:rPr>
            </w:pPr>
            <w:r>
              <w:rPr>
                <w:rFonts w:ascii="Arial" w:cs="Arial" w:eastAsia="Arial" w:hAnsi="Arial"/>
                <w:sz w:val="12"/>
                <w:szCs w:val="12"/>
                <w:color w:val="auto"/>
              </w:rPr>
              <w:t>Total liabilities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15,351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14,563</w:t>
            </w:r>
          </w:p>
        </w:tc>
        <w:tc>
          <w:tcPr>
            <w:tcW w:w="0" w:type="dxa"/>
            <w:vAlign w:val="bottom"/>
          </w:tcPr>
          <w:p>
            <w:pPr>
              <w:spacing w:after="0"/>
              <w:rPr>
                <w:sz w:val="1"/>
                <w:szCs w:val="1"/>
                <w:color w:val="auto"/>
              </w:rPr>
            </w:pPr>
          </w:p>
        </w:tc>
      </w:tr>
      <w:tr>
        <w:trPr>
          <w:trHeight w:val="147"/>
        </w:trPr>
        <w:tc>
          <w:tcPr>
            <w:tcW w:w="78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Commitments and contingencies</w:t>
            </w: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00" w:type="dxa"/>
            <w:vAlign w:val="bottom"/>
          </w:tcPr>
          <w:p>
            <w:pPr>
              <w:spacing w:after="0"/>
              <w:rPr>
                <w:sz w:val="20"/>
                <w:szCs w:val="20"/>
                <w:color w:val="auto"/>
              </w:rPr>
            </w:pPr>
            <w:r>
              <w:rPr>
                <w:rFonts w:ascii="Arial" w:cs="Arial" w:eastAsia="Arial" w:hAnsi="Arial"/>
                <w:sz w:val="12"/>
                <w:szCs w:val="12"/>
                <w:color w:val="auto"/>
              </w:rPr>
              <w:t>Equity:</w:t>
            </w:r>
          </w:p>
        </w:tc>
        <w:tc>
          <w:tcPr>
            <w:tcW w:w="18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Waste Management, Inc. stockholders’ equity:</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gridSpan w:val="3"/>
          </w:tcPr>
          <w:p>
            <w:pPr>
              <w:ind w:left="240"/>
              <w:spacing w:after="0"/>
              <w:rPr>
                <w:sz w:val="20"/>
                <w:szCs w:val="20"/>
                <w:color w:val="auto"/>
              </w:rPr>
            </w:pPr>
            <w:r>
              <w:rPr>
                <w:rFonts w:ascii="Arial" w:cs="Arial" w:eastAsia="Arial" w:hAnsi="Arial"/>
                <w:sz w:val="12"/>
                <w:szCs w:val="12"/>
                <w:color w:val="auto"/>
              </w:rPr>
              <w:t>Common stock, $0.01 par value; 1,500,000,000 shares authorized; 630,282,461 shares issued</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7"/>
        </w:trPr>
        <w:tc>
          <w:tcPr>
            <w:tcW w:w="7800" w:type="dxa"/>
            <w:vAlign w:val="bottom"/>
            <w:gridSpan w:val="3"/>
            <w:shd w:val="clear" w:color="auto" w:fill="CCEEFF"/>
          </w:tcPr>
          <w:p>
            <w:pPr>
              <w:ind w:left="240"/>
              <w:spacing w:after="0"/>
              <w:rPr>
                <w:sz w:val="20"/>
                <w:szCs w:val="20"/>
                <w:color w:val="auto"/>
              </w:rPr>
            </w:pPr>
            <w:r>
              <w:rPr>
                <w:rFonts w:ascii="Arial" w:cs="Arial" w:eastAsia="Arial" w:hAnsi="Arial"/>
                <w:sz w:val="12"/>
                <w:szCs w:val="12"/>
                <w:color w:val="auto"/>
              </w:rPr>
              <w:t>Additional paid-in capital</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4,522</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4,543</w:t>
            </w:r>
          </w:p>
        </w:tc>
        <w:tc>
          <w:tcPr>
            <w:tcW w:w="0" w:type="dxa"/>
            <w:vAlign w:val="bottom"/>
          </w:tcPr>
          <w:p>
            <w:pPr>
              <w:spacing w:after="0"/>
              <w:rPr>
                <w:sz w:val="1"/>
                <w:szCs w:val="1"/>
                <w:color w:val="auto"/>
              </w:rPr>
            </w:pPr>
          </w:p>
        </w:tc>
      </w:tr>
      <w:tr>
        <w:trPr>
          <w:trHeight w:val="147"/>
        </w:trPr>
        <w:tc>
          <w:tcPr>
            <w:tcW w:w="7800" w:type="dxa"/>
            <w:vAlign w:val="bottom"/>
            <w:gridSpan w:val="3"/>
          </w:tcPr>
          <w:p>
            <w:pPr>
              <w:ind w:left="240"/>
              <w:spacing w:after="0"/>
              <w:rPr>
                <w:sz w:val="20"/>
                <w:szCs w:val="20"/>
                <w:color w:val="auto"/>
              </w:rPr>
            </w:pPr>
            <w:r>
              <w:rPr>
                <w:rFonts w:ascii="Arial" w:cs="Arial" w:eastAsia="Arial" w:hAnsi="Arial"/>
                <w:sz w:val="12"/>
                <w:szCs w:val="12"/>
                <w:color w:val="auto"/>
              </w:rPr>
              <w:t>Retained earnings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6,176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6,053</w:t>
            </w:r>
          </w:p>
        </w:tc>
        <w:tc>
          <w:tcPr>
            <w:tcW w:w="0" w:type="dxa"/>
            <w:vAlign w:val="bottom"/>
          </w:tcPr>
          <w:p>
            <w:pPr>
              <w:spacing w:after="0"/>
              <w:rPr>
                <w:sz w:val="1"/>
                <w:szCs w:val="1"/>
                <w:color w:val="auto"/>
              </w:rPr>
            </w:pPr>
          </w:p>
        </w:tc>
      </w:tr>
      <w:tr>
        <w:trPr>
          <w:trHeight w:val="147"/>
        </w:trPr>
        <w:tc>
          <w:tcPr>
            <w:tcW w:w="7800" w:type="dxa"/>
            <w:vAlign w:val="bottom"/>
            <w:gridSpan w:val="3"/>
            <w:shd w:val="clear" w:color="auto" w:fill="CCEEFF"/>
          </w:tcPr>
          <w:p>
            <w:pPr>
              <w:ind w:left="240"/>
              <w:spacing w:after="0"/>
              <w:rPr>
                <w:sz w:val="20"/>
                <w:szCs w:val="20"/>
                <w:color w:val="auto"/>
              </w:rPr>
            </w:pPr>
            <w:r>
              <w:rPr>
                <w:rFonts w:ascii="Arial" w:cs="Arial" w:eastAsia="Arial" w:hAnsi="Arial"/>
                <w:sz w:val="12"/>
                <w:szCs w:val="12"/>
                <w:color w:val="auto"/>
              </w:rPr>
              <w:t>Accumulated other comprehensive income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208</w:t>
            </w:r>
          </w:p>
        </w:tc>
        <w:tc>
          <w:tcPr>
            <w:tcW w:w="0" w:type="dxa"/>
            <w:vAlign w:val="bottom"/>
          </w:tcPr>
          <w:p>
            <w:pPr>
              <w:spacing w:after="0"/>
              <w:rPr>
                <w:sz w:val="1"/>
                <w:szCs w:val="1"/>
                <w:color w:val="auto"/>
              </w:rPr>
            </w:pPr>
          </w:p>
        </w:tc>
      </w:tr>
      <w:tr>
        <w:trPr>
          <w:trHeight w:val="147"/>
        </w:trPr>
        <w:tc>
          <w:tcPr>
            <w:tcW w:w="7800" w:type="dxa"/>
            <w:vAlign w:val="bottom"/>
            <w:gridSpan w:val="3"/>
          </w:tcPr>
          <w:p>
            <w:pPr>
              <w:ind w:left="240"/>
              <w:spacing w:after="0"/>
              <w:rPr>
                <w:sz w:val="20"/>
                <w:szCs w:val="20"/>
                <w:color w:val="auto"/>
              </w:rPr>
            </w:pPr>
            <w:r>
              <w:rPr>
                <w:rFonts w:ascii="Arial" w:cs="Arial" w:eastAsia="Arial" w:hAnsi="Arial"/>
                <w:sz w:val="12"/>
                <w:szCs w:val="12"/>
                <w:color w:val="auto"/>
              </w:rPr>
              <w:t>Treasury stock at cost, 151,407,591 and 144,162,063 shares, respectively</w:t>
            </w:r>
          </w:p>
        </w:tc>
        <w:tc>
          <w:tcPr>
            <w:tcW w:w="100" w:type="dxa"/>
            <w:vAlign w:val="bottom"/>
          </w:tcPr>
          <w:p>
            <w:pPr>
              <w:spacing w:after="0"/>
              <w:rPr>
                <w:sz w:val="12"/>
                <w:szCs w:val="12"/>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2"/>
                <w:szCs w:val="12"/>
                <w:color w:val="auto"/>
              </w:rPr>
              <w:t>(4,769)</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(4,525)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0" w:type="dxa"/>
            <w:vAlign w:val="bottom"/>
            <w:gridSpan w:val="3"/>
            <w:shd w:val="clear" w:color="auto" w:fill="CCEEFF"/>
          </w:tcPr>
          <w:p>
            <w:pPr>
              <w:ind w:left="360"/>
              <w:spacing w:after="0"/>
              <w:rPr>
                <w:sz w:val="20"/>
                <w:szCs w:val="20"/>
                <w:color w:val="auto"/>
              </w:rPr>
            </w:pPr>
            <w:r>
              <w:rPr>
                <w:rFonts w:ascii="Arial" w:cs="Arial" w:eastAsia="Arial" w:hAnsi="Arial"/>
                <w:sz w:val="12"/>
                <w:szCs w:val="12"/>
                <w:color w:val="auto"/>
              </w:rPr>
              <w:t>Total Waste Management, Inc. stockholders’ equity</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6,099</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6,285</w:t>
            </w:r>
          </w:p>
        </w:tc>
        <w:tc>
          <w:tcPr>
            <w:tcW w:w="0" w:type="dxa"/>
            <w:vAlign w:val="bottom"/>
          </w:tcPr>
          <w:p>
            <w:pPr>
              <w:spacing w:after="0"/>
              <w:rPr>
                <w:sz w:val="1"/>
                <w:szCs w:val="1"/>
                <w:color w:val="auto"/>
              </w:rPr>
            </w:pPr>
          </w:p>
        </w:tc>
      </w:tr>
      <w:tr>
        <w:trPr>
          <w:trHeight w:val="147"/>
        </w:trPr>
        <w:tc>
          <w:tcPr>
            <w:tcW w:w="7800" w:type="dxa"/>
            <w:vAlign w:val="bottom"/>
            <w:gridSpan w:val="3"/>
          </w:tcPr>
          <w:p>
            <w:pPr>
              <w:ind w:left="120"/>
              <w:spacing w:after="0"/>
              <w:rPr>
                <w:sz w:val="20"/>
                <w:szCs w:val="20"/>
                <w:color w:val="auto"/>
              </w:rPr>
            </w:pPr>
            <w:r>
              <w:rPr>
                <w:rFonts w:ascii="Arial" w:cs="Arial" w:eastAsia="Arial" w:hAnsi="Arial"/>
                <w:sz w:val="12"/>
                <w:szCs w:val="12"/>
                <w:color w:val="auto"/>
              </w:rPr>
              <w:t>Noncontrolling interests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309</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306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0" w:type="dxa"/>
            <w:vAlign w:val="bottom"/>
            <w:gridSpan w:val="3"/>
            <w:shd w:val="clear" w:color="auto" w:fill="CCEEFF"/>
          </w:tcPr>
          <w:p>
            <w:pPr>
              <w:ind w:left="360"/>
              <w:spacing w:after="0"/>
              <w:rPr>
                <w:sz w:val="20"/>
                <w:szCs w:val="20"/>
                <w:color w:val="auto"/>
              </w:rPr>
            </w:pPr>
            <w:r>
              <w:rPr>
                <w:rFonts w:ascii="Arial" w:cs="Arial" w:eastAsia="Arial" w:hAnsi="Arial"/>
                <w:sz w:val="12"/>
                <w:szCs w:val="12"/>
                <w:color w:val="auto"/>
              </w:rPr>
              <w:t>Total equity</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6,408</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6,591</w:t>
            </w:r>
          </w:p>
        </w:tc>
        <w:tc>
          <w:tcPr>
            <w:tcW w:w="0" w:type="dxa"/>
            <w:vAlign w:val="bottom"/>
          </w:tcPr>
          <w:p>
            <w:pPr>
              <w:spacing w:after="0"/>
              <w:rPr>
                <w:sz w:val="1"/>
                <w:szCs w:val="1"/>
                <w:color w:val="auto"/>
              </w:rPr>
            </w:pPr>
          </w:p>
        </w:tc>
      </w:tr>
      <w:tr>
        <w:trPr>
          <w:trHeight w:val="20"/>
        </w:trPr>
        <w:tc>
          <w:tcPr>
            <w:tcW w:w="7800" w:type="dxa"/>
            <w:vAlign w:val="bottom"/>
            <w:gridSpan w:val="3"/>
            <w:vMerge w:val="restart"/>
          </w:tcPr>
          <w:p>
            <w:pPr>
              <w:ind w:left="120"/>
              <w:spacing w:after="0"/>
              <w:rPr>
                <w:sz w:val="20"/>
                <w:szCs w:val="20"/>
                <w:color w:val="auto"/>
              </w:rPr>
            </w:pPr>
            <w:r>
              <w:rPr>
                <w:rFonts w:ascii="Arial" w:cs="Arial" w:eastAsia="Arial" w:hAnsi="Arial"/>
                <w:sz w:val="12"/>
                <w:szCs w:val="12"/>
                <w:color w:val="auto"/>
              </w:rPr>
              <w:t>Total liabilities and equity</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800" w:type="dxa"/>
            <w:vAlign w:val="bottom"/>
            <w:gridSpan w:val="3"/>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21,759</w:t>
            </w:r>
          </w:p>
        </w:tc>
        <w:tc>
          <w:tcPr>
            <w:tcW w:w="4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21,154</w:t>
            </w:r>
          </w:p>
        </w:tc>
        <w:tc>
          <w:tcPr>
            <w:tcW w:w="0" w:type="dxa"/>
            <w:vAlign w:val="bottom"/>
          </w:tcPr>
          <w:p>
            <w:pPr>
              <w:spacing w:after="0"/>
              <w:rPr>
                <w:sz w:val="1"/>
                <w:szCs w:val="1"/>
                <w:color w:val="auto"/>
              </w:rPr>
            </w:pPr>
          </w:p>
        </w:tc>
      </w:tr>
      <w:tr>
        <w:trPr>
          <w:trHeight w:val="32"/>
        </w:trPr>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334"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140"/>
        <w:spacing w:after="0"/>
        <w:rPr>
          <w:sz w:val="20"/>
          <w:szCs w:val="20"/>
          <w:color w:val="auto"/>
        </w:rPr>
      </w:pPr>
      <w:r>
        <w:rPr>
          <w:rFonts w:ascii="Arial" w:cs="Arial" w:eastAsia="Arial" w:hAnsi="Arial"/>
          <w:sz w:val="13"/>
          <w:szCs w:val="13"/>
          <w:b w:val="1"/>
          <w:bCs w:val="1"/>
          <w:color w:val="auto"/>
        </w:rPr>
        <w:t>CONDENSED CONSOLIDATED STATEMENTS OF OPERATIONS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Millions, Except Per Share Amounts)</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5"/>
          </w:tcPr>
          <w:p>
            <w:pPr>
              <w:jc w:val="center"/>
              <w:ind w:right="460"/>
              <w:spacing w:after="0"/>
              <w:rPr>
                <w:sz w:val="20"/>
                <w:szCs w:val="20"/>
                <w:color w:val="auto"/>
              </w:rPr>
            </w:pPr>
            <w:r>
              <w:rPr>
                <w:rFonts w:ascii="Arial" w:cs="Arial" w:eastAsia="Arial" w:hAnsi="Arial"/>
                <w:sz w:val="10"/>
                <w:szCs w:val="10"/>
                <w:b w:val="1"/>
                <w:bCs w:val="1"/>
                <w:color w:val="auto"/>
                <w:w w:val="94"/>
              </w:rPr>
              <w:t>Three Months</w:t>
            </w:r>
          </w:p>
        </w:tc>
        <w:tc>
          <w:tcPr>
            <w:tcW w:w="80" w:type="dxa"/>
            <w:vAlign w:val="bottom"/>
          </w:tcPr>
          <w:p>
            <w:pPr>
              <w:spacing w:after="0"/>
              <w:rPr>
                <w:sz w:val="10"/>
                <w:szCs w:val="10"/>
                <w:color w:val="auto"/>
              </w:rPr>
            </w:pPr>
          </w:p>
        </w:tc>
        <w:tc>
          <w:tcPr>
            <w:tcW w:w="800" w:type="dxa"/>
            <w:vAlign w:val="bottom"/>
            <w:gridSpan w:val="3"/>
          </w:tcPr>
          <w:p>
            <w:pPr>
              <w:jc w:val="center"/>
              <w:ind w:left="176"/>
              <w:spacing w:after="0"/>
              <w:rPr>
                <w:sz w:val="20"/>
                <w:szCs w:val="20"/>
                <w:color w:val="auto"/>
              </w:rPr>
            </w:pPr>
            <w:r>
              <w:rPr>
                <w:rFonts w:ascii="Arial" w:cs="Arial" w:eastAsia="Arial" w:hAnsi="Arial"/>
                <w:sz w:val="10"/>
                <w:szCs w:val="10"/>
                <w:b w:val="1"/>
                <w:bCs w:val="1"/>
                <w:color w:val="auto"/>
                <w:w w:val="97"/>
              </w:rPr>
              <w:t>Six Months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7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June 30,</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7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5"/>
              <w:spacing w:after="0" w:line="98" w:lineRule="exact"/>
              <w:rPr>
                <w:sz w:val="20"/>
                <w:szCs w:val="20"/>
                <w:color w:val="auto"/>
              </w:rPr>
            </w:pPr>
            <w:r>
              <w:rPr>
                <w:rFonts w:ascii="Arial" w:cs="Arial" w:eastAsia="Arial" w:hAnsi="Arial"/>
                <w:sz w:val="10"/>
                <w:szCs w:val="10"/>
                <w:b w:val="1"/>
                <w:bCs w:val="1"/>
                <w:color w:val="auto"/>
                <w:w w:val="89"/>
              </w:rPr>
              <w:t>2009</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2010</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98"/>
              </w:rPr>
              <w:t>3,158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2"/>
              </w:rPr>
              <w:t>2,952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92"/>
              </w:rPr>
              <w:t>6,093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5,762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7100" w:type="dxa"/>
            <w:vAlign w:val="bottom"/>
          </w:tcPr>
          <w:p>
            <w:pPr>
              <w:spacing w:after="0"/>
              <w:rPr>
                <w:sz w:val="20"/>
                <w:szCs w:val="20"/>
                <w:color w:val="auto"/>
              </w:rPr>
            </w:pPr>
            <w:r>
              <w:rPr>
                <w:rFonts w:ascii="Arial" w:cs="Arial" w:eastAsia="Arial" w:hAnsi="Arial"/>
                <w:sz w:val="13"/>
                <w:szCs w:val="13"/>
                <w:color w:val="auto"/>
              </w:rPr>
              <w:t>Costs and expenses: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98"/>
              </w:rPr>
              <w:t>1,996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2"/>
              </w:rPr>
              <w:t>1,786</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92"/>
              </w:rPr>
              <w:t>3,877</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3,511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tcPr>
          <w:p>
            <w:pPr>
              <w:ind w:left="140"/>
              <w:spacing w:after="0"/>
              <w:rPr>
                <w:sz w:val="20"/>
                <w:szCs w:val="20"/>
                <w:color w:val="auto"/>
              </w:rPr>
            </w:pPr>
            <w:r>
              <w:rPr>
                <w:rFonts w:ascii="Arial" w:cs="Arial" w:eastAsia="Arial" w:hAnsi="Arial"/>
                <w:sz w:val="13"/>
                <w:szCs w:val="13"/>
                <w:color w:val="auto"/>
              </w:rPr>
              <w:t>Selling, general and administrative</w:t>
            </w:r>
          </w:p>
        </w:tc>
        <w:tc>
          <w:tcPr>
            <w:tcW w:w="80" w:type="dxa"/>
            <w:vAlign w:val="bottom"/>
          </w:tcPr>
          <w:p>
            <w:pPr>
              <w:spacing w:after="0"/>
              <w:rPr>
                <w:sz w:val="13"/>
                <w:szCs w:val="13"/>
                <w:color w:val="auto"/>
              </w:rPr>
            </w:pPr>
          </w:p>
        </w:tc>
        <w:tc>
          <w:tcPr>
            <w:tcW w:w="740" w:type="dxa"/>
            <w:vAlign w:val="bottom"/>
            <w:gridSpan w:val="2"/>
          </w:tcPr>
          <w:p>
            <w:pPr>
              <w:jc w:val="right"/>
              <w:ind w:right="348"/>
              <w:spacing w:after="0"/>
              <w:rPr>
                <w:sz w:val="20"/>
                <w:szCs w:val="20"/>
                <w:color w:val="auto"/>
              </w:rPr>
            </w:pPr>
            <w:r>
              <w:rPr>
                <w:rFonts w:ascii="Arial" w:cs="Arial" w:eastAsia="Arial" w:hAnsi="Arial"/>
                <w:sz w:val="13"/>
                <w:szCs w:val="13"/>
                <w:color w:val="auto"/>
              </w:rPr>
              <w:t>345</w:t>
            </w: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323</w:t>
            </w:r>
          </w:p>
        </w:tc>
        <w:tc>
          <w:tcPr>
            <w:tcW w:w="8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696</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660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309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302</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600</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tcPr>
          <w:p>
            <w:pPr>
              <w:ind w:left="140"/>
              <w:spacing w:after="0"/>
              <w:rPr>
                <w:sz w:val="20"/>
                <w:szCs w:val="20"/>
                <w:color w:val="auto"/>
              </w:rPr>
            </w:pPr>
            <w:r>
              <w:rPr>
                <w:rFonts w:ascii="Arial" w:cs="Arial" w:eastAsia="Arial" w:hAnsi="Arial"/>
                <w:sz w:val="13"/>
                <w:szCs w:val="13"/>
                <w:color w:val="auto"/>
              </w:rPr>
              <w:t>Restructuring</w:t>
            </w:r>
          </w:p>
        </w:tc>
        <w:tc>
          <w:tcPr>
            <w:tcW w:w="80" w:type="dxa"/>
            <w:vAlign w:val="bottom"/>
          </w:tcPr>
          <w:p>
            <w:pPr>
              <w:spacing w:after="0"/>
              <w:rPr>
                <w:sz w:val="13"/>
                <w:szCs w:val="13"/>
                <w:color w:val="auto"/>
              </w:rPr>
            </w:pPr>
          </w:p>
        </w:tc>
        <w:tc>
          <w:tcPr>
            <w:tcW w:w="740" w:type="dxa"/>
            <w:vAlign w:val="bottom"/>
            <w:gridSpan w:val="2"/>
          </w:tcPr>
          <w:p>
            <w:pPr>
              <w:jc w:val="right"/>
              <w:ind w:right="308"/>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3"/>
                <w:szCs w:val="13"/>
                <w:color w:val="auto"/>
              </w:rPr>
            </w:pPr>
          </w:p>
        </w:tc>
        <w:tc>
          <w:tcPr>
            <w:tcW w:w="720" w:type="dxa"/>
            <w:vAlign w:val="bottom"/>
            <w:gridSpan w:val="2"/>
          </w:tcPr>
          <w:p>
            <w:pPr>
              <w:jc w:val="right"/>
              <w:ind w:right="308"/>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expense from divestitures, asset impairments and unusual items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(77)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(77)</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2,572</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2,418</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w w:val="92"/>
              </w:rPr>
              <w:t>5,095</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4,856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998</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7100" w:type="dxa"/>
            <w:vAlign w:val="bottom"/>
          </w:tcPr>
          <w:p>
            <w:pPr>
              <w:spacing w:after="0"/>
              <w:rPr>
                <w:sz w:val="20"/>
                <w:szCs w:val="20"/>
                <w:color w:val="auto"/>
              </w:rPr>
            </w:pPr>
            <w:r>
              <w:rPr>
                <w:rFonts w:ascii="Arial" w:cs="Arial" w:eastAsia="Arial" w:hAnsi="Arial"/>
                <w:sz w:val="13"/>
                <w:szCs w:val="13"/>
                <w:color w:val="auto"/>
              </w:rPr>
              <w:t>Other income (expense):</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(116)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(107)</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(228)</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tcPr>
          <w:p>
            <w:pPr>
              <w:ind w:left="140"/>
              <w:spacing w:after="0"/>
              <w:rPr>
                <w:sz w:val="20"/>
                <w:szCs w:val="20"/>
                <w:color w:val="auto"/>
              </w:rPr>
            </w:pPr>
            <w:r>
              <w:rPr>
                <w:rFonts w:ascii="Arial" w:cs="Arial" w:eastAsia="Arial" w:hAnsi="Arial"/>
                <w:sz w:val="13"/>
                <w:szCs w:val="13"/>
                <w:color w:val="auto"/>
              </w:rPr>
              <w:t>Interest income</w:t>
            </w:r>
          </w:p>
        </w:tc>
        <w:tc>
          <w:tcPr>
            <w:tcW w:w="80" w:type="dxa"/>
            <w:vAlign w:val="bottom"/>
          </w:tcPr>
          <w:p>
            <w:pPr>
              <w:spacing w:after="0"/>
              <w:rPr>
                <w:sz w:val="13"/>
                <w:szCs w:val="13"/>
                <w:color w:val="auto"/>
              </w:rPr>
            </w:pPr>
          </w:p>
        </w:tc>
        <w:tc>
          <w:tcPr>
            <w:tcW w:w="740" w:type="dxa"/>
            <w:vAlign w:val="bottom"/>
            <w:gridSpan w:val="2"/>
          </w:tcPr>
          <w:p>
            <w:pPr>
              <w:jc w:val="right"/>
              <w:ind w:right="348"/>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08"/>
              <w:spacing w:after="0"/>
              <w:rPr>
                <w:sz w:val="20"/>
                <w:szCs w:val="20"/>
                <w:color w:val="auto"/>
              </w:rPr>
            </w:pPr>
            <w:r>
              <w:rPr>
                <w:rFonts w:ascii="Arial" w:cs="Arial" w:eastAsia="Arial" w:hAnsi="Arial"/>
                <w:sz w:val="13"/>
                <w:szCs w:val="13"/>
                <w:color w:val="auto"/>
              </w:rPr>
              <w:t>(122)</w:t>
            </w:r>
          </w:p>
        </w:tc>
        <w:tc>
          <w:tcPr>
            <w:tcW w:w="8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3"/>
                <w:szCs w:val="13"/>
                <w:color w:val="auto"/>
              </w:rPr>
              <w:t>(104)</w:t>
            </w:r>
          </w:p>
        </w:tc>
        <w:tc>
          <w:tcPr>
            <w:tcW w:w="80" w:type="dxa"/>
            <w:vAlign w:val="bottom"/>
          </w:tcPr>
          <w:p>
            <w:pPr>
              <w:spacing w:after="0"/>
              <w:rPr>
                <w:sz w:val="13"/>
                <w:szCs w:val="13"/>
                <w:color w:val="auto"/>
              </w:rPr>
            </w:pPr>
          </w:p>
        </w:tc>
        <w:tc>
          <w:tcPr>
            <w:tcW w:w="720" w:type="dxa"/>
            <w:vAlign w:val="bottom"/>
            <w:gridSpan w:val="2"/>
          </w:tcPr>
          <w:p>
            <w:pPr>
              <w:jc w:val="right"/>
              <w:ind w:right="308"/>
              <w:spacing w:after="0"/>
              <w:rPr>
                <w:sz w:val="20"/>
                <w:szCs w:val="20"/>
                <w:color w:val="auto"/>
              </w:rPr>
            </w:pPr>
            <w:r>
              <w:rPr>
                <w:rFonts w:ascii="Arial" w:cs="Arial" w:eastAsia="Arial" w:hAnsi="Arial"/>
                <w:sz w:val="13"/>
                <w:szCs w:val="13"/>
                <w:color w:val="auto"/>
              </w:rPr>
              <w:t>(232)</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(205)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766</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206</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163</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316</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450</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tcPr>
          <w:p>
            <w:pPr>
              <w:ind w:left="140"/>
              <w:spacing w:after="0"/>
              <w:rPr>
                <w:sz w:val="20"/>
                <w:szCs w:val="20"/>
                <w:color w:val="auto"/>
              </w:rPr>
            </w:pPr>
            <w:r>
              <w:rPr>
                <w:rFonts w:ascii="Arial" w:cs="Arial" w:eastAsia="Arial" w:hAnsi="Arial"/>
                <w:sz w:val="13"/>
                <w:szCs w:val="13"/>
                <w:color w:val="auto"/>
              </w:rPr>
              <w:t>Less: Net income attributable to noncontrolling interests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12</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20</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Waste Management, Inc.</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428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100" w:type="dxa"/>
            <w:vAlign w:val="bottom"/>
            <w:vMerge w:val="restart"/>
          </w:tcPr>
          <w:p>
            <w:pPr>
              <w:spacing w:after="0"/>
              <w:rPr>
                <w:sz w:val="20"/>
                <w:szCs w:val="20"/>
                <w:color w:val="auto"/>
              </w:rPr>
            </w:pPr>
            <w:r>
              <w:rPr>
                <w:rFonts w:ascii="Arial" w:cs="Arial" w:eastAsia="Arial" w:hAnsi="Arial"/>
                <w:sz w:val="13"/>
                <w:szCs w:val="13"/>
                <w:color w:val="auto"/>
              </w:rPr>
              <w:t>Basic earnings per common share</w:t>
            </w: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1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0.51</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0.50</w:t>
            </w:r>
          </w:p>
        </w:tc>
        <w:tc>
          <w:tcPr>
            <w:tcW w:w="3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0.89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0.82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7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0.51</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0.50</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0.88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100" w:type="dxa"/>
            <w:vAlign w:val="bottom"/>
            <w:vMerge w:val="restart"/>
          </w:tcPr>
          <w:p>
            <w:pPr>
              <w:spacing w:after="0"/>
              <w:rPr>
                <w:sz w:val="20"/>
                <w:szCs w:val="20"/>
                <w:color w:val="auto"/>
              </w:rPr>
            </w:pPr>
            <w:r>
              <w:rPr>
                <w:rFonts w:ascii="Arial" w:cs="Arial" w:eastAsia="Arial" w:hAnsi="Arial"/>
                <w:sz w:val="13"/>
                <w:szCs w:val="13"/>
                <w:color w:val="auto"/>
              </w:rPr>
              <w:t>Cash dividends declared per common share</w:t>
            </w: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98"/>
              </w:rPr>
              <w:t>0.315</w:t>
            </w:r>
          </w:p>
        </w:tc>
        <w:tc>
          <w:tcPr>
            <w:tcW w:w="4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0.29</w:t>
            </w:r>
          </w:p>
        </w:tc>
        <w:tc>
          <w:tcPr>
            <w:tcW w:w="3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0.63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0.58</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7100" w:type="dxa"/>
            <w:vAlign w:val="bottom"/>
          </w:tcPr>
          <w:p>
            <w:pPr>
              <w:ind w:left="3340"/>
              <w:spacing w:after="0"/>
              <w:rPr>
                <w:sz w:val="20"/>
                <w:szCs w:val="20"/>
                <w:color w:val="auto"/>
              </w:rPr>
            </w:pPr>
            <w:r>
              <w:rPr>
                <w:rFonts w:ascii="Arial" w:cs="Arial" w:eastAsia="Arial" w:hAnsi="Arial"/>
                <w:sz w:val="13"/>
                <w:szCs w:val="13"/>
                <w:color w:val="auto"/>
              </w:rPr>
              <w:t>See notes to the Condensed Consolidated Financial Statements.</w:t>
            </w: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7100" w:type="dxa"/>
            <w:vAlign w:val="bottom"/>
          </w:tcPr>
          <w:p>
            <w:pPr>
              <w:ind w:left="496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659"/>
        <w:spacing w:after="0"/>
        <w:rPr>
          <w:sz w:val="20"/>
          <w:szCs w:val="20"/>
          <w:color w:val="auto"/>
        </w:rPr>
      </w:pPr>
      <w:r>
        <w:rPr>
          <w:rFonts w:ascii="Arial" w:cs="Arial" w:eastAsia="Arial" w:hAnsi="Arial"/>
          <w:sz w:val="13"/>
          <w:szCs w:val="13"/>
          <w:b w:val="1"/>
          <w:bCs w:val="1"/>
          <w:color w:val="auto"/>
        </w:rPr>
        <w:t>CONDENSED CONSOLIDATED STATEMENTS OF CASH FLOWS</w:t>
      </w:r>
    </w:p>
    <w:p>
      <w:pPr>
        <w:spacing w:after="0" w:line="19"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(In Millions)</w:t>
      </w:r>
    </w:p>
    <w:p>
      <w:pPr>
        <w:spacing w:after="0" w:line="8"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(Unaudited)</w:t>
      </w:r>
    </w:p>
    <w:p>
      <w:pPr>
        <w:spacing w:after="0" w:line="169" w:lineRule="exact"/>
        <w:rPr>
          <w:sz w:val="20"/>
          <w:szCs w:val="20"/>
          <w:color w:val="auto"/>
        </w:rPr>
      </w:pPr>
    </w:p>
    <w:p>
      <w:pPr>
        <w:jc w:val="center"/>
        <w:ind w:left="8480"/>
        <w:spacing w:after="0"/>
        <w:rPr>
          <w:sz w:val="20"/>
          <w:szCs w:val="20"/>
          <w:color w:val="auto"/>
        </w:rPr>
      </w:pPr>
      <w:r>
        <w:rPr>
          <w:rFonts w:ascii="Arial" w:cs="Arial" w:eastAsia="Arial" w:hAnsi="Arial"/>
          <w:sz w:val="10"/>
          <w:szCs w:val="10"/>
          <w:b w:val="1"/>
          <w:bCs w:val="1"/>
          <w:color w:val="auto"/>
        </w:rPr>
        <w:t>Six Months</w:t>
      </w:r>
    </w:p>
    <w:p>
      <w:pPr>
        <w:jc w:val="center"/>
        <w:ind w:left="8480"/>
        <w:spacing w:after="0" w:line="236" w:lineRule="auto"/>
        <w:rPr>
          <w:sz w:val="20"/>
          <w:szCs w:val="20"/>
          <w:color w:val="auto"/>
        </w:rPr>
      </w:pPr>
      <w:r>
        <w:rPr>
          <w:rFonts w:ascii="Arial" w:cs="Arial" w:eastAsia="Arial" w:hAnsi="Arial"/>
          <w:sz w:val="10"/>
          <w:szCs w:val="10"/>
          <w:b w:val="1"/>
          <w:bCs w:val="1"/>
          <w:color w:val="auto"/>
        </w:rPr>
        <w:t>Ended</w:t>
      </w:r>
    </w:p>
    <w:p>
      <w:pPr>
        <w:jc w:val="center"/>
        <w:ind w:left="8480"/>
        <w:spacing w:after="0" w:line="236" w:lineRule="auto"/>
        <w:rPr>
          <w:sz w:val="20"/>
          <w:szCs w:val="20"/>
          <w:color w:val="auto"/>
        </w:rPr>
      </w:pPr>
      <w:r>
        <w:rPr>
          <w:rFonts w:ascii="Arial" w:cs="Arial" w:eastAsia="Arial" w:hAnsi="Arial"/>
          <w:sz w:val="10"/>
          <w:szCs w:val="10"/>
          <w:b w:val="1"/>
          <w:bCs w:val="1"/>
          <w:color w:val="auto"/>
        </w:rPr>
        <w:t>June 30,</w:t>
      </w:r>
    </w:p>
    <w:tbl>
      <w:tblPr>
        <w:tblLayout w:type="fixed"/>
        <w:tblInd w:w="680" w:type="dxa"/>
        <w:tblCellMar>
          <w:top w:w="0" w:type="dxa"/>
          <w:left w:w="0" w:type="dxa"/>
          <w:bottom w:w="0" w:type="dxa"/>
          <w:right w:w="0" w:type="dxa"/>
        </w:tblCellMar>
      </w:tblPr>
      <w:tr>
        <w:trPr>
          <w:trHeight w:val="98"/>
        </w:trPr>
        <w:tc>
          <w:tcPr>
            <w:tcW w:w="87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21"/>
              <w:spacing w:after="0" w:line="98" w:lineRule="exact"/>
              <w:rPr>
                <w:sz w:val="20"/>
                <w:szCs w:val="20"/>
                <w:color w:val="auto"/>
              </w:rPr>
            </w:pPr>
            <w:r>
              <w:rPr>
                <w:rFonts w:ascii="Arial" w:cs="Arial" w:eastAsia="Arial" w:hAnsi="Arial"/>
                <w:sz w:val="10"/>
                <w:szCs w:val="10"/>
                <w:b w:val="1"/>
                <w:bCs w:val="1"/>
                <w:color w:val="auto"/>
                <w:w w:val="89"/>
              </w:rPr>
              <w:t>2010</w:t>
            </w: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41"/>
              <w:spacing w:after="0" w:line="98" w:lineRule="exact"/>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operating activities:</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700" w:type="dxa"/>
            <w:vAlign w:val="bottom"/>
          </w:tcPr>
          <w:p>
            <w:pPr>
              <w:spacing w:after="0"/>
              <w:rPr>
                <w:sz w:val="20"/>
                <w:szCs w:val="20"/>
                <w:color w:val="auto"/>
              </w:rPr>
            </w:pPr>
            <w:r>
              <w:rPr>
                <w:rFonts w:ascii="Arial" w:cs="Arial" w:eastAsia="Arial" w:hAnsi="Arial"/>
                <w:sz w:val="12"/>
                <w:szCs w:val="12"/>
                <w:color w:val="auto"/>
              </w:rPr>
              <w:t>Consolidated net income</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450</w:t>
            </w:r>
          </w:p>
        </w:tc>
        <w:tc>
          <w:tcPr>
            <w:tcW w:w="4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437</w:t>
            </w:r>
          </w:p>
        </w:tc>
        <w:tc>
          <w:tcPr>
            <w:tcW w:w="0" w:type="dxa"/>
            <w:vAlign w:val="bottom"/>
          </w:tcPr>
          <w:p>
            <w:pPr>
              <w:spacing w:after="0"/>
              <w:rPr>
                <w:sz w:val="1"/>
                <w:szCs w:val="1"/>
                <w:color w:val="auto"/>
              </w:rPr>
            </w:pPr>
          </w:p>
        </w:tc>
      </w:tr>
      <w:tr>
        <w:trPr>
          <w:trHeight w:val="147"/>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consolidated net income to net cash provided by operating activities:</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700" w:type="dxa"/>
            <w:vAlign w:val="bottom"/>
          </w:tcPr>
          <w:p>
            <w:pPr>
              <w:ind w:left="120"/>
              <w:spacing w:after="0"/>
              <w:rPr>
                <w:sz w:val="20"/>
                <w:szCs w:val="20"/>
                <w:color w:val="auto"/>
              </w:rPr>
            </w:pPr>
            <w:r>
              <w:rPr>
                <w:rFonts w:ascii="Arial" w:cs="Arial" w:eastAsia="Arial" w:hAnsi="Arial"/>
                <w:sz w:val="12"/>
                <w:szCs w:val="12"/>
                <w:color w:val="auto"/>
              </w:rPr>
              <w:t>Depreciation and amortization</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600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591</w:t>
            </w:r>
          </w:p>
        </w:tc>
        <w:tc>
          <w:tcPr>
            <w:tcW w:w="0" w:type="dxa"/>
            <w:vAlign w:val="bottom"/>
          </w:tcPr>
          <w:p>
            <w:pPr>
              <w:spacing w:after="0"/>
              <w:rPr>
                <w:sz w:val="1"/>
                <w:szCs w:val="1"/>
                <w:color w:val="auto"/>
              </w:rPr>
            </w:pPr>
          </w:p>
        </w:tc>
      </w:tr>
      <w:tr>
        <w:trPr>
          <w:trHeight w:val="147"/>
        </w:trPr>
        <w:tc>
          <w:tcPr>
            <w:tcW w:w="8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income tax (benefit) provision</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4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47"/>
        </w:trPr>
        <w:tc>
          <w:tcPr>
            <w:tcW w:w="8700" w:type="dxa"/>
            <w:vAlign w:val="bottom"/>
          </w:tcPr>
          <w:p>
            <w:pPr>
              <w:ind w:left="120"/>
              <w:spacing w:after="0"/>
              <w:rPr>
                <w:sz w:val="20"/>
                <w:szCs w:val="20"/>
                <w:color w:val="auto"/>
              </w:rPr>
            </w:pPr>
            <w:r>
              <w:rPr>
                <w:rFonts w:ascii="Arial" w:cs="Arial" w:eastAsia="Arial" w:hAnsi="Arial"/>
                <w:sz w:val="12"/>
                <w:szCs w:val="12"/>
                <w:color w:val="auto"/>
              </w:rPr>
              <w:t>Interest accretion on landfill liabilities</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40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47"/>
        </w:trPr>
        <w:tc>
          <w:tcPr>
            <w:tcW w:w="8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 accretion on and discount rate adjustments to environmental remediation liabilities and recovery assets</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4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47"/>
        </w:trPr>
        <w:tc>
          <w:tcPr>
            <w:tcW w:w="8700" w:type="dxa"/>
            <w:vAlign w:val="bottom"/>
          </w:tcPr>
          <w:p>
            <w:pPr>
              <w:ind w:left="120"/>
              <w:spacing w:after="0"/>
              <w:rPr>
                <w:sz w:val="20"/>
                <w:szCs w:val="20"/>
                <w:color w:val="auto"/>
              </w:rPr>
            </w:pPr>
            <w:r>
              <w:rPr>
                <w:rFonts w:ascii="Arial" w:cs="Arial" w:eastAsia="Arial" w:hAnsi="Arial"/>
                <w:sz w:val="12"/>
                <w:szCs w:val="12"/>
                <w:color w:val="auto"/>
              </w:rPr>
              <w:t>Provision for bad debts</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19</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47"/>
        </w:trPr>
        <w:tc>
          <w:tcPr>
            <w:tcW w:w="8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Equity-based compensation expense</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4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47"/>
        </w:trPr>
        <w:tc>
          <w:tcPr>
            <w:tcW w:w="8700" w:type="dxa"/>
            <w:vAlign w:val="bottom"/>
          </w:tcPr>
          <w:p>
            <w:pPr>
              <w:ind w:left="120"/>
              <w:spacing w:after="0"/>
              <w:rPr>
                <w:sz w:val="20"/>
                <w:szCs w:val="20"/>
                <w:color w:val="auto"/>
              </w:rPr>
            </w:pPr>
            <w:r>
              <w:rPr>
                <w:rFonts w:ascii="Arial" w:cs="Arial" w:eastAsia="Arial" w:hAnsi="Arial"/>
                <w:sz w:val="12"/>
                <w:szCs w:val="12"/>
                <w:color w:val="auto"/>
              </w:rPr>
              <w:t>Net gain on disposal of assets</w:t>
            </w:r>
          </w:p>
        </w:tc>
        <w:tc>
          <w:tcPr>
            <w:tcW w:w="80" w:type="dxa"/>
            <w:vAlign w:val="bottom"/>
          </w:tcPr>
          <w:p>
            <w:pPr>
              <w:spacing w:after="0"/>
              <w:rPr>
                <w:sz w:val="12"/>
                <w:szCs w:val="12"/>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7"/>
        </w:trPr>
        <w:tc>
          <w:tcPr>
            <w:tcW w:w="8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Effect of (income) expense from divestitures, asset impairments and unusual items</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47"/>
        </w:trPr>
        <w:tc>
          <w:tcPr>
            <w:tcW w:w="8700" w:type="dxa"/>
            <w:vAlign w:val="bottom"/>
          </w:tcPr>
          <w:p>
            <w:pPr>
              <w:ind w:left="120"/>
              <w:spacing w:after="0"/>
              <w:rPr>
                <w:sz w:val="20"/>
                <w:szCs w:val="20"/>
                <w:color w:val="auto"/>
              </w:rPr>
            </w:pPr>
            <w:r>
              <w:rPr>
                <w:rFonts w:ascii="Arial" w:cs="Arial" w:eastAsia="Arial" w:hAnsi="Arial"/>
                <w:sz w:val="12"/>
                <w:szCs w:val="12"/>
                <w:color w:val="auto"/>
              </w:rPr>
              <w:t>Excess tax benefits associated with equity-based transactions</w:t>
            </w:r>
          </w:p>
        </w:tc>
        <w:tc>
          <w:tcPr>
            <w:tcW w:w="80" w:type="dxa"/>
            <w:vAlign w:val="bottom"/>
          </w:tcPr>
          <w:p>
            <w:pPr>
              <w:spacing w:after="0"/>
              <w:rPr>
                <w:sz w:val="12"/>
                <w:szCs w:val="12"/>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8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Equity in net losses of unconsolidated entities, net of dividends</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4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7"/>
        </w:trPr>
        <w:tc>
          <w:tcPr>
            <w:tcW w:w="8700" w:type="dxa"/>
            <w:vAlign w:val="bottom"/>
          </w:tcPr>
          <w:p>
            <w:pPr>
              <w:ind w:left="120"/>
              <w:spacing w:after="0"/>
              <w:rPr>
                <w:sz w:val="20"/>
                <w:szCs w:val="20"/>
                <w:color w:val="auto"/>
              </w:rPr>
            </w:pPr>
            <w:r>
              <w:rPr>
                <w:rFonts w:ascii="Arial" w:cs="Arial" w:eastAsia="Arial" w:hAnsi="Arial"/>
                <w:sz w:val="12"/>
                <w:szCs w:val="12"/>
                <w:color w:val="auto"/>
              </w:rPr>
              <w:t>Change in operating assets and liabilities, net of effects of acquisitions and divestitures:</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Receivables</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(110)</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47"/>
        </w:trPr>
        <w:tc>
          <w:tcPr>
            <w:tcW w:w="8700" w:type="dxa"/>
            <w:vAlign w:val="bottom"/>
          </w:tcPr>
          <w:p>
            <w:pPr>
              <w:ind w:left="240"/>
              <w:spacing w:after="0"/>
              <w:rPr>
                <w:sz w:val="20"/>
                <w:szCs w:val="20"/>
                <w:color w:val="auto"/>
              </w:rPr>
            </w:pPr>
            <w:r>
              <w:rPr>
                <w:rFonts w:ascii="Arial" w:cs="Arial" w:eastAsia="Arial" w:hAnsi="Arial"/>
                <w:sz w:val="12"/>
                <w:szCs w:val="12"/>
                <w:color w:val="auto"/>
              </w:rPr>
              <w:t>Other current assets</w:t>
            </w:r>
          </w:p>
        </w:tc>
        <w:tc>
          <w:tcPr>
            <w:tcW w:w="80" w:type="dxa"/>
            <w:vAlign w:val="bottom"/>
          </w:tcPr>
          <w:p>
            <w:pPr>
              <w:spacing w:after="0"/>
              <w:rPr>
                <w:sz w:val="12"/>
                <w:szCs w:val="12"/>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2"/>
                <w:szCs w:val="12"/>
                <w:color w:val="auto"/>
              </w:rPr>
              <w:t>(18)</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47"/>
        </w:trPr>
        <w:tc>
          <w:tcPr>
            <w:tcW w:w="8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assets</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4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7"/>
        </w:trPr>
        <w:tc>
          <w:tcPr>
            <w:tcW w:w="8700" w:type="dxa"/>
            <w:vAlign w:val="bottom"/>
          </w:tcPr>
          <w:p>
            <w:pPr>
              <w:ind w:left="240"/>
              <w:spacing w:after="0"/>
              <w:rPr>
                <w:sz w:val="20"/>
                <w:szCs w:val="20"/>
                <w:color w:val="auto"/>
              </w:rPr>
            </w:pPr>
            <w:r>
              <w:rPr>
                <w:rFonts w:ascii="Arial" w:cs="Arial" w:eastAsia="Arial" w:hAnsi="Arial"/>
                <w:sz w:val="12"/>
                <w:szCs w:val="12"/>
                <w:color w:val="auto"/>
              </w:rPr>
              <w:t>Accounts payable and accrued liabilities</w:t>
            </w:r>
          </w:p>
        </w:tc>
        <w:tc>
          <w:tcPr>
            <w:tcW w:w="80" w:type="dxa"/>
            <w:vAlign w:val="bottom"/>
          </w:tcPr>
          <w:p>
            <w:pPr>
              <w:spacing w:after="0"/>
              <w:rPr>
                <w:sz w:val="12"/>
                <w:szCs w:val="12"/>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2"/>
                <w:szCs w:val="12"/>
                <w:color w:val="auto"/>
              </w:rPr>
              <w:t>(98)</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47"/>
        </w:trPr>
        <w:tc>
          <w:tcPr>
            <w:tcW w:w="8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Deferred revenues and other liabilities</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4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2"/>
                <w:szCs w:val="12"/>
                <w:color w:val="auto"/>
              </w:rPr>
              <w:t>Net cash provided by operating activities</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976</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1,067</w:t>
            </w:r>
          </w:p>
        </w:tc>
        <w:tc>
          <w:tcPr>
            <w:tcW w:w="0" w:type="dxa"/>
            <w:vAlign w:val="bottom"/>
          </w:tcPr>
          <w:p>
            <w:pPr>
              <w:spacing w:after="0"/>
              <w:rPr>
                <w:sz w:val="1"/>
                <w:szCs w:val="1"/>
                <w:color w:val="auto"/>
              </w:rPr>
            </w:pPr>
          </w:p>
        </w:tc>
      </w:tr>
      <w:tr>
        <w:trPr>
          <w:trHeight w:val="147"/>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investing activities:</w:t>
            </w: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700" w:type="dxa"/>
            <w:vAlign w:val="bottom"/>
          </w:tcPr>
          <w:p>
            <w:pPr>
              <w:ind w:left="120"/>
              <w:spacing w:after="0"/>
              <w:rPr>
                <w:sz w:val="20"/>
                <w:szCs w:val="20"/>
                <w:color w:val="auto"/>
              </w:rPr>
            </w:pPr>
            <w:r>
              <w:rPr>
                <w:rFonts w:ascii="Arial" w:cs="Arial" w:eastAsia="Arial" w:hAnsi="Arial"/>
                <w:sz w:val="12"/>
                <w:szCs w:val="12"/>
                <w:color w:val="auto"/>
              </w:rPr>
              <w:t>Acquisitions of businesses, net of cash acquired</w:t>
            </w:r>
          </w:p>
        </w:tc>
        <w:tc>
          <w:tcPr>
            <w:tcW w:w="80" w:type="dxa"/>
            <w:vAlign w:val="bottom"/>
          </w:tcPr>
          <w:p>
            <w:pPr>
              <w:spacing w:after="0"/>
              <w:rPr>
                <w:sz w:val="12"/>
                <w:szCs w:val="12"/>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2"/>
                <w:szCs w:val="12"/>
                <w:color w:val="auto"/>
              </w:rPr>
              <w:t>(237)</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(59)</w:t>
            </w:r>
          </w:p>
        </w:tc>
        <w:tc>
          <w:tcPr>
            <w:tcW w:w="0" w:type="dxa"/>
            <w:vAlign w:val="bottom"/>
          </w:tcPr>
          <w:p>
            <w:pPr>
              <w:spacing w:after="0"/>
              <w:rPr>
                <w:sz w:val="1"/>
                <w:szCs w:val="1"/>
                <w:color w:val="auto"/>
              </w:rPr>
            </w:pPr>
          </w:p>
        </w:tc>
      </w:tr>
      <w:tr>
        <w:trPr>
          <w:trHeight w:val="147"/>
        </w:trPr>
        <w:tc>
          <w:tcPr>
            <w:tcW w:w="8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Capital expenditures</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(475)</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(583)</w:t>
            </w:r>
          </w:p>
        </w:tc>
        <w:tc>
          <w:tcPr>
            <w:tcW w:w="0" w:type="dxa"/>
            <w:vAlign w:val="bottom"/>
          </w:tcPr>
          <w:p>
            <w:pPr>
              <w:spacing w:after="0"/>
              <w:rPr>
                <w:sz w:val="1"/>
                <w:szCs w:val="1"/>
                <w:color w:val="auto"/>
              </w:rPr>
            </w:pPr>
          </w:p>
        </w:tc>
      </w:tr>
      <w:tr>
        <w:trPr>
          <w:trHeight w:val="147"/>
        </w:trPr>
        <w:tc>
          <w:tcPr>
            <w:tcW w:w="8700" w:type="dxa"/>
            <w:vAlign w:val="bottom"/>
          </w:tcPr>
          <w:p>
            <w:pPr>
              <w:ind w:left="120"/>
              <w:spacing w:after="0"/>
              <w:rPr>
                <w:sz w:val="20"/>
                <w:szCs w:val="20"/>
                <w:color w:val="auto"/>
              </w:rPr>
            </w:pPr>
            <w:r>
              <w:rPr>
                <w:rFonts w:ascii="Arial" w:cs="Arial" w:eastAsia="Arial" w:hAnsi="Arial"/>
                <w:sz w:val="12"/>
                <w:szCs w:val="12"/>
                <w:color w:val="auto"/>
              </w:rPr>
              <w:t>Proceeds from divestitures of businesses (net of cash divested) and other sales of assets</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27</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47"/>
        </w:trPr>
        <w:tc>
          <w:tcPr>
            <w:tcW w:w="8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receipts from restricted trust and escrow accounts</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4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71</w:t>
            </w:r>
          </w:p>
        </w:tc>
        <w:tc>
          <w:tcPr>
            <w:tcW w:w="0" w:type="dxa"/>
            <w:vAlign w:val="bottom"/>
          </w:tcPr>
          <w:p>
            <w:pPr>
              <w:spacing w:after="0"/>
              <w:rPr>
                <w:sz w:val="1"/>
                <w:szCs w:val="1"/>
                <w:color w:val="auto"/>
              </w:rPr>
            </w:pPr>
          </w:p>
        </w:tc>
      </w:tr>
      <w:tr>
        <w:trPr>
          <w:trHeight w:val="147"/>
        </w:trPr>
        <w:tc>
          <w:tcPr>
            <w:tcW w:w="8700" w:type="dxa"/>
            <w:vAlign w:val="bottom"/>
          </w:tcPr>
          <w:p>
            <w:pPr>
              <w:ind w:left="120"/>
              <w:spacing w:after="0"/>
              <w:rPr>
                <w:sz w:val="20"/>
                <w:szCs w:val="20"/>
                <w:color w:val="auto"/>
              </w:rPr>
            </w:pPr>
            <w:r>
              <w:rPr>
                <w:rFonts w:ascii="Arial" w:cs="Arial" w:eastAsia="Arial" w:hAnsi="Arial"/>
                <w:sz w:val="12"/>
                <w:szCs w:val="12"/>
                <w:color w:val="auto"/>
              </w:rPr>
              <w:t>Investments in unconsolidated entities</w:t>
            </w:r>
          </w:p>
        </w:tc>
        <w:tc>
          <w:tcPr>
            <w:tcW w:w="80" w:type="dxa"/>
            <w:vAlign w:val="bottom"/>
          </w:tcPr>
          <w:p>
            <w:pPr>
              <w:spacing w:after="0"/>
              <w:rPr>
                <w:sz w:val="12"/>
                <w:szCs w:val="12"/>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2"/>
                <w:szCs w:val="12"/>
                <w:color w:val="auto"/>
              </w:rPr>
              <w:t>(161)</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7"/>
        </w:trPr>
        <w:tc>
          <w:tcPr>
            <w:tcW w:w="8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2"/>
                <w:szCs w:val="12"/>
                <w:color w:val="auto"/>
              </w:rPr>
              <w:t>Net cash used in investing activities</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2"/>
                <w:szCs w:val="12"/>
                <w:color w:val="auto"/>
              </w:rPr>
              <w:t>(823)</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(563)</w:t>
            </w:r>
          </w:p>
        </w:tc>
        <w:tc>
          <w:tcPr>
            <w:tcW w:w="0" w:type="dxa"/>
            <w:vAlign w:val="bottom"/>
          </w:tcPr>
          <w:p>
            <w:pPr>
              <w:spacing w:after="0"/>
              <w:rPr>
                <w:sz w:val="1"/>
                <w:szCs w:val="1"/>
                <w:color w:val="auto"/>
              </w:rPr>
            </w:pPr>
          </w:p>
        </w:tc>
      </w:tr>
      <w:tr>
        <w:trPr>
          <w:trHeight w:val="147"/>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financing activities:</w:t>
            </w: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700" w:type="dxa"/>
            <w:vAlign w:val="bottom"/>
          </w:tcPr>
          <w:p>
            <w:pPr>
              <w:ind w:left="120"/>
              <w:spacing w:after="0"/>
              <w:rPr>
                <w:sz w:val="20"/>
                <w:szCs w:val="20"/>
                <w:color w:val="auto"/>
              </w:rPr>
            </w:pPr>
            <w:r>
              <w:rPr>
                <w:rFonts w:ascii="Arial" w:cs="Arial" w:eastAsia="Arial" w:hAnsi="Arial"/>
                <w:sz w:val="12"/>
                <w:szCs w:val="12"/>
                <w:color w:val="auto"/>
              </w:rPr>
              <w:t>New borrowings</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706</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908</w:t>
            </w:r>
          </w:p>
        </w:tc>
        <w:tc>
          <w:tcPr>
            <w:tcW w:w="0" w:type="dxa"/>
            <w:vAlign w:val="bottom"/>
          </w:tcPr>
          <w:p>
            <w:pPr>
              <w:spacing w:after="0"/>
              <w:rPr>
                <w:sz w:val="1"/>
                <w:szCs w:val="1"/>
                <w:color w:val="auto"/>
              </w:rPr>
            </w:pPr>
          </w:p>
        </w:tc>
      </w:tr>
      <w:tr>
        <w:trPr>
          <w:trHeight w:val="147"/>
        </w:trPr>
        <w:tc>
          <w:tcPr>
            <w:tcW w:w="8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Debt repayments</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(213)</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9"/>
              </w:rPr>
              <w:t>(1,014)</w:t>
            </w:r>
          </w:p>
        </w:tc>
        <w:tc>
          <w:tcPr>
            <w:tcW w:w="0" w:type="dxa"/>
            <w:vAlign w:val="bottom"/>
          </w:tcPr>
          <w:p>
            <w:pPr>
              <w:spacing w:after="0"/>
              <w:rPr>
                <w:sz w:val="1"/>
                <w:szCs w:val="1"/>
                <w:color w:val="auto"/>
              </w:rPr>
            </w:pPr>
          </w:p>
        </w:tc>
      </w:tr>
      <w:tr>
        <w:trPr>
          <w:trHeight w:val="147"/>
        </w:trPr>
        <w:tc>
          <w:tcPr>
            <w:tcW w:w="8700" w:type="dxa"/>
            <w:vAlign w:val="bottom"/>
          </w:tcPr>
          <w:p>
            <w:pPr>
              <w:ind w:left="120"/>
              <w:spacing w:after="0"/>
              <w:rPr>
                <w:sz w:val="20"/>
                <w:szCs w:val="20"/>
                <w:color w:val="auto"/>
              </w:rPr>
            </w:pPr>
            <w:r>
              <w:rPr>
                <w:rFonts w:ascii="Arial" w:cs="Arial" w:eastAsia="Arial" w:hAnsi="Arial"/>
                <w:sz w:val="12"/>
                <w:szCs w:val="12"/>
                <w:color w:val="auto"/>
              </w:rPr>
              <w:t>Common stock repurchases</w:t>
            </w:r>
          </w:p>
        </w:tc>
        <w:tc>
          <w:tcPr>
            <w:tcW w:w="80" w:type="dxa"/>
            <w:vAlign w:val="bottom"/>
          </w:tcPr>
          <w:p>
            <w:pPr>
              <w:spacing w:after="0"/>
              <w:rPr>
                <w:sz w:val="12"/>
                <w:szCs w:val="12"/>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2"/>
                <w:szCs w:val="12"/>
                <w:color w:val="auto"/>
              </w:rPr>
              <w:t>(286)</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8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dividends</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(305)</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(285)</w:t>
            </w:r>
          </w:p>
        </w:tc>
        <w:tc>
          <w:tcPr>
            <w:tcW w:w="0" w:type="dxa"/>
            <w:vAlign w:val="bottom"/>
          </w:tcPr>
          <w:p>
            <w:pPr>
              <w:spacing w:after="0"/>
              <w:rPr>
                <w:sz w:val="1"/>
                <w:szCs w:val="1"/>
                <w:color w:val="auto"/>
              </w:rPr>
            </w:pPr>
          </w:p>
        </w:tc>
      </w:tr>
      <w:tr>
        <w:trPr>
          <w:trHeight w:val="147"/>
        </w:trPr>
        <w:tc>
          <w:tcPr>
            <w:tcW w:w="8700" w:type="dxa"/>
            <w:vAlign w:val="bottom"/>
          </w:tcPr>
          <w:p>
            <w:pPr>
              <w:ind w:left="120"/>
              <w:spacing w:after="0"/>
              <w:rPr>
                <w:sz w:val="20"/>
                <w:szCs w:val="20"/>
                <w:color w:val="auto"/>
              </w:rPr>
            </w:pPr>
            <w:r>
              <w:rPr>
                <w:rFonts w:ascii="Arial" w:cs="Arial" w:eastAsia="Arial" w:hAnsi="Arial"/>
                <w:sz w:val="12"/>
                <w:szCs w:val="12"/>
                <w:color w:val="auto"/>
              </w:rPr>
              <w:t>Exercise of common stock options</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13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47"/>
        </w:trPr>
        <w:tc>
          <w:tcPr>
            <w:tcW w:w="8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Excess tax benefits associated with equity-based transactions</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4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8700" w:type="dxa"/>
            <w:vAlign w:val="bottom"/>
          </w:tcPr>
          <w:p>
            <w:pPr>
              <w:ind w:left="120"/>
              <w:spacing w:after="0"/>
              <w:rPr>
                <w:sz w:val="20"/>
                <w:szCs w:val="20"/>
                <w:color w:val="auto"/>
              </w:rPr>
            </w:pPr>
            <w:r>
              <w:rPr>
                <w:rFonts w:ascii="Arial" w:cs="Arial" w:eastAsia="Arial" w:hAnsi="Arial"/>
                <w:sz w:val="12"/>
                <w:szCs w:val="12"/>
                <w:color w:val="auto"/>
              </w:rPr>
              <w:t>Distributions paid to noncontrolling interests</w:t>
            </w:r>
          </w:p>
        </w:tc>
        <w:tc>
          <w:tcPr>
            <w:tcW w:w="80" w:type="dxa"/>
            <w:vAlign w:val="bottom"/>
          </w:tcPr>
          <w:p>
            <w:pPr>
              <w:spacing w:after="0"/>
              <w:rPr>
                <w:sz w:val="12"/>
                <w:szCs w:val="12"/>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47"/>
        </w:trPr>
        <w:tc>
          <w:tcPr>
            <w:tcW w:w="8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2"/>
                <w:szCs w:val="12"/>
                <w:color w:val="auto"/>
              </w:rPr>
              <w:t>Net cash used in financing activities</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2"/>
                <w:szCs w:val="12"/>
                <w:color w:val="auto"/>
              </w:rPr>
              <w:t>(123)</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(456)</w:t>
            </w:r>
          </w:p>
        </w:tc>
        <w:tc>
          <w:tcPr>
            <w:tcW w:w="0" w:type="dxa"/>
            <w:vAlign w:val="bottom"/>
          </w:tcPr>
          <w:p>
            <w:pPr>
              <w:spacing w:after="0"/>
              <w:rPr>
                <w:sz w:val="1"/>
                <w:szCs w:val="1"/>
                <w:color w:val="auto"/>
              </w:rPr>
            </w:pPr>
          </w:p>
        </w:tc>
      </w:tr>
      <w:tr>
        <w:trPr>
          <w:trHeight w:val="22"/>
        </w:trPr>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2"/>
                <w:szCs w:val="12"/>
                <w:color w:val="auto"/>
              </w:rPr>
              <w:t>Increase in cash and cash equivalents</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29</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150"/>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beginning of period</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1,140</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480</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2"/>
                <w:szCs w:val="12"/>
                <w:color w:val="auto"/>
              </w:rPr>
              <w:t>Cash and cash equivalents at end of period</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70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rPr>
                <w:sz w:val="20"/>
                <w:szCs w:val="20"/>
                <w:color w:val="auto"/>
              </w:rPr>
            </w:pPr>
            <w:r>
              <w:rPr>
                <w:rFonts w:ascii="Arial" w:cs="Arial" w:eastAsia="Arial" w:hAnsi="Arial"/>
                <w:sz w:val="12"/>
                <w:szCs w:val="12"/>
                <w:color w:val="auto"/>
                <w:w w:val="99"/>
              </w:rPr>
              <w:t>1,169</w:t>
            </w:r>
          </w:p>
        </w:tc>
        <w:tc>
          <w:tcPr>
            <w:tcW w:w="4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528</w:t>
            </w:r>
          </w:p>
        </w:tc>
        <w:tc>
          <w:tcPr>
            <w:tcW w:w="0" w:type="dxa"/>
            <w:vAlign w:val="bottom"/>
          </w:tcPr>
          <w:p>
            <w:pPr>
              <w:spacing w:after="0"/>
              <w:rPr>
                <w:sz w:val="1"/>
                <w:szCs w:val="1"/>
                <w:color w:val="auto"/>
              </w:rPr>
            </w:pPr>
          </w:p>
        </w:tc>
      </w:tr>
      <w:tr>
        <w:trPr>
          <w:trHeight w:val="32"/>
        </w:trPr>
        <w:tc>
          <w:tcPr>
            <w:tcW w:w="8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020"/>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659"/>
        <w:spacing w:after="0"/>
        <w:rPr>
          <w:sz w:val="20"/>
          <w:szCs w:val="20"/>
          <w:color w:val="auto"/>
        </w:rPr>
      </w:pPr>
      <w:r>
        <w:rPr>
          <w:rFonts w:ascii="Arial" w:cs="Arial" w:eastAsia="Arial" w:hAnsi="Arial"/>
          <w:sz w:val="13"/>
          <w:szCs w:val="13"/>
          <w:b w:val="1"/>
          <w:bCs w:val="1"/>
          <w:color w:val="auto"/>
        </w:rPr>
        <w:t>CONDENSED CONSOLIDATED STATEMENTS OF CHANGES IN EQUITY</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Millions, Except Shares in Thousands)</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(Unaudited)</w:t>
      </w:r>
    </w:p>
    <w:p>
      <w:pPr>
        <w:spacing w:after="0" w:line="173"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29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8"/>
          </w:tcPr>
          <w:p>
            <w:pPr>
              <w:jc w:val="right"/>
              <w:ind w:right="320"/>
              <w:spacing w:after="0"/>
              <w:rPr>
                <w:sz w:val="20"/>
                <w:szCs w:val="20"/>
                <w:color w:val="auto"/>
              </w:rPr>
            </w:pPr>
            <w:r>
              <w:rPr>
                <w:rFonts w:ascii="Arial" w:cs="Arial" w:eastAsia="Arial" w:hAnsi="Arial"/>
                <w:sz w:val="9"/>
                <w:szCs w:val="9"/>
                <w:b w:val="1"/>
                <w:bCs w:val="1"/>
                <w:color w:val="auto"/>
                <w:w w:val="94"/>
              </w:rPr>
              <w:t>Waste Management, Inc. Stockholders’ Equity</w:t>
            </w:r>
          </w:p>
        </w:tc>
        <w:tc>
          <w:tcPr>
            <w:tcW w:w="4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92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gridSpan w:val="2"/>
          </w:tcPr>
          <w:p>
            <w:pPr>
              <w:jc w:val="center"/>
              <w:ind w:right="260"/>
              <w:spacing w:after="0" w:line="75" w:lineRule="exact"/>
              <w:rPr>
                <w:sz w:val="20"/>
                <w:szCs w:val="20"/>
                <w:color w:val="auto"/>
              </w:rPr>
            </w:pPr>
            <w:r>
              <w:rPr>
                <w:rFonts w:ascii="Arial" w:cs="Arial" w:eastAsia="Arial" w:hAnsi="Arial"/>
                <w:sz w:val="8"/>
                <w:szCs w:val="8"/>
                <w:b w:val="1"/>
                <w:bCs w:val="1"/>
                <w:color w:val="auto"/>
              </w:rPr>
              <w:t>Accumulated</w:t>
            </w: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9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w w:val="99"/>
              </w:rPr>
              <w:t>Other</w:t>
            </w: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Common Stock</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9"/>
                <w:szCs w:val="9"/>
                <w:b w:val="1"/>
                <w:bCs w:val="1"/>
                <w:color w:val="auto"/>
                <w:w w:val="99"/>
              </w:rPr>
              <w:t>Additional</w:t>
            </w: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88"/>
              </w:rPr>
              <w:t>Comprehensive</w:t>
            </w:r>
          </w:p>
        </w:tc>
        <w:tc>
          <w:tcPr>
            <w:tcW w:w="1200" w:type="dxa"/>
            <w:vAlign w:val="bottom"/>
            <w:gridSpan w:val="5"/>
            <w:vMerge w:val="restart"/>
          </w:tcPr>
          <w:p>
            <w:pPr>
              <w:jc w:val="right"/>
              <w:ind w:right="400"/>
              <w:spacing w:after="0"/>
              <w:rPr>
                <w:sz w:val="20"/>
                <w:szCs w:val="20"/>
                <w:color w:val="auto"/>
              </w:rPr>
            </w:pPr>
            <w:r>
              <w:rPr>
                <w:rFonts w:ascii="Arial" w:cs="Arial" w:eastAsia="Arial" w:hAnsi="Arial"/>
                <w:sz w:val="9"/>
                <w:szCs w:val="9"/>
                <w:b w:val="1"/>
                <w:bCs w:val="1"/>
                <w:color w:val="auto"/>
              </w:rPr>
              <w:t>Treasury Stock</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9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2"/>
          </w:tcPr>
          <w:p>
            <w:pPr>
              <w:jc w:val="right"/>
              <w:ind w:right="300"/>
              <w:spacing w:after="0" w:line="102" w:lineRule="exact"/>
              <w:rPr>
                <w:sz w:val="20"/>
                <w:szCs w:val="20"/>
                <w:color w:val="auto"/>
              </w:rPr>
            </w:pPr>
            <w:r>
              <w:rPr>
                <w:rFonts w:ascii="Arial" w:cs="Arial" w:eastAsia="Arial" w:hAnsi="Arial"/>
                <w:sz w:val="9"/>
                <w:szCs w:val="9"/>
                <w:b w:val="1"/>
                <w:bCs w:val="1"/>
                <w:color w:val="auto"/>
                <w:w w:val="91"/>
              </w:rPr>
              <w:t>Comprehensive</w:t>
            </w:r>
          </w:p>
        </w:tc>
        <w:tc>
          <w:tcPr>
            <w:tcW w:w="84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right"/>
              <w:ind w:right="280"/>
              <w:spacing w:after="0" w:line="102" w:lineRule="exact"/>
              <w:rPr>
                <w:sz w:val="20"/>
                <w:szCs w:val="20"/>
                <w:color w:val="auto"/>
              </w:rPr>
            </w:pPr>
            <w:r>
              <w:rPr>
                <w:rFonts w:ascii="Arial" w:cs="Arial" w:eastAsia="Arial" w:hAnsi="Arial"/>
                <w:sz w:val="9"/>
                <w:szCs w:val="9"/>
                <w:b w:val="1"/>
                <w:bCs w:val="1"/>
                <w:color w:val="auto"/>
                <w:w w:val="99"/>
              </w:rPr>
              <w:t>Paid-In</w:t>
            </w:r>
          </w:p>
        </w:tc>
        <w:tc>
          <w:tcPr>
            <w:tcW w:w="600" w:type="dxa"/>
            <w:vAlign w:val="bottom"/>
            <w:gridSpan w:val="3"/>
          </w:tcPr>
          <w:p>
            <w:pPr>
              <w:jc w:val="right"/>
              <w:ind w:right="220"/>
              <w:spacing w:after="0" w:line="102" w:lineRule="exact"/>
              <w:rPr>
                <w:sz w:val="20"/>
                <w:szCs w:val="20"/>
                <w:color w:val="auto"/>
              </w:rPr>
            </w:pPr>
            <w:r>
              <w:rPr>
                <w:rFonts w:ascii="Arial" w:cs="Arial" w:eastAsia="Arial" w:hAnsi="Arial"/>
                <w:sz w:val="9"/>
                <w:szCs w:val="9"/>
                <w:b w:val="1"/>
                <w:bCs w:val="1"/>
                <w:color w:val="auto"/>
                <w:w w:val="94"/>
              </w:rPr>
              <w:t>Retained</w:t>
            </w:r>
          </w:p>
        </w:tc>
        <w:tc>
          <w:tcPr>
            <w:tcW w:w="60" w:type="dxa"/>
            <w:vAlign w:val="bottom"/>
          </w:tcPr>
          <w:p>
            <w:pPr>
              <w:spacing w:after="0"/>
              <w:rPr>
                <w:sz w:val="8"/>
                <w:szCs w:val="8"/>
                <w:color w:val="auto"/>
              </w:rPr>
            </w:pPr>
          </w:p>
        </w:tc>
        <w:tc>
          <w:tcPr>
            <w:tcW w:w="940" w:type="dxa"/>
            <w:vAlign w:val="bottom"/>
            <w:gridSpan w:val="2"/>
          </w:tcPr>
          <w:p>
            <w:pPr>
              <w:jc w:val="center"/>
              <w:ind w:right="260"/>
              <w:spacing w:after="0" w:line="102" w:lineRule="exact"/>
              <w:rPr>
                <w:sz w:val="20"/>
                <w:szCs w:val="20"/>
                <w:color w:val="auto"/>
              </w:rPr>
            </w:pPr>
            <w:r>
              <w:rPr>
                <w:rFonts w:ascii="Arial" w:cs="Arial" w:eastAsia="Arial" w:hAnsi="Arial"/>
                <w:sz w:val="9"/>
                <w:szCs w:val="9"/>
                <w:b w:val="1"/>
                <w:bCs w:val="1"/>
                <w:color w:val="auto"/>
                <w:w w:val="88"/>
              </w:rPr>
              <w:t>Income</w:t>
            </w:r>
          </w:p>
        </w:tc>
        <w:tc>
          <w:tcPr>
            <w:tcW w:w="120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right"/>
              <w:ind w:right="200"/>
              <w:spacing w:after="0" w:line="102" w:lineRule="exact"/>
              <w:rPr>
                <w:sz w:val="20"/>
                <w:szCs w:val="20"/>
                <w:color w:val="auto"/>
              </w:rPr>
            </w:pPr>
            <w:r>
              <w:rPr>
                <w:rFonts w:ascii="Arial" w:cs="Arial" w:eastAsia="Arial" w:hAnsi="Arial"/>
                <w:sz w:val="9"/>
                <w:szCs w:val="9"/>
                <w:b w:val="1"/>
                <w:bCs w:val="1"/>
                <w:color w:val="auto"/>
                <w:w w:val="93"/>
              </w:rPr>
              <w:t>Noncontrolling</w:t>
            </w:r>
          </w:p>
        </w:tc>
        <w:tc>
          <w:tcPr>
            <w:tcW w:w="0" w:type="dxa"/>
            <w:vAlign w:val="bottom"/>
          </w:tcPr>
          <w:p>
            <w:pPr>
              <w:spacing w:after="0"/>
              <w:rPr>
                <w:sz w:val="1"/>
                <w:szCs w:val="1"/>
                <w:color w:val="auto"/>
              </w:rPr>
            </w:pPr>
          </w:p>
        </w:tc>
      </w:tr>
      <w:tr>
        <w:trPr>
          <w:trHeight w:val="88"/>
        </w:trPr>
        <w:tc>
          <w:tcPr>
            <w:tcW w:w="292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gridSpan w:val="2"/>
          </w:tcPr>
          <w:p>
            <w:pPr>
              <w:jc w:val="right"/>
              <w:ind w:right="240"/>
              <w:spacing w:after="0" w:line="88" w:lineRule="exact"/>
              <w:rPr>
                <w:sz w:val="20"/>
                <w:szCs w:val="20"/>
                <w:color w:val="auto"/>
              </w:rPr>
            </w:pPr>
            <w:r>
              <w:rPr>
                <w:rFonts w:ascii="Arial" w:cs="Arial" w:eastAsia="Arial" w:hAnsi="Arial"/>
                <w:sz w:val="9"/>
                <w:szCs w:val="9"/>
                <w:b w:val="1"/>
                <w:bCs w:val="1"/>
                <w:color w:val="auto"/>
                <w:w w:val="92"/>
              </w:rPr>
              <w:t>Total</w:t>
            </w:r>
          </w:p>
        </w:tc>
        <w:tc>
          <w:tcPr>
            <w:tcW w:w="60" w:type="dxa"/>
            <w:vAlign w:val="bottom"/>
          </w:tcPr>
          <w:p>
            <w:pPr>
              <w:spacing w:after="0"/>
              <w:rPr>
                <w:sz w:val="7"/>
                <w:szCs w:val="7"/>
                <w:color w:val="auto"/>
              </w:rPr>
            </w:pPr>
          </w:p>
        </w:tc>
        <w:tc>
          <w:tcPr>
            <w:tcW w:w="940" w:type="dxa"/>
            <w:vAlign w:val="bottom"/>
            <w:gridSpan w:val="2"/>
          </w:tcPr>
          <w:p>
            <w:pPr>
              <w:jc w:val="right"/>
              <w:ind w:right="460"/>
              <w:spacing w:after="0" w:line="88" w:lineRule="exact"/>
              <w:rPr>
                <w:sz w:val="20"/>
                <w:szCs w:val="20"/>
                <w:color w:val="auto"/>
              </w:rPr>
            </w:pPr>
            <w:r>
              <w:rPr>
                <w:rFonts w:ascii="Arial" w:cs="Arial" w:eastAsia="Arial" w:hAnsi="Arial"/>
                <w:sz w:val="9"/>
                <w:szCs w:val="9"/>
                <w:b w:val="1"/>
                <w:bCs w:val="1"/>
                <w:color w:val="auto"/>
              </w:rPr>
              <w:t>Income</w:t>
            </w:r>
          </w:p>
        </w:tc>
        <w:tc>
          <w:tcPr>
            <w:tcW w:w="580" w:type="dxa"/>
            <w:vAlign w:val="bottom"/>
            <w:tcBorders>
              <w:top w:val="single" w:sz="8" w:color="auto"/>
            </w:tcBorders>
            <w:gridSpan w:val="2"/>
          </w:tcPr>
          <w:p>
            <w:pPr>
              <w:ind w:left="60"/>
              <w:spacing w:after="0" w:line="88" w:lineRule="exact"/>
              <w:rPr>
                <w:sz w:val="20"/>
                <w:szCs w:val="20"/>
                <w:color w:val="auto"/>
              </w:rPr>
            </w:pPr>
            <w:r>
              <w:rPr>
                <w:rFonts w:ascii="Arial" w:cs="Arial" w:eastAsia="Arial" w:hAnsi="Arial"/>
                <w:sz w:val="9"/>
                <w:szCs w:val="9"/>
                <w:b w:val="1"/>
                <w:bCs w:val="1"/>
                <w:color w:val="auto"/>
              </w:rPr>
              <w:t>Shares</w:t>
            </w:r>
          </w:p>
        </w:tc>
        <w:tc>
          <w:tcPr>
            <w:tcW w:w="400" w:type="dxa"/>
            <w:vAlign w:val="bottom"/>
            <w:tcBorders>
              <w:top w:val="single" w:sz="8" w:color="auto"/>
            </w:tcBorders>
            <w:gridSpan w:val="2"/>
          </w:tcPr>
          <w:p>
            <w:pPr>
              <w:ind w:left="20"/>
              <w:spacing w:after="0" w:line="88" w:lineRule="exact"/>
              <w:rPr>
                <w:sz w:val="20"/>
                <w:szCs w:val="20"/>
                <w:color w:val="auto"/>
              </w:rPr>
            </w:pPr>
            <w:r>
              <w:rPr>
                <w:rFonts w:ascii="Arial" w:cs="Arial" w:eastAsia="Arial" w:hAnsi="Arial"/>
                <w:sz w:val="9"/>
                <w:szCs w:val="9"/>
                <w:b w:val="1"/>
                <w:bCs w:val="1"/>
                <w:color w:val="auto"/>
                <w:w w:val="92"/>
              </w:rPr>
              <w:t>Amounts</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right"/>
              <w:ind w:right="280"/>
              <w:spacing w:after="0" w:line="88" w:lineRule="exact"/>
              <w:rPr>
                <w:sz w:val="20"/>
                <w:szCs w:val="20"/>
                <w:color w:val="auto"/>
              </w:rPr>
            </w:pPr>
            <w:r>
              <w:rPr>
                <w:rFonts w:ascii="Arial" w:cs="Arial" w:eastAsia="Arial" w:hAnsi="Arial"/>
                <w:sz w:val="9"/>
                <w:szCs w:val="9"/>
                <w:b w:val="1"/>
                <w:bCs w:val="1"/>
                <w:color w:val="auto"/>
                <w:w w:val="99"/>
              </w:rPr>
              <w:t>Capital</w:t>
            </w:r>
          </w:p>
        </w:tc>
        <w:tc>
          <w:tcPr>
            <w:tcW w:w="600" w:type="dxa"/>
            <w:vAlign w:val="bottom"/>
            <w:gridSpan w:val="3"/>
          </w:tcPr>
          <w:p>
            <w:pPr>
              <w:jc w:val="right"/>
              <w:ind w:right="220"/>
              <w:spacing w:after="0" w:line="88" w:lineRule="exact"/>
              <w:rPr>
                <w:sz w:val="20"/>
                <w:szCs w:val="20"/>
                <w:color w:val="auto"/>
              </w:rPr>
            </w:pPr>
            <w:r>
              <w:rPr>
                <w:rFonts w:ascii="Arial" w:cs="Arial" w:eastAsia="Arial" w:hAnsi="Arial"/>
                <w:sz w:val="9"/>
                <w:szCs w:val="9"/>
                <w:b w:val="1"/>
                <w:bCs w:val="1"/>
                <w:color w:val="auto"/>
                <w:w w:val="93"/>
              </w:rPr>
              <w:t>Earnings</w:t>
            </w:r>
          </w:p>
        </w:tc>
        <w:tc>
          <w:tcPr>
            <w:tcW w:w="60" w:type="dxa"/>
            <w:vAlign w:val="bottom"/>
          </w:tcPr>
          <w:p>
            <w:pPr>
              <w:spacing w:after="0"/>
              <w:rPr>
                <w:sz w:val="7"/>
                <w:szCs w:val="7"/>
                <w:color w:val="auto"/>
              </w:rPr>
            </w:pPr>
          </w:p>
        </w:tc>
        <w:tc>
          <w:tcPr>
            <w:tcW w:w="940" w:type="dxa"/>
            <w:vAlign w:val="bottom"/>
            <w:gridSpan w:val="2"/>
          </w:tcPr>
          <w:p>
            <w:pPr>
              <w:jc w:val="center"/>
              <w:ind w:right="260"/>
              <w:spacing w:after="0" w:line="88" w:lineRule="exact"/>
              <w:rPr>
                <w:sz w:val="20"/>
                <w:szCs w:val="20"/>
                <w:color w:val="auto"/>
              </w:rPr>
            </w:pPr>
            <w:r>
              <w:rPr>
                <w:rFonts w:ascii="Arial" w:cs="Arial" w:eastAsia="Arial" w:hAnsi="Arial"/>
                <w:sz w:val="9"/>
                <w:szCs w:val="9"/>
                <w:b w:val="1"/>
                <w:bCs w:val="1"/>
                <w:color w:val="auto"/>
                <w:w w:val="88"/>
              </w:rPr>
              <w:t>(Loss)</w:t>
            </w:r>
          </w:p>
        </w:tc>
        <w:tc>
          <w:tcPr>
            <w:tcW w:w="620" w:type="dxa"/>
            <w:vAlign w:val="bottom"/>
            <w:tcBorders>
              <w:top w:val="single" w:sz="8" w:color="auto"/>
            </w:tcBorders>
            <w:gridSpan w:val="2"/>
          </w:tcPr>
          <w:p>
            <w:pPr>
              <w:jc w:val="right"/>
              <w:ind w:right="280"/>
              <w:spacing w:after="0" w:line="88" w:lineRule="exact"/>
              <w:rPr>
                <w:sz w:val="20"/>
                <w:szCs w:val="20"/>
                <w:color w:val="auto"/>
              </w:rPr>
            </w:pPr>
            <w:r>
              <w:rPr>
                <w:rFonts w:ascii="Arial" w:cs="Arial" w:eastAsia="Arial" w:hAnsi="Arial"/>
                <w:sz w:val="9"/>
                <w:szCs w:val="9"/>
                <w:b w:val="1"/>
                <w:bCs w:val="1"/>
                <w:color w:val="auto"/>
              </w:rPr>
              <w:t>Shares</w:t>
            </w:r>
          </w:p>
        </w:tc>
        <w:tc>
          <w:tcPr>
            <w:tcW w:w="400" w:type="dxa"/>
            <w:vAlign w:val="bottom"/>
            <w:tcBorders>
              <w:top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92"/>
              </w:rPr>
              <w:t>Amounts</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320"/>
              <w:spacing w:after="0" w:line="88" w:lineRule="exact"/>
              <w:rPr>
                <w:sz w:val="20"/>
                <w:szCs w:val="20"/>
                <w:color w:val="auto"/>
              </w:rPr>
            </w:pPr>
            <w:r>
              <w:rPr>
                <w:rFonts w:ascii="Arial" w:cs="Arial" w:eastAsia="Arial" w:hAnsi="Arial"/>
                <w:sz w:val="9"/>
                <w:szCs w:val="9"/>
                <w:b w:val="1"/>
                <w:bCs w:val="1"/>
                <w:color w:val="auto"/>
              </w:rPr>
              <w:t>Interests</w:t>
            </w:r>
          </w:p>
        </w:tc>
        <w:tc>
          <w:tcPr>
            <w:tcW w:w="0" w:type="dxa"/>
            <w:vAlign w:val="bottom"/>
          </w:tcPr>
          <w:p>
            <w:pPr>
              <w:spacing w:after="0"/>
              <w:rPr>
                <w:sz w:val="1"/>
                <w:szCs w:val="1"/>
                <w:color w:val="auto"/>
              </w:rPr>
            </w:pPr>
          </w:p>
        </w:tc>
      </w:tr>
      <w:tr>
        <w:trPr>
          <w:trHeight w:val="29"/>
        </w:trPr>
        <w:tc>
          <w:tcPr>
            <w:tcW w:w="292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8"/>
        </w:trPr>
        <w:tc>
          <w:tcPr>
            <w:tcW w:w="29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December 31, 2009</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6,591</w:t>
            </w: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630,282</w:t>
            </w:r>
          </w:p>
        </w:tc>
        <w:tc>
          <w:tcPr>
            <w:tcW w:w="260" w:type="dxa"/>
            <w:vAlign w:val="bottom"/>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w:t>
            </w:r>
          </w:p>
        </w:tc>
        <w:tc>
          <w:tcPr>
            <w:tcW w:w="80" w:type="dxa"/>
            <w:vAlign w:val="bottom"/>
            <w:shd w:val="clear" w:color="auto" w:fill="CCEEFF"/>
          </w:tcPr>
          <w:p>
            <w:pPr>
              <w:jc w:val="right"/>
              <w:ind w:right="9"/>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4,543</w:t>
            </w:r>
          </w:p>
        </w:tc>
        <w:tc>
          <w:tcPr>
            <w:tcW w:w="120" w:type="dxa"/>
            <w:vAlign w:val="bottom"/>
            <w:shd w:val="clear" w:color="auto" w:fill="CCEEFF"/>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6,053</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208</w:t>
            </w:r>
          </w:p>
        </w:tc>
        <w:tc>
          <w:tcPr>
            <w:tcW w:w="6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(144,162)</w:t>
            </w:r>
          </w:p>
        </w:tc>
        <w:tc>
          <w:tcPr>
            <w:tcW w:w="100" w:type="dxa"/>
            <w:vAlign w:val="bottom"/>
            <w:shd w:val="clear" w:color="auto" w:fill="CCEEFF"/>
          </w:tcPr>
          <w:p>
            <w:pPr>
              <w:jc w:val="right"/>
              <w:ind w:right="29"/>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(4,525)</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306</w:t>
            </w:r>
          </w:p>
        </w:tc>
        <w:tc>
          <w:tcPr>
            <w:tcW w:w="0" w:type="dxa"/>
            <w:vAlign w:val="bottom"/>
          </w:tcPr>
          <w:p>
            <w:pPr>
              <w:spacing w:after="0"/>
              <w:rPr>
                <w:sz w:val="1"/>
                <w:szCs w:val="1"/>
                <w:color w:val="auto"/>
              </w:rPr>
            </w:pPr>
          </w:p>
        </w:tc>
      </w:tr>
      <w:tr>
        <w:trPr>
          <w:trHeight w:val="98"/>
        </w:trPr>
        <w:tc>
          <w:tcPr>
            <w:tcW w:w="2920" w:type="dxa"/>
            <w:vAlign w:val="bottom"/>
          </w:tcPr>
          <w:p>
            <w:pPr>
              <w:spacing w:after="0" w:line="98" w:lineRule="exact"/>
              <w:rPr>
                <w:sz w:val="20"/>
                <w:szCs w:val="20"/>
                <w:color w:val="auto"/>
              </w:rPr>
            </w:pPr>
            <w:r>
              <w:rPr>
                <w:rFonts w:ascii="Arial" w:cs="Arial" w:eastAsia="Arial" w:hAnsi="Arial"/>
                <w:sz w:val="9"/>
                <w:szCs w:val="9"/>
                <w:color w:val="auto"/>
              </w:rPr>
              <w:t>Comprehensive Income:</w:t>
            </w: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92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Net income</w:t>
            </w:r>
          </w:p>
        </w:tc>
        <w:tc>
          <w:tcPr>
            <w:tcW w:w="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450</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450</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428</w:t>
            </w: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22</w:t>
            </w:r>
          </w:p>
        </w:tc>
        <w:tc>
          <w:tcPr>
            <w:tcW w:w="0" w:type="dxa"/>
            <w:vAlign w:val="bottom"/>
          </w:tcPr>
          <w:p>
            <w:pPr>
              <w:spacing w:after="0"/>
              <w:rPr>
                <w:sz w:val="1"/>
                <w:szCs w:val="1"/>
                <w:color w:val="auto"/>
              </w:rPr>
            </w:pPr>
          </w:p>
        </w:tc>
      </w:tr>
      <w:tr>
        <w:trPr>
          <w:trHeight w:val="98"/>
        </w:trPr>
        <w:tc>
          <w:tcPr>
            <w:tcW w:w="2920" w:type="dxa"/>
            <w:vAlign w:val="bottom"/>
          </w:tcPr>
          <w:p>
            <w:pPr>
              <w:ind w:left="100"/>
              <w:spacing w:after="0" w:line="98" w:lineRule="exact"/>
              <w:rPr>
                <w:sz w:val="20"/>
                <w:szCs w:val="20"/>
                <w:color w:val="auto"/>
              </w:rPr>
            </w:pPr>
            <w:r>
              <w:rPr>
                <w:rFonts w:ascii="Arial" w:cs="Arial" w:eastAsia="Arial" w:hAnsi="Arial"/>
                <w:sz w:val="9"/>
                <w:szCs w:val="9"/>
                <w:color w:val="auto"/>
              </w:rPr>
              <w:t>Other comprehensive income (loss), net of taxes:</w:t>
            </w: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920" w:type="dxa"/>
            <w:vAlign w:val="bottom"/>
            <w:shd w:val="clear" w:color="auto" w:fill="CCEEFF"/>
          </w:tcPr>
          <w:p>
            <w:pPr>
              <w:ind w:left="200"/>
              <w:spacing w:after="0" w:line="88" w:lineRule="exact"/>
              <w:rPr>
                <w:sz w:val="20"/>
                <w:szCs w:val="20"/>
                <w:color w:val="auto"/>
              </w:rPr>
            </w:pPr>
            <w:r>
              <w:rPr>
                <w:rFonts w:ascii="Arial" w:cs="Arial" w:eastAsia="Arial" w:hAnsi="Arial"/>
                <w:sz w:val="9"/>
                <w:szCs w:val="9"/>
                <w:color w:val="auto"/>
              </w:rPr>
              <w:t>Unrealized losses resulting from changes in fair value of derivative</w:t>
            </w:r>
          </w:p>
        </w:tc>
        <w:tc>
          <w:tcPr>
            <w:tcW w:w="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920" w:type="dxa"/>
            <w:vAlign w:val="bottom"/>
            <w:shd w:val="clear" w:color="auto" w:fill="CCEEFF"/>
          </w:tcPr>
          <w:p>
            <w:pPr>
              <w:ind w:left="280"/>
              <w:spacing w:after="0"/>
              <w:rPr>
                <w:sz w:val="20"/>
                <w:szCs w:val="20"/>
                <w:color w:val="auto"/>
              </w:rPr>
            </w:pPr>
            <w:r>
              <w:rPr>
                <w:rFonts w:ascii="Arial" w:cs="Arial" w:eastAsia="Arial" w:hAnsi="Arial"/>
                <w:sz w:val="9"/>
                <w:szCs w:val="9"/>
                <w:color w:val="auto"/>
              </w:rPr>
              <w:t>instruments, net of taxes of $21</w:t>
            </w:r>
          </w:p>
        </w:tc>
        <w:tc>
          <w:tcPr>
            <w:tcW w:w="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(33)</w:t>
            </w:r>
          </w:p>
        </w:tc>
        <w:tc>
          <w:tcPr>
            <w:tcW w:w="6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(33)</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(33)</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7"/>
        </w:trPr>
        <w:tc>
          <w:tcPr>
            <w:tcW w:w="2920" w:type="dxa"/>
            <w:vAlign w:val="bottom"/>
          </w:tcPr>
          <w:p>
            <w:pPr>
              <w:ind w:left="200"/>
              <w:spacing w:after="0" w:line="88" w:lineRule="exact"/>
              <w:rPr>
                <w:sz w:val="20"/>
                <w:szCs w:val="20"/>
                <w:color w:val="auto"/>
              </w:rPr>
            </w:pPr>
            <w:r>
              <w:rPr>
                <w:rFonts w:ascii="Arial" w:cs="Arial" w:eastAsia="Arial" w:hAnsi="Arial"/>
                <w:sz w:val="9"/>
                <w:szCs w:val="9"/>
                <w:color w:val="auto"/>
                <w:w w:val="96"/>
              </w:rPr>
              <w:t>Realized gains on derivative instruments reclassified into earnings, net</w:t>
            </w: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920" w:type="dxa"/>
            <w:vAlign w:val="bottom"/>
          </w:tcPr>
          <w:p>
            <w:pPr>
              <w:ind w:left="280"/>
              <w:spacing w:after="0"/>
              <w:rPr>
                <w:sz w:val="20"/>
                <w:szCs w:val="20"/>
                <w:color w:val="auto"/>
              </w:rPr>
            </w:pPr>
            <w:r>
              <w:rPr>
                <w:rFonts w:ascii="Arial" w:cs="Arial" w:eastAsia="Arial" w:hAnsi="Arial"/>
                <w:sz w:val="9"/>
                <w:szCs w:val="9"/>
                <w:color w:val="auto"/>
              </w:rPr>
              <w:t>of taxes of $0</w:t>
            </w:r>
          </w:p>
        </w:tc>
        <w:tc>
          <w:tcPr>
            <w:tcW w:w="40" w:type="dxa"/>
            <w:vAlign w:val="bottom"/>
          </w:tcPr>
          <w:p>
            <w:pPr>
              <w:spacing w:after="0"/>
              <w:rPr>
                <w:sz w:val="9"/>
                <w:szCs w:val="9"/>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9"/>
                <w:szCs w:val="9"/>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92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Unrealized gains on marketable securities, net of taxes of $0</w:t>
            </w:r>
          </w:p>
        </w:tc>
        <w:tc>
          <w:tcPr>
            <w:tcW w:w="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920" w:type="dxa"/>
            <w:vAlign w:val="bottom"/>
          </w:tcPr>
          <w:p>
            <w:pPr>
              <w:ind w:left="200"/>
              <w:spacing w:after="0" w:line="98" w:lineRule="exact"/>
              <w:rPr>
                <w:sz w:val="20"/>
                <w:szCs w:val="20"/>
                <w:color w:val="auto"/>
              </w:rPr>
            </w:pPr>
            <w:r>
              <w:rPr>
                <w:rFonts w:ascii="Arial" w:cs="Arial" w:eastAsia="Arial" w:hAnsi="Arial"/>
                <w:sz w:val="9"/>
                <w:szCs w:val="9"/>
                <w:color w:val="auto"/>
              </w:rPr>
              <w:t>Foreign currency translation adjustments</w:t>
            </w:r>
          </w:p>
        </w:tc>
        <w:tc>
          <w:tcPr>
            <w:tcW w:w="40" w:type="dxa"/>
            <w:vAlign w:val="bottom"/>
          </w:tcPr>
          <w:p>
            <w:pPr>
              <w:spacing w:after="0"/>
              <w:rPr>
                <w:sz w:val="8"/>
                <w:szCs w:val="8"/>
                <w:color w:val="auto"/>
              </w:rPr>
            </w:pPr>
          </w:p>
        </w:tc>
        <w:tc>
          <w:tcPr>
            <w:tcW w:w="4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(10)</w:t>
            </w:r>
          </w:p>
        </w:tc>
        <w:tc>
          <w:tcPr>
            <w:tcW w:w="60" w:type="dxa"/>
            <w:vAlign w:val="bottom"/>
          </w:tcPr>
          <w:p>
            <w:pPr>
              <w:spacing w:after="0"/>
              <w:rPr>
                <w:sz w:val="8"/>
                <w:szCs w:val="8"/>
                <w:color w:val="auto"/>
              </w:rPr>
            </w:pPr>
          </w:p>
        </w:tc>
        <w:tc>
          <w:tcPr>
            <w:tcW w:w="9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(10)</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260" w:type="dxa"/>
            <w:vAlign w:val="bottom"/>
          </w:tcPr>
          <w:p>
            <w:pPr>
              <w:spacing w:after="0"/>
              <w:rPr>
                <w:sz w:val="8"/>
                <w:szCs w:val="8"/>
                <w:color w:val="auto"/>
              </w:rPr>
            </w:pPr>
          </w:p>
        </w:tc>
        <w:tc>
          <w:tcPr>
            <w:tcW w:w="3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9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(10)</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7"/>
        </w:trPr>
        <w:tc>
          <w:tcPr>
            <w:tcW w:w="2920" w:type="dxa"/>
            <w:vAlign w:val="bottom"/>
            <w:shd w:val="clear" w:color="auto" w:fill="CCEEFF"/>
          </w:tcPr>
          <w:p>
            <w:pPr>
              <w:ind w:left="200"/>
              <w:spacing w:after="0" w:line="88" w:lineRule="exact"/>
              <w:rPr>
                <w:sz w:val="20"/>
                <w:szCs w:val="20"/>
                <w:color w:val="auto"/>
              </w:rPr>
            </w:pPr>
            <w:r>
              <w:rPr>
                <w:rFonts w:ascii="Arial" w:cs="Arial" w:eastAsia="Arial" w:hAnsi="Arial"/>
                <w:sz w:val="9"/>
                <w:szCs w:val="9"/>
                <w:color w:val="auto"/>
                <w:w w:val="98"/>
              </w:rPr>
              <w:t>Change in funded status of post-retirement benefit obligations, net of</w:t>
            </w:r>
          </w:p>
        </w:tc>
        <w:tc>
          <w:tcPr>
            <w:tcW w:w="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920" w:type="dxa"/>
            <w:vAlign w:val="bottom"/>
            <w:shd w:val="clear" w:color="auto" w:fill="CCEEFF"/>
          </w:tcPr>
          <w:p>
            <w:pPr>
              <w:ind w:left="280"/>
              <w:spacing w:after="0"/>
              <w:rPr>
                <w:sz w:val="20"/>
                <w:szCs w:val="20"/>
                <w:color w:val="auto"/>
              </w:rPr>
            </w:pPr>
            <w:r>
              <w:rPr>
                <w:rFonts w:ascii="Arial" w:cs="Arial" w:eastAsia="Arial" w:hAnsi="Arial"/>
                <w:sz w:val="9"/>
                <w:szCs w:val="9"/>
                <w:color w:val="auto"/>
              </w:rPr>
              <w:t>taxes of $0</w:t>
            </w:r>
          </w:p>
        </w:tc>
        <w:tc>
          <w:tcPr>
            <w:tcW w:w="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(1)</w:t>
            </w:r>
          </w:p>
        </w:tc>
        <w:tc>
          <w:tcPr>
            <w:tcW w:w="6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(1)</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(1)</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920" w:type="dxa"/>
            <w:vAlign w:val="bottom"/>
          </w:tcPr>
          <w:p>
            <w:pPr>
              <w:ind w:left="100"/>
              <w:spacing w:after="0" w:line="98" w:lineRule="exact"/>
              <w:rPr>
                <w:sz w:val="20"/>
                <w:szCs w:val="20"/>
                <w:color w:val="auto"/>
              </w:rPr>
            </w:pPr>
            <w:r>
              <w:rPr>
                <w:rFonts w:ascii="Arial" w:cs="Arial" w:eastAsia="Arial" w:hAnsi="Arial"/>
                <w:sz w:val="9"/>
                <w:szCs w:val="9"/>
                <w:color w:val="auto"/>
              </w:rPr>
              <w:t>Other comprehensive income (loss)</w:t>
            </w:r>
          </w:p>
        </w:tc>
        <w:tc>
          <w:tcPr>
            <w:tcW w:w="40" w:type="dxa"/>
            <w:vAlign w:val="bottom"/>
            <w:tcBorders>
              <w:top w:val="single" w:sz="8" w:color="auto"/>
              <w:bottom w:val="single" w:sz="8" w:color="auto"/>
            </w:tcBorders>
          </w:tcPr>
          <w:p>
            <w:pPr>
              <w:spacing w:after="0"/>
              <w:rPr>
                <w:sz w:val="8"/>
                <w:szCs w:val="8"/>
                <w:color w:val="auto"/>
              </w:rPr>
            </w:pPr>
          </w:p>
        </w:tc>
        <w:tc>
          <w:tcPr>
            <w:tcW w:w="2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(44)</w:t>
            </w:r>
          </w:p>
        </w:tc>
        <w:tc>
          <w:tcPr>
            <w:tcW w:w="20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7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(44)</w:t>
            </w: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9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Comprehensive income</w:t>
            </w:r>
          </w:p>
        </w:tc>
        <w:tc>
          <w:tcPr>
            <w:tcW w:w="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406</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406</w:t>
            </w: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shd w:val="clear" w:color="auto" w:fill="000000"/>
          </w:tcPr>
          <w:p>
            <w:pPr>
              <w:spacing w:after="0" w:line="20" w:lineRule="exact"/>
              <w:rPr>
                <w:sz w:val="1"/>
                <w:szCs w:val="1"/>
                <w:color w:val="auto"/>
              </w:rPr>
            </w:pPr>
          </w:p>
        </w:tc>
        <w:tc>
          <w:tcPr>
            <w:tcW w:w="74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920" w:type="dxa"/>
            <w:vAlign w:val="bottom"/>
          </w:tcPr>
          <w:p>
            <w:pPr>
              <w:spacing w:after="0" w:line="98" w:lineRule="exact"/>
              <w:rPr>
                <w:sz w:val="20"/>
                <w:szCs w:val="20"/>
                <w:color w:val="auto"/>
              </w:rPr>
            </w:pPr>
            <w:r>
              <w:rPr>
                <w:rFonts w:ascii="Arial" w:cs="Arial" w:eastAsia="Arial" w:hAnsi="Arial"/>
                <w:sz w:val="9"/>
                <w:szCs w:val="9"/>
                <w:color w:val="auto"/>
              </w:rPr>
              <w:t>Cash dividends declared</w:t>
            </w:r>
          </w:p>
        </w:tc>
        <w:tc>
          <w:tcPr>
            <w:tcW w:w="40" w:type="dxa"/>
            <w:vAlign w:val="bottom"/>
          </w:tcPr>
          <w:p>
            <w:pPr>
              <w:spacing w:after="0"/>
              <w:rPr>
                <w:sz w:val="8"/>
                <w:szCs w:val="8"/>
                <w:color w:val="auto"/>
              </w:rPr>
            </w:pPr>
          </w:p>
        </w:tc>
        <w:tc>
          <w:tcPr>
            <w:tcW w:w="4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(305)</w:t>
            </w: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260" w:type="dxa"/>
            <w:vAlign w:val="bottom"/>
          </w:tcPr>
          <w:p>
            <w:pPr>
              <w:spacing w:after="0"/>
              <w:rPr>
                <w:sz w:val="8"/>
                <w:szCs w:val="8"/>
                <w:color w:val="auto"/>
              </w:rPr>
            </w:pPr>
          </w:p>
        </w:tc>
        <w:tc>
          <w:tcPr>
            <w:tcW w:w="3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(305)</w:t>
            </w:r>
          </w:p>
        </w:tc>
        <w:tc>
          <w:tcPr>
            <w:tcW w:w="60" w:type="dxa"/>
            <w:vAlign w:val="bottom"/>
          </w:tcPr>
          <w:p>
            <w:pPr>
              <w:spacing w:after="0"/>
              <w:rPr>
                <w:sz w:val="8"/>
                <w:szCs w:val="8"/>
                <w:color w:val="auto"/>
              </w:rPr>
            </w:pPr>
          </w:p>
        </w:tc>
        <w:tc>
          <w:tcPr>
            <w:tcW w:w="9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7"/>
        </w:trPr>
        <w:tc>
          <w:tcPr>
            <w:tcW w:w="292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w w:val="95"/>
              </w:rPr>
              <w:t>Equity-based compensation transactions, including dividend equivalents, net</w:t>
            </w:r>
          </w:p>
        </w:tc>
        <w:tc>
          <w:tcPr>
            <w:tcW w:w="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920" w:type="dxa"/>
            <w:vAlign w:val="bottom"/>
            <w:shd w:val="clear" w:color="auto" w:fill="CCEEFF"/>
          </w:tcPr>
          <w:p>
            <w:pPr>
              <w:ind w:left="100"/>
              <w:spacing w:after="0"/>
              <w:rPr>
                <w:sz w:val="20"/>
                <w:szCs w:val="20"/>
                <w:color w:val="auto"/>
              </w:rPr>
            </w:pPr>
            <w:r>
              <w:rPr>
                <w:rFonts w:ascii="Arial" w:cs="Arial" w:eastAsia="Arial" w:hAnsi="Arial"/>
                <w:sz w:val="9"/>
                <w:szCs w:val="9"/>
                <w:color w:val="auto"/>
              </w:rPr>
              <w:t>of taxes</w:t>
            </w:r>
          </w:p>
        </w:tc>
        <w:tc>
          <w:tcPr>
            <w:tcW w:w="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33</w:t>
            </w: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(21)</w:t>
            </w: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1,705</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54</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920" w:type="dxa"/>
            <w:vAlign w:val="bottom"/>
          </w:tcPr>
          <w:p>
            <w:pPr>
              <w:spacing w:after="0" w:line="98" w:lineRule="exact"/>
              <w:rPr>
                <w:sz w:val="20"/>
                <w:szCs w:val="20"/>
                <w:color w:val="auto"/>
              </w:rPr>
            </w:pPr>
            <w:r>
              <w:rPr>
                <w:rFonts w:ascii="Arial" w:cs="Arial" w:eastAsia="Arial" w:hAnsi="Arial"/>
                <w:sz w:val="9"/>
                <w:szCs w:val="9"/>
                <w:color w:val="auto"/>
              </w:rPr>
              <w:t>Common stock repurchases</w:t>
            </w:r>
          </w:p>
        </w:tc>
        <w:tc>
          <w:tcPr>
            <w:tcW w:w="40" w:type="dxa"/>
            <w:vAlign w:val="bottom"/>
          </w:tcPr>
          <w:p>
            <w:pPr>
              <w:spacing w:after="0"/>
              <w:rPr>
                <w:sz w:val="8"/>
                <w:szCs w:val="8"/>
                <w:color w:val="auto"/>
              </w:rPr>
            </w:pPr>
          </w:p>
        </w:tc>
        <w:tc>
          <w:tcPr>
            <w:tcW w:w="4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(298)</w:t>
            </w: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260" w:type="dxa"/>
            <w:vAlign w:val="bottom"/>
          </w:tcPr>
          <w:p>
            <w:pPr>
              <w:spacing w:after="0"/>
              <w:rPr>
                <w:sz w:val="8"/>
                <w:szCs w:val="8"/>
                <w:color w:val="auto"/>
              </w:rPr>
            </w:pPr>
          </w:p>
        </w:tc>
        <w:tc>
          <w:tcPr>
            <w:tcW w:w="3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9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(8,957)</w:t>
            </w:r>
          </w:p>
        </w:tc>
        <w:tc>
          <w:tcPr>
            <w:tcW w:w="100" w:type="dxa"/>
            <w:vAlign w:val="bottom"/>
          </w:tcPr>
          <w:p>
            <w:pPr>
              <w:spacing w:after="0"/>
              <w:rPr>
                <w:sz w:val="8"/>
                <w:szCs w:val="8"/>
                <w:color w:val="auto"/>
              </w:rPr>
            </w:pPr>
          </w:p>
        </w:tc>
        <w:tc>
          <w:tcPr>
            <w:tcW w:w="4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(298)</w:t>
            </w:r>
          </w:p>
        </w:tc>
        <w:tc>
          <w:tcPr>
            <w:tcW w:w="80" w:type="dxa"/>
            <w:vAlign w:val="bottom"/>
          </w:tcPr>
          <w:p>
            <w:pPr>
              <w:spacing w:after="0"/>
              <w:rPr>
                <w:sz w:val="8"/>
                <w:szCs w:val="8"/>
                <w:color w:val="auto"/>
              </w:rPr>
            </w:pPr>
          </w:p>
        </w:tc>
        <w:tc>
          <w:tcPr>
            <w:tcW w:w="8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9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Distributions paid to noncontrolling interests</w:t>
            </w:r>
          </w:p>
        </w:tc>
        <w:tc>
          <w:tcPr>
            <w:tcW w:w="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(22)</w:t>
            </w: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(22)</w:t>
            </w:r>
          </w:p>
        </w:tc>
        <w:tc>
          <w:tcPr>
            <w:tcW w:w="0" w:type="dxa"/>
            <w:vAlign w:val="bottom"/>
          </w:tcPr>
          <w:p>
            <w:pPr>
              <w:spacing w:after="0"/>
              <w:rPr>
                <w:sz w:val="1"/>
                <w:szCs w:val="1"/>
                <w:color w:val="auto"/>
              </w:rPr>
            </w:pPr>
          </w:p>
        </w:tc>
      </w:tr>
      <w:tr>
        <w:trPr>
          <w:trHeight w:val="98"/>
        </w:trPr>
        <w:tc>
          <w:tcPr>
            <w:tcW w:w="2920" w:type="dxa"/>
            <w:vAlign w:val="bottom"/>
          </w:tcPr>
          <w:p>
            <w:pPr>
              <w:spacing w:after="0" w:line="98" w:lineRule="exact"/>
              <w:rPr>
                <w:sz w:val="20"/>
                <w:szCs w:val="20"/>
                <w:color w:val="auto"/>
              </w:rPr>
            </w:pPr>
            <w:r>
              <w:rPr>
                <w:rFonts w:ascii="Arial" w:cs="Arial" w:eastAsia="Arial" w:hAnsi="Arial"/>
                <w:sz w:val="9"/>
                <w:szCs w:val="9"/>
                <w:color w:val="auto"/>
              </w:rPr>
              <w:t>Noncontrolling interests in acquired businesses</w:t>
            </w:r>
          </w:p>
        </w:tc>
        <w:tc>
          <w:tcPr>
            <w:tcW w:w="40" w:type="dxa"/>
            <w:vAlign w:val="bottom"/>
          </w:tcPr>
          <w:p>
            <w:pPr>
              <w:spacing w:after="0"/>
              <w:rPr>
                <w:sz w:val="8"/>
                <w:szCs w:val="8"/>
                <w:color w:val="auto"/>
              </w:rPr>
            </w:pPr>
          </w:p>
        </w:tc>
        <w:tc>
          <w:tcPr>
            <w:tcW w:w="4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34</w:t>
            </w: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260" w:type="dxa"/>
            <w:vAlign w:val="bottom"/>
          </w:tcPr>
          <w:p>
            <w:pPr>
              <w:spacing w:after="0"/>
              <w:rPr>
                <w:sz w:val="8"/>
                <w:szCs w:val="8"/>
                <w:color w:val="auto"/>
              </w:rPr>
            </w:pPr>
          </w:p>
        </w:tc>
        <w:tc>
          <w:tcPr>
            <w:tcW w:w="3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9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34</w:t>
            </w:r>
          </w:p>
        </w:tc>
        <w:tc>
          <w:tcPr>
            <w:tcW w:w="0" w:type="dxa"/>
            <w:vAlign w:val="bottom"/>
          </w:tcPr>
          <w:p>
            <w:pPr>
              <w:spacing w:after="0"/>
              <w:rPr>
                <w:sz w:val="1"/>
                <w:szCs w:val="1"/>
                <w:color w:val="auto"/>
              </w:rPr>
            </w:pPr>
          </w:p>
        </w:tc>
      </w:tr>
      <w:tr>
        <w:trPr>
          <w:trHeight w:val="98"/>
        </w:trPr>
        <w:tc>
          <w:tcPr>
            <w:tcW w:w="29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Deconsolidation of variable interest entities</w:t>
            </w:r>
          </w:p>
        </w:tc>
        <w:tc>
          <w:tcPr>
            <w:tcW w:w="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(31)</w:t>
            </w: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(31)</w:t>
            </w:r>
          </w:p>
        </w:tc>
        <w:tc>
          <w:tcPr>
            <w:tcW w:w="0" w:type="dxa"/>
            <w:vAlign w:val="bottom"/>
          </w:tcPr>
          <w:p>
            <w:pPr>
              <w:spacing w:after="0"/>
              <w:rPr>
                <w:sz w:val="1"/>
                <w:szCs w:val="1"/>
                <w:color w:val="auto"/>
              </w:rPr>
            </w:pPr>
          </w:p>
        </w:tc>
      </w:tr>
      <w:tr>
        <w:trPr>
          <w:trHeight w:val="98"/>
        </w:trPr>
        <w:tc>
          <w:tcPr>
            <w:tcW w:w="2920" w:type="dxa"/>
            <w:vAlign w:val="bottom"/>
          </w:tcPr>
          <w:p>
            <w:pPr>
              <w:spacing w:after="0" w:line="98" w:lineRule="exact"/>
              <w:rPr>
                <w:sz w:val="20"/>
                <w:szCs w:val="20"/>
                <w:color w:val="auto"/>
              </w:rPr>
            </w:pPr>
            <w:r>
              <w:rPr>
                <w:rFonts w:ascii="Arial" w:cs="Arial" w:eastAsia="Arial" w:hAnsi="Arial"/>
                <w:sz w:val="9"/>
                <w:szCs w:val="9"/>
                <w:color w:val="auto"/>
              </w:rPr>
              <w:t>Other</w:t>
            </w:r>
          </w:p>
        </w:tc>
        <w:tc>
          <w:tcPr>
            <w:tcW w:w="40" w:type="dxa"/>
            <w:vAlign w:val="bottom"/>
          </w:tcPr>
          <w:p>
            <w:pPr>
              <w:spacing w:after="0"/>
              <w:rPr>
                <w:sz w:val="8"/>
                <w:szCs w:val="8"/>
                <w:color w:val="auto"/>
              </w:rPr>
            </w:pPr>
          </w:p>
        </w:tc>
        <w:tc>
          <w:tcPr>
            <w:tcW w:w="4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260" w:type="dxa"/>
            <w:vAlign w:val="bottom"/>
          </w:tcPr>
          <w:p>
            <w:pPr>
              <w:spacing w:after="0"/>
              <w:rPr>
                <w:sz w:val="8"/>
                <w:szCs w:val="8"/>
                <w:color w:val="auto"/>
              </w:rPr>
            </w:pPr>
          </w:p>
        </w:tc>
        <w:tc>
          <w:tcPr>
            <w:tcW w:w="3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9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w:t>
            </w:r>
          </w:p>
        </w:tc>
        <w:tc>
          <w:tcPr>
            <w:tcW w:w="100" w:type="dxa"/>
            <w:vAlign w:val="bottom"/>
          </w:tcPr>
          <w:p>
            <w:pPr>
              <w:spacing w:after="0"/>
              <w:rPr>
                <w:sz w:val="8"/>
                <w:szCs w:val="8"/>
                <w:color w:val="auto"/>
              </w:rPr>
            </w:pP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9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June 30, 2010</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6,408</w:t>
            </w: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630,282</w:t>
            </w:r>
          </w:p>
        </w:tc>
        <w:tc>
          <w:tcPr>
            <w:tcW w:w="260" w:type="dxa"/>
            <w:vAlign w:val="bottom"/>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w:t>
            </w:r>
          </w:p>
        </w:tc>
        <w:tc>
          <w:tcPr>
            <w:tcW w:w="80" w:type="dxa"/>
            <w:vAlign w:val="bottom"/>
            <w:shd w:val="clear" w:color="auto" w:fill="CCEEFF"/>
          </w:tcPr>
          <w:p>
            <w:pPr>
              <w:jc w:val="right"/>
              <w:ind w:right="9"/>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4,522</w:t>
            </w:r>
          </w:p>
        </w:tc>
        <w:tc>
          <w:tcPr>
            <w:tcW w:w="120" w:type="dxa"/>
            <w:vAlign w:val="bottom"/>
            <w:shd w:val="clear" w:color="auto" w:fill="CCEEFF"/>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6,176</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164</w:t>
            </w:r>
          </w:p>
        </w:tc>
        <w:tc>
          <w:tcPr>
            <w:tcW w:w="6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(151,408)</w:t>
            </w:r>
          </w:p>
        </w:tc>
        <w:tc>
          <w:tcPr>
            <w:tcW w:w="100" w:type="dxa"/>
            <w:vAlign w:val="bottom"/>
            <w:shd w:val="clear" w:color="auto" w:fill="CCEEFF"/>
          </w:tcPr>
          <w:p>
            <w:pPr>
              <w:jc w:val="right"/>
              <w:ind w:right="29"/>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(4,769)</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309</w:t>
            </w:r>
          </w:p>
        </w:tc>
        <w:tc>
          <w:tcPr>
            <w:tcW w:w="0" w:type="dxa"/>
            <w:vAlign w:val="bottom"/>
          </w:tcPr>
          <w:p>
            <w:pPr>
              <w:spacing w:after="0"/>
              <w:rPr>
                <w:sz w:val="1"/>
                <w:szCs w:val="1"/>
                <w:color w:val="auto"/>
              </w:rPr>
            </w:pPr>
          </w:p>
        </w:tc>
      </w:tr>
      <w:tr>
        <w:trPr>
          <w:trHeight w:val="29"/>
        </w:trPr>
        <w:tc>
          <w:tcPr>
            <w:tcW w:w="29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020"/>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3540"/>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(Unaudited)</w:t>
      </w:r>
    </w:p>
    <w:p>
      <w:pPr>
        <w:spacing w:after="0" w:line="163" w:lineRule="exact"/>
        <w:rPr>
          <w:sz w:val="20"/>
          <w:szCs w:val="20"/>
          <w:color w:val="auto"/>
        </w:rPr>
      </w:pPr>
    </w:p>
    <w:p>
      <w:pPr>
        <w:ind w:left="1000" w:hanging="313"/>
        <w:spacing w:after="0"/>
        <w:tabs>
          <w:tab w:leader="none" w:pos="100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Presentation</w:t>
      </w:r>
    </w:p>
    <w:p>
      <w:pPr>
        <w:spacing w:after="0" w:line="100"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beneficiary.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“WMI,” we are referring only to Waste Management, Inc., the parent holding company.</w:t>
      </w:r>
    </w:p>
    <w:p>
      <w:pPr>
        <w:spacing w:after="0" w:line="53"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We manage and evaluate our principal operations through five Groups. Our four geographic operating Groups, which include our Eastern, Midwest, Southern and Western Groups, provide collection, transfer, recycling and disposal services. Our fifth operating Group is the Wheelabrator Group, which provides waste-to-energy services. We also provide additional services that are not managed through our five Groups, which are presented in this report as “Other.” These five Groups are presented as our reportable segments, and additional information related to our segments can be found in Note 10.</w:t>
      </w:r>
    </w:p>
    <w:p>
      <w:pPr>
        <w:spacing w:after="0" w:line="70"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The Condensed Consolidated Financial Statements as of and for the three and six months ended June 30, 2010 and 2009 are unaudited. In the opinion of management, these financial statements include all adjustments, which, unless otherwise disclosed, are of a normal recurring nature,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2009.</w:t>
      </w:r>
    </w:p>
    <w:p>
      <w:pPr>
        <w:spacing w:after="0" w:line="53"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methods. In some cases, these estimates are particularly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reserves associated with our uninsured claims and reserves and recoveries associated with our insured claims. Actual results could differ materially from the estimates and assumptions that we use in the preparation of our financial statements.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Adoption of New Accounting Pronouncements</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i w:val="1"/>
          <w:iCs w:val="1"/>
          <w:color w:val="auto"/>
        </w:rPr>
        <w:t xml:space="preserve">Consolidation of Variable Interest Entities </w:t>
      </w:r>
      <w:r>
        <w:rPr>
          <w:rFonts w:ascii="Arial" w:cs="Arial" w:eastAsia="Arial" w:hAnsi="Arial"/>
          <w:sz w:val="13"/>
          <w:szCs w:val="13"/>
          <w:color w:val="auto"/>
        </w:rPr>
        <w:t>— In June 2009, the FASB issued revised authoritative guidance associated with the consolidation of variable interest entities. The revised</w:t>
      </w:r>
      <w:r>
        <w:rPr>
          <w:rFonts w:ascii="Arial" w:cs="Arial" w:eastAsia="Arial" w:hAnsi="Arial"/>
          <w:sz w:val="13"/>
          <w:szCs w:val="13"/>
          <w:i w:val="1"/>
          <w:iCs w:val="1"/>
          <w:color w:val="auto"/>
        </w:rPr>
        <w:t xml:space="preserve"> </w:t>
      </w:r>
      <w:r>
        <w:rPr>
          <w:rFonts w:ascii="Arial" w:cs="Arial" w:eastAsia="Arial" w:hAnsi="Arial"/>
          <w:sz w:val="13"/>
          <w:szCs w:val="13"/>
          <w:color w:val="auto"/>
        </w:rPr>
        <w:t>guidance replaced the previous quantitative-based assessment for determining whether an enterprise is the primary beneficiary of a variable interest entity, and is, therefore, required to consolidate the entity, with an approach that is now primarily qualitative. This qualitative approach focuses on identifying the enterprise that has (i) the power to direct the activities of the variable interest entity that can most significantly impact the entity’s performance; and (ii) the obligation to absorb losses and the right to receive benefits from the variable interest entity that could potentially be significant to such entity. The revised guidance also requires that the enterprise continually reassess whether it is the primary beneficiary of a variable interest entity rather than conducting a reassessment only upon the occurrence of specific events.</w:t>
      </w:r>
    </w:p>
    <w:p>
      <w:pPr>
        <w:spacing w:after="0" w:line="7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As a result of our implementation of this guidance, effective January 1, 2010, we deconsolidated certain capping, closure, post-closure and environmental remediation trusts for which power over significant activities is</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160"/>
        <w:spacing w:after="0" w:line="276" w:lineRule="auto"/>
        <w:rPr>
          <w:sz w:val="20"/>
          <w:szCs w:val="20"/>
          <w:color w:val="auto"/>
        </w:rPr>
      </w:pPr>
      <w:r>
        <w:rPr>
          <w:rFonts w:ascii="Arial" w:cs="Arial" w:eastAsia="Arial" w:hAnsi="Arial"/>
          <w:sz w:val="13"/>
          <w:szCs w:val="13"/>
          <w:color w:val="auto"/>
        </w:rPr>
        <w:t>shared. Our financial interests in these entities are discussed below. The deconsolidation of these trusts has not materially affected our financial position, results of operations or cash flows during the periods presented.</w:t>
      </w:r>
    </w:p>
    <w:p>
      <w:pPr>
        <w:spacing w:after="0" w:line="59" w:lineRule="exact"/>
        <w:rPr>
          <w:sz w:val="20"/>
          <w:szCs w:val="20"/>
          <w:color w:val="auto"/>
        </w:rPr>
      </w:pPr>
    </w:p>
    <w:p>
      <w:pPr>
        <w:ind w:left="680" w:right="60" w:firstLine="399"/>
        <w:spacing w:after="0" w:line="371" w:lineRule="auto"/>
        <w:rPr>
          <w:sz w:val="20"/>
          <w:szCs w:val="20"/>
          <w:color w:val="auto"/>
        </w:rPr>
      </w:pPr>
      <w:r>
        <w:rPr>
          <w:rFonts w:ascii="Arial" w:cs="Arial" w:eastAsia="Arial" w:hAnsi="Arial"/>
          <w:sz w:val="11"/>
          <w:szCs w:val="11"/>
          <w:color w:val="auto"/>
        </w:rPr>
        <w:t>Following is a description of our financial interests in variable interest entities that we consider significant, including (i) those for which we have determined that we are the primary beneficiary of the entities and, therefore, have continued to consolidate the entities into our financial statements; and (ii) those that represent a significant interest in an unconsolidated entity.</w:t>
      </w:r>
    </w:p>
    <w:p>
      <w:pPr>
        <w:spacing w:after="0" w:line="5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Consolidated Variable Interest Entities</w:t>
      </w:r>
    </w:p>
    <w:p>
      <w:pPr>
        <w:spacing w:after="0" w:line="96" w:lineRule="exact"/>
        <w:rPr>
          <w:sz w:val="20"/>
          <w:szCs w:val="20"/>
          <w:color w:val="auto"/>
        </w:rPr>
      </w:pPr>
    </w:p>
    <w:p>
      <w:pPr>
        <w:jc w:val="both"/>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Waste-to-Energy LLCs </w:t>
      </w:r>
      <w:r>
        <w:rPr>
          <w:rFonts w:ascii="Arial" w:cs="Arial" w:eastAsia="Arial" w:hAnsi="Arial"/>
          <w:sz w:val="13"/>
          <w:szCs w:val="13"/>
          <w:color w:val="auto"/>
        </w:rPr>
        <w:t>— In June 2000, two limited liability companies were established to purchase interests in existing leveraged lease financings at three waste-to-energy facilities</w:t>
      </w:r>
      <w:r>
        <w:rPr>
          <w:rFonts w:ascii="Arial" w:cs="Arial" w:eastAsia="Arial" w:hAnsi="Arial"/>
          <w:sz w:val="13"/>
          <w:szCs w:val="13"/>
          <w:i w:val="1"/>
          <w:iCs w:val="1"/>
          <w:color w:val="auto"/>
        </w:rPr>
        <w:t xml:space="preserve"> </w:t>
      </w:r>
      <w:r>
        <w:rPr>
          <w:rFonts w:ascii="Arial" w:cs="Arial" w:eastAsia="Arial" w:hAnsi="Arial"/>
          <w:sz w:val="13"/>
          <w:szCs w:val="13"/>
          <w:color w:val="auto"/>
        </w:rPr>
        <w:t>that we lease, operate and maintain. We own a 0.5% interest in one of the LLCs (“LLC I”) and a 0.25% interest in the second LLC (“LLC II”). John Hancock Life Insurance Company owns 99.5% of LLC I, and 99.75% of LLC II is owned by LLC I and the CIT Group. In 2000, Hancock and CIT made an initial aggregate investment of $167 million in the LLCs, which was used to purchase the three waste-to-energy facilities and assume the seller’s indebtedness.</w:t>
      </w:r>
    </w:p>
    <w:p>
      <w:pPr>
        <w:spacing w:after="0" w:line="7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Income, losses and cash flows of the LLCs are allocated to the members based on their initial capital account balances until Hancock and CIT achieve targeted returns; thereafter, we will receive 80% of the earnings of each of the LLCs and Hancock and CIT will be allocated the remaining 20% proportionate to their respective equity interests. All capital allocations made through June 30, 2010 have been based on initial capital account balances as the target returns have not yet been achieved.</w:t>
      </w:r>
    </w:p>
    <w:p>
      <w:pPr>
        <w:spacing w:after="0" w:line="67"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Our obligations associated with our interests in the LLCs are primarily related to the lease of the facilities. In addition to our minimum lease payment obligations, we are required to make cash payments to the LLCs for differences between fair market rents and our minimum lease payments. We may also be required under certain circumstances to make capital contributions to the LLCs based on differences between the fair market value of the facilities and defined termination values as provided for in the underlying lease agreements, although we believe the likelihood of the occurrence of these circumstances is remote.</w:t>
      </w:r>
    </w:p>
    <w:p>
      <w:pPr>
        <w:spacing w:after="0" w:line="7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have determined that we are the primary beneficiary of the LLCs because (i) all of the equity owners of the LLCs are considered related parties for purposes of applying this accounting guidance; (ii) the equity owners share power over the significant activities of the LLCs; and (iii) we are the entity within the related party group whose activities are most closely associated with the LLCs.</w:t>
      </w:r>
    </w:p>
    <w:p>
      <w:pPr>
        <w:spacing w:after="0" w:line="67" w:lineRule="exact"/>
        <w:rPr>
          <w:sz w:val="20"/>
          <w:szCs w:val="20"/>
          <w:color w:val="auto"/>
        </w:rPr>
      </w:pPr>
    </w:p>
    <w:p>
      <w:pPr>
        <w:ind w:left="680" w:right="340" w:firstLine="399"/>
        <w:spacing w:after="0" w:line="258" w:lineRule="auto"/>
        <w:rPr>
          <w:sz w:val="20"/>
          <w:szCs w:val="20"/>
          <w:color w:val="auto"/>
        </w:rPr>
      </w:pPr>
      <w:r>
        <w:rPr>
          <w:rFonts w:ascii="Arial" w:cs="Arial" w:eastAsia="Arial" w:hAnsi="Arial"/>
          <w:sz w:val="13"/>
          <w:szCs w:val="13"/>
          <w:color w:val="auto"/>
        </w:rPr>
        <w:t>As of June 30, 2010, our Condensed Consolidated Balance Sheet includes $325 million of net property and equipment associated with the LLCs’ waste-to-energy facilities and $237 million in noncontrolling interests associated with Hancock’s and CIT’s interests in the LLCs. As of June 30, 2010, all debt obligations of the LLCs have been paid in full and, therefore, the LLCs have no liabilities. We recognized expense of $12 million and $25 million during the three and six months ended June 30, 2010 and June 30, 2009, respectively, for Hancock’s and CIT’s noncontrolling interests in the LLCs’ earnings. The LLCs’ earnings relate to the rental income generated from leasing the facilities to our subsidiaries, reduced by depreciation expense. The LLCs’ rental income is eliminated in WMI’s consolidation.</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Significant Unconsolidated Variable Interest Entities</w:t>
      </w:r>
    </w:p>
    <w:p>
      <w:pPr>
        <w:spacing w:after="0" w:line="96" w:lineRule="exact"/>
        <w:rPr>
          <w:sz w:val="20"/>
          <w:szCs w:val="20"/>
          <w:color w:val="auto"/>
        </w:rPr>
      </w:pPr>
    </w:p>
    <w:p>
      <w:pPr>
        <w:ind w:left="680" w:right="820" w:firstLine="399"/>
        <w:spacing w:after="0" w:line="264" w:lineRule="auto"/>
        <w:rPr>
          <w:sz w:val="20"/>
          <w:szCs w:val="20"/>
          <w:color w:val="auto"/>
        </w:rPr>
      </w:pPr>
      <w:r>
        <w:rPr>
          <w:rFonts w:ascii="Arial" w:cs="Arial" w:eastAsia="Arial" w:hAnsi="Arial"/>
          <w:sz w:val="13"/>
          <w:szCs w:val="13"/>
          <w:i w:val="1"/>
          <w:iCs w:val="1"/>
          <w:color w:val="auto"/>
        </w:rPr>
        <w:t xml:space="preserve">Trusts for Capping, Closure, Post-Closure or Environmental Remediation Obligations </w:t>
      </w:r>
      <w:r>
        <w:rPr>
          <w:rFonts w:ascii="Arial" w:cs="Arial" w:eastAsia="Arial" w:hAnsi="Arial"/>
          <w:sz w:val="13"/>
          <w:szCs w:val="13"/>
          <w:color w:val="auto"/>
        </w:rPr>
        <w:t>— We have significant financial interests in trust funds that were created to settle certain of our</w:t>
      </w:r>
      <w:r>
        <w:rPr>
          <w:rFonts w:ascii="Arial" w:cs="Arial" w:eastAsia="Arial" w:hAnsi="Arial"/>
          <w:sz w:val="13"/>
          <w:szCs w:val="13"/>
          <w:i w:val="1"/>
          <w:iCs w:val="1"/>
          <w:color w:val="auto"/>
        </w:rPr>
        <w:t xml:space="preserve"> </w:t>
      </w:r>
      <w:r>
        <w:rPr>
          <w:rFonts w:ascii="Arial" w:cs="Arial" w:eastAsia="Arial" w:hAnsi="Arial"/>
          <w:sz w:val="13"/>
          <w:szCs w:val="13"/>
          <w:color w:val="auto"/>
        </w:rPr>
        <w:t>capping, closure, post-closure or environmental remediation obligations. We have determined that, under the current guidance, we are not the primary beneficiary of certain of these trust funds because power over the trusts’ significant activities is shared.</w:t>
      </w:r>
    </w:p>
    <w:p>
      <w:pPr>
        <w:spacing w:after="0" w:line="67" w:lineRule="exact"/>
        <w:rPr>
          <w:sz w:val="20"/>
          <w:szCs w:val="20"/>
          <w:color w:val="auto"/>
        </w:rPr>
      </w:pPr>
    </w:p>
    <w:p>
      <w:pPr>
        <w:ind w:left="680" w:right="820" w:firstLine="399"/>
        <w:spacing w:after="0" w:line="257" w:lineRule="auto"/>
        <w:rPr>
          <w:sz w:val="20"/>
          <w:szCs w:val="20"/>
          <w:color w:val="auto"/>
        </w:rPr>
      </w:pPr>
      <w:r>
        <w:rPr>
          <w:rFonts w:ascii="Arial" w:cs="Arial" w:eastAsia="Arial" w:hAnsi="Arial"/>
          <w:sz w:val="13"/>
          <w:szCs w:val="13"/>
          <w:color w:val="auto"/>
        </w:rPr>
        <w:t>The deconsolidation of these variable interest entities as of January 1, 2010 decreased our restricted trust and escrow accounts by $109 million; increased investments in unconsolidated entities by $27 million; increased receivables, principally long-term, by $51 million; and decreased noncontrolling interests by $31 million. Beginning in 2010, our interests in these variable interest entities have been accounted for as investments in unconsolidated entities. Our investments and receivables related to the trusts had a fair value of $105 million as of January 1, 2010 and $107 million as of June 30, 2010. We continue to reflect our interests in the unrealized gains and losses on marketable securities held by these trusts as a component of accumulated other comprehensive income. The deconsolidation of these variable interest entities has not materially affected our financial position or results of operations for the periods presented.</w:t>
      </w:r>
    </w:p>
    <w:p>
      <w:pPr>
        <w:spacing w:after="0" w:line="72" w:lineRule="exact"/>
        <w:rPr>
          <w:sz w:val="20"/>
          <w:szCs w:val="20"/>
          <w:color w:val="auto"/>
        </w:rPr>
      </w:pPr>
    </w:p>
    <w:p>
      <w:pPr>
        <w:ind w:left="680" w:right="820" w:firstLine="399"/>
        <w:spacing w:after="0" w:line="260" w:lineRule="auto"/>
        <w:rPr>
          <w:sz w:val="20"/>
          <w:szCs w:val="20"/>
          <w:color w:val="auto"/>
        </w:rPr>
      </w:pPr>
      <w:r>
        <w:rPr>
          <w:rFonts w:ascii="Arial" w:cs="Arial" w:eastAsia="Arial" w:hAnsi="Arial"/>
          <w:sz w:val="13"/>
          <w:szCs w:val="13"/>
          <w:color w:val="auto"/>
        </w:rPr>
        <w:t>As the party with primary responsibility to fund the related capping, closure, post-closure or environmental remediation activities, we are exposed to risk of loss as a result of potential changes in the fair value of the trusts assets. The fair value of trust assets can fluctuate due to (i) changes in the market value of the investments held by the trusts; and (ii) credit risk associated with trust receivables. Although we are exposed to changes in the fair value of the trust assets, we currently expect the trust funds to continue to meet the statutory requirements for which they were established.</w:t>
      </w:r>
    </w:p>
    <w:p>
      <w:pPr>
        <w:spacing w:after="0" w:line="70" w:lineRule="exact"/>
        <w:rPr>
          <w:sz w:val="20"/>
          <w:szCs w:val="20"/>
          <w:color w:val="auto"/>
        </w:rPr>
      </w:pPr>
    </w:p>
    <w:p>
      <w:pPr>
        <w:ind w:left="680" w:right="800" w:firstLine="399"/>
        <w:spacing w:after="0" w:line="260" w:lineRule="auto"/>
        <w:rPr>
          <w:sz w:val="20"/>
          <w:szCs w:val="20"/>
          <w:color w:val="auto"/>
        </w:rPr>
      </w:pPr>
      <w:r>
        <w:rPr>
          <w:rFonts w:ascii="Arial" w:cs="Arial" w:eastAsia="Arial" w:hAnsi="Arial"/>
          <w:sz w:val="13"/>
          <w:szCs w:val="13"/>
          <w:i w:val="1"/>
          <w:iCs w:val="1"/>
          <w:color w:val="auto"/>
        </w:rPr>
        <w:t xml:space="preserve">Federal low-income housing tax credits </w:t>
      </w:r>
      <w:r>
        <w:rPr>
          <w:rFonts w:ascii="Arial" w:cs="Arial" w:eastAsia="Arial" w:hAnsi="Arial"/>
          <w:sz w:val="13"/>
          <w:szCs w:val="13"/>
          <w:color w:val="auto"/>
        </w:rPr>
        <w:t>— In April 2010, we acquired a noncontrolling interest in a limited liability company established to invest in and manage low-income</w:t>
      </w:r>
      <w:r>
        <w:rPr>
          <w:rFonts w:ascii="Arial" w:cs="Arial" w:eastAsia="Arial" w:hAnsi="Arial"/>
          <w:sz w:val="13"/>
          <w:szCs w:val="13"/>
          <w:i w:val="1"/>
          <w:iCs w:val="1"/>
          <w:color w:val="auto"/>
        </w:rPr>
        <w:t xml:space="preserve"> </w:t>
      </w:r>
      <w:r>
        <w:rPr>
          <w:rFonts w:ascii="Arial" w:cs="Arial" w:eastAsia="Arial" w:hAnsi="Arial"/>
          <w:sz w:val="13"/>
          <w:szCs w:val="13"/>
          <w:color w:val="auto"/>
        </w:rPr>
        <w:t>housing properties. Our consideration for this investment totaled $221 million, which was comprised of a $215 million note payable and an initial cash payment of $6 million. We determined that we are not the primary beneficiary of this entity as we do not have the power to direct the entity’s activities. At June 30, 2010, our investment balance was $213 million. Additional information related to this investment is discussed in Note 5.</w:t>
      </w:r>
    </w:p>
    <w:p>
      <w:pPr>
        <w:spacing w:after="0" w:line="144" w:lineRule="exact"/>
        <w:rPr>
          <w:sz w:val="20"/>
          <w:szCs w:val="20"/>
          <w:color w:val="auto"/>
        </w:rPr>
      </w:pPr>
    </w:p>
    <w:p>
      <w:pPr>
        <w:ind w:left="1000" w:hanging="313"/>
        <w:spacing w:after="0"/>
        <w:tabs>
          <w:tab w:leader="none" w:pos="100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Landfill and Environmental Remediation Liabilities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Liabilities for landfill and environmental remediation costs are presented in the table below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7"/>
              <w:spacing w:after="0"/>
              <w:rPr>
                <w:sz w:val="20"/>
                <w:szCs w:val="20"/>
                <w:color w:val="auto"/>
              </w:rPr>
            </w:pPr>
            <w:r>
              <w:rPr>
                <w:rFonts w:ascii="Arial" w:cs="Arial" w:eastAsia="Arial" w:hAnsi="Arial"/>
                <w:sz w:val="10"/>
                <w:szCs w:val="10"/>
                <w:b w:val="1"/>
                <w:bCs w:val="1"/>
                <w:color w:val="auto"/>
              </w:rPr>
              <w:t>June 30, 2010</w:t>
            </w:r>
          </w:p>
        </w:tc>
        <w:tc>
          <w:tcPr>
            <w:tcW w:w="2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0"/>
                <w:szCs w:val="10"/>
                <w:b w:val="1"/>
                <w:bCs w:val="1"/>
                <w:color w:val="auto"/>
                <w:w w:val="93"/>
              </w:rPr>
              <w:t>December 31, 2009</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72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5"/>
              </w:rPr>
              <w:t>Landfill</w:t>
            </w:r>
          </w:p>
        </w:tc>
        <w:tc>
          <w:tcPr>
            <w:tcW w:w="900" w:type="dxa"/>
            <w:vAlign w:val="bottom"/>
          </w:tcPr>
          <w:p>
            <w:pPr>
              <w:jc w:val="right"/>
              <w:spacing w:after="0" w:line="81" w:lineRule="exact"/>
              <w:rPr>
                <w:sz w:val="20"/>
                <w:szCs w:val="20"/>
                <w:color w:val="auto"/>
              </w:rPr>
            </w:pPr>
            <w:r>
              <w:rPr>
                <w:rFonts w:ascii="Arial" w:cs="Arial" w:eastAsia="Arial" w:hAnsi="Arial"/>
                <w:sz w:val="9"/>
                <w:szCs w:val="9"/>
                <w:b w:val="1"/>
                <w:bCs w:val="1"/>
                <w:color w:val="auto"/>
              </w:rPr>
              <w:t>Environmental</w:t>
            </w: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7"/>
                <w:szCs w:val="7"/>
                <w:color w:val="auto"/>
              </w:rPr>
            </w:pPr>
          </w:p>
        </w:tc>
        <w:tc>
          <w:tcPr>
            <w:tcW w:w="8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Landfill</w:t>
            </w:r>
          </w:p>
        </w:tc>
        <w:tc>
          <w:tcPr>
            <w:tcW w:w="100" w:type="dxa"/>
            <w:vAlign w:val="bottom"/>
          </w:tcPr>
          <w:p>
            <w:pPr>
              <w:spacing w:after="0"/>
              <w:rPr>
                <w:sz w:val="7"/>
                <w:szCs w:val="7"/>
                <w:color w:val="auto"/>
              </w:rPr>
            </w:pPr>
          </w:p>
        </w:tc>
        <w:tc>
          <w:tcPr>
            <w:tcW w:w="140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Environmental</w:t>
            </w:r>
          </w:p>
        </w:tc>
        <w:tc>
          <w:tcPr>
            <w:tcW w:w="100" w:type="dxa"/>
            <w:vAlign w:val="bottom"/>
          </w:tcPr>
          <w:p>
            <w:pPr>
              <w:spacing w:after="0"/>
              <w:rPr>
                <w:sz w:val="7"/>
                <w:szCs w:val="7"/>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00" w:type="dxa"/>
            <w:vAlign w:val="bottom"/>
          </w:tcPr>
          <w:p>
            <w:pPr>
              <w:jc w:val="right"/>
              <w:ind w:right="7"/>
              <w:spacing w:after="0"/>
              <w:rPr>
                <w:sz w:val="20"/>
                <w:szCs w:val="20"/>
                <w:color w:val="auto"/>
              </w:rPr>
            </w:pPr>
            <w:r>
              <w:rPr>
                <w:rFonts w:ascii="Arial" w:cs="Arial" w:eastAsia="Arial" w:hAnsi="Arial"/>
                <w:sz w:val="10"/>
                <w:szCs w:val="10"/>
                <w:b w:val="1"/>
                <w:bCs w:val="1"/>
                <w:color w:val="auto"/>
              </w:rPr>
              <w:t>Remediation</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3"/>
              </w:rPr>
              <w:t>Remediation</w:t>
            </w:r>
          </w:p>
        </w:tc>
        <w:tc>
          <w:tcPr>
            <w:tcW w:w="10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Current (in accrued liabilities)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129</w:t>
            </w:r>
          </w:p>
        </w:tc>
        <w:tc>
          <w:tcPr>
            <w:tcW w:w="900" w:type="dxa"/>
            <w:vAlign w:val="bottom"/>
            <w:shd w:val="clear" w:color="auto" w:fill="CCEEFF"/>
          </w:tcPr>
          <w:p>
            <w:pPr>
              <w:jc w:val="right"/>
              <w:ind w:right="787"/>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Long-term</w:t>
            </w:r>
          </w:p>
        </w:tc>
        <w:tc>
          <w:tcPr>
            <w:tcW w:w="60" w:type="dxa"/>
            <w:vAlign w:val="bottom"/>
          </w:tcPr>
          <w:p>
            <w:pPr>
              <w:spacing w:after="0"/>
              <w:rPr>
                <w:sz w:val="13"/>
                <w:szCs w:val="13"/>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3"/>
                <w:szCs w:val="13"/>
                <w:color w:val="auto"/>
              </w:rPr>
              <w:t>1,167</w:t>
            </w:r>
          </w:p>
        </w:tc>
        <w:tc>
          <w:tcPr>
            <w:tcW w:w="900" w:type="dxa"/>
            <w:vAlign w:val="bottom"/>
          </w:tcPr>
          <w:p>
            <w:pPr>
              <w:spacing w:after="0"/>
              <w:rPr>
                <w:sz w:val="13"/>
                <w:szCs w:val="13"/>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3"/>
                <w:szCs w:val="13"/>
                <w:color w:val="auto"/>
                <w:w w:val="82"/>
              </w:rPr>
              <w:t>260</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1,427</w:t>
            </w: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1,142</w:t>
            </w:r>
          </w:p>
        </w:tc>
        <w:tc>
          <w:tcPr>
            <w:tcW w:w="100" w:type="dxa"/>
            <w:vAlign w:val="bottom"/>
          </w:tcPr>
          <w:p>
            <w:pPr>
              <w:spacing w:after="0"/>
              <w:rPr>
                <w:sz w:val="13"/>
                <w:szCs w:val="13"/>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215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1,357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1,296</w:t>
            </w:r>
          </w:p>
        </w:tc>
        <w:tc>
          <w:tcPr>
            <w:tcW w:w="900" w:type="dxa"/>
            <w:vAlign w:val="bottom"/>
            <w:shd w:val="clear" w:color="auto" w:fill="CCEEFF"/>
          </w:tcPr>
          <w:p>
            <w:pPr>
              <w:jc w:val="right"/>
              <w:ind w:right="787"/>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2"/>
              </w:rPr>
              <w:t>302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1,598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1,267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1,523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Borders>
              <w:top w:val="single" w:sz="8" w:color="auto"/>
            </w:tcBorders>
          </w:tcPr>
          <w:p>
            <w:pPr>
              <w:jc w:val="right"/>
              <w:ind w:right="467"/>
              <w:spacing w:after="0"/>
              <w:rPr>
                <w:sz w:val="20"/>
                <w:szCs w:val="20"/>
                <w:color w:val="auto"/>
              </w:rPr>
            </w:pPr>
            <w:r>
              <w:rPr>
                <w:rFonts w:ascii="Arial" w:cs="Arial" w:eastAsia="Arial" w:hAnsi="Arial"/>
                <w:sz w:val="13"/>
                <w:szCs w:val="13"/>
                <w:color w:val="auto"/>
              </w:rPr>
              <w:t>7</w:t>
            </w:r>
          </w:p>
        </w:tc>
        <w:tc>
          <w:tcPr>
            <w:tcW w:w="2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7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changes to landfill and environmental remediation liabilities for the year ended December 31, 2009 and the six months ended June 30, 2010 are reflected in the table below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Landfill</w:t>
            </w:r>
          </w:p>
        </w:tc>
        <w:tc>
          <w:tcPr>
            <w:tcW w:w="140" w:type="dxa"/>
            <w:vAlign w:val="bottom"/>
          </w:tcPr>
          <w:p>
            <w:pPr>
              <w:spacing w:after="0"/>
              <w:rPr>
                <w:sz w:val="10"/>
                <w:szCs w:val="1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Environmental</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Remediation</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31, 2008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299</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39</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(80)</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80</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Revisions in estimates and interest rate assumptions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31, 2009</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1,267</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256</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22</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40</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Revisions in estimates and interest rate assumptions(a)</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June 30, 2010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1,296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302</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6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40" w:hanging="393"/>
        <w:spacing w:after="0" w:line="258" w:lineRule="auto"/>
        <w:tabs>
          <w:tab w:leader="none" w:pos="1080"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The revisions in estimates associated with our environmental remediation liabilities were primarily related to (i) charges totalling $39 million for the revisions of estimates associated with remediation liabilities at two sites, as described further under the </w:t>
      </w:r>
      <w:r>
        <w:rPr>
          <w:rFonts w:ascii="Arial" w:cs="Arial" w:eastAsia="Arial" w:hAnsi="Arial"/>
          <w:sz w:val="13"/>
          <w:szCs w:val="13"/>
          <w:i w:val="1"/>
          <w:iCs w:val="1"/>
          <w:color w:val="auto"/>
        </w:rPr>
        <w:t>Environmental matters</w:t>
      </w:r>
      <w:r>
        <w:rPr>
          <w:rFonts w:ascii="Arial" w:cs="Arial" w:eastAsia="Arial" w:hAnsi="Arial"/>
          <w:sz w:val="13"/>
          <w:szCs w:val="13"/>
          <w:color w:val="auto"/>
        </w:rPr>
        <w:t xml:space="preserve"> section of Note 8, and (ii) the impact of changes in the risk-free discount rate used to measure the liabilities. As of December 31, 2009, we used a risk-free discount rate for these obligations of 3.75%. The applicable rate decreased to 3.0% as of June 30, 2010. The change in discount rate resulted in a $12 million increase to our environmental remediation liabilities and a corresponding increase to “Operating” expenses for the three and six months ended June 30, 2010.</w:t>
      </w:r>
    </w:p>
    <w:p>
      <w:pPr>
        <w:spacing w:after="0" w:line="71"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At several of our landfills, we provide financial assurance by depositing cash into restricted trust funds or escrow accounts for purposes of settling capping, closure, post-closure and environmental remediation obligations. Generally, these trust funds are established to comply with statutory requirements and operating agreements and we are the sole beneficiary of the restricted balances. However, certain of the funds have been established for the benefit of both the Company and the host community in which we operate.</w:t>
      </w:r>
    </w:p>
    <w:p>
      <w:pPr>
        <w:spacing w:after="0" w:line="5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The fair value of trust funds and escrow accounts for which we are the sole beneficiary was $124 million at June 30, 2010. As discussed in Note 1, effective January 1, 2010, we deconsolidated the trusts for which power over significant activities of the trust is shared, which reduced our restricted trust and escrow accounts by $109 million as of January 1, 2010. Beginning in 2010, our interests in these variable interest entities have been accounted for as investments in unconsolidated entities and receivables. The fair value of our investment in these entities was $107 million as of June 30, 2010. These amounts are included in “Other receivables” and as long-term “Other assets” in our Condensed Consolidated Balance Sheet.</w:t>
      </w:r>
    </w:p>
    <w:p>
      <w:pPr>
        <w:spacing w:after="0" w:line="24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1000" w:hanging="313"/>
        <w:spacing w:after="0"/>
        <w:tabs>
          <w:tab w:leader="none" w:pos="100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Debt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following table summarizes the major components of debt at each balance sheet date (in millions) and provides the maturities and interest rate ranges of each major category as of</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June 30, 2010:</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w w:val="89"/>
              </w:rPr>
              <w:t>June 30,</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r>
      <w:tr>
        <w:trPr>
          <w:trHeight w:val="125"/>
        </w:trPr>
        <w:tc>
          <w:tcPr>
            <w:tcW w:w="80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29"/>
        </w:trPr>
        <w:tc>
          <w:tcPr>
            <w:tcW w:w="80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Revolving credit facility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Letter of credit facilities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Canadian credit facility (weighted average interest rate of 1.3% at June 30, 2010 and December 31, 2009)</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255</w:t>
            </w:r>
          </w:p>
        </w:tc>
      </w:tr>
      <w:tr>
        <w:trPr>
          <w:trHeight w:val="148"/>
        </w:trPr>
        <w:tc>
          <w:tcPr>
            <w:tcW w:w="8000" w:type="dxa"/>
            <w:vAlign w:val="bottom"/>
          </w:tcPr>
          <w:p>
            <w:pPr>
              <w:spacing w:after="0" w:line="149" w:lineRule="exact"/>
              <w:rPr>
                <w:sz w:val="20"/>
                <w:szCs w:val="20"/>
                <w:color w:val="auto"/>
              </w:rPr>
            </w:pPr>
            <w:r>
              <w:rPr>
                <w:rFonts w:ascii="Arial" w:cs="Arial" w:eastAsia="Arial" w:hAnsi="Arial"/>
                <w:sz w:val="13"/>
                <w:szCs w:val="13"/>
                <w:color w:val="auto"/>
                <w:w w:val="93"/>
              </w:rPr>
              <w:t>Senior notes and debentures, maturing through 2039, interest rates ranging from 4.75% to 7.75% (weighted average interest rate of 6.6% at June 30,</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8000" w:type="dxa"/>
            <w:vAlign w:val="bottom"/>
          </w:tcPr>
          <w:p>
            <w:pPr>
              <w:ind w:left="140"/>
              <w:spacing w:after="0"/>
              <w:rPr>
                <w:sz w:val="20"/>
                <w:szCs w:val="20"/>
                <w:color w:val="auto"/>
              </w:rPr>
            </w:pPr>
            <w:r>
              <w:rPr>
                <w:rFonts w:ascii="Arial" w:cs="Arial" w:eastAsia="Arial" w:hAnsi="Arial"/>
                <w:sz w:val="13"/>
                <w:szCs w:val="13"/>
                <w:color w:val="auto"/>
              </w:rPr>
              <w:t>2010 and 6.8% at December 31, 2009)</w:t>
            </w: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6,066</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5,465</w:t>
            </w:r>
          </w:p>
        </w:tc>
      </w:tr>
      <w:tr>
        <w:trPr>
          <w:trHeight w:val="149"/>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w w:val="95"/>
              </w:rPr>
              <w:t>Tax-exempt bonds maturing through 2039, fixed and variable interest rates ranging from 0.25% to 7.4% (weighted average interest rate of 3.2% at</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6"/>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June 30, 2010 and 3.5% at December 31, 2009)</w:t>
            </w: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2,696</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2,749</w:t>
            </w:r>
          </w:p>
        </w:tc>
      </w:tr>
      <w:tr>
        <w:trPr>
          <w:trHeight w:val="148"/>
        </w:trPr>
        <w:tc>
          <w:tcPr>
            <w:tcW w:w="8000" w:type="dxa"/>
            <w:vAlign w:val="bottom"/>
          </w:tcPr>
          <w:p>
            <w:pPr>
              <w:spacing w:after="0" w:line="149" w:lineRule="exact"/>
              <w:rPr>
                <w:sz w:val="20"/>
                <w:szCs w:val="20"/>
                <w:color w:val="auto"/>
              </w:rPr>
            </w:pPr>
            <w:r>
              <w:rPr>
                <w:rFonts w:ascii="Arial" w:cs="Arial" w:eastAsia="Arial" w:hAnsi="Arial"/>
                <w:sz w:val="13"/>
                <w:szCs w:val="13"/>
                <w:color w:val="auto"/>
                <w:w w:val="94"/>
              </w:rPr>
              <w:t>Tax-exempt project bonds, principal payable in periodic installments, maturing through 2029, fixed and variable interest rates ranging from 0.2% to</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8000" w:type="dxa"/>
            <w:vAlign w:val="bottom"/>
          </w:tcPr>
          <w:p>
            <w:pPr>
              <w:ind w:left="140"/>
              <w:spacing w:after="0"/>
              <w:rPr>
                <w:sz w:val="20"/>
                <w:szCs w:val="20"/>
                <w:color w:val="auto"/>
              </w:rPr>
            </w:pPr>
            <w:r>
              <w:rPr>
                <w:rFonts w:ascii="Arial" w:cs="Arial" w:eastAsia="Arial" w:hAnsi="Arial"/>
                <w:sz w:val="13"/>
                <w:szCs w:val="13"/>
                <w:color w:val="auto"/>
              </w:rPr>
              <w:t>5.4% (weighted average interest rate of 3.0% at June 30, 2010 and 3.1% at December 31, 2009)</w:t>
            </w: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156</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156</w:t>
            </w:r>
          </w:p>
        </w:tc>
      </w:tr>
      <w:tr>
        <w:trPr>
          <w:trHeight w:val="158"/>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Capital leases and other, maturing through 2050, interest rates up to 12%</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w:t>
            </w:r>
          </w:p>
        </w:tc>
      </w:tr>
      <w:tr>
        <w:trPr>
          <w:trHeight w:val="20"/>
        </w:trPr>
        <w:tc>
          <w:tcPr>
            <w:tcW w:w="8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9,585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8,873</w:t>
            </w:r>
          </w:p>
        </w:tc>
      </w:tr>
      <w:tr>
        <w:trPr>
          <w:trHeight w:val="158"/>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Current portion of long-term debt</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749</w:t>
            </w:r>
          </w:p>
        </w:tc>
      </w:tr>
      <w:tr>
        <w:trPr>
          <w:trHeight w:val="20"/>
        </w:trPr>
        <w:tc>
          <w:tcPr>
            <w:tcW w:w="8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0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8,827</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8,124</w:t>
            </w:r>
          </w:p>
        </w:tc>
      </w:tr>
      <w:tr>
        <w:trPr>
          <w:trHeight w:val="30"/>
        </w:trPr>
        <w:tc>
          <w:tcPr>
            <w:tcW w:w="80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Debt Classification</w:t>
      </w:r>
    </w:p>
    <w:p>
      <w:pPr>
        <w:spacing w:after="0" w:line="96" w:lineRule="exact"/>
        <w:rPr>
          <w:sz w:val="20"/>
          <w:szCs w:val="20"/>
          <w:color w:val="auto"/>
        </w:rPr>
      </w:pPr>
    </w:p>
    <w:p>
      <w:pPr>
        <w:jc w:val="both"/>
        <w:ind w:left="680" w:right="140" w:firstLine="399"/>
        <w:spacing w:after="0" w:line="276" w:lineRule="auto"/>
        <w:rPr>
          <w:sz w:val="20"/>
          <w:szCs w:val="20"/>
          <w:color w:val="auto"/>
        </w:rPr>
      </w:pPr>
      <w:r>
        <w:rPr>
          <w:rFonts w:ascii="Arial" w:cs="Arial" w:eastAsia="Arial" w:hAnsi="Arial"/>
          <w:sz w:val="13"/>
          <w:szCs w:val="13"/>
          <w:color w:val="auto"/>
        </w:rPr>
        <w:t>As of June 30, 2010, we had $1,100 million of debt maturing within twelve months. We have classified $342 million of these borrowings as long-term as of June 30, 2010 based on our intent and ability to refinance these borrowings on a long-term basis.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Debt Borrowings and Repayments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significant changes in our debt balances from December 31, 2009 to June 30, 2010 are related to the following:</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Canadian credit facility </w:t>
      </w:r>
      <w:r>
        <w:rPr>
          <w:rFonts w:ascii="Arial" w:cs="Arial" w:eastAsia="Arial" w:hAnsi="Arial"/>
          <w:sz w:val="13"/>
          <w:szCs w:val="13"/>
          <w:color w:val="auto"/>
        </w:rPr>
        <w:t>— The decrease in the carrying value is primarily due to $9 million of net debt repayments during the six months ended June 30, 2010. The remaining change</w:t>
      </w:r>
      <w:r>
        <w:rPr>
          <w:rFonts w:ascii="Arial" w:cs="Arial" w:eastAsia="Arial" w:hAnsi="Arial"/>
          <w:sz w:val="13"/>
          <w:szCs w:val="13"/>
          <w:i w:val="1"/>
          <w:iCs w:val="1"/>
          <w:color w:val="auto"/>
        </w:rPr>
        <w:t xml:space="preserve"> </w:t>
      </w:r>
      <w:r>
        <w:rPr>
          <w:rFonts w:ascii="Arial" w:cs="Arial" w:eastAsia="Arial" w:hAnsi="Arial"/>
          <w:sz w:val="13"/>
          <w:szCs w:val="13"/>
          <w:color w:val="auto"/>
        </w:rPr>
        <w:t>in the carrying value is due to currency translation adjustments, which were partially offset by the impact of interest accretion.</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i w:val="1"/>
          <w:iCs w:val="1"/>
          <w:color w:val="auto"/>
        </w:rPr>
        <w:t xml:space="preserve">Senior notes </w:t>
      </w:r>
      <w:r>
        <w:rPr>
          <w:rFonts w:ascii="Arial" w:cs="Arial" w:eastAsia="Arial" w:hAnsi="Arial"/>
          <w:sz w:val="13"/>
          <w:szCs w:val="13"/>
          <w:color w:val="auto"/>
        </w:rPr>
        <w:t>— In June 2010, we issued $600 million of 4.75% senior notes due June 2020. The net proceeds from the debt issuance were $592 million. We intend to use the proceeds</w:t>
      </w:r>
      <w:r>
        <w:rPr>
          <w:rFonts w:ascii="Arial" w:cs="Arial" w:eastAsia="Arial" w:hAnsi="Arial"/>
          <w:sz w:val="13"/>
          <w:szCs w:val="13"/>
          <w:i w:val="1"/>
          <w:iCs w:val="1"/>
          <w:color w:val="auto"/>
        </w:rPr>
        <w:t xml:space="preserve"> </w:t>
      </w:r>
      <w:r>
        <w:rPr>
          <w:rFonts w:ascii="Arial" w:cs="Arial" w:eastAsia="Arial" w:hAnsi="Arial"/>
          <w:sz w:val="13"/>
          <w:szCs w:val="13"/>
          <w:color w:val="auto"/>
        </w:rPr>
        <w:t>together with cash on hand to repay $600 million of 7.375% senior notes that mature in August 2010.</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Tax-exempt bonds </w:t>
      </w:r>
      <w:r>
        <w:rPr>
          <w:rFonts w:ascii="Arial" w:cs="Arial" w:eastAsia="Arial" w:hAnsi="Arial"/>
          <w:sz w:val="13"/>
          <w:szCs w:val="13"/>
          <w:color w:val="auto"/>
        </w:rPr>
        <w:t>— During the six months ended June 30, 2010, we repaid $52 million of our tax-exempt bonds with available cash.</w:t>
      </w:r>
    </w:p>
    <w:p>
      <w:pPr>
        <w:spacing w:after="0" w:line="96"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i w:val="1"/>
          <w:iCs w:val="1"/>
          <w:color w:val="auto"/>
        </w:rPr>
        <w:t xml:space="preserve">Capital leases and Other </w:t>
      </w:r>
      <w:r>
        <w:rPr>
          <w:rFonts w:ascii="Arial" w:cs="Arial" w:eastAsia="Arial" w:hAnsi="Arial"/>
          <w:sz w:val="13"/>
          <w:szCs w:val="13"/>
          <w:color w:val="auto"/>
        </w:rPr>
        <w:t>— The significant increase in our capital leases and other debt obligations for the six-month period ended June 30, 2010 is primarily related to our federal</w:t>
      </w:r>
      <w:r>
        <w:rPr>
          <w:rFonts w:ascii="Arial" w:cs="Arial" w:eastAsia="Arial" w:hAnsi="Arial"/>
          <w:sz w:val="13"/>
          <w:szCs w:val="13"/>
          <w:i w:val="1"/>
          <w:iCs w:val="1"/>
          <w:color w:val="auto"/>
        </w:rPr>
        <w:t xml:space="preserve"> </w:t>
      </w:r>
      <w:r>
        <w:rPr>
          <w:rFonts w:ascii="Arial" w:cs="Arial" w:eastAsia="Arial" w:hAnsi="Arial"/>
          <w:sz w:val="13"/>
          <w:szCs w:val="13"/>
          <w:color w:val="auto"/>
        </w:rPr>
        <w:t>low-income housing investment discussed in Note 5, which increased our debt obligations by $215 million. This increase was offset by $38 million of repayments of various borrowings at their scheduled maturities.</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Revolving Credit and Letter of Credit Facilities</w:t>
      </w:r>
    </w:p>
    <w:p>
      <w:pPr>
        <w:spacing w:after="0" w:line="96" w:lineRule="exact"/>
        <w:rPr>
          <w:sz w:val="20"/>
          <w:szCs w:val="20"/>
          <w:color w:val="auto"/>
        </w:rPr>
      </w:pPr>
    </w:p>
    <w:p>
      <w:pPr>
        <w:ind w:left="680" w:right="800" w:firstLine="399"/>
        <w:spacing w:after="0" w:line="289" w:lineRule="auto"/>
        <w:rPr>
          <w:sz w:val="20"/>
          <w:szCs w:val="20"/>
          <w:color w:val="auto"/>
        </w:rPr>
      </w:pPr>
      <w:r>
        <w:rPr>
          <w:rFonts w:ascii="Arial" w:cs="Arial" w:eastAsia="Arial" w:hAnsi="Arial"/>
          <w:sz w:val="12"/>
          <w:szCs w:val="12"/>
          <w:color w:val="auto"/>
        </w:rPr>
        <w:t>As of June 30, 2010, we had an aggregate committed capacity of $2.5 billion for letters of credit under various credit facilities. Our primary source of letter of credit capacity is a three-year, $2.0 billion revolving credit facility that was executed in June 2010 to replace the $2.4 billion credit facility that would have expired in August 2011. Our remaining letter of credit capacity is provided under facilities with maturities that extend from June 2013 to June 2015. As of June 30, 2010, we had an aggregate of $1.7 billion of letters of credit outstanding under our revolving credit facility and letter of credit facilities. There have not been any borrowings outstanding under these credit facilities during 2010.</w:t>
      </w:r>
    </w:p>
    <w:p>
      <w:pPr>
        <w:spacing w:after="0" w:line="128" w:lineRule="exact"/>
        <w:rPr>
          <w:sz w:val="20"/>
          <w:szCs w:val="20"/>
          <w:color w:val="auto"/>
        </w:rPr>
      </w:pPr>
    </w:p>
    <w:p>
      <w:pPr>
        <w:ind w:left="1000" w:hanging="313"/>
        <w:spacing w:after="0"/>
        <w:tabs>
          <w:tab w:leader="none" w:pos="1000"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Derivative Instruments and Hedging Activities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fair values of derivative instruments recorded in our Condensed Consolidated Balance Sheet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900" w:type="dxa"/>
            <w:vAlign w:val="bottom"/>
            <w:vMerge w:val="restart"/>
          </w:tcPr>
          <w:p>
            <w:pPr>
              <w:spacing w:after="0"/>
              <w:rPr>
                <w:sz w:val="20"/>
                <w:szCs w:val="20"/>
                <w:color w:val="auto"/>
              </w:rPr>
            </w:pPr>
            <w:r>
              <w:rPr>
                <w:rFonts w:ascii="Arial" w:cs="Arial" w:eastAsia="Arial" w:hAnsi="Arial"/>
                <w:sz w:val="10"/>
                <w:szCs w:val="10"/>
                <w:b w:val="1"/>
                <w:bCs w:val="1"/>
                <w:color w:val="auto"/>
              </w:rPr>
              <w:t>Derivatives Designated as Hedging Instruments</w:t>
            </w:r>
          </w:p>
        </w:tc>
        <w:tc>
          <w:tcPr>
            <w:tcW w:w="200" w:type="dxa"/>
            <w:vAlign w:val="bottom"/>
          </w:tcPr>
          <w:p>
            <w:pPr>
              <w:spacing w:after="0"/>
              <w:rPr>
                <w:sz w:val="10"/>
                <w:szCs w:val="10"/>
                <w:color w:val="auto"/>
              </w:rPr>
            </w:pPr>
          </w:p>
        </w:tc>
        <w:tc>
          <w:tcPr>
            <w:tcW w:w="3600" w:type="dxa"/>
            <w:vAlign w:val="bottom"/>
            <w:vMerge w:val="restart"/>
          </w:tcPr>
          <w:p>
            <w:pPr>
              <w:ind w:left="1280"/>
              <w:spacing w:after="0"/>
              <w:rPr>
                <w:sz w:val="20"/>
                <w:szCs w:val="20"/>
                <w:color w:val="auto"/>
              </w:rPr>
            </w:pPr>
            <w:r>
              <w:rPr>
                <w:rFonts w:ascii="Arial" w:cs="Arial" w:eastAsia="Arial" w:hAnsi="Arial"/>
                <w:sz w:val="10"/>
                <w:szCs w:val="10"/>
                <w:b w:val="1"/>
                <w:bCs w:val="1"/>
                <w:color w:val="auto"/>
              </w:rPr>
              <w:t>Balance Sheet Location</w:t>
            </w:r>
          </w:p>
        </w:tc>
        <w:tc>
          <w:tcPr>
            <w:tcW w:w="300" w:type="dxa"/>
            <w:vAlign w:val="bottom"/>
          </w:tcPr>
          <w:p>
            <w:pPr>
              <w:spacing w:after="0"/>
              <w:rPr>
                <w:sz w:val="10"/>
                <w:szCs w:val="10"/>
                <w:color w:val="auto"/>
              </w:rPr>
            </w:pPr>
          </w:p>
        </w:tc>
        <w:tc>
          <w:tcPr>
            <w:tcW w:w="900" w:type="dxa"/>
            <w:vAlign w:val="bottom"/>
            <w:gridSpan w:val="3"/>
          </w:tcPr>
          <w:p>
            <w:pPr>
              <w:jc w:val="right"/>
              <w:ind w:right="460"/>
              <w:spacing w:after="0"/>
              <w:rPr>
                <w:sz w:val="20"/>
                <w:szCs w:val="20"/>
                <w:color w:val="auto"/>
              </w:rPr>
            </w:pPr>
            <w:r>
              <w:rPr>
                <w:rFonts w:ascii="Arial" w:cs="Arial" w:eastAsia="Arial" w:hAnsi="Arial"/>
                <w:sz w:val="10"/>
                <w:szCs w:val="10"/>
                <w:b w:val="1"/>
                <w:bCs w:val="1"/>
                <w:color w:val="auto"/>
              </w:rPr>
              <w:t>June 30,</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5"/>
        </w:trPr>
        <w:tc>
          <w:tcPr>
            <w:tcW w:w="390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3600" w:type="dxa"/>
            <w:vAlign w:val="bottom"/>
            <w:tcBorders>
              <w:bottom w:val="single" w:sz="8" w:color="auto"/>
            </w:tcBorders>
            <w:vMerge w:val="continue"/>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Interest rate contracts</w:t>
            </w:r>
          </w:p>
        </w:tc>
        <w:tc>
          <w:tcPr>
            <w:tcW w:w="200" w:type="dxa"/>
            <w:vAlign w:val="bottom"/>
            <w:shd w:val="clear" w:color="auto" w:fill="CCEEFF"/>
          </w:tcPr>
          <w:p>
            <w:pPr>
              <w:spacing w:after="0"/>
              <w:rPr>
                <w:sz w:val="13"/>
                <w:szCs w:val="13"/>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Current other assets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3900" w:type="dxa"/>
            <w:vAlign w:val="bottom"/>
          </w:tcPr>
          <w:p>
            <w:pPr>
              <w:spacing w:after="0"/>
              <w:rPr>
                <w:sz w:val="20"/>
                <w:szCs w:val="20"/>
                <w:color w:val="auto"/>
              </w:rPr>
            </w:pPr>
            <w:r>
              <w:rPr>
                <w:rFonts w:ascii="Arial" w:cs="Arial" w:eastAsia="Arial" w:hAnsi="Arial"/>
                <w:sz w:val="13"/>
                <w:szCs w:val="13"/>
                <w:color w:val="auto"/>
              </w:rPr>
              <w:t>Interest rate contracts</w:t>
            </w:r>
          </w:p>
        </w:tc>
        <w:tc>
          <w:tcPr>
            <w:tcW w:w="200" w:type="dxa"/>
            <w:vAlign w:val="bottom"/>
          </w:tcPr>
          <w:p>
            <w:pPr>
              <w:spacing w:after="0"/>
              <w:rPr>
                <w:sz w:val="13"/>
                <w:szCs w:val="13"/>
                <w:color w:val="auto"/>
              </w:rPr>
            </w:pPr>
          </w:p>
        </w:tc>
        <w:tc>
          <w:tcPr>
            <w:tcW w:w="3600" w:type="dxa"/>
            <w:vAlign w:val="bottom"/>
          </w:tcPr>
          <w:p>
            <w:pPr>
              <w:spacing w:after="0"/>
              <w:rPr>
                <w:sz w:val="20"/>
                <w:szCs w:val="20"/>
                <w:color w:val="auto"/>
              </w:rPr>
            </w:pPr>
            <w:r>
              <w:rPr>
                <w:rFonts w:ascii="Arial" w:cs="Arial" w:eastAsia="Arial" w:hAnsi="Arial"/>
                <w:sz w:val="13"/>
                <w:szCs w:val="13"/>
                <w:color w:val="auto"/>
              </w:rPr>
              <w:t>Long-term other assets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Total derivative assets</w:t>
            </w:r>
          </w:p>
        </w:tc>
        <w:tc>
          <w:tcPr>
            <w:tcW w:w="200" w:type="dxa"/>
            <w:vAlign w:val="bottom"/>
            <w:shd w:val="clear" w:color="auto" w:fill="CCEEFF"/>
          </w:tcPr>
          <w:p>
            <w:pPr>
              <w:spacing w:after="0"/>
              <w:rPr>
                <w:sz w:val="13"/>
                <w:szCs w:val="13"/>
                <w:color w:val="auto"/>
              </w:rPr>
            </w:pPr>
          </w:p>
        </w:tc>
        <w:tc>
          <w:tcPr>
            <w:tcW w:w="3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29"/>
        </w:trPr>
        <w:tc>
          <w:tcPr>
            <w:tcW w:w="3900" w:type="dxa"/>
            <w:vAlign w:val="bottom"/>
            <w:vMerge w:val="restart"/>
          </w:tcPr>
          <w:p>
            <w:pPr>
              <w:spacing w:after="0"/>
              <w:rPr>
                <w:sz w:val="20"/>
                <w:szCs w:val="20"/>
                <w:color w:val="auto"/>
              </w:rPr>
            </w:pPr>
            <w:r>
              <w:rPr>
                <w:rFonts w:ascii="Arial" w:cs="Arial" w:eastAsia="Arial" w:hAnsi="Arial"/>
                <w:sz w:val="13"/>
                <w:szCs w:val="13"/>
                <w:color w:val="auto"/>
              </w:rPr>
              <w:t>Interest rate contracts</w:t>
            </w:r>
          </w:p>
        </w:tc>
        <w:tc>
          <w:tcPr>
            <w:tcW w:w="200" w:type="dxa"/>
            <w:vAlign w:val="bottom"/>
          </w:tcPr>
          <w:p>
            <w:pPr>
              <w:spacing w:after="0"/>
              <w:rPr>
                <w:sz w:val="2"/>
                <w:szCs w:val="2"/>
                <w:color w:val="auto"/>
              </w:rPr>
            </w:pPr>
          </w:p>
        </w:tc>
        <w:tc>
          <w:tcPr>
            <w:tcW w:w="3600" w:type="dxa"/>
            <w:vAlign w:val="bottom"/>
            <w:vMerge w:val="restart"/>
          </w:tcPr>
          <w:p>
            <w:pPr>
              <w:spacing w:after="0"/>
              <w:rPr>
                <w:sz w:val="20"/>
                <w:szCs w:val="20"/>
                <w:color w:val="auto"/>
              </w:rPr>
            </w:pPr>
            <w:r>
              <w:rPr>
                <w:rFonts w:ascii="Arial" w:cs="Arial" w:eastAsia="Arial" w:hAnsi="Arial"/>
                <w:sz w:val="13"/>
                <w:szCs w:val="13"/>
                <w:color w:val="auto"/>
              </w:rPr>
              <w:t>Current accrued liabilities</w:t>
            </w: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6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13</w:t>
            </w:r>
          </w:p>
        </w:tc>
        <w:tc>
          <w:tcPr>
            <w:tcW w:w="40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Foreign exchange contracts</w:t>
            </w:r>
          </w:p>
        </w:tc>
        <w:tc>
          <w:tcPr>
            <w:tcW w:w="200" w:type="dxa"/>
            <w:vAlign w:val="bottom"/>
            <w:shd w:val="clear" w:color="auto" w:fill="CCEEFF"/>
          </w:tcPr>
          <w:p>
            <w:pPr>
              <w:spacing w:after="0"/>
              <w:rPr>
                <w:sz w:val="13"/>
                <w:szCs w:val="13"/>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Current accrued liabilities</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3900" w:type="dxa"/>
            <w:vAlign w:val="bottom"/>
          </w:tcPr>
          <w:p>
            <w:pPr>
              <w:spacing w:after="0"/>
              <w:rPr>
                <w:sz w:val="20"/>
                <w:szCs w:val="20"/>
                <w:color w:val="auto"/>
              </w:rPr>
            </w:pPr>
            <w:r>
              <w:rPr>
                <w:rFonts w:ascii="Arial" w:cs="Arial" w:eastAsia="Arial" w:hAnsi="Arial"/>
                <w:sz w:val="13"/>
                <w:szCs w:val="13"/>
                <w:color w:val="auto"/>
              </w:rPr>
              <w:t>Electricity commodity contracts</w:t>
            </w:r>
          </w:p>
        </w:tc>
        <w:tc>
          <w:tcPr>
            <w:tcW w:w="200" w:type="dxa"/>
            <w:vAlign w:val="bottom"/>
          </w:tcPr>
          <w:p>
            <w:pPr>
              <w:spacing w:after="0"/>
              <w:rPr>
                <w:sz w:val="13"/>
                <w:szCs w:val="13"/>
                <w:color w:val="auto"/>
              </w:rPr>
            </w:pPr>
          </w:p>
        </w:tc>
        <w:tc>
          <w:tcPr>
            <w:tcW w:w="3600" w:type="dxa"/>
            <w:vAlign w:val="bottom"/>
          </w:tcPr>
          <w:p>
            <w:pPr>
              <w:spacing w:after="0"/>
              <w:rPr>
                <w:sz w:val="20"/>
                <w:szCs w:val="20"/>
                <w:color w:val="auto"/>
              </w:rPr>
            </w:pPr>
            <w:r>
              <w:rPr>
                <w:rFonts w:ascii="Arial" w:cs="Arial" w:eastAsia="Arial" w:hAnsi="Arial"/>
                <w:sz w:val="13"/>
                <w:szCs w:val="13"/>
                <w:color w:val="auto"/>
              </w:rPr>
              <w:t>Current accrued liabilities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Interest rate contracts</w:t>
            </w:r>
          </w:p>
        </w:tc>
        <w:tc>
          <w:tcPr>
            <w:tcW w:w="200" w:type="dxa"/>
            <w:vAlign w:val="bottom"/>
            <w:shd w:val="clear" w:color="auto" w:fill="CCEEFF"/>
          </w:tcPr>
          <w:p>
            <w:pPr>
              <w:spacing w:after="0"/>
              <w:rPr>
                <w:sz w:val="13"/>
                <w:szCs w:val="13"/>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Long-term accrued liabilities</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3"/>
                <w:szCs w:val="13"/>
                <w:color w:val="auto"/>
              </w:rPr>
              <w:t>Total derivative liabilities</w:t>
            </w: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51</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30"/>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information related to the methods used to measure our derivative assets and liabilities at fair value, refer to Note 12.</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Rate Derivatives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Interest Rate Swaps</w:t>
      </w:r>
    </w:p>
    <w:p>
      <w:pPr>
        <w:spacing w:after="0" w:line="96" w:lineRule="exact"/>
        <w:rPr>
          <w:sz w:val="20"/>
          <w:szCs w:val="20"/>
          <w:color w:val="auto"/>
        </w:rPr>
      </w:pPr>
    </w:p>
    <w:p>
      <w:pPr>
        <w:ind w:left="680" w:right="920" w:firstLine="399"/>
        <w:spacing w:after="0" w:line="264" w:lineRule="auto"/>
        <w:rPr>
          <w:sz w:val="20"/>
          <w:szCs w:val="20"/>
          <w:color w:val="auto"/>
        </w:rPr>
      </w:pPr>
      <w:r>
        <w:rPr>
          <w:rFonts w:ascii="Arial" w:cs="Arial" w:eastAsia="Arial" w:hAnsi="Arial"/>
          <w:sz w:val="13"/>
          <w:szCs w:val="13"/>
          <w:color w:val="auto"/>
        </w:rPr>
        <w:t>We use interest rate swaps to maintain a portion of our debt obligations at variable market interest rates. As of June 30, 2010, the outstanding principal of our fixed-rate senior notes was approximately $6.0 billion. The interest payments on $1.1 billion, or 18%, of these senior notes have been swapped to variable interest rates to protect the debt against changes in fair value due to changes in benchmark interest rates.</w:t>
      </w:r>
    </w:p>
    <w:p>
      <w:pPr>
        <w:spacing w:after="0" w:line="67" w:lineRule="exact"/>
        <w:rPr>
          <w:sz w:val="20"/>
          <w:szCs w:val="20"/>
          <w:color w:val="auto"/>
        </w:rPr>
      </w:pPr>
    </w:p>
    <w:p>
      <w:pPr>
        <w:ind w:left="680" w:right="800" w:firstLine="399"/>
        <w:spacing w:after="0" w:line="276" w:lineRule="auto"/>
        <w:rPr>
          <w:sz w:val="20"/>
          <w:szCs w:val="20"/>
          <w:color w:val="auto"/>
        </w:rPr>
      </w:pPr>
      <w:r>
        <w:rPr>
          <w:rFonts w:ascii="Arial" w:cs="Arial" w:eastAsia="Arial" w:hAnsi="Arial"/>
          <w:sz w:val="13"/>
          <w:szCs w:val="13"/>
          <w:color w:val="auto"/>
        </w:rPr>
        <w:t>We have designated our interest rate swaps as fair value hedges of our fixed-rate senior notes. Fair value hedge accounting for interest rate swap contracts increased the carrying value of debt instruments by $94 million as of June 30, 2010 and $91 million as of December 31, 2009.</w:t>
      </w:r>
    </w:p>
    <w:p>
      <w:pPr>
        <w:spacing w:after="0" w:line="59" w:lineRule="exact"/>
        <w:rPr>
          <w:sz w:val="20"/>
          <w:szCs w:val="20"/>
          <w:color w:val="auto"/>
        </w:rPr>
      </w:pPr>
    </w:p>
    <w:p>
      <w:pPr>
        <w:ind w:left="680" w:right="800" w:firstLine="399"/>
        <w:spacing w:after="0" w:line="334" w:lineRule="auto"/>
        <w:rPr>
          <w:sz w:val="20"/>
          <w:szCs w:val="20"/>
          <w:color w:val="auto"/>
        </w:rPr>
      </w:pPr>
      <w:r>
        <w:rPr>
          <w:rFonts w:ascii="Arial" w:cs="Arial" w:eastAsia="Arial" w:hAnsi="Arial"/>
          <w:sz w:val="11"/>
          <w:szCs w:val="11"/>
          <w:color w:val="auto"/>
        </w:rPr>
        <w:t>Gains or losses on the derivatives, as well as the offsetting losses or gains on the hedged items attributable to our interest rate swaps, are recognized in current earnings. We include gains and losses on our interest rate swaps as adjustments to interest expense, which is the same financial statement line item where offsetting gains and losses on the related hedged items are recorded. The following table summarizes the impact of changes in the fair value of our interest rate swaps and the underlying hedged items on our results of operations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1460" w:type="dxa"/>
            <w:vAlign w:val="bottom"/>
          </w:tcPr>
          <w:p>
            <w:pPr>
              <w:jc w:val="center"/>
              <w:spacing w:after="0"/>
              <w:rPr>
                <w:sz w:val="20"/>
                <w:szCs w:val="20"/>
                <w:color w:val="auto"/>
              </w:rPr>
            </w:pPr>
            <w:r>
              <w:rPr>
                <w:rFonts w:ascii="Arial" w:cs="Arial" w:eastAsia="Arial" w:hAnsi="Arial"/>
                <w:sz w:val="10"/>
                <w:szCs w:val="10"/>
                <w:b w:val="1"/>
                <w:bCs w:val="1"/>
                <w:color w:val="auto"/>
                <w:w w:val="94"/>
              </w:rPr>
              <w:t>Three Months Ended</w:t>
            </w:r>
          </w:p>
        </w:tc>
        <w:tc>
          <w:tcPr>
            <w:tcW w:w="340" w:type="dxa"/>
            <w:vAlign w:val="bottom"/>
          </w:tcPr>
          <w:p>
            <w:pPr>
              <w:spacing w:after="0"/>
              <w:rPr>
                <w:sz w:val="10"/>
                <w:szCs w:val="10"/>
                <w:color w:val="auto"/>
              </w:rPr>
            </w:pPr>
          </w:p>
        </w:tc>
        <w:tc>
          <w:tcPr>
            <w:tcW w:w="2020" w:type="dxa"/>
            <w:vAlign w:val="bottom"/>
          </w:tcPr>
          <w:p>
            <w:pPr>
              <w:jc w:val="center"/>
              <w:spacing w:after="0"/>
              <w:rPr>
                <w:sz w:val="20"/>
                <w:szCs w:val="20"/>
                <w:color w:val="auto"/>
              </w:rPr>
            </w:pPr>
            <w:r>
              <w:rPr>
                <w:rFonts w:ascii="Arial" w:cs="Arial" w:eastAsia="Arial" w:hAnsi="Arial"/>
                <w:sz w:val="10"/>
                <w:szCs w:val="10"/>
                <w:b w:val="1"/>
                <w:bCs w:val="1"/>
                <w:color w:val="auto"/>
                <w:w w:val="94"/>
              </w:rPr>
              <w:t>Statement of Operations</w:t>
            </w:r>
          </w:p>
        </w:tc>
        <w:tc>
          <w:tcPr>
            <w:tcW w:w="36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w w:val="94"/>
              </w:rPr>
              <w:t>Gain (Loss) on</w:t>
            </w:r>
          </w:p>
        </w:tc>
        <w:tc>
          <w:tcPr>
            <w:tcW w:w="3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4"/>
              </w:rPr>
              <w:t>Gain (Loss) on</w:t>
            </w:r>
          </w:p>
        </w:tc>
        <w:tc>
          <w:tcPr>
            <w:tcW w:w="2600" w:type="dxa"/>
            <w:vAlign w:val="bottom"/>
          </w:tcPr>
          <w:p>
            <w:pPr>
              <w:spacing w:after="0"/>
              <w:rPr>
                <w:sz w:val="10"/>
                <w:szCs w:val="10"/>
                <w:color w:val="auto"/>
              </w:rPr>
            </w:pPr>
          </w:p>
        </w:tc>
      </w:tr>
      <w:tr>
        <w:trPr>
          <w:trHeight w:val="125"/>
        </w:trPr>
        <w:tc>
          <w:tcPr>
            <w:tcW w:w="2480" w:type="dxa"/>
            <w:vAlign w:val="bottom"/>
          </w:tcPr>
          <w:p>
            <w:pPr>
              <w:spacing w:after="0"/>
              <w:rPr>
                <w:sz w:val="10"/>
                <w:szCs w:val="1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340" w:type="dxa"/>
            <w:vAlign w:val="bottom"/>
          </w:tcPr>
          <w:p>
            <w:pPr>
              <w:spacing w:after="0"/>
              <w:rPr>
                <w:sz w:val="10"/>
                <w:szCs w:val="1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Classification</w:t>
            </w:r>
          </w:p>
        </w:tc>
        <w:tc>
          <w:tcPr>
            <w:tcW w:w="360" w:type="dxa"/>
            <w:vAlign w:val="bottom"/>
          </w:tcPr>
          <w:p>
            <w:pPr>
              <w:spacing w:after="0"/>
              <w:rPr>
                <w:sz w:val="10"/>
                <w:szCs w:val="1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Swap</w:t>
            </w:r>
          </w:p>
        </w:tc>
        <w:tc>
          <w:tcPr>
            <w:tcW w:w="360" w:type="dxa"/>
            <w:vAlign w:val="bottom"/>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Fixed-Rate Debt</w:t>
            </w:r>
          </w:p>
        </w:tc>
        <w:tc>
          <w:tcPr>
            <w:tcW w:w="2600" w:type="dxa"/>
            <w:vAlign w:val="bottom"/>
          </w:tcPr>
          <w:p>
            <w:pPr>
              <w:spacing w:after="0"/>
              <w:rPr>
                <w:sz w:val="10"/>
                <w:szCs w:val="10"/>
                <w:color w:val="auto"/>
              </w:rPr>
            </w:pPr>
          </w:p>
        </w:tc>
      </w:tr>
      <w:tr>
        <w:trPr>
          <w:trHeight w:val="178"/>
        </w:trPr>
        <w:tc>
          <w:tcPr>
            <w:tcW w:w="24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3"/>
                <w:szCs w:val="13"/>
                <w:color w:val="auto"/>
                <w:w w:val="89"/>
              </w:rPr>
              <w:t>2010</w:t>
            </w:r>
          </w:p>
        </w:tc>
        <w:tc>
          <w:tcPr>
            <w:tcW w:w="34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7"/>
              </w:rPr>
              <w:t>Interest expense</w:t>
            </w:r>
          </w:p>
        </w:tc>
        <w:tc>
          <w:tcPr>
            <w:tcW w:w="1220" w:type="dxa"/>
            <w:vAlign w:val="bottom"/>
            <w:gridSpan w:val="2"/>
          </w:tcPr>
          <w:p>
            <w:pPr>
              <w:ind w:left="640"/>
              <w:spacing w:after="0"/>
              <w:rPr>
                <w:sz w:val="20"/>
                <w:szCs w:val="20"/>
                <w:color w:val="auto"/>
              </w:rPr>
            </w:pPr>
            <w:r>
              <w:rPr>
                <w:rFonts w:ascii="Arial" w:cs="Arial" w:eastAsia="Arial" w:hAnsi="Arial"/>
                <w:sz w:val="13"/>
                <w:szCs w:val="13"/>
                <w:color w:val="auto"/>
              </w:rPr>
              <w:t>$ 13</w:t>
            </w:r>
          </w:p>
        </w:tc>
        <w:tc>
          <w:tcPr>
            <w:tcW w:w="1340" w:type="dxa"/>
            <w:vAlign w:val="bottom"/>
            <w:gridSpan w:val="2"/>
          </w:tcPr>
          <w:p>
            <w:pPr>
              <w:ind w:left="700"/>
              <w:spacing w:after="0"/>
              <w:rPr>
                <w:sz w:val="20"/>
                <w:szCs w:val="20"/>
                <w:color w:val="auto"/>
              </w:rPr>
            </w:pPr>
            <w:r>
              <w:rPr>
                <w:rFonts w:ascii="Arial" w:cs="Arial" w:eastAsia="Arial" w:hAnsi="Arial"/>
                <w:sz w:val="13"/>
                <w:szCs w:val="13"/>
                <w:color w:val="auto"/>
              </w:rPr>
              <w:t>$(13)</w:t>
            </w:r>
          </w:p>
        </w:tc>
        <w:tc>
          <w:tcPr>
            <w:tcW w:w="2600" w:type="dxa"/>
            <w:vAlign w:val="bottom"/>
          </w:tcPr>
          <w:p>
            <w:pPr>
              <w:spacing w:after="0"/>
              <w:rPr>
                <w:sz w:val="15"/>
                <w:szCs w:val="15"/>
                <w:color w:val="auto"/>
              </w:rPr>
            </w:pPr>
          </w:p>
        </w:tc>
      </w:tr>
      <w:tr>
        <w:trPr>
          <w:trHeight w:val="165"/>
        </w:trPr>
        <w:tc>
          <w:tcPr>
            <w:tcW w:w="24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3"/>
                <w:szCs w:val="13"/>
                <w:color w:val="auto"/>
                <w:w w:val="89"/>
              </w:rPr>
              <w:t>2009</w:t>
            </w:r>
          </w:p>
        </w:tc>
        <w:tc>
          <w:tcPr>
            <w:tcW w:w="34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7"/>
              </w:rPr>
              <w:t>Interest expense</w:t>
            </w:r>
          </w:p>
        </w:tc>
        <w:tc>
          <w:tcPr>
            <w:tcW w:w="1220" w:type="dxa"/>
            <w:vAlign w:val="bottom"/>
            <w:gridSpan w:val="2"/>
          </w:tcPr>
          <w:p>
            <w:pPr>
              <w:ind w:left="640"/>
              <w:spacing w:after="0"/>
              <w:rPr>
                <w:sz w:val="20"/>
                <w:szCs w:val="20"/>
                <w:color w:val="auto"/>
              </w:rPr>
            </w:pPr>
            <w:r>
              <w:rPr>
                <w:rFonts w:ascii="Arial" w:cs="Arial" w:eastAsia="Arial" w:hAnsi="Arial"/>
                <w:sz w:val="13"/>
                <w:szCs w:val="13"/>
                <w:color w:val="auto"/>
              </w:rPr>
              <w:t>$(31)</w:t>
            </w:r>
          </w:p>
        </w:tc>
        <w:tc>
          <w:tcPr>
            <w:tcW w:w="1340" w:type="dxa"/>
            <w:vAlign w:val="bottom"/>
            <w:gridSpan w:val="2"/>
          </w:tcPr>
          <w:p>
            <w:pPr>
              <w:ind w:left="700"/>
              <w:spacing w:after="0"/>
              <w:rPr>
                <w:sz w:val="20"/>
                <w:szCs w:val="20"/>
                <w:color w:val="auto"/>
              </w:rPr>
            </w:pPr>
            <w:r>
              <w:rPr>
                <w:rFonts w:ascii="Arial" w:cs="Arial" w:eastAsia="Arial" w:hAnsi="Arial"/>
                <w:sz w:val="13"/>
                <w:szCs w:val="13"/>
                <w:color w:val="auto"/>
              </w:rPr>
              <w:t>$ 31</w:t>
            </w:r>
          </w:p>
        </w:tc>
        <w:tc>
          <w:tcPr>
            <w:tcW w:w="2600" w:type="dxa"/>
            <w:vAlign w:val="bottom"/>
          </w:tcPr>
          <w:p>
            <w:pPr>
              <w:spacing w:after="0"/>
              <w:rPr>
                <w:sz w:val="14"/>
                <w:szCs w:val="14"/>
                <w:color w:val="auto"/>
              </w:rPr>
            </w:pPr>
          </w:p>
        </w:tc>
      </w:tr>
      <w:tr>
        <w:trPr>
          <w:trHeight w:val="452"/>
        </w:trPr>
        <w:tc>
          <w:tcPr>
            <w:tcW w:w="2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360" w:type="dxa"/>
            <w:vAlign w:val="bottom"/>
            <w:gridSpan w:val="2"/>
          </w:tcPr>
          <w:p>
            <w:pPr>
              <w:jc w:val="right"/>
              <w:ind w:right="501"/>
              <w:spacing w:after="0"/>
              <w:rPr>
                <w:sz w:val="20"/>
                <w:szCs w:val="20"/>
                <w:color w:val="auto"/>
              </w:rPr>
            </w:pPr>
            <w:r>
              <w:rPr>
                <w:rFonts w:ascii="Arial" w:cs="Arial" w:eastAsia="Arial" w:hAnsi="Arial"/>
                <w:sz w:val="13"/>
                <w:szCs w:val="13"/>
                <w:color w:val="auto"/>
              </w:rPr>
              <w:t>10</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163"/>
        </w:trPr>
        <w:tc>
          <w:tcPr>
            <w:tcW w:w="2480" w:type="dxa"/>
            <w:vAlign w:val="bottom"/>
            <w:tcBorders>
              <w:bottom w:val="single" w:sz="8" w:color="808080"/>
            </w:tcBorders>
          </w:tcPr>
          <w:p>
            <w:pPr>
              <w:spacing w:after="0"/>
              <w:rPr>
                <w:sz w:val="14"/>
                <w:szCs w:val="14"/>
                <w:color w:val="auto"/>
              </w:rPr>
            </w:pPr>
          </w:p>
        </w:tc>
        <w:tc>
          <w:tcPr>
            <w:tcW w:w="14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20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26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2" w:lineRule="exact"/>
        <w:rPr>
          <w:sz w:val="20"/>
          <w:szCs w:val="20"/>
          <w:color w:val="auto"/>
        </w:rPr>
      </w:pPr>
    </w:p>
    <w:tbl>
      <w:tblPr>
        <w:tblLayout w:type="fixed"/>
        <w:tblInd w:w="2480" w:type="dxa"/>
        <w:tblCellMar>
          <w:top w:w="0" w:type="dxa"/>
          <w:left w:w="0" w:type="dxa"/>
          <w:bottom w:w="0" w:type="dxa"/>
          <w:right w:w="0" w:type="dxa"/>
        </w:tblCellMar>
      </w:tblPr>
      <w:tr>
        <w:trPr>
          <w:trHeight w:val="115"/>
        </w:trPr>
        <w:tc>
          <w:tcPr>
            <w:tcW w:w="1340" w:type="dxa"/>
            <w:vAlign w:val="bottom"/>
          </w:tcPr>
          <w:p>
            <w:pPr>
              <w:jc w:val="center"/>
              <w:spacing w:after="0"/>
              <w:rPr>
                <w:sz w:val="20"/>
                <w:szCs w:val="20"/>
                <w:color w:val="auto"/>
              </w:rPr>
            </w:pPr>
            <w:r>
              <w:rPr>
                <w:rFonts w:ascii="Arial" w:cs="Arial" w:eastAsia="Arial" w:hAnsi="Arial"/>
                <w:sz w:val="10"/>
                <w:szCs w:val="10"/>
                <w:b w:val="1"/>
                <w:bCs w:val="1"/>
                <w:color w:val="auto"/>
                <w:w w:val="94"/>
              </w:rPr>
              <w:t>Six Months Ended</w:t>
            </w:r>
          </w:p>
        </w:tc>
        <w:tc>
          <w:tcPr>
            <w:tcW w:w="40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Arial" w:cs="Arial" w:eastAsia="Arial" w:hAnsi="Arial"/>
                <w:sz w:val="10"/>
                <w:szCs w:val="10"/>
                <w:b w:val="1"/>
                <w:bCs w:val="1"/>
                <w:color w:val="auto"/>
                <w:w w:val="94"/>
              </w:rPr>
              <w:t>Statement of Operations</w:t>
            </w:r>
          </w:p>
        </w:tc>
        <w:tc>
          <w:tcPr>
            <w:tcW w:w="4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w w:val="94"/>
              </w:rPr>
              <w:t>Gain (Loss) on</w:t>
            </w:r>
          </w:p>
        </w:tc>
        <w:tc>
          <w:tcPr>
            <w:tcW w:w="42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4"/>
              </w:rPr>
              <w:t>Gain (Loss) on</w:t>
            </w:r>
          </w:p>
        </w:tc>
      </w:tr>
      <w:tr>
        <w:trPr>
          <w:trHeight w:val="125"/>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400" w:type="dxa"/>
            <w:vAlign w:val="bottom"/>
          </w:tcPr>
          <w:p>
            <w:pPr>
              <w:spacing w:after="0"/>
              <w:rPr>
                <w:sz w:val="10"/>
                <w:szCs w:val="1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Classification</w:t>
            </w:r>
          </w:p>
        </w:tc>
        <w:tc>
          <w:tcPr>
            <w:tcW w:w="420" w:type="dxa"/>
            <w:vAlign w:val="bottom"/>
          </w:tcPr>
          <w:p>
            <w:pPr>
              <w:spacing w:after="0"/>
              <w:rPr>
                <w:sz w:val="10"/>
                <w:szCs w:val="1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Swap</w:t>
            </w:r>
          </w:p>
        </w:tc>
        <w:tc>
          <w:tcPr>
            <w:tcW w:w="420" w:type="dxa"/>
            <w:vAlign w:val="bottom"/>
          </w:tcPr>
          <w:p>
            <w:pPr>
              <w:spacing w:after="0"/>
              <w:rPr>
                <w:sz w:val="10"/>
                <w:szCs w:val="1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Fixed-Rate Debt</w:t>
            </w:r>
          </w:p>
        </w:tc>
      </w:tr>
      <w:tr>
        <w:trPr>
          <w:trHeight w:val="178"/>
        </w:trPr>
        <w:tc>
          <w:tcPr>
            <w:tcW w:w="1340" w:type="dxa"/>
            <w:vAlign w:val="bottom"/>
          </w:tcPr>
          <w:p>
            <w:pPr>
              <w:jc w:val="center"/>
              <w:spacing w:after="0"/>
              <w:rPr>
                <w:sz w:val="20"/>
                <w:szCs w:val="20"/>
                <w:color w:val="auto"/>
              </w:rPr>
            </w:pPr>
            <w:r>
              <w:rPr>
                <w:rFonts w:ascii="Arial" w:cs="Arial" w:eastAsia="Arial" w:hAnsi="Arial"/>
                <w:sz w:val="13"/>
                <w:szCs w:val="13"/>
                <w:color w:val="auto"/>
                <w:w w:val="89"/>
              </w:rPr>
              <w:t>2010</w:t>
            </w:r>
          </w:p>
        </w:tc>
        <w:tc>
          <w:tcPr>
            <w:tcW w:w="40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Arial" w:cs="Arial" w:eastAsia="Arial" w:hAnsi="Arial"/>
                <w:sz w:val="13"/>
                <w:szCs w:val="13"/>
                <w:color w:val="auto"/>
                <w:w w:val="89"/>
              </w:rPr>
              <w:t>Interest expense</w:t>
            </w:r>
          </w:p>
        </w:tc>
        <w:tc>
          <w:tcPr>
            <w:tcW w:w="1280" w:type="dxa"/>
            <w:vAlign w:val="bottom"/>
            <w:gridSpan w:val="2"/>
          </w:tcPr>
          <w:p>
            <w:pPr>
              <w:ind w:left="700"/>
              <w:spacing w:after="0"/>
              <w:rPr>
                <w:sz w:val="20"/>
                <w:szCs w:val="20"/>
                <w:color w:val="auto"/>
              </w:rPr>
            </w:pPr>
            <w:r>
              <w:rPr>
                <w:rFonts w:ascii="Arial" w:cs="Arial" w:eastAsia="Arial" w:hAnsi="Arial"/>
                <w:sz w:val="13"/>
                <w:szCs w:val="13"/>
                <w:color w:val="auto"/>
              </w:rPr>
              <w:t>$ 14</w:t>
            </w:r>
          </w:p>
        </w:tc>
        <w:tc>
          <w:tcPr>
            <w:tcW w:w="1320" w:type="dxa"/>
            <w:vAlign w:val="bottom"/>
            <w:gridSpan w:val="2"/>
          </w:tcPr>
          <w:p>
            <w:pPr>
              <w:ind w:left="720"/>
              <w:spacing w:after="0"/>
              <w:rPr>
                <w:sz w:val="20"/>
                <w:szCs w:val="20"/>
                <w:color w:val="auto"/>
              </w:rPr>
            </w:pPr>
            <w:r>
              <w:rPr>
                <w:rFonts w:ascii="Arial" w:cs="Arial" w:eastAsia="Arial" w:hAnsi="Arial"/>
                <w:sz w:val="13"/>
                <w:szCs w:val="13"/>
                <w:color w:val="auto"/>
              </w:rPr>
              <w:t>$(14)</w:t>
            </w:r>
          </w:p>
        </w:tc>
      </w:tr>
      <w:tr>
        <w:trPr>
          <w:trHeight w:val="165"/>
        </w:trPr>
        <w:tc>
          <w:tcPr>
            <w:tcW w:w="1340" w:type="dxa"/>
            <w:vAlign w:val="bottom"/>
          </w:tcPr>
          <w:p>
            <w:pPr>
              <w:jc w:val="center"/>
              <w:spacing w:after="0"/>
              <w:rPr>
                <w:sz w:val="20"/>
                <w:szCs w:val="20"/>
                <w:color w:val="auto"/>
              </w:rPr>
            </w:pPr>
            <w:r>
              <w:rPr>
                <w:rFonts w:ascii="Arial" w:cs="Arial" w:eastAsia="Arial" w:hAnsi="Arial"/>
                <w:sz w:val="13"/>
                <w:szCs w:val="13"/>
                <w:color w:val="auto"/>
                <w:w w:val="89"/>
              </w:rPr>
              <w:t>2009</w:t>
            </w:r>
          </w:p>
        </w:tc>
        <w:tc>
          <w:tcPr>
            <w:tcW w:w="4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3"/>
                <w:szCs w:val="13"/>
                <w:color w:val="auto"/>
                <w:w w:val="89"/>
              </w:rPr>
              <w:t>Interest expense</w:t>
            </w:r>
          </w:p>
        </w:tc>
        <w:tc>
          <w:tcPr>
            <w:tcW w:w="1280" w:type="dxa"/>
            <w:vAlign w:val="bottom"/>
            <w:gridSpan w:val="2"/>
          </w:tcPr>
          <w:p>
            <w:pPr>
              <w:ind w:left="700"/>
              <w:spacing w:after="0"/>
              <w:rPr>
                <w:sz w:val="20"/>
                <w:szCs w:val="20"/>
                <w:color w:val="auto"/>
              </w:rPr>
            </w:pPr>
            <w:r>
              <w:rPr>
                <w:rFonts w:ascii="Arial" w:cs="Arial" w:eastAsia="Arial" w:hAnsi="Arial"/>
                <w:sz w:val="13"/>
                <w:szCs w:val="13"/>
                <w:color w:val="auto"/>
              </w:rPr>
              <w:t>$(40)</w:t>
            </w:r>
          </w:p>
        </w:tc>
        <w:tc>
          <w:tcPr>
            <w:tcW w:w="1320" w:type="dxa"/>
            <w:vAlign w:val="bottom"/>
            <w:gridSpan w:val="2"/>
          </w:tcPr>
          <w:p>
            <w:pPr>
              <w:ind w:left="720"/>
              <w:spacing w:after="0"/>
              <w:rPr>
                <w:sz w:val="20"/>
                <w:szCs w:val="20"/>
                <w:color w:val="auto"/>
              </w:rPr>
            </w:pPr>
            <w:r>
              <w:rPr>
                <w:rFonts w:ascii="Arial" w:cs="Arial" w:eastAsia="Arial" w:hAnsi="Arial"/>
                <w:sz w:val="13"/>
                <w:szCs w:val="13"/>
                <w:color w:val="auto"/>
              </w:rPr>
              <w:t>$ 40</w:t>
            </w:r>
          </w:p>
        </w:tc>
      </w:tr>
    </w:tbl>
    <w:p>
      <w:pPr>
        <w:spacing w:after="0" w:line="81"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We also recognize the impacts of (i) net periodic settlements of current interest on our active interest rate swaps and (ii) the amortization of previously terminated interest rate swap agreements as adjustments to interest expense. The following table summarizes the impact of periodic settlements of active swap agreements and the impact of terminated swap agreements on our results of operations (in millions):</w:t>
      </w:r>
    </w:p>
    <w:p>
      <w:pPr>
        <w:sectPr>
          <w:pgSz w:w="11900" w:h="16838" w:orient="portrait"/>
          <w:cols w:equalWidth="0" w:num="1">
            <w:col w:w="10660"/>
          </w:cols>
          <w:pgMar w:left="220" w:top="343" w:right="1019" w:bottom="1440" w:gutter="0" w:footer="0" w:header="0"/>
        </w:sectPr>
      </w:pPr>
    </w:p>
    <w:p>
      <w:pPr>
        <w:spacing w:after="0" w:line="295" w:lineRule="exact"/>
        <w:rPr>
          <w:sz w:val="20"/>
          <w:szCs w:val="20"/>
          <w:color w:val="auto"/>
        </w:rPr>
      </w:pPr>
    </w:p>
    <w:p>
      <w:pPr>
        <w:ind w:left="680"/>
        <w:spacing w:after="0"/>
        <w:rPr>
          <w:sz w:val="20"/>
          <w:szCs w:val="20"/>
          <w:color w:val="auto"/>
        </w:rPr>
      </w:pPr>
      <w:r>
        <w:rPr>
          <w:rFonts w:ascii="Arial" w:cs="Arial" w:eastAsia="Arial" w:hAnsi="Arial"/>
          <w:sz w:val="10"/>
          <w:szCs w:val="10"/>
          <w:b w:val="1"/>
          <w:bCs w:val="1"/>
          <w:color w:val="auto"/>
        </w:rPr>
        <w:t>Reductions to Interest Expense Due to</w:t>
      </w:r>
    </w:p>
    <w:p>
      <w:pPr>
        <w:spacing w:after="0" w:line="5" w:lineRule="exact"/>
        <w:rPr>
          <w:sz w:val="20"/>
          <w:szCs w:val="20"/>
          <w:color w:val="auto"/>
        </w:rPr>
      </w:pPr>
    </w:p>
    <w:p>
      <w:pPr>
        <w:ind w:left="680"/>
        <w:spacing w:after="0"/>
        <w:rPr>
          <w:sz w:val="20"/>
          <w:szCs w:val="20"/>
          <w:color w:val="auto"/>
        </w:rPr>
      </w:pPr>
      <w:r>
        <w:rPr>
          <w:rFonts w:ascii="Arial" w:cs="Arial" w:eastAsia="Arial" w:hAnsi="Arial"/>
          <w:sz w:val="9"/>
          <w:szCs w:val="9"/>
          <w:b w:val="1"/>
          <w:bCs w:val="1"/>
          <w:color w:val="auto"/>
        </w:rPr>
        <w:t>Hedge Accounting for Interest Rate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wp:posOffset>
            </wp:positionV>
            <wp:extent cx="465010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5010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980" w:type="dxa"/>
            <w:vAlign w:val="bottom"/>
            <w:gridSpan w:val="3"/>
          </w:tcPr>
          <w:p>
            <w:pPr>
              <w:jc w:val="center"/>
              <w:spacing w:after="0"/>
              <w:rPr>
                <w:sz w:val="20"/>
                <w:szCs w:val="20"/>
                <w:color w:val="auto"/>
              </w:rPr>
            </w:pPr>
            <w:r>
              <w:rPr>
                <w:rFonts w:ascii="Arial" w:cs="Arial" w:eastAsia="Arial" w:hAnsi="Arial"/>
                <w:sz w:val="10"/>
                <w:szCs w:val="10"/>
                <w:b w:val="1"/>
                <w:bCs w:val="1"/>
                <w:color w:val="auto"/>
                <w:w w:val="97"/>
              </w:rPr>
              <w:t>Three Months</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gridSpan w:val="2"/>
          </w:tcPr>
          <w:p>
            <w:pPr>
              <w:jc w:val="center"/>
              <w:ind w:right="188"/>
              <w:spacing w:after="0"/>
              <w:rPr>
                <w:sz w:val="20"/>
                <w:szCs w:val="20"/>
                <w:color w:val="auto"/>
              </w:rPr>
            </w:pPr>
            <w:r>
              <w:rPr>
                <w:rFonts w:ascii="Arial" w:cs="Arial" w:eastAsia="Arial" w:hAnsi="Arial"/>
                <w:sz w:val="10"/>
                <w:szCs w:val="10"/>
                <w:b w:val="1"/>
                <w:bCs w:val="1"/>
                <w:color w:val="auto"/>
                <w:w w:val="93"/>
              </w:rPr>
              <w:t>Six Months</w:t>
            </w:r>
          </w:p>
        </w:tc>
      </w:tr>
      <w:tr>
        <w:trPr>
          <w:trHeight w:val="108"/>
        </w:trPr>
        <w:tc>
          <w:tcPr>
            <w:tcW w:w="260" w:type="dxa"/>
            <w:vAlign w:val="bottom"/>
          </w:tcPr>
          <w:p>
            <w:pPr>
              <w:spacing w:after="0"/>
              <w:rPr>
                <w:sz w:val="9"/>
                <w:szCs w:val="9"/>
                <w:color w:val="auto"/>
              </w:rPr>
            </w:pPr>
          </w:p>
        </w:tc>
        <w:tc>
          <w:tcPr>
            <w:tcW w:w="720" w:type="dxa"/>
            <w:vAlign w:val="bottom"/>
            <w:gridSpan w:val="2"/>
          </w:tcPr>
          <w:p>
            <w:pPr>
              <w:jc w:val="center"/>
              <w:ind w:right="188"/>
              <w:spacing w:after="0" w:line="108" w:lineRule="exact"/>
              <w:rPr>
                <w:sz w:val="20"/>
                <w:szCs w:val="20"/>
                <w:color w:val="auto"/>
              </w:rPr>
            </w:pPr>
            <w:r>
              <w:rPr>
                <w:rFonts w:ascii="Arial" w:cs="Arial" w:eastAsia="Arial" w:hAnsi="Arial"/>
                <w:sz w:val="10"/>
                <w:szCs w:val="10"/>
                <w:b w:val="1"/>
                <w:bCs w:val="1"/>
                <w:color w:val="auto"/>
                <w:w w:val="91"/>
              </w:rPr>
              <w:t>Ended</w:t>
            </w: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gridSpan w:val="2"/>
          </w:tcPr>
          <w:p>
            <w:pPr>
              <w:jc w:val="center"/>
              <w:ind w:right="188"/>
              <w:spacing w:after="0" w:line="108" w:lineRule="exact"/>
              <w:rPr>
                <w:sz w:val="20"/>
                <w:szCs w:val="20"/>
                <w:color w:val="auto"/>
              </w:rPr>
            </w:pPr>
            <w:r>
              <w:rPr>
                <w:rFonts w:ascii="Arial" w:cs="Arial" w:eastAsia="Arial" w:hAnsi="Arial"/>
                <w:sz w:val="10"/>
                <w:szCs w:val="10"/>
                <w:b w:val="1"/>
                <w:bCs w:val="1"/>
                <w:color w:val="auto"/>
                <w:w w:val="98"/>
              </w:rPr>
              <w:t>Ended</w:t>
            </w:r>
          </w:p>
        </w:tc>
      </w:tr>
      <w:tr>
        <w:trPr>
          <w:trHeight w:val="125"/>
        </w:trPr>
        <w:tc>
          <w:tcPr>
            <w:tcW w:w="2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2"/>
          </w:tcPr>
          <w:p>
            <w:pPr>
              <w:jc w:val="center"/>
              <w:ind w:right="188"/>
              <w:spacing w:after="0"/>
              <w:rPr>
                <w:sz w:val="20"/>
                <w:szCs w:val="20"/>
                <w:color w:val="auto"/>
              </w:rPr>
            </w:pPr>
            <w:r>
              <w:rPr>
                <w:rFonts w:ascii="Arial" w:cs="Arial" w:eastAsia="Arial" w:hAnsi="Arial"/>
                <w:sz w:val="10"/>
                <w:szCs w:val="10"/>
                <w:b w:val="1"/>
                <w:bCs w:val="1"/>
                <w:color w:val="auto"/>
                <w:w w:val="89"/>
              </w:rPr>
              <w:t>June 30,</w:t>
            </w:r>
          </w:p>
        </w:tc>
        <w:tc>
          <w:tcPr>
            <w:tcW w:w="4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2"/>
          </w:tcPr>
          <w:p>
            <w:pPr>
              <w:jc w:val="center"/>
              <w:ind w:right="188"/>
              <w:spacing w:after="0"/>
              <w:rPr>
                <w:sz w:val="20"/>
                <w:szCs w:val="20"/>
                <w:color w:val="auto"/>
              </w:rPr>
            </w:pPr>
            <w:r>
              <w:rPr>
                <w:rFonts w:ascii="Arial" w:cs="Arial" w:eastAsia="Arial" w:hAnsi="Arial"/>
                <w:sz w:val="10"/>
                <w:szCs w:val="10"/>
                <w:b w:val="1"/>
                <w:bCs w:val="1"/>
                <w:color w:val="auto"/>
                <w:w w:val="94"/>
              </w:rPr>
              <w:t>June 30,</w:t>
            </w:r>
          </w:p>
        </w:tc>
      </w:tr>
      <w:tr>
        <w:trPr>
          <w:trHeight w:val="98"/>
        </w:trPr>
        <w:tc>
          <w:tcPr>
            <w:tcW w:w="26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2010</w:t>
            </w:r>
          </w:p>
        </w:tc>
        <w:tc>
          <w:tcPr>
            <w:tcW w:w="480" w:type="dxa"/>
            <w:vAlign w:val="bottom"/>
          </w:tcPr>
          <w:p>
            <w:pPr>
              <w:spacing w:after="0"/>
              <w:rPr>
                <w:sz w:val="8"/>
                <w:szCs w:val="8"/>
                <w:color w:val="auto"/>
              </w:rPr>
            </w:pPr>
          </w:p>
        </w:tc>
        <w:tc>
          <w:tcPr>
            <w:tcW w:w="2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8"/>
                <w:szCs w:val="8"/>
                <w:color w:val="auto"/>
              </w:rPr>
            </w:pPr>
          </w:p>
        </w:tc>
        <w:tc>
          <w:tcPr>
            <w:tcW w:w="2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2010</w:t>
            </w:r>
          </w:p>
        </w:tc>
        <w:tc>
          <w:tcPr>
            <w:tcW w:w="500" w:type="dxa"/>
            <w:vAlign w:val="bottom"/>
          </w:tcPr>
          <w:p>
            <w:pPr>
              <w:spacing w:after="0"/>
              <w:rPr>
                <w:sz w:val="8"/>
                <w:szCs w:val="8"/>
                <w:color w:val="auto"/>
              </w:rPr>
            </w:pPr>
          </w:p>
        </w:tc>
        <w:tc>
          <w:tcPr>
            <w:tcW w:w="2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9"/>
              </w:rPr>
              <w:t>2009</w:t>
            </w:r>
          </w:p>
        </w:tc>
      </w:tr>
    </w:tbl>
    <w:p>
      <w:pPr>
        <w:spacing w:after="0" w:line="39" w:lineRule="exact"/>
        <w:rPr>
          <w:sz w:val="20"/>
          <w:szCs w:val="20"/>
          <w:color w:val="auto"/>
        </w:rPr>
      </w:pPr>
    </w:p>
    <w:p>
      <w:pPr>
        <w:sectPr>
          <w:pgSz w:w="11900" w:h="16838" w:orient="portrait"/>
          <w:cols w:equalWidth="0" w:num="2">
            <w:col w:w="7480" w:space="720"/>
            <w:col w:w="2460"/>
          </w:cols>
          <w:pgMar w:left="220" w:top="343" w:right="1019" w:bottom="1440" w:gutter="0" w:footer="0" w:header="0"/>
          <w:type w:val="continuous"/>
        </w:sectPr>
      </w:pPr>
    </w:p>
    <w:tbl>
      <w:tblPr>
        <w:tblLayout w:type="fixed"/>
        <w:tblInd w:w="680" w:type="dxa"/>
        <w:tblCellMar>
          <w:top w:w="0" w:type="dxa"/>
          <w:left w:w="0" w:type="dxa"/>
          <w:bottom w:w="0" w:type="dxa"/>
          <w:right w:w="0" w:type="dxa"/>
        </w:tblCellMar>
      </w:tblPr>
      <w:tr>
        <w:trPr>
          <w:trHeight w:val="157"/>
        </w:trPr>
        <w:tc>
          <w:tcPr>
            <w:tcW w:w="7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Periodic settlements of active swap agreements(a)</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8</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4"/>
              </w:rPr>
              <w:t>$ 11</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w w:val="86"/>
              </w:rPr>
              <w:t>$ 18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$ 23</w:t>
            </w:r>
          </w:p>
        </w:tc>
      </w:tr>
      <w:tr>
        <w:trPr>
          <w:trHeight w:val="157"/>
        </w:trPr>
        <w:tc>
          <w:tcPr>
            <w:tcW w:w="7520" w:type="dxa"/>
            <w:vAlign w:val="bottom"/>
            <w:gridSpan w:val="2"/>
          </w:tcPr>
          <w:p>
            <w:pPr>
              <w:spacing w:after="0"/>
              <w:rPr>
                <w:sz w:val="20"/>
                <w:szCs w:val="20"/>
                <w:color w:val="auto"/>
              </w:rPr>
            </w:pPr>
            <w:r>
              <w:rPr>
                <w:rFonts w:ascii="Arial" w:cs="Arial" w:eastAsia="Arial" w:hAnsi="Arial"/>
                <w:sz w:val="13"/>
                <w:szCs w:val="13"/>
                <w:color w:val="auto"/>
              </w:rPr>
              <w:t>Terminated swap agreements</w:t>
            </w:r>
          </w:p>
        </w:tc>
        <w:tc>
          <w:tcPr>
            <w:tcW w:w="10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6</w:t>
            </w:r>
          </w:p>
        </w:tc>
        <w:tc>
          <w:tcPr>
            <w:tcW w:w="480" w:type="dxa"/>
            <w:vAlign w:val="bottom"/>
          </w:tcPr>
          <w:p>
            <w:pPr>
              <w:spacing w:after="0"/>
              <w:rPr>
                <w:sz w:val="13"/>
                <w:szCs w:val="13"/>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5</w:t>
            </w:r>
          </w:p>
        </w:tc>
        <w:tc>
          <w:tcPr>
            <w:tcW w:w="740" w:type="dxa"/>
            <w:vAlign w:val="bottom"/>
            <w:gridSpan w:val="2"/>
          </w:tcPr>
          <w:p>
            <w:pPr>
              <w:jc w:val="right"/>
              <w:ind w:right="500"/>
              <w:spacing w:after="0"/>
              <w:rPr>
                <w:sz w:val="20"/>
                <w:szCs w:val="20"/>
                <w:color w:val="auto"/>
              </w:rPr>
            </w:pPr>
            <w:r>
              <w:rPr>
                <w:rFonts w:ascii="Arial" w:cs="Arial" w:eastAsia="Arial" w:hAnsi="Arial"/>
                <w:sz w:val="13"/>
                <w:szCs w:val="13"/>
                <w:color w:val="auto"/>
              </w:rPr>
              <w:t>11</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11</w:t>
            </w:r>
          </w:p>
        </w:tc>
      </w:tr>
      <w:tr>
        <w:trPr>
          <w:trHeight w:val="20"/>
        </w:trPr>
        <w:tc>
          <w:tcPr>
            <w:tcW w:w="13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300" w:type="dxa"/>
            <w:vAlign w:val="bottom"/>
            <w:shd w:val="clear" w:color="auto" w:fill="CCEEFF"/>
          </w:tcPr>
          <w:p>
            <w:pPr>
              <w:spacing w:after="0"/>
              <w:rPr>
                <w:sz w:val="14"/>
                <w:szCs w:val="14"/>
                <w:color w:val="auto"/>
              </w:rPr>
            </w:pPr>
          </w:p>
        </w:tc>
        <w:tc>
          <w:tcPr>
            <w:tcW w:w="62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14</w:t>
            </w:r>
          </w:p>
        </w:tc>
        <w:tc>
          <w:tcPr>
            <w:tcW w:w="4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4"/>
              </w:rPr>
              <w:t>$ 16</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w w:val="86"/>
              </w:rPr>
              <w:t>$ 29</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$ 34</w:t>
            </w:r>
          </w:p>
        </w:tc>
      </w:tr>
      <w:tr>
        <w:trPr>
          <w:trHeight w:val="108"/>
        </w:trPr>
        <w:tc>
          <w:tcPr>
            <w:tcW w:w="1300" w:type="dxa"/>
            <w:vAlign w:val="bottom"/>
            <w:tcBorders>
              <w:bottom w:val="single" w:sz="8" w:color="auto"/>
            </w:tcBorders>
          </w:tcPr>
          <w:p>
            <w:pPr>
              <w:spacing w:after="0"/>
              <w:rPr>
                <w:sz w:val="9"/>
                <w:szCs w:val="9"/>
                <w:color w:val="auto"/>
              </w:rPr>
            </w:pPr>
          </w:p>
        </w:tc>
        <w:tc>
          <w:tcPr>
            <w:tcW w:w="6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000" w:right="80" w:hanging="252"/>
        <w:spacing w:after="0" w:line="276" w:lineRule="auto"/>
        <w:tabs>
          <w:tab w:leader="none" w:pos="100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These amounts represent the net of our periodic variable-rate interest obligations and the swap counterparties’ fixed-rate interest obligations. Our variable-rate obligations are based on a spread from the three-month LIBOR.</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Treasury Rate Locks</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During the third quarter of 2009, we entered into Treasury rate locks with a total notional amount of $200 million to hedge the risk of changes in semi-annual interest payments for a portion of the senior notes that the Company planned to issue in June 2010. The Treasury rate locks were terminated contemporaneously with the actual issuance of such senior notes and we paid cash of $7 million upon settlement. We designated our Treasury rate lock derivatives as cash flow hedges and, accordingly, losses related to changes in the fair value of the derivatives have been deferred and recognized as a component of our “Accumulated other comprehensive income.”</w:t>
      </w:r>
    </w:p>
    <w:p>
      <w:pPr>
        <w:spacing w:after="0" w:line="70" w:lineRule="exact"/>
        <w:rPr>
          <w:sz w:val="20"/>
          <w:szCs w:val="20"/>
          <w:color w:val="auto"/>
        </w:rPr>
      </w:pPr>
    </w:p>
    <w:p>
      <w:pPr>
        <w:ind w:left="680" w:right="60" w:firstLine="399"/>
        <w:spacing w:after="0" w:line="305" w:lineRule="auto"/>
        <w:rPr>
          <w:sz w:val="20"/>
          <w:szCs w:val="20"/>
          <w:color w:val="auto"/>
        </w:rPr>
      </w:pPr>
      <w:r>
        <w:rPr>
          <w:rFonts w:ascii="Arial" w:cs="Arial" w:eastAsia="Arial" w:hAnsi="Arial"/>
          <w:sz w:val="11"/>
          <w:szCs w:val="11"/>
          <w:color w:val="auto"/>
        </w:rPr>
        <w:t>During the three and six months ended June 30, 2010, the fair value of these Treasury rate locks decreased by $8 million and $11 million, respectively. The after-tax losses associated with the decreases in fair value that were recognized as a component of “Other comprehensive income” for the three- and six-month periods ended June 30, 2010 were $5 million and</w:t>
      </w:r>
    </w:p>
    <w:p>
      <w:pPr>
        <w:spacing w:after="0" w:line="1" w:lineRule="exact"/>
        <w:rPr>
          <w:sz w:val="20"/>
          <w:szCs w:val="20"/>
          <w:color w:val="auto"/>
        </w:rPr>
      </w:pPr>
    </w:p>
    <w:p>
      <w:pPr>
        <w:ind w:left="680" w:right="220"/>
        <w:spacing w:after="0" w:line="307" w:lineRule="auto"/>
        <w:rPr>
          <w:sz w:val="20"/>
          <w:szCs w:val="20"/>
          <w:color w:val="auto"/>
        </w:rPr>
      </w:pPr>
      <w:r>
        <w:rPr>
          <w:rFonts w:ascii="Arial" w:cs="Arial" w:eastAsia="Arial" w:hAnsi="Arial"/>
          <w:sz w:val="12"/>
          <w:szCs w:val="12"/>
          <w:color w:val="auto"/>
        </w:rPr>
        <w:t>$7 million, respectively. The $5 million of accumulated deferred losses, net of taxes, associated with these Treasury rate locks will be reclassified to “Interest expense” over the life of the related senior notes, which mature in June 2020. There was no significant ineffectiveness associated with these hedges during the three and six months ended June 30, 2010.</w:t>
      </w:r>
    </w:p>
    <w:p>
      <w:pPr>
        <w:spacing w:after="0" w:line="42"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Our “Accumulated other comprehensive income” also includes deferred losses, net of taxes, of $14 million as of June 30, 2010 and $16 million as of December 31, 2009 related to Treasury rate locks that had been executed in previous years in anticipation of senior note issuances. As these instruments also were designated as cash flow hedges, the deferred losses are being reclassified to earnings over the term of the hedged cash flows, which extend through 2032.</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Forward-Starting Interest Rate Swaps</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Company currently expects to issue fixed-rate debt in March 2011, November 2012 and March 2014 and has executed forward-starting interest rate swaps for these anticipated debt issuances with notional amounts of $150 million, $200 million and $175 million, respectively. We entered into the forward-starting interest rate swaps during the fourth quarter of 2009 to hedge the risk of changes in the anticipated semi-annual interest payments due</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14" w:name="page15"/>
    <w:bookmarkEnd w:id="1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to fluctuations in the forward ten-year LIBOR swap rate. Each of the forward-starting swaps has an effective date of the anticipated date of debt issuance and a term of ten years.</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have designated our forward-starting interest rate swaps as cash flow hedges. As of June 30, 2010, the fair value of these interest rate derivatives is comprised of $13 million of current liabilities and $24 million of long-term liabilities. We recognized pre-tax and after-tax losses of $41 million and $25 million, respectively, to other comprehensive income for changes in the fair value of our forward-starting interest rate swaps during the three months ended June 30, 2010 and $46 million and $28 million, respectively, during the six months ended June 30, 2010. There was no significant ineffectiveness associated with these hedges during the three and six months ended June 30, 2010.</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Credit-Risk Features</w:t>
      </w:r>
    </w:p>
    <w:p>
      <w:pPr>
        <w:spacing w:after="0" w:line="96"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Certain of our interest rate derivative instruments contain provisions related to the Company’s credit ratings. If the Company’s credit rating were to fall below investment grade, the counterparties have the ability to cancel the derivative agreements and request immediate payment of any net liability positions. We do not have any derivative instruments with credit-risk-related contingent features that are in a net liability position at June 30, 2010.</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Exchange Derivatives</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We use foreign currency exchange rate derivatives to hedge our exposure to changes in exchange rates for anticipated intercompany cash transactions between Waste Management Holdings, Inc., a wholly-owned subsidiary we acquired in 1998 (“WM Holdings”), and its Canadian subsidiaries. As of June 30, 2010, we have foreign currency forward contracts outstanding for all of the anticipated cash flows associated with a debt arrangement between these wholly-owned subsidiaries. The hedged cash flows include C$370 million of principal, which is scheduled for repayment on December 31, 2010, and C$22 million of interest payments scheduled for December 31, 2010. We have designated our foreign currency derivatives as cash flow hedges.</w:t>
      </w:r>
    </w:p>
    <w:p>
      <w:pPr>
        <w:spacing w:after="0" w:line="71"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Gains or losses on the derivatives and the offsetting losses or gains on the hedged items attributable to foreign currency exchange risk are recognized in current earnings. We include gains and losses on our foreign currency forward contracts as adjustments to other income and expense, which is the same financial statement line item where offsetting gains and losses on the related hedged items are recorded. The following table summarizes the pre-tax impacts of our foreign currency cash flow derivatives on our results of operations and comprehensive income (in millions):</w:t>
      </w:r>
    </w:p>
    <w:p>
      <w:pPr>
        <w:spacing w:after="0" w:line="65" w:lineRule="exact"/>
        <w:rPr>
          <w:sz w:val="20"/>
          <w:szCs w:val="20"/>
          <w:color w:val="auto"/>
        </w:rPr>
      </w:pPr>
    </w:p>
    <w:tbl>
      <w:tblPr>
        <w:tblLayout w:type="fixed"/>
        <w:tblInd w:w="2480" w:type="dxa"/>
        <w:tblCellMar>
          <w:top w:w="0" w:type="dxa"/>
          <w:left w:w="0" w:type="dxa"/>
          <w:bottom w:w="0" w:type="dxa"/>
          <w:right w:w="0" w:type="dxa"/>
        </w:tblCellMar>
      </w:tblPr>
      <w:tr>
        <w:trPr>
          <w:trHeight w:val="115"/>
        </w:trPr>
        <w:tc>
          <w:tcPr>
            <w:tcW w:w="1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Arial" w:cs="Arial" w:eastAsia="Arial" w:hAnsi="Arial"/>
                <w:sz w:val="10"/>
                <w:szCs w:val="10"/>
                <w:b w:val="1"/>
                <w:bCs w:val="1"/>
                <w:color w:val="auto"/>
                <w:w w:val="97"/>
              </w:rPr>
              <w:t>Amount of Gain or</w:t>
            </w:r>
          </w:p>
        </w:tc>
        <w:tc>
          <w:tcPr>
            <w:tcW w:w="3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Arial" w:cs="Arial" w:eastAsia="Arial" w:hAnsi="Arial"/>
                <w:sz w:val="10"/>
                <w:szCs w:val="10"/>
                <w:b w:val="1"/>
                <w:bCs w:val="1"/>
                <w:color w:val="auto"/>
                <w:w w:val="97"/>
              </w:rPr>
              <w:t>Amount of Gain or</w:t>
            </w: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(Loss) Recognized</w:t>
            </w:r>
          </w:p>
        </w:tc>
        <w:tc>
          <w:tcPr>
            <w:tcW w:w="3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9"/>
              </w:rPr>
              <w:t>(Loss) Reclassified</w:t>
            </w:r>
          </w:p>
        </w:tc>
        <w:tc>
          <w:tcPr>
            <w:tcW w:w="0" w:type="dxa"/>
            <w:vAlign w:val="bottom"/>
          </w:tcPr>
          <w:p>
            <w:pPr>
              <w:spacing w:after="0"/>
              <w:rPr>
                <w:sz w:val="1"/>
                <w:szCs w:val="1"/>
                <w:color w:val="auto"/>
              </w:rPr>
            </w:pPr>
          </w:p>
        </w:tc>
      </w:tr>
      <w:tr>
        <w:trPr>
          <w:trHeight w:val="108"/>
        </w:trPr>
        <w:tc>
          <w:tcPr>
            <w:tcW w:w="15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Three Months Ended</w:t>
            </w:r>
          </w:p>
        </w:tc>
        <w:tc>
          <w:tcPr>
            <w:tcW w:w="320" w:type="dxa"/>
            <w:vAlign w:val="bottom"/>
          </w:tcPr>
          <w:p>
            <w:pPr>
              <w:spacing w:after="0"/>
              <w:rPr>
                <w:sz w:val="9"/>
                <w:szCs w:val="9"/>
                <w:color w:val="auto"/>
              </w:rPr>
            </w:pPr>
          </w:p>
        </w:tc>
        <w:tc>
          <w:tcPr>
            <w:tcW w:w="11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in OCI on</w:t>
            </w:r>
          </w:p>
        </w:tc>
        <w:tc>
          <w:tcPr>
            <w:tcW w:w="320" w:type="dxa"/>
            <w:vAlign w:val="bottom"/>
          </w:tcPr>
          <w:p>
            <w:pPr>
              <w:spacing w:after="0"/>
              <w:rPr>
                <w:sz w:val="9"/>
                <w:szCs w:val="9"/>
                <w:color w:val="auto"/>
              </w:rPr>
            </w:pPr>
          </w:p>
        </w:tc>
        <w:tc>
          <w:tcPr>
            <w:tcW w:w="15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2"/>
              </w:rPr>
              <w:t>Statement of Operations</w:t>
            </w:r>
          </w:p>
        </w:tc>
        <w:tc>
          <w:tcPr>
            <w:tcW w:w="320" w:type="dxa"/>
            <w:vAlign w:val="bottom"/>
          </w:tcPr>
          <w:p>
            <w:pPr>
              <w:spacing w:after="0"/>
              <w:rPr>
                <w:sz w:val="9"/>
                <w:szCs w:val="9"/>
                <w:color w:val="auto"/>
              </w:rPr>
            </w:pPr>
          </w:p>
        </w:tc>
        <w:tc>
          <w:tcPr>
            <w:tcW w:w="11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from AOCI into</w:t>
            </w: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Derivatives</w:t>
            </w:r>
          </w:p>
        </w:tc>
        <w:tc>
          <w:tcPr>
            <w:tcW w:w="32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Income</w:t>
            </w:r>
          </w:p>
        </w:tc>
        <w:tc>
          <w:tcPr>
            <w:tcW w:w="0" w:type="dxa"/>
            <w:vAlign w:val="bottom"/>
          </w:tcPr>
          <w:p>
            <w:pPr>
              <w:spacing w:after="0"/>
              <w:rPr>
                <w:sz w:val="1"/>
                <w:szCs w:val="1"/>
                <w:color w:val="auto"/>
              </w:rPr>
            </w:pPr>
          </w:p>
        </w:tc>
      </w:tr>
      <w:tr>
        <w:trPr>
          <w:trHeight w:val="125"/>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320" w:type="dxa"/>
            <w:vAlign w:val="bottom"/>
          </w:tcPr>
          <w:p>
            <w:pPr>
              <w:spacing w:after="0"/>
              <w:rPr>
                <w:sz w:val="10"/>
                <w:szCs w:val="1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(Effective Portion)</w:t>
            </w:r>
          </w:p>
        </w:tc>
        <w:tc>
          <w:tcPr>
            <w:tcW w:w="320" w:type="dxa"/>
            <w:vAlign w:val="bottom"/>
          </w:tcPr>
          <w:p>
            <w:pPr>
              <w:spacing w:after="0"/>
              <w:rPr>
                <w:sz w:val="10"/>
                <w:szCs w:val="1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Classification</w:t>
            </w:r>
          </w:p>
        </w:tc>
        <w:tc>
          <w:tcPr>
            <w:tcW w:w="320" w:type="dxa"/>
            <w:vAlign w:val="bottom"/>
          </w:tcPr>
          <w:p>
            <w:pPr>
              <w:spacing w:after="0"/>
              <w:rPr>
                <w:sz w:val="10"/>
                <w:szCs w:val="1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(Effective Portion)</w:t>
            </w:r>
          </w:p>
        </w:tc>
        <w:tc>
          <w:tcPr>
            <w:tcW w:w="0" w:type="dxa"/>
            <w:vAlign w:val="bottom"/>
          </w:tcPr>
          <w:p>
            <w:pPr>
              <w:spacing w:after="0"/>
              <w:rPr>
                <w:sz w:val="1"/>
                <w:szCs w:val="1"/>
                <w:color w:val="auto"/>
              </w:rPr>
            </w:pPr>
          </w:p>
        </w:tc>
      </w:tr>
    </w:tbl>
    <w:p>
      <w:pPr>
        <w:spacing w:after="0" w:line="31" w:lineRule="exact"/>
        <w:rPr>
          <w:sz w:val="20"/>
          <w:szCs w:val="20"/>
          <w:color w:val="auto"/>
        </w:rPr>
      </w:pPr>
    </w:p>
    <w:tbl>
      <w:tblPr>
        <w:tblLayout w:type="fixed"/>
        <w:tblInd w:w="2480" w:type="dxa"/>
        <w:tblCellMar>
          <w:top w:w="0" w:type="dxa"/>
          <w:left w:w="0" w:type="dxa"/>
          <w:bottom w:w="0" w:type="dxa"/>
          <w:right w:w="0" w:type="dxa"/>
        </w:tblCellMar>
      </w:tblPr>
      <w:tr>
        <w:trPr>
          <w:trHeight w:val="157"/>
        </w:trPr>
        <w:tc>
          <w:tcPr>
            <w:tcW w:w="1340" w:type="dxa"/>
            <w:vAlign w:val="bottom"/>
          </w:tcPr>
          <w:p>
            <w:pPr>
              <w:jc w:val="right"/>
              <w:ind w:right="359"/>
              <w:spacing w:after="0"/>
              <w:rPr>
                <w:sz w:val="20"/>
                <w:szCs w:val="20"/>
                <w:color w:val="auto"/>
              </w:rPr>
            </w:pPr>
            <w:r>
              <w:rPr>
                <w:rFonts w:ascii="Arial" w:cs="Arial" w:eastAsia="Arial" w:hAnsi="Arial"/>
                <w:sz w:val="13"/>
                <w:szCs w:val="13"/>
                <w:color w:val="auto"/>
              </w:rPr>
              <w:t>2010</w:t>
            </w:r>
          </w:p>
        </w:tc>
        <w:tc>
          <w:tcPr>
            <w:tcW w:w="1540" w:type="dxa"/>
            <w:vAlign w:val="bottom"/>
            <w:gridSpan w:val="2"/>
          </w:tcPr>
          <w:p>
            <w:pPr>
              <w:ind w:left="980"/>
              <w:spacing w:after="0"/>
              <w:rPr>
                <w:sz w:val="20"/>
                <w:szCs w:val="20"/>
                <w:color w:val="auto"/>
              </w:rPr>
            </w:pPr>
            <w:r>
              <w:rPr>
                <w:rFonts w:ascii="Arial" w:cs="Arial" w:eastAsia="Arial" w:hAnsi="Arial"/>
                <w:sz w:val="13"/>
                <w:szCs w:val="13"/>
                <w:color w:val="auto"/>
              </w:rPr>
              <w:t>$ 17</w:t>
            </w:r>
          </w:p>
        </w:tc>
        <w:tc>
          <w:tcPr>
            <w:tcW w:w="380" w:type="dxa"/>
            <w:vAlign w:val="bottom"/>
          </w:tcPr>
          <w:p>
            <w:pPr>
              <w:spacing w:after="0"/>
              <w:rPr>
                <w:sz w:val="13"/>
                <w:szCs w:val="13"/>
                <w:color w:val="auto"/>
              </w:rPr>
            </w:pPr>
          </w:p>
        </w:tc>
        <w:tc>
          <w:tcPr>
            <w:tcW w:w="1580" w:type="dxa"/>
            <w:vAlign w:val="bottom"/>
          </w:tcPr>
          <w:p>
            <w:pPr>
              <w:ind w:left="260"/>
              <w:spacing w:after="0"/>
              <w:rPr>
                <w:sz w:val="20"/>
                <w:szCs w:val="20"/>
                <w:color w:val="auto"/>
              </w:rPr>
            </w:pPr>
            <w:r>
              <w:rPr>
                <w:rFonts w:ascii="Arial" w:cs="Arial" w:eastAsia="Arial" w:hAnsi="Arial"/>
                <w:sz w:val="13"/>
                <w:szCs w:val="13"/>
                <w:color w:val="auto"/>
                <w:w w:val="93"/>
              </w:rPr>
              <w:t>Other income (expense)</w:t>
            </w:r>
          </w:p>
        </w:tc>
        <w:tc>
          <w:tcPr>
            <w:tcW w:w="1540" w:type="dxa"/>
            <w:vAlign w:val="bottom"/>
            <w:gridSpan w:val="2"/>
          </w:tcPr>
          <w:p>
            <w:pPr>
              <w:ind w:left="820"/>
              <w:spacing w:after="0"/>
              <w:rPr>
                <w:sz w:val="20"/>
                <w:szCs w:val="20"/>
                <w:color w:val="auto"/>
              </w:rPr>
            </w:pPr>
            <w:r>
              <w:rPr>
                <w:rFonts w:ascii="Arial" w:cs="Arial" w:eastAsia="Arial" w:hAnsi="Arial"/>
                <w:sz w:val="13"/>
                <w:szCs w:val="13"/>
                <w:color w:val="auto"/>
              </w:rPr>
              <w:t>$ 17</w:t>
            </w:r>
          </w:p>
        </w:tc>
        <w:tc>
          <w:tcPr>
            <w:tcW w:w="0" w:type="dxa"/>
            <w:vAlign w:val="bottom"/>
          </w:tcPr>
          <w:p>
            <w:pPr>
              <w:spacing w:after="0"/>
              <w:rPr>
                <w:sz w:val="1"/>
                <w:szCs w:val="1"/>
                <w:color w:val="auto"/>
              </w:rPr>
            </w:pPr>
          </w:p>
        </w:tc>
      </w:tr>
      <w:tr>
        <w:trPr>
          <w:trHeight w:val="165"/>
        </w:trPr>
        <w:tc>
          <w:tcPr>
            <w:tcW w:w="1340" w:type="dxa"/>
            <w:vAlign w:val="bottom"/>
          </w:tcPr>
          <w:p>
            <w:pPr>
              <w:jc w:val="right"/>
              <w:ind w:right="359"/>
              <w:spacing w:after="0"/>
              <w:rPr>
                <w:sz w:val="20"/>
                <w:szCs w:val="20"/>
                <w:color w:val="auto"/>
              </w:rPr>
            </w:pPr>
            <w:r>
              <w:rPr>
                <w:rFonts w:ascii="Arial" w:cs="Arial" w:eastAsia="Arial" w:hAnsi="Arial"/>
                <w:sz w:val="13"/>
                <w:szCs w:val="13"/>
                <w:color w:val="auto"/>
              </w:rPr>
              <w:t>2009</w:t>
            </w:r>
          </w:p>
        </w:tc>
        <w:tc>
          <w:tcPr>
            <w:tcW w:w="1540" w:type="dxa"/>
            <w:vAlign w:val="bottom"/>
            <w:gridSpan w:val="2"/>
          </w:tcPr>
          <w:p>
            <w:pPr>
              <w:ind w:left="980"/>
              <w:spacing w:after="0"/>
              <w:rPr>
                <w:sz w:val="20"/>
                <w:szCs w:val="20"/>
                <w:color w:val="auto"/>
              </w:rPr>
            </w:pPr>
            <w:r>
              <w:rPr>
                <w:rFonts w:ascii="Arial" w:cs="Arial" w:eastAsia="Arial" w:hAnsi="Arial"/>
                <w:sz w:val="13"/>
                <w:szCs w:val="13"/>
                <w:color w:val="auto"/>
              </w:rPr>
              <w:t>$(24)</w:t>
            </w:r>
          </w:p>
        </w:tc>
        <w:tc>
          <w:tcPr>
            <w:tcW w:w="38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Arial" w:cs="Arial" w:eastAsia="Arial" w:hAnsi="Arial"/>
                <w:sz w:val="13"/>
                <w:szCs w:val="13"/>
                <w:color w:val="auto"/>
                <w:w w:val="93"/>
              </w:rPr>
              <w:t>Other income (expense)</w:t>
            </w:r>
          </w:p>
        </w:tc>
        <w:tc>
          <w:tcPr>
            <w:tcW w:w="1540" w:type="dxa"/>
            <w:vAlign w:val="bottom"/>
            <w:gridSpan w:val="2"/>
          </w:tcPr>
          <w:p>
            <w:pPr>
              <w:ind w:left="82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269"/>
        </w:trPr>
        <w:tc>
          <w:tcPr>
            <w:tcW w:w="1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0"/>
                <w:szCs w:val="10"/>
                <w:b w:val="1"/>
                <w:bCs w:val="1"/>
                <w:color w:val="auto"/>
                <w:w w:val="97"/>
              </w:rPr>
              <w:t>Amount of Gain or</w:t>
            </w:r>
          </w:p>
        </w:tc>
        <w:tc>
          <w:tcPr>
            <w:tcW w:w="3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0"/>
                <w:szCs w:val="10"/>
                <w:b w:val="1"/>
                <w:bCs w:val="1"/>
                <w:color w:val="auto"/>
                <w:w w:val="97"/>
              </w:rPr>
              <w:t>Amount of Gain or</w:t>
            </w: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(Loss) Recognized</w:t>
            </w:r>
          </w:p>
        </w:tc>
        <w:tc>
          <w:tcPr>
            <w:tcW w:w="3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9"/>
              </w:rPr>
              <w:t>(Loss) Reclassified</w:t>
            </w:r>
          </w:p>
        </w:tc>
        <w:tc>
          <w:tcPr>
            <w:tcW w:w="0" w:type="dxa"/>
            <w:vAlign w:val="bottom"/>
          </w:tcPr>
          <w:p>
            <w:pPr>
              <w:spacing w:after="0"/>
              <w:rPr>
                <w:sz w:val="1"/>
                <w:szCs w:val="1"/>
                <w:color w:val="auto"/>
              </w:rPr>
            </w:pPr>
          </w:p>
        </w:tc>
      </w:tr>
      <w:tr>
        <w:trPr>
          <w:trHeight w:val="108"/>
        </w:trPr>
        <w:tc>
          <w:tcPr>
            <w:tcW w:w="13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Six Months Ended</w:t>
            </w:r>
          </w:p>
        </w:tc>
        <w:tc>
          <w:tcPr>
            <w:tcW w:w="380" w:type="dxa"/>
            <w:vAlign w:val="bottom"/>
          </w:tcPr>
          <w:p>
            <w:pPr>
              <w:spacing w:after="0"/>
              <w:rPr>
                <w:sz w:val="9"/>
                <w:szCs w:val="9"/>
                <w:color w:val="auto"/>
              </w:rPr>
            </w:pPr>
          </w:p>
        </w:tc>
        <w:tc>
          <w:tcPr>
            <w:tcW w:w="11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in OCI on</w:t>
            </w:r>
          </w:p>
        </w:tc>
        <w:tc>
          <w:tcPr>
            <w:tcW w:w="380" w:type="dxa"/>
            <w:vAlign w:val="bottom"/>
          </w:tcPr>
          <w:p>
            <w:pPr>
              <w:spacing w:after="0"/>
              <w:rPr>
                <w:sz w:val="9"/>
                <w:szCs w:val="9"/>
                <w:color w:val="auto"/>
              </w:rPr>
            </w:pPr>
          </w:p>
        </w:tc>
        <w:tc>
          <w:tcPr>
            <w:tcW w:w="15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Statement of Operations</w:t>
            </w:r>
          </w:p>
        </w:tc>
        <w:tc>
          <w:tcPr>
            <w:tcW w:w="380" w:type="dxa"/>
            <w:vAlign w:val="bottom"/>
          </w:tcPr>
          <w:p>
            <w:pPr>
              <w:spacing w:after="0"/>
              <w:rPr>
                <w:sz w:val="9"/>
                <w:szCs w:val="9"/>
                <w:color w:val="auto"/>
              </w:rPr>
            </w:pPr>
          </w:p>
        </w:tc>
        <w:tc>
          <w:tcPr>
            <w:tcW w:w="11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from AOCI into</w:t>
            </w:r>
          </w:p>
        </w:tc>
        <w:tc>
          <w:tcPr>
            <w:tcW w:w="0" w:type="dxa"/>
            <w:vAlign w:val="bottom"/>
          </w:tcPr>
          <w:p>
            <w:pPr>
              <w:spacing w:after="0"/>
              <w:rPr>
                <w:sz w:val="1"/>
                <w:szCs w:val="1"/>
                <w:color w:val="auto"/>
              </w:rPr>
            </w:pPr>
          </w:p>
        </w:tc>
      </w:tr>
      <w:tr>
        <w:trPr>
          <w:trHeight w:val="108"/>
        </w:trPr>
        <w:tc>
          <w:tcPr>
            <w:tcW w:w="134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Derivatives</w:t>
            </w:r>
          </w:p>
        </w:tc>
        <w:tc>
          <w:tcPr>
            <w:tcW w:w="38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Income</w:t>
            </w:r>
          </w:p>
        </w:tc>
        <w:tc>
          <w:tcPr>
            <w:tcW w:w="0" w:type="dxa"/>
            <w:vAlign w:val="bottom"/>
          </w:tcPr>
          <w:p>
            <w:pPr>
              <w:spacing w:after="0"/>
              <w:rPr>
                <w:sz w:val="1"/>
                <w:szCs w:val="1"/>
                <w:color w:val="auto"/>
              </w:rPr>
            </w:pPr>
          </w:p>
        </w:tc>
      </w:tr>
      <w:tr>
        <w:trPr>
          <w:trHeight w:val="125"/>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380" w:type="dxa"/>
            <w:vAlign w:val="bottom"/>
          </w:tcPr>
          <w:p>
            <w:pPr>
              <w:spacing w:after="0"/>
              <w:rPr>
                <w:sz w:val="10"/>
                <w:szCs w:val="1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(Effective Portion)</w:t>
            </w:r>
          </w:p>
        </w:tc>
        <w:tc>
          <w:tcPr>
            <w:tcW w:w="380" w:type="dxa"/>
            <w:vAlign w:val="bottom"/>
          </w:tcPr>
          <w:p>
            <w:pPr>
              <w:spacing w:after="0"/>
              <w:rPr>
                <w:sz w:val="10"/>
                <w:szCs w:val="1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Classification</w:t>
            </w:r>
          </w:p>
        </w:tc>
        <w:tc>
          <w:tcPr>
            <w:tcW w:w="380" w:type="dxa"/>
            <w:vAlign w:val="bottom"/>
          </w:tcPr>
          <w:p>
            <w:pPr>
              <w:spacing w:after="0"/>
              <w:rPr>
                <w:sz w:val="10"/>
                <w:szCs w:val="1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(Effective Portion)</w:t>
            </w:r>
          </w:p>
        </w:tc>
        <w:tc>
          <w:tcPr>
            <w:tcW w:w="0" w:type="dxa"/>
            <w:vAlign w:val="bottom"/>
          </w:tcPr>
          <w:p>
            <w:pPr>
              <w:spacing w:after="0"/>
              <w:rPr>
                <w:sz w:val="1"/>
                <w:szCs w:val="1"/>
                <w:color w:val="auto"/>
              </w:rPr>
            </w:pPr>
          </w:p>
        </w:tc>
      </w:tr>
      <w:tr>
        <w:trPr>
          <w:trHeight w:val="178"/>
        </w:trPr>
        <w:tc>
          <w:tcPr>
            <w:tcW w:w="1340" w:type="dxa"/>
            <w:vAlign w:val="bottom"/>
          </w:tcPr>
          <w:p>
            <w:pPr>
              <w:jc w:val="center"/>
              <w:spacing w:after="0"/>
              <w:rPr>
                <w:sz w:val="20"/>
                <w:szCs w:val="20"/>
                <w:color w:val="auto"/>
              </w:rPr>
            </w:pPr>
            <w:r>
              <w:rPr>
                <w:rFonts w:ascii="Arial" w:cs="Arial" w:eastAsia="Arial" w:hAnsi="Arial"/>
                <w:sz w:val="13"/>
                <w:szCs w:val="13"/>
                <w:color w:val="auto"/>
                <w:w w:val="89"/>
              </w:rPr>
              <w:t>2010</w:t>
            </w:r>
          </w:p>
        </w:tc>
        <w:tc>
          <w:tcPr>
            <w:tcW w:w="1540" w:type="dxa"/>
            <w:vAlign w:val="bottom"/>
            <w:gridSpan w:val="2"/>
          </w:tcPr>
          <w:p>
            <w:pPr>
              <w:ind w:left="820"/>
              <w:spacing w:after="0"/>
              <w:rPr>
                <w:sz w:val="20"/>
                <w:szCs w:val="20"/>
                <w:color w:val="auto"/>
              </w:rPr>
            </w:pPr>
            <w:r>
              <w:rPr>
                <w:rFonts w:ascii="Arial" w:cs="Arial" w:eastAsia="Arial" w:hAnsi="Arial"/>
                <w:sz w:val="13"/>
                <w:szCs w:val="13"/>
                <w:color w:val="auto"/>
              </w:rPr>
              <w:t>$  5</w:t>
            </w:r>
          </w:p>
        </w:tc>
        <w:tc>
          <w:tcPr>
            <w:tcW w:w="3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0"/>
              </w:rPr>
              <w:t>Other income (expense)</w:t>
            </w:r>
          </w:p>
        </w:tc>
        <w:tc>
          <w:tcPr>
            <w:tcW w:w="1540" w:type="dxa"/>
            <w:vAlign w:val="bottom"/>
            <w:gridSpan w:val="2"/>
          </w:tcPr>
          <w:p>
            <w:pPr>
              <w:ind w:left="820"/>
              <w:spacing w:after="0"/>
              <w:rPr>
                <w:sz w:val="20"/>
                <w:szCs w:val="20"/>
                <w:color w:val="auto"/>
              </w:rPr>
            </w:pPr>
            <w:r>
              <w:rPr>
                <w:rFonts w:ascii="Arial" w:cs="Arial" w:eastAsia="Arial" w:hAnsi="Arial"/>
                <w:sz w:val="13"/>
                <w:szCs w:val="13"/>
                <w:color w:val="auto"/>
              </w:rPr>
              <w:t>$  5</w:t>
            </w:r>
          </w:p>
        </w:tc>
        <w:tc>
          <w:tcPr>
            <w:tcW w:w="0" w:type="dxa"/>
            <w:vAlign w:val="bottom"/>
          </w:tcPr>
          <w:p>
            <w:pPr>
              <w:spacing w:after="0"/>
              <w:rPr>
                <w:sz w:val="1"/>
                <w:szCs w:val="1"/>
                <w:color w:val="auto"/>
              </w:rPr>
            </w:pPr>
          </w:p>
        </w:tc>
      </w:tr>
      <w:tr>
        <w:trPr>
          <w:trHeight w:val="165"/>
        </w:trPr>
        <w:tc>
          <w:tcPr>
            <w:tcW w:w="1340" w:type="dxa"/>
            <w:vAlign w:val="bottom"/>
          </w:tcPr>
          <w:p>
            <w:pPr>
              <w:jc w:val="center"/>
              <w:spacing w:after="0"/>
              <w:rPr>
                <w:sz w:val="20"/>
                <w:szCs w:val="20"/>
                <w:color w:val="auto"/>
              </w:rPr>
            </w:pPr>
            <w:r>
              <w:rPr>
                <w:rFonts w:ascii="Arial" w:cs="Arial" w:eastAsia="Arial" w:hAnsi="Arial"/>
                <w:sz w:val="13"/>
                <w:szCs w:val="13"/>
                <w:color w:val="auto"/>
                <w:w w:val="89"/>
              </w:rPr>
              <w:t>2009</w:t>
            </w:r>
          </w:p>
        </w:tc>
        <w:tc>
          <w:tcPr>
            <w:tcW w:w="1540" w:type="dxa"/>
            <w:vAlign w:val="bottom"/>
            <w:gridSpan w:val="2"/>
          </w:tcPr>
          <w:p>
            <w:pPr>
              <w:ind w:left="820"/>
              <w:spacing w:after="0"/>
              <w:rPr>
                <w:sz w:val="20"/>
                <w:szCs w:val="20"/>
                <w:color w:val="auto"/>
              </w:rPr>
            </w:pPr>
            <w:r>
              <w:rPr>
                <w:rFonts w:ascii="Arial" w:cs="Arial" w:eastAsia="Arial" w:hAnsi="Arial"/>
                <w:sz w:val="13"/>
                <w:szCs w:val="13"/>
                <w:color w:val="auto"/>
              </w:rPr>
              <w:t>$(12)</w:t>
            </w:r>
          </w:p>
        </w:tc>
        <w:tc>
          <w:tcPr>
            <w:tcW w:w="3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0"/>
              </w:rPr>
              <w:t>Other income (expense)</w:t>
            </w:r>
          </w:p>
        </w:tc>
        <w:tc>
          <w:tcPr>
            <w:tcW w:w="1540" w:type="dxa"/>
            <w:vAlign w:val="bottom"/>
            <w:gridSpan w:val="2"/>
          </w:tcPr>
          <w:p>
            <w:pPr>
              <w:ind w:left="82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Amounts reported in other comprehensive income and accumulated other comprehensive income are reported net of tax. Adjustments to other comprehensive income for changes in the fair value of our foreign currency cash flow hedges resulted in the recognition of after-tax gains of $10 million and $3 million during the three and six months ended June 30, 2010, respectively. Adjustments for the reclassification of gains from accumulated other</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140"/>
        <w:spacing w:after="0" w:line="276" w:lineRule="auto"/>
        <w:rPr>
          <w:sz w:val="20"/>
          <w:szCs w:val="20"/>
          <w:color w:val="auto"/>
        </w:rPr>
      </w:pPr>
      <w:r>
        <w:rPr>
          <w:rFonts w:ascii="Arial" w:cs="Arial" w:eastAsia="Arial" w:hAnsi="Arial"/>
          <w:sz w:val="13"/>
          <w:szCs w:val="13"/>
          <w:color w:val="auto"/>
        </w:rPr>
        <w:t>comprehensive income into income were $11 million and $3 million during the three and six months ended June 30, 2010, respectively. There was no significant ineffectiveness associated with these hedges during the three and six months ended June 30, 2010.</w:t>
      </w:r>
    </w:p>
    <w:p>
      <w:pPr>
        <w:spacing w:after="0" w:line="4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We recognized an after-tax loss to other comprehensive income for changes in the fair value of our foreign currency cash flow hedges of $15 million during the three months ended June 30, 2009 and $7 million during the six months ended June 30, 2009. After-tax losses reclassified from accumulated other comprehensive income into income were $15 million and $8 million during the three and six months ended June 30, 2009, respectively.</w:t>
      </w:r>
    </w:p>
    <w:p>
      <w:pPr>
        <w:spacing w:after="0" w:line="8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Electricity Commodity Derivatives</w:t>
      </w:r>
    </w:p>
    <w:p>
      <w:pPr>
        <w:spacing w:after="0" w:line="7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During the first quarter of 2010, we entered into “receive fixed, pay variable” electricity swaps to mitigate the variability in our revenues and cash flows caused by fluctuations in the market prices for electricity. The electricity swaps in place as of June 30, 2010 mature in December 2010 and are expected to hedge 287,040 megawatt hours, or approximately 21% of our Wheelabrator Group’s 2010 merchant electricity sales.</w:t>
      </w:r>
    </w:p>
    <w:p>
      <w:pPr>
        <w:spacing w:after="0" w:line="37"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During the three and six months ended June 30, 2010, the fair value of our electricity commodity derivatives decreased by $3 million and $2 million, respectively. The after-tax losses associated with the decreases in fair value that were recognized as a component of “Other comprehensive income” for the three- and six-month periods ended June 30, 2010 were $2 million and $1 million, respectively. Adjustments for the reclassification of losses from “Accumulated other comprehensive income” into earnings reduced our revenues by $2 million for the three and six months ended June 30, 2010. The realized losses were $1 million on an after-tax basis for the three and six months ended June 30, 2010. The fair value of our electricity commodity derivative liabilities as of June 30, 2010 was $1 million and is included as a current liability in our Condensed Consolidated Balance Sheet. There was no significant ineffectiveness associated with these hedges during the three and six months ended June 30, 2010.</w:t>
      </w:r>
    </w:p>
    <w:p>
      <w:pPr>
        <w:spacing w:after="0" w:line="97" w:lineRule="exact"/>
        <w:rPr>
          <w:sz w:val="20"/>
          <w:szCs w:val="20"/>
          <w:color w:val="auto"/>
        </w:rPr>
      </w:pPr>
    </w:p>
    <w:p>
      <w:pPr>
        <w:ind w:left="1000" w:hanging="313"/>
        <w:spacing w:after="0"/>
        <w:tabs>
          <w:tab w:leader="none" w:pos="1000"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71"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Our effective tax rate for the three and six months ended June 30, 2010 was 44.2% and 41.2%, respectively, compared with 37.9% and 37.6% for the comparable prior-year periods. The differences between federal income taxes computed at the federal statutory rate and reported income taxes for the three and six months ended June 30, 2010 were primarily due to (i) a $37 million increase in our current period provision for state deferred income taxes to reflect the impact of changes in the estimated tax rate at which existing temporary differences will be realized, which increased our effective rate for the three-month period by 8.1 percentage points and for the six-month period by 4.9 percentage points; and (ii) the unfavorable impact of state and local taxes. Since the state deferred tax charges relate to existing temporary differences, they are not expected to impact our effective tax rate in future periods, absent prospective changes in income apportionment or state tax rates. These increases in our effective rate for the reported periods were partially offset by the favorable impact of federal low-income housing tax credits, which decreased our effective rate for the three-month period by 1.6 percentage points and for the six-month period by 1.0 percentage points. The differences between federal income taxes computed at the federal statutory rate and reported income taxes for the three and six months ended June 30, 2009 were primarily due to the unfavorable impact of state and local income taxes. We evaluate our effective tax rate at each interim period and adjust it accordingly as facts and circumstances warrant.</w:t>
      </w:r>
    </w:p>
    <w:p>
      <w:pPr>
        <w:spacing w:after="0" w:line="31"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i w:val="1"/>
          <w:iCs w:val="1"/>
          <w:color w:val="auto"/>
        </w:rPr>
        <w:t xml:space="preserve">Federal low-income housing tax credits </w:t>
      </w:r>
      <w:r>
        <w:rPr>
          <w:rFonts w:ascii="Arial" w:cs="Arial" w:eastAsia="Arial" w:hAnsi="Arial"/>
          <w:sz w:val="12"/>
          <w:szCs w:val="12"/>
          <w:color w:val="auto"/>
        </w:rPr>
        <w:t>— In April 2010, we acquired a noncontrolling interest in a limited liability company established to invest in and manage low-income</w:t>
      </w:r>
      <w:r>
        <w:rPr>
          <w:rFonts w:ascii="Arial" w:cs="Arial" w:eastAsia="Arial" w:hAnsi="Arial"/>
          <w:sz w:val="12"/>
          <w:szCs w:val="12"/>
          <w:i w:val="1"/>
          <w:iCs w:val="1"/>
          <w:color w:val="auto"/>
        </w:rPr>
        <w:t xml:space="preserve"> </w:t>
      </w:r>
      <w:r>
        <w:rPr>
          <w:rFonts w:ascii="Arial" w:cs="Arial" w:eastAsia="Arial" w:hAnsi="Arial"/>
          <w:sz w:val="12"/>
          <w:szCs w:val="12"/>
          <w:color w:val="auto"/>
        </w:rPr>
        <w:t>housing properties. Our consideration for this investment totaled $221 million, which was comprised of a $215 million note payable and an initial cash payment of $6 million. The entity’s low-income housing investments qualify for federal tax credits that are expected to be realized through 2020 in accordance with Section 42 of the Internal Revenue Code.</w:t>
      </w:r>
    </w:p>
    <w:p>
      <w:pPr>
        <w:spacing w:after="0" w:line="50" w:lineRule="exact"/>
        <w:rPr>
          <w:sz w:val="20"/>
          <w:szCs w:val="20"/>
          <w:color w:val="auto"/>
        </w:rPr>
      </w:pPr>
    </w:p>
    <w:p>
      <w:pPr>
        <w:jc w:val="both"/>
        <w:ind w:left="680" w:right="60" w:firstLine="399"/>
        <w:spacing w:after="0" w:line="334" w:lineRule="auto"/>
        <w:rPr>
          <w:sz w:val="20"/>
          <w:szCs w:val="20"/>
          <w:color w:val="auto"/>
        </w:rPr>
      </w:pPr>
      <w:r>
        <w:rPr>
          <w:rFonts w:ascii="Arial" w:cs="Arial" w:eastAsia="Arial" w:hAnsi="Arial"/>
          <w:sz w:val="11"/>
          <w:szCs w:val="11"/>
          <w:color w:val="auto"/>
        </w:rPr>
        <w:t>We account for our investment in this entity using the equity method of accounting and recognize a charge to “Equity in net earnings (losses) of unconsolidated entities,” which is a component of “Other, net” within our Condensed Consolidated Statement of Operations, for reductions in the value of our investment. We recognized $8 million of expense during the three and six months ended June 30, 2010. We also recognized $1 million of interest expense related to this investment during the current period. Our tax provision for the three and six months</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ended June 30, 2010 was reduced by $11 million (including $8 million of tax credits) as a result of this investment, which more than offset the pre-tax expense realized during the period.</w:t>
      </w:r>
    </w:p>
    <w:p>
      <w:pPr>
        <w:spacing w:after="0" w:line="96" w:lineRule="exact"/>
        <w:rPr>
          <w:sz w:val="20"/>
          <w:szCs w:val="20"/>
          <w:color w:val="auto"/>
        </w:rPr>
      </w:pPr>
    </w:p>
    <w:p>
      <w:pPr>
        <w:ind w:left="680" w:right="860" w:firstLine="399"/>
        <w:spacing w:after="0" w:line="289" w:lineRule="auto"/>
        <w:rPr>
          <w:sz w:val="20"/>
          <w:szCs w:val="20"/>
          <w:color w:val="auto"/>
        </w:rPr>
      </w:pPr>
      <w:r>
        <w:rPr>
          <w:rFonts w:ascii="Arial" w:cs="Arial" w:eastAsia="Arial" w:hAnsi="Arial"/>
          <w:sz w:val="12"/>
          <w:szCs w:val="12"/>
          <w:i w:val="1"/>
          <w:iCs w:val="1"/>
          <w:color w:val="auto"/>
        </w:rPr>
        <w:t xml:space="preserve">Healthcare legislation update </w:t>
      </w:r>
      <w:r>
        <w:rPr>
          <w:rFonts w:ascii="Arial" w:cs="Arial" w:eastAsia="Arial" w:hAnsi="Arial"/>
          <w:sz w:val="12"/>
          <w:szCs w:val="12"/>
          <w:color w:val="auto"/>
        </w:rPr>
        <w:t>— The Patient Protection and Affordable Care Act, which was signed into law in March 2010, includes a provision that eliminates the tax deductibility</w:t>
      </w:r>
      <w:r>
        <w:rPr>
          <w:rFonts w:ascii="Arial" w:cs="Arial" w:eastAsia="Arial" w:hAnsi="Arial"/>
          <w:sz w:val="12"/>
          <w:szCs w:val="12"/>
          <w:i w:val="1"/>
          <w:iCs w:val="1"/>
          <w:color w:val="auto"/>
        </w:rPr>
        <w:t xml:space="preserve"> </w:t>
      </w:r>
      <w:r>
        <w:rPr>
          <w:rFonts w:ascii="Arial" w:cs="Arial" w:eastAsia="Arial" w:hAnsi="Arial"/>
          <w:sz w:val="12"/>
          <w:szCs w:val="12"/>
          <w:color w:val="auto"/>
        </w:rPr>
        <w:t>of retiree health care costs to the extent that retiree prescription drug benefits are reimbursed under Medicare Part D coverage. Although this provision of the Act does not take effect until 2013, we were required to recognize the full accounting impact of the change in law on our deferred tax assets during the first quarter of 2010, the period in which the law was enacted. The re-measurement of our deferred tax assets did not affect our financial position or results of operations as of and for the three and six months ended June 30, 2010.</w:t>
      </w:r>
    </w:p>
    <w:p>
      <w:pPr>
        <w:spacing w:after="0" w:line="128"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6.</w:t>
            </w:r>
          </w:p>
        </w:tc>
        <w:tc>
          <w:tcPr>
            <w:tcW w:w="7380" w:type="dxa"/>
            <w:vAlign w:val="bottom"/>
          </w:tcPr>
          <w:p>
            <w:pPr>
              <w:ind w:left="200"/>
              <w:spacing w:after="0"/>
              <w:rPr>
                <w:sz w:val="20"/>
                <w:szCs w:val="20"/>
                <w:color w:val="auto"/>
              </w:rPr>
            </w:pPr>
            <w:r>
              <w:rPr>
                <w:rFonts w:ascii="Arial" w:cs="Arial" w:eastAsia="Arial" w:hAnsi="Arial"/>
                <w:sz w:val="13"/>
                <w:szCs w:val="13"/>
                <w:b w:val="1"/>
                <w:bCs w:val="1"/>
                <w:color w:val="auto"/>
              </w:rPr>
              <w:t>Comprehensive Income</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7380" w:type="dxa"/>
            <w:vAlign w:val="bottom"/>
          </w:tcPr>
          <w:p>
            <w:pPr>
              <w:ind w:left="280"/>
              <w:spacing w:after="0"/>
              <w:rPr>
                <w:sz w:val="20"/>
                <w:szCs w:val="20"/>
                <w:color w:val="auto"/>
              </w:rPr>
            </w:pPr>
            <w:r>
              <w:rPr>
                <w:rFonts w:ascii="Arial" w:cs="Arial" w:eastAsia="Arial" w:hAnsi="Arial"/>
                <w:sz w:val="13"/>
                <w:szCs w:val="13"/>
                <w:color w:val="auto"/>
              </w:rPr>
              <w:t>Comprehensive income was as follows (in millions):</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1400" w:type="dxa"/>
            <w:vAlign w:val="bottom"/>
            <w:gridSpan w:val="4"/>
          </w:tcPr>
          <w:p>
            <w:pPr>
              <w:jc w:val="center"/>
              <w:ind w:right="400"/>
              <w:spacing w:after="0"/>
              <w:rPr>
                <w:sz w:val="20"/>
                <w:szCs w:val="20"/>
                <w:color w:val="auto"/>
              </w:rPr>
            </w:pPr>
            <w:r>
              <w:rPr>
                <w:rFonts w:ascii="Arial" w:cs="Arial" w:eastAsia="Arial" w:hAnsi="Arial"/>
                <w:sz w:val="10"/>
                <w:szCs w:val="10"/>
                <w:b w:val="1"/>
                <w:bCs w:val="1"/>
                <w:color w:val="auto"/>
                <w:w w:val="97"/>
              </w:rPr>
              <w:t>Three Months</w:t>
            </w:r>
          </w:p>
        </w:tc>
        <w:tc>
          <w:tcPr>
            <w:tcW w:w="108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93"/>
              </w:rPr>
              <w:t>Six Months</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Ended</w:t>
            </w: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Ended</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2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2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3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2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2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92"/>
              </w:rPr>
              <w:t>$ 258</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5"/>
              </w:rPr>
              <w:t>$ 267</w:t>
            </w:r>
          </w:p>
        </w:tc>
        <w:tc>
          <w:tcPr>
            <w:tcW w:w="7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85"/>
              </w:rPr>
              <w:t>$ 450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9"/>
              </w:rPr>
              <w:t>$ 437</w:t>
            </w:r>
          </w:p>
        </w:tc>
        <w:tc>
          <w:tcPr>
            <w:tcW w:w="0" w:type="dxa"/>
            <w:vAlign w:val="bottom"/>
          </w:tcPr>
          <w:p>
            <w:pPr>
              <w:spacing w:after="0"/>
              <w:rPr>
                <w:sz w:val="1"/>
                <w:szCs w:val="1"/>
                <w:color w:val="auto"/>
              </w:rPr>
            </w:pPr>
          </w:p>
        </w:tc>
      </w:tr>
      <w:tr>
        <w:trPr>
          <w:trHeight w:val="156"/>
        </w:trPr>
        <w:tc>
          <w:tcPr>
            <w:tcW w:w="7500" w:type="dxa"/>
            <w:vAlign w:val="bottom"/>
            <w:gridSpan w:val="2"/>
          </w:tcPr>
          <w:p>
            <w:pPr>
              <w:spacing w:after="0"/>
              <w:rPr>
                <w:sz w:val="20"/>
                <w:szCs w:val="20"/>
                <w:color w:val="auto"/>
              </w:rPr>
            </w:pPr>
            <w:r>
              <w:rPr>
                <w:rFonts w:ascii="Arial" w:cs="Arial" w:eastAsia="Arial" w:hAnsi="Arial"/>
                <w:sz w:val="13"/>
                <w:szCs w:val="13"/>
                <w:color w:val="auto"/>
              </w:rPr>
              <w:t>Other comprehensive income (loss), net of taxes:</w:t>
            </w:r>
          </w:p>
        </w:tc>
        <w:tc>
          <w:tcPr>
            <w:tcW w:w="3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20" w:type="dxa"/>
            <w:vAlign w:val="bottom"/>
            <w:shd w:val="clear" w:color="auto" w:fill="CCEEFF"/>
          </w:tcPr>
          <w:p>
            <w:pPr>
              <w:spacing w:after="0"/>
              <w:rPr>
                <w:sz w:val="13"/>
                <w:szCs w:val="13"/>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losses resulting from changes in fair value of derivative instruments, net of taxes</w:t>
            </w: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(22)</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(15)</w:t>
            </w:r>
          </w:p>
        </w:tc>
        <w:tc>
          <w:tcPr>
            <w:tcW w:w="7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(33)</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7380" w:type="dxa"/>
            <w:vAlign w:val="bottom"/>
          </w:tcPr>
          <w:p>
            <w:pPr>
              <w:ind w:left="20"/>
              <w:spacing w:after="0"/>
              <w:rPr>
                <w:sz w:val="20"/>
                <w:szCs w:val="20"/>
                <w:color w:val="auto"/>
              </w:rPr>
            </w:pPr>
            <w:r>
              <w:rPr>
                <w:rFonts w:ascii="Arial" w:cs="Arial" w:eastAsia="Arial" w:hAnsi="Arial"/>
                <w:sz w:val="13"/>
                <w:szCs w:val="13"/>
                <w:color w:val="auto"/>
              </w:rPr>
              <w:t>Realized (gains) losses on derivative instruments reclassified into earnings, net of taxes</w:t>
            </w:r>
          </w:p>
        </w:tc>
        <w:tc>
          <w:tcPr>
            <w:tcW w:w="720" w:type="dxa"/>
            <w:vAlign w:val="bottom"/>
            <w:gridSpan w:val="2"/>
          </w:tcPr>
          <w:p>
            <w:pPr>
              <w:jc w:val="right"/>
              <w:ind w:right="308"/>
              <w:spacing w:after="0"/>
              <w:rPr>
                <w:sz w:val="20"/>
                <w:szCs w:val="20"/>
                <w:color w:val="auto"/>
              </w:rPr>
            </w:pPr>
            <w:r>
              <w:rPr>
                <w:rFonts w:ascii="Arial" w:cs="Arial" w:eastAsia="Arial" w:hAnsi="Arial"/>
                <w:sz w:val="13"/>
                <w:szCs w:val="13"/>
                <w:color w:val="auto"/>
              </w:rPr>
              <w:t>(9)</w:t>
            </w: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16</w:t>
            </w:r>
          </w:p>
        </w:tc>
        <w:tc>
          <w:tcPr>
            <w:tcW w:w="70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gains (losses) on marketable securities, net of taxes</w:t>
            </w: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w:t>
            </w:r>
          </w:p>
        </w:tc>
        <w:tc>
          <w:tcPr>
            <w:tcW w:w="7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7380" w:type="dxa"/>
            <w:vAlign w:val="bottom"/>
          </w:tcPr>
          <w:p>
            <w:pPr>
              <w:ind w:left="20"/>
              <w:spacing w:after="0"/>
              <w:rPr>
                <w:sz w:val="20"/>
                <w:szCs w:val="20"/>
                <w:color w:val="auto"/>
              </w:rPr>
            </w:pPr>
            <w:r>
              <w:rPr>
                <w:rFonts w:ascii="Arial" w:cs="Arial" w:eastAsia="Arial" w:hAnsi="Arial"/>
                <w:sz w:val="13"/>
                <w:szCs w:val="13"/>
                <w:color w:val="auto"/>
              </w:rPr>
              <w:t>Foreign currency translation adjustments</w:t>
            </w:r>
          </w:p>
        </w:tc>
        <w:tc>
          <w:tcPr>
            <w:tcW w:w="720" w:type="dxa"/>
            <w:vAlign w:val="bottom"/>
            <w:gridSpan w:val="2"/>
          </w:tcPr>
          <w:p>
            <w:pPr>
              <w:jc w:val="right"/>
              <w:ind w:right="308"/>
              <w:spacing w:after="0"/>
              <w:rPr>
                <w:sz w:val="20"/>
                <w:szCs w:val="20"/>
                <w:color w:val="auto"/>
              </w:rPr>
            </w:pPr>
            <w:r>
              <w:rPr>
                <w:rFonts w:ascii="Arial" w:cs="Arial" w:eastAsia="Arial" w:hAnsi="Arial"/>
                <w:sz w:val="13"/>
                <w:szCs w:val="13"/>
                <w:color w:val="auto"/>
              </w:rPr>
              <w:t>(37)</w:t>
            </w: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49</w:t>
            </w:r>
          </w:p>
        </w:tc>
        <w:tc>
          <w:tcPr>
            <w:tcW w:w="700" w:type="dxa"/>
            <w:vAlign w:val="bottom"/>
            <w:gridSpan w:val="2"/>
          </w:tcPr>
          <w:p>
            <w:pPr>
              <w:jc w:val="right"/>
              <w:ind w:right="308"/>
              <w:spacing w:after="0"/>
              <w:rPr>
                <w:sz w:val="20"/>
                <w:szCs w:val="20"/>
                <w:color w:val="auto"/>
              </w:rPr>
            </w:pPr>
            <w:r>
              <w:rPr>
                <w:rFonts w:ascii="Arial" w:cs="Arial" w:eastAsia="Arial" w:hAnsi="Arial"/>
                <w:sz w:val="13"/>
                <w:szCs w:val="13"/>
                <w:color w:val="auto"/>
              </w:rPr>
              <w:t>(10)</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funded status of post-retirement benefit obligations, net of taxes</w:t>
            </w: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3"/>
                <w:szCs w:val="13"/>
                <w:color w:val="auto"/>
              </w:rPr>
              <w:t>Other comprehensive income (loss)</w:t>
            </w: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gridSpan w:val="2"/>
            <w:vMerge w:val="continue"/>
          </w:tcPr>
          <w:p>
            <w:pPr>
              <w:spacing w:after="0"/>
              <w:rPr>
                <w:sz w:val="13"/>
                <w:szCs w:val="13"/>
                <w:color w:val="auto"/>
              </w:rPr>
            </w:pPr>
          </w:p>
        </w:tc>
        <w:tc>
          <w:tcPr>
            <w:tcW w:w="720" w:type="dxa"/>
            <w:vAlign w:val="bottom"/>
            <w:gridSpan w:val="2"/>
          </w:tcPr>
          <w:p>
            <w:pPr>
              <w:jc w:val="right"/>
              <w:ind w:right="308"/>
              <w:spacing w:after="0"/>
              <w:rPr>
                <w:sz w:val="20"/>
                <w:szCs w:val="20"/>
                <w:color w:val="auto"/>
              </w:rPr>
            </w:pPr>
            <w:r>
              <w:rPr>
                <w:rFonts w:ascii="Arial" w:cs="Arial" w:eastAsia="Arial" w:hAnsi="Arial"/>
                <w:sz w:val="13"/>
                <w:szCs w:val="13"/>
                <w:color w:val="auto"/>
              </w:rPr>
              <w:t>(70)</w:t>
            </w: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56</w:t>
            </w:r>
          </w:p>
        </w:tc>
        <w:tc>
          <w:tcPr>
            <w:tcW w:w="700" w:type="dxa"/>
            <w:vAlign w:val="bottom"/>
            <w:gridSpan w:val="2"/>
          </w:tcPr>
          <w:p>
            <w:pPr>
              <w:jc w:val="right"/>
              <w:ind w:right="308"/>
              <w:spacing w:after="0"/>
              <w:rPr>
                <w:sz w:val="20"/>
                <w:szCs w:val="20"/>
                <w:color w:val="auto"/>
              </w:rPr>
            </w:pPr>
            <w:r>
              <w:rPr>
                <w:rFonts w:ascii="Arial" w:cs="Arial" w:eastAsia="Arial" w:hAnsi="Arial"/>
                <w:sz w:val="13"/>
                <w:szCs w:val="13"/>
                <w:color w:val="auto"/>
              </w:rPr>
              <w:t>(44)</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Comprehensive income</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4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323</w:t>
            </w:r>
          </w:p>
        </w:tc>
        <w:tc>
          <w:tcPr>
            <w:tcW w:w="7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406</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470</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7380" w:type="dxa"/>
            <w:vAlign w:val="bottom"/>
          </w:tcPr>
          <w:p>
            <w:pPr>
              <w:ind w:left="20"/>
              <w:spacing w:after="0"/>
              <w:rPr>
                <w:sz w:val="20"/>
                <w:szCs w:val="20"/>
                <w:color w:val="auto"/>
              </w:rPr>
            </w:pPr>
            <w:r>
              <w:rPr>
                <w:rFonts w:ascii="Arial" w:cs="Arial" w:eastAsia="Arial" w:hAnsi="Arial"/>
                <w:sz w:val="13"/>
                <w:szCs w:val="13"/>
                <w:color w:val="auto"/>
              </w:rPr>
              <w:t>Comprehensive income attributable to noncontrolling interests</w:t>
            </w:r>
          </w:p>
        </w:tc>
        <w:tc>
          <w:tcPr>
            <w:tcW w:w="720" w:type="dxa"/>
            <w:vAlign w:val="bottom"/>
            <w:gridSpan w:val="2"/>
          </w:tcPr>
          <w:p>
            <w:pPr>
              <w:jc w:val="right"/>
              <w:ind w:right="308"/>
              <w:spacing w:after="0"/>
              <w:rPr>
                <w:sz w:val="20"/>
                <w:szCs w:val="20"/>
                <w:color w:val="auto"/>
              </w:rPr>
            </w:pPr>
            <w:r>
              <w:rPr>
                <w:rFonts w:ascii="Arial" w:cs="Arial" w:eastAsia="Arial" w:hAnsi="Arial"/>
                <w:sz w:val="13"/>
                <w:szCs w:val="13"/>
                <w:color w:val="auto"/>
              </w:rPr>
              <w:t>(12)</w:t>
            </w:r>
          </w:p>
        </w:tc>
        <w:tc>
          <w:tcPr>
            <w:tcW w:w="680" w:type="dxa"/>
            <w:vAlign w:val="bottom"/>
            <w:gridSpan w:val="2"/>
          </w:tcPr>
          <w:p>
            <w:pPr>
              <w:jc w:val="right"/>
              <w:ind w:right="340"/>
              <w:spacing w:after="0"/>
              <w:rPr>
                <w:sz w:val="20"/>
                <w:szCs w:val="20"/>
                <w:color w:val="auto"/>
              </w:rPr>
            </w:pPr>
            <w:r>
              <w:rPr>
                <w:rFonts w:ascii="Arial" w:cs="Arial" w:eastAsia="Arial" w:hAnsi="Arial"/>
                <w:sz w:val="13"/>
                <w:szCs w:val="13"/>
                <w:color w:val="auto"/>
              </w:rPr>
              <w:t>(24)</w:t>
            </w:r>
          </w:p>
        </w:tc>
        <w:tc>
          <w:tcPr>
            <w:tcW w:w="700" w:type="dxa"/>
            <w:vAlign w:val="bottom"/>
            <w:gridSpan w:val="2"/>
          </w:tcPr>
          <w:p>
            <w:pPr>
              <w:jc w:val="right"/>
              <w:ind w:right="308"/>
              <w:spacing w:after="0"/>
              <w:rPr>
                <w:sz w:val="20"/>
                <w:szCs w:val="20"/>
                <w:color w:val="auto"/>
              </w:rPr>
            </w:pPr>
            <w:r>
              <w:rPr>
                <w:rFonts w:ascii="Arial" w:cs="Arial" w:eastAsia="Arial" w:hAnsi="Arial"/>
                <w:sz w:val="13"/>
                <w:szCs w:val="13"/>
                <w:color w:val="auto"/>
              </w:rPr>
              <w:t>(22)</w:t>
            </w: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Comprehensive income attributable to Waste Management, Inc.</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$ 176</w:t>
            </w:r>
          </w:p>
        </w:tc>
        <w:tc>
          <w:tcPr>
            <w:tcW w:w="4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5"/>
              </w:rPr>
              <w:t>$ 299</w:t>
            </w:r>
          </w:p>
        </w:tc>
        <w:tc>
          <w:tcPr>
            <w:tcW w:w="7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85"/>
              </w:rPr>
              <w:t>$ 384</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9"/>
              </w:rPr>
              <w:t>$ 433</w:t>
            </w: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components of accumulated other comprehensive income, which is included as a component of Waste Management, Inc. stockholders’ equity, were as follows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84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4"/>
              </w:rPr>
              <w:t>June 30,</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800" w:type="dxa"/>
            <w:vAlign w:val="bottom"/>
          </w:tcPr>
          <w:p>
            <w:pPr>
              <w:spacing w:after="0"/>
              <w:rPr>
                <w:sz w:val="10"/>
                <w:szCs w:val="10"/>
                <w:color w:val="auto"/>
              </w:rPr>
            </w:pPr>
          </w:p>
        </w:tc>
      </w:tr>
      <w:tr>
        <w:trPr>
          <w:trHeight w:val="125"/>
        </w:trPr>
        <w:tc>
          <w:tcPr>
            <w:tcW w:w="68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44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Accumulated unrealized loss on derivative instruments, net of taxes</w:t>
            </w:r>
          </w:p>
        </w:tc>
        <w:tc>
          <w:tcPr>
            <w:tcW w:w="3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Accumulated unrealized gain on marketable securities, net of taxes</w:t>
            </w:r>
          </w:p>
        </w:tc>
        <w:tc>
          <w:tcPr>
            <w:tcW w:w="382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Cumulative foreign currency translation adjustments</w:t>
            </w:r>
          </w:p>
        </w:tc>
        <w:tc>
          <w:tcPr>
            <w:tcW w:w="3820" w:type="dxa"/>
            <w:vAlign w:val="bottom"/>
            <w:tcBorders>
              <w:right w:val="single" w:sz="8" w:color="CCEEFF"/>
            </w:tcBorders>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202</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Funded status of post-retirement benefit obligations, net of taxes</w:t>
            </w:r>
          </w:p>
        </w:tc>
        <w:tc>
          <w:tcPr>
            <w:tcW w:w="382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240" w:type="dxa"/>
            <w:vAlign w:val="bottom"/>
            <w:shd w:val="clear" w:color="auto" w:fill="CCEEFF"/>
          </w:tcPr>
          <w:p>
            <w:pPr>
              <w:spacing w:after="0"/>
              <w:rPr>
                <w:sz w:val="14"/>
                <w:szCs w:val="14"/>
                <w:color w:val="auto"/>
              </w:rPr>
            </w:pPr>
          </w:p>
        </w:tc>
        <w:tc>
          <w:tcPr>
            <w:tcW w:w="3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208</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820" w:type="dxa"/>
            <w:vAlign w:val="bottom"/>
          </w:tcPr>
          <w:p>
            <w:pPr>
              <w:jc w:val="right"/>
              <w:ind w:right="2934"/>
              <w:spacing w:after="0"/>
              <w:rPr>
                <w:sz w:val="20"/>
                <w:szCs w:val="20"/>
                <w:color w:val="auto"/>
              </w:rPr>
            </w:pPr>
            <w:r>
              <w:rPr>
                <w:rFonts w:ascii="Arial" w:cs="Arial" w:eastAsia="Arial" w:hAnsi="Arial"/>
                <w:sz w:val="13"/>
                <w:szCs w:val="13"/>
                <w:color w:val="auto"/>
              </w:rPr>
              <w:t>14</w:t>
            </w:r>
          </w:p>
        </w:tc>
        <w:tc>
          <w:tcPr>
            <w:tcW w:w="4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40" w:type="dxa"/>
            <w:vAlign w:val="bottom"/>
            <w:tcBorders>
              <w:bottom w:val="single" w:sz="8" w:color="808080"/>
            </w:tcBorders>
          </w:tcPr>
          <w:p>
            <w:pPr>
              <w:spacing w:after="0"/>
              <w:rPr>
                <w:sz w:val="14"/>
                <w:szCs w:val="14"/>
                <w:color w:val="auto"/>
              </w:rPr>
            </w:pPr>
          </w:p>
        </w:tc>
        <w:tc>
          <w:tcPr>
            <w:tcW w:w="382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7.</w:t>
            </w:r>
          </w:p>
        </w:tc>
        <w:tc>
          <w:tcPr>
            <w:tcW w:w="6980" w:type="dxa"/>
            <w:vAlign w:val="bottom"/>
          </w:tcPr>
          <w:p>
            <w:pPr>
              <w:ind w:left="200"/>
              <w:spacing w:after="0"/>
              <w:rPr>
                <w:sz w:val="20"/>
                <w:szCs w:val="20"/>
                <w:color w:val="auto"/>
              </w:rPr>
            </w:pPr>
            <w:r>
              <w:rPr>
                <w:rFonts w:ascii="Arial" w:cs="Arial" w:eastAsia="Arial" w:hAnsi="Arial"/>
                <w:sz w:val="13"/>
                <w:szCs w:val="13"/>
                <w:b w:val="1"/>
                <w:bCs w:val="1"/>
                <w:color w:val="auto"/>
              </w:rPr>
              <w:t>Earnings Per Share</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6980" w:type="dxa"/>
            <w:vAlign w:val="bottom"/>
          </w:tcPr>
          <w:p>
            <w:pPr>
              <w:ind w:left="280"/>
              <w:spacing w:after="0"/>
              <w:rPr>
                <w:sz w:val="20"/>
                <w:szCs w:val="20"/>
                <w:color w:val="auto"/>
              </w:rPr>
            </w:pPr>
            <w:r>
              <w:rPr>
                <w:rFonts w:ascii="Arial" w:cs="Arial" w:eastAsia="Arial" w:hAnsi="Arial"/>
                <w:sz w:val="13"/>
                <w:szCs w:val="13"/>
                <w:color w:val="auto"/>
              </w:rPr>
              <w:t>Basic and diluted earnings per share were computed using the following common share data (shares in millions):</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1600" w:type="dxa"/>
            <w:vAlign w:val="bottom"/>
            <w:gridSpan w:val="4"/>
          </w:tcPr>
          <w:p>
            <w:pPr>
              <w:jc w:val="center"/>
              <w:ind w:right="380"/>
              <w:spacing w:after="0"/>
              <w:rPr>
                <w:sz w:val="20"/>
                <w:szCs w:val="20"/>
                <w:color w:val="auto"/>
              </w:rPr>
            </w:pPr>
            <w:r>
              <w:rPr>
                <w:rFonts w:ascii="Arial" w:cs="Arial" w:eastAsia="Arial" w:hAnsi="Arial"/>
                <w:sz w:val="10"/>
                <w:szCs w:val="10"/>
                <w:b w:val="1"/>
                <w:bCs w:val="1"/>
                <w:color w:val="auto"/>
                <w:w w:val="94"/>
              </w:rPr>
              <w:t>Three Months</w:t>
            </w:r>
          </w:p>
        </w:tc>
        <w:tc>
          <w:tcPr>
            <w:tcW w:w="860" w:type="dxa"/>
            <w:vAlign w:val="bottom"/>
            <w:gridSpan w:val="2"/>
          </w:tcPr>
          <w:p>
            <w:pPr>
              <w:jc w:val="center"/>
              <w:ind w:left="277"/>
              <w:spacing w:after="0"/>
              <w:rPr>
                <w:sz w:val="20"/>
                <w:szCs w:val="20"/>
                <w:color w:val="auto"/>
              </w:rPr>
            </w:pPr>
            <w:r>
              <w:rPr>
                <w:rFonts w:ascii="Arial" w:cs="Arial" w:eastAsia="Arial" w:hAnsi="Arial"/>
                <w:sz w:val="10"/>
                <w:szCs w:val="10"/>
                <w:b w:val="1"/>
                <w:bCs w:val="1"/>
                <w:color w:val="auto"/>
                <w:w w:val="97"/>
              </w:rPr>
              <w:t>Six Months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6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gridSpan w:val="3"/>
          </w:tcPr>
          <w:p>
            <w:pPr>
              <w:jc w:val="center"/>
              <w:ind w:right="800"/>
              <w:spacing w:after="0" w:line="108" w:lineRule="exact"/>
              <w:rPr>
                <w:sz w:val="20"/>
                <w:szCs w:val="20"/>
                <w:color w:val="auto"/>
              </w:rPr>
            </w:pPr>
            <w:r>
              <w:rPr>
                <w:rFonts w:ascii="Arial" w:cs="Arial" w:eastAsia="Arial" w:hAnsi="Arial"/>
                <w:sz w:val="10"/>
                <w:szCs w:val="10"/>
                <w:b w:val="1"/>
                <w:bCs w:val="1"/>
                <w:color w:val="auto"/>
                <w:w w:val="98"/>
              </w:rPr>
              <w:t>Ended</w:t>
            </w:r>
          </w:p>
        </w:tc>
        <w:tc>
          <w:tcPr>
            <w:tcW w:w="400" w:type="dxa"/>
            <w:vAlign w:val="bottom"/>
          </w:tcPr>
          <w:p>
            <w:pPr>
              <w:spacing w:after="0"/>
              <w:rPr>
                <w:sz w:val="9"/>
                <w:szCs w:val="9"/>
                <w:color w:val="auto"/>
              </w:rPr>
            </w:pPr>
          </w:p>
        </w:tc>
        <w:tc>
          <w:tcPr>
            <w:tcW w:w="460" w:type="dxa"/>
            <w:vAlign w:val="bottom"/>
          </w:tcPr>
          <w:p>
            <w:pPr>
              <w:jc w:val="center"/>
              <w:ind w:right="8"/>
              <w:spacing w:after="0" w:line="108" w:lineRule="exact"/>
              <w:rPr>
                <w:sz w:val="20"/>
                <w:szCs w:val="20"/>
                <w:color w:val="auto"/>
              </w:rPr>
            </w:pPr>
            <w:r>
              <w:rPr>
                <w:rFonts w:ascii="Arial" w:cs="Arial" w:eastAsia="Arial" w:hAnsi="Arial"/>
                <w:sz w:val="10"/>
                <w:szCs w:val="10"/>
                <w:b w:val="1"/>
                <w:bCs w:val="1"/>
                <w:color w:val="auto"/>
                <w:w w:val="91"/>
              </w:rPr>
              <w:t>Ended</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gridSpan w:val="3"/>
          </w:tcPr>
          <w:p>
            <w:pPr>
              <w:jc w:val="center"/>
              <w:ind w:right="800"/>
              <w:spacing w:after="0"/>
              <w:rPr>
                <w:sz w:val="20"/>
                <w:szCs w:val="20"/>
                <w:color w:val="auto"/>
              </w:rPr>
            </w:pPr>
            <w:r>
              <w:rPr>
                <w:rFonts w:ascii="Arial" w:cs="Arial" w:eastAsia="Arial" w:hAnsi="Arial"/>
                <w:sz w:val="10"/>
                <w:szCs w:val="10"/>
                <w:b w:val="1"/>
                <w:bCs w:val="1"/>
                <w:color w:val="auto"/>
                <w:w w:val="94"/>
              </w:rPr>
              <w:t>June 30,</w:t>
            </w:r>
          </w:p>
        </w:tc>
        <w:tc>
          <w:tcPr>
            <w:tcW w:w="400" w:type="dxa"/>
            <w:vAlign w:val="bottom"/>
          </w:tcPr>
          <w:p>
            <w:pPr>
              <w:spacing w:after="0"/>
              <w:rPr>
                <w:sz w:val="10"/>
                <w:szCs w:val="10"/>
                <w:color w:val="auto"/>
              </w:rPr>
            </w:pPr>
          </w:p>
        </w:tc>
        <w:tc>
          <w:tcPr>
            <w:tcW w:w="460" w:type="dxa"/>
            <w:vAlign w:val="bottom"/>
          </w:tcPr>
          <w:p>
            <w:pPr>
              <w:jc w:val="center"/>
              <w:ind w:right="8"/>
              <w:spacing w:after="0"/>
              <w:rPr>
                <w:sz w:val="20"/>
                <w:szCs w:val="20"/>
                <w:color w:val="auto"/>
              </w:rPr>
            </w:pPr>
            <w:r>
              <w:rPr>
                <w:rFonts w:ascii="Arial" w:cs="Arial" w:eastAsia="Arial" w:hAnsi="Arial"/>
                <w:sz w:val="10"/>
                <w:szCs w:val="10"/>
                <w:b w:val="1"/>
                <w:bCs w:val="1"/>
                <w:color w:val="auto"/>
                <w:w w:val="89"/>
              </w:rPr>
              <w:t>June 30,</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420" w:type="dxa"/>
            <w:vAlign w:val="bottom"/>
            <w:tcBorders>
              <w:top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rPr>
              <w:t>2010</w:t>
            </w:r>
          </w:p>
        </w:tc>
        <w:tc>
          <w:tcPr>
            <w:tcW w:w="800" w:type="dxa"/>
            <w:vAlign w:val="bottom"/>
            <w:tcBorders>
              <w:top w:val="single" w:sz="8" w:color="auto"/>
            </w:tcBorders>
            <w:gridSpan w:val="2"/>
          </w:tcPr>
          <w:p>
            <w:pPr>
              <w:jc w:val="right"/>
              <w:ind w:right="34"/>
              <w:spacing w:after="0" w:line="98" w:lineRule="exact"/>
              <w:rPr>
                <w:sz w:val="20"/>
                <w:szCs w:val="20"/>
                <w:color w:val="auto"/>
              </w:rPr>
            </w:pPr>
            <w:r>
              <w:rPr>
                <w:rFonts w:ascii="Arial" w:cs="Arial" w:eastAsia="Arial" w:hAnsi="Arial"/>
                <w:sz w:val="10"/>
                <w:szCs w:val="10"/>
                <w:b w:val="1"/>
                <w:bCs w:val="1"/>
                <w:color w:val="auto"/>
              </w:rPr>
              <w:t>2009</w:t>
            </w:r>
          </w:p>
        </w:tc>
        <w:tc>
          <w:tcPr>
            <w:tcW w:w="380" w:type="dxa"/>
            <w:vAlign w:val="bottom"/>
          </w:tcPr>
          <w:p>
            <w:pPr>
              <w:spacing w:after="0"/>
              <w:rPr>
                <w:sz w:val="8"/>
                <w:szCs w:val="8"/>
                <w:color w:val="auto"/>
              </w:rPr>
            </w:pPr>
          </w:p>
        </w:tc>
        <w:tc>
          <w:tcPr>
            <w:tcW w:w="400" w:type="dxa"/>
            <w:vAlign w:val="bottom"/>
            <w:tcBorders>
              <w:top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rPr>
              <w:t>2010</w:t>
            </w:r>
          </w:p>
        </w:tc>
        <w:tc>
          <w:tcPr>
            <w:tcW w:w="4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Number of common shares outstanding at end of period</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478.9</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492.2</w:t>
            </w:r>
          </w:p>
        </w:tc>
        <w:tc>
          <w:tcPr>
            <w:tcW w:w="860" w:type="dxa"/>
            <w:vAlign w:val="bottom"/>
            <w:tcBorders>
              <w:right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478.9</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492.2</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6980" w:type="dxa"/>
            <w:vAlign w:val="bottom"/>
          </w:tcPr>
          <w:p>
            <w:pPr>
              <w:ind w:left="20"/>
              <w:spacing w:after="0"/>
              <w:rPr>
                <w:sz w:val="20"/>
                <w:szCs w:val="20"/>
                <w:color w:val="auto"/>
              </w:rPr>
            </w:pPr>
            <w:r>
              <w:rPr>
                <w:rFonts w:ascii="Arial" w:cs="Arial" w:eastAsia="Arial" w:hAnsi="Arial"/>
                <w:sz w:val="13"/>
                <w:szCs w:val="13"/>
                <w:color w:val="auto"/>
              </w:rPr>
              <w:t>Effect of using weighted average common shares outstanding</w:t>
            </w:r>
          </w:p>
        </w:tc>
        <w:tc>
          <w:tcPr>
            <w:tcW w:w="420" w:type="dxa"/>
            <w:vAlign w:val="bottom"/>
          </w:tcPr>
          <w:p>
            <w:pPr>
              <w:jc w:val="right"/>
              <w:spacing w:after="0"/>
              <w:rPr>
                <w:sz w:val="20"/>
                <w:szCs w:val="20"/>
                <w:color w:val="auto"/>
              </w:rPr>
            </w:pPr>
            <w:r>
              <w:rPr>
                <w:rFonts w:ascii="Arial" w:cs="Arial" w:eastAsia="Arial" w:hAnsi="Arial"/>
                <w:sz w:val="13"/>
                <w:szCs w:val="13"/>
                <w:color w:val="auto"/>
              </w:rPr>
              <w:t>3.2</w:t>
            </w:r>
          </w:p>
        </w:tc>
        <w:tc>
          <w:tcPr>
            <w:tcW w:w="4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0.2</w:t>
            </w:r>
          </w:p>
        </w:tc>
        <w:tc>
          <w:tcPr>
            <w:tcW w:w="380" w:type="dxa"/>
            <w:vAlign w:val="bottom"/>
          </w:tcPr>
          <w:p>
            <w:pPr>
              <w:spacing w:after="0"/>
              <w:rPr>
                <w:sz w:val="13"/>
                <w:szCs w:val="13"/>
                <w:color w:val="auto"/>
              </w:rPr>
            </w:pPr>
          </w:p>
        </w:tc>
        <w:tc>
          <w:tcPr>
            <w:tcW w:w="860" w:type="dxa"/>
            <w:vAlign w:val="bottom"/>
            <w:gridSpan w:val="2"/>
          </w:tcPr>
          <w:p>
            <w:pPr>
              <w:jc w:val="right"/>
              <w:ind w:right="408"/>
              <w:spacing w:after="0"/>
              <w:rPr>
                <w:sz w:val="20"/>
                <w:szCs w:val="20"/>
                <w:color w:val="auto"/>
              </w:rPr>
            </w:pPr>
            <w:r>
              <w:rPr>
                <w:rFonts w:ascii="Arial" w:cs="Arial" w:eastAsia="Arial" w:hAnsi="Arial"/>
                <w:sz w:val="13"/>
                <w:szCs w:val="13"/>
                <w:color w:val="auto"/>
              </w:rPr>
              <w:t>2.6</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basic common shares outstanding</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482.1</w:t>
            </w: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492.4</w:t>
            </w:r>
          </w:p>
        </w:tc>
        <w:tc>
          <w:tcPr>
            <w:tcW w:w="380" w:type="dxa"/>
            <w:vAlign w:val="bottom"/>
            <w:shd w:val="clear" w:color="auto" w:fill="CCEEFF"/>
          </w:tcPr>
          <w:p>
            <w:pPr>
              <w:spacing w:after="0"/>
              <w:rPr>
                <w:sz w:val="13"/>
                <w:szCs w:val="13"/>
                <w:color w:val="auto"/>
              </w:rPr>
            </w:pPr>
          </w:p>
        </w:tc>
        <w:tc>
          <w:tcPr>
            <w:tcW w:w="860" w:type="dxa"/>
            <w:vAlign w:val="bottom"/>
            <w:tcBorders>
              <w:right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481.5</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492.1</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6980" w:type="dxa"/>
            <w:vAlign w:val="bottom"/>
          </w:tcPr>
          <w:p>
            <w:pPr>
              <w:ind w:left="20"/>
              <w:spacing w:after="0"/>
              <w:rPr>
                <w:sz w:val="20"/>
                <w:szCs w:val="20"/>
                <w:color w:val="auto"/>
              </w:rPr>
            </w:pPr>
            <w:r>
              <w:rPr>
                <w:rFonts w:ascii="Arial" w:cs="Arial" w:eastAsia="Arial" w:hAnsi="Arial"/>
                <w:sz w:val="13"/>
                <w:szCs w:val="13"/>
                <w:color w:val="auto"/>
              </w:rPr>
              <w:t>Dilutive effect of equity-based compensation awards and other contingently issuable shares</w:t>
            </w:r>
          </w:p>
        </w:tc>
        <w:tc>
          <w:tcPr>
            <w:tcW w:w="420" w:type="dxa"/>
            <w:vAlign w:val="bottom"/>
          </w:tcPr>
          <w:p>
            <w:pPr>
              <w:jc w:val="right"/>
              <w:spacing w:after="0"/>
              <w:rPr>
                <w:sz w:val="20"/>
                <w:szCs w:val="20"/>
                <w:color w:val="auto"/>
              </w:rPr>
            </w:pPr>
            <w:r>
              <w:rPr>
                <w:rFonts w:ascii="Arial" w:cs="Arial" w:eastAsia="Arial" w:hAnsi="Arial"/>
                <w:sz w:val="13"/>
                <w:szCs w:val="13"/>
                <w:color w:val="auto"/>
              </w:rPr>
              <w:t>3.7</w:t>
            </w:r>
          </w:p>
        </w:tc>
        <w:tc>
          <w:tcPr>
            <w:tcW w:w="4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1.3</w:t>
            </w:r>
          </w:p>
        </w:tc>
        <w:tc>
          <w:tcPr>
            <w:tcW w:w="380" w:type="dxa"/>
            <w:vAlign w:val="bottom"/>
          </w:tcPr>
          <w:p>
            <w:pPr>
              <w:spacing w:after="0"/>
              <w:rPr>
                <w:sz w:val="13"/>
                <w:szCs w:val="13"/>
                <w:color w:val="auto"/>
              </w:rPr>
            </w:pPr>
          </w:p>
        </w:tc>
        <w:tc>
          <w:tcPr>
            <w:tcW w:w="860" w:type="dxa"/>
            <w:vAlign w:val="bottom"/>
            <w:gridSpan w:val="2"/>
          </w:tcPr>
          <w:p>
            <w:pPr>
              <w:jc w:val="right"/>
              <w:ind w:right="408"/>
              <w:spacing w:after="0"/>
              <w:rPr>
                <w:sz w:val="20"/>
                <w:szCs w:val="20"/>
                <w:color w:val="auto"/>
              </w:rPr>
            </w:pPr>
            <w:r>
              <w:rPr>
                <w:rFonts w:ascii="Arial" w:cs="Arial" w:eastAsia="Arial" w:hAnsi="Arial"/>
                <w:sz w:val="13"/>
                <w:szCs w:val="13"/>
                <w:color w:val="auto"/>
              </w:rPr>
              <w:t>3.1</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diluted common shares outstanding</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485.8</w:t>
            </w: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493.7</w:t>
            </w:r>
          </w:p>
        </w:tc>
        <w:tc>
          <w:tcPr>
            <w:tcW w:w="380" w:type="dxa"/>
            <w:vAlign w:val="bottom"/>
            <w:shd w:val="clear" w:color="auto" w:fill="CCEEFF"/>
          </w:tcPr>
          <w:p>
            <w:pPr>
              <w:spacing w:after="0"/>
              <w:rPr>
                <w:sz w:val="13"/>
                <w:szCs w:val="13"/>
                <w:color w:val="auto"/>
              </w:rPr>
            </w:pPr>
          </w:p>
        </w:tc>
        <w:tc>
          <w:tcPr>
            <w:tcW w:w="860" w:type="dxa"/>
            <w:vAlign w:val="bottom"/>
            <w:tcBorders>
              <w:right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484.6</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493.6</w:t>
            </w:r>
          </w:p>
        </w:tc>
        <w:tc>
          <w:tcPr>
            <w:tcW w:w="0" w:type="dxa"/>
            <w:vAlign w:val="bottom"/>
          </w:tcPr>
          <w:p>
            <w:pPr>
              <w:spacing w:after="0"/>
              <w:rPr>
                <w:sz w:val="1"/>
                <w:szCs w:val="1"/>
                <w:color w:val="auto"/>
              </w:rPr>
            </w:pPr>
          </w:p>
        </w:tc>
      </w:tr>
      <w:tr>
        <w:trPr>
          <w:trHeight w:val="29"/>
        </w:trPr>
        <w:tc>
          <w:tcPr>
            <w:tcW w:w="7100" w:type="dxa"/>
            <w:vAlign w:val="bottom"/>
            <w:gridSpan w:val="2"/>
            <w:vMerge w:val="restart"/>
          </w:tcPr>
          <w:p>
            <w:pPr>
              <w:spacing w:after="0"/>
              <w:rPr>
                <w:sz w:val="20"/>
                <w:szCs w:val="20"/>
                <w:color w:val="auto"/>
              </w:rPr>
            </w:pPr>
            <w:r>
              <w:rPr>
                <w:rFonts w:ascii="Arial" w:cs="Arial" w:eastAsia="Arial" w:hAnsi="Arial"/>
                <w:sz w:val="13"/>
                <w:szCs w:val="13"/>
                <w:color w:val="auto"/>
              </w:rPr>
              <w:t>Potentially issuable shares</w:t>
            </w: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100" w:type="dxa"/>
            <w:vAlign w:val="bottom"/>
            <w:gridSpan w:val="2"/>
            <w:vMerge w:val="continue"/>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15.7</w:t>
            </w:r>
          </w:p>
        </w:tc>
        <w:tc>
          <w:tcPr>
            <w:tcW w:w="4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14.2</w:t>
            </w:r>
          </w:p>
        </w:tc>
        <w:tc>
          <w:tcPr>
            <w:tcW w:w="380" w:type="dxa"/>
            <w:vAlign w:val="bottom"/>
          </w:tcPr>
          <w:p>
            <w:pPr>
              <w:spacing w:after="0"/>
              <w:rPr>
                <w:sz w:val="14"/>
                <w:szCs w:val="14"/>
                <w:color w:val="auto"/>
              </w:rPr>
            </w:pPr>
          </w:p>
        </w:tc>
        <w:tc>
          <w:tcPr>
            <w:tcW w:w="860" w:type="dxa"/>
            <w:vAlign w:val="bottom"/>
            <w:gridSpan w:val="2"/>
          </w:tcPr>
          <w:p>
            <w:pPr>
              <w:jc w:val="right"/>
              <w:ind w:right="408"/>
              <w:spacing w:after="0"/>
              <w:rPr>
                <w:sz w:val="20"/>
                <w:szCs w:val="20"/>
                <w:color w:val="auto"/>
              </w:rPr>
            </w:pPr>
            <w:r>
              <w:rPr>
                <w:rFonts w:ascii="Arial" w:cs="Arial" w:eastAsia="Arial" w:hAnsi="Arial"/>
                <w:sz w:val="13"/>
                <w:szCs w:val="13"/>
                <w:color w:val="auto"/>
              </w:rPr>
              <w:t>15.7</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158"/>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Number of anti-dilutive potentially issuable shares excluded from diluted common shares outstanding</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5.4</w:t>
            </w:r>
          </w:p>
        </w:tc>
        <w:tc>
          <w:tcPr>
            <w:tcW w:w="860" w:type="dxa"/>
            <w:vAlign w:val="bottom"/>
            <w:tcBorders>
              <w:right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3.7</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000" w:hanging="313"/>
        <w:spacing w:after="0"/>
        <w:tabs>
          <w:tab w:leader="none" w:pos="1000"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i w:val="1"/>
          <w:iCs w:val="1"/>
          <w:color w:val="auto"/>
        </w:rPr>
        <w:t xml:space="preserve">Financial instruments </w:t>
      </w:r>
      <w:r>
        <w:rPr>
          <w:rFonts w:ascii="Arial" w:cs="Arial" w:eastAsia="Arial" w:hAnsi="Arial"/>
          <w:sz w:val="12"/>
          <w:szCs w:val="12"/>
          <w:color w:val="auto"/>
        </w:rPr>
        <w:t>— We have obtained letters of credit, performance bonds and insurance policies and have established trust funds and issued financial guarantees to support tax-exempt bonds, contracts, performance of landfill capping, closure and post-closure requirements, environmental remediation, and other obligations. Letters of credit generally are supported by our revolving credit facility and other credit facilities established for that purpose. We obtain surety bonds and insurance policies from an entity in which we have a noncontrolling financial interest. We also obtain insurance from a wholly-owned insurance company, the sole business of which is to issue policies for us. In those instances where our use of financial assurance from entities we own or have financial interests in is not allowed, we generally have available alternative financial assurance mechanisms.</w:t>
      </w:r>
    </w:p>
    <w:p>
      <w:pPr>
        <w:spacing w:after="0" w:line="55" w:lineRule="exact"/>
        <w:rPr>
          <w:sz w:val="20"/>
          <w:szCs w:val="20"/>
          <w:color w:val="auto"/>
        </w:rPr>
      </w:pPr>
    </w:p>
    <w:p>
      <w:pPr>
        <w:ind w:left="680" w:right="200" w:firstLine="399"/>
        <w:spacing w:after="0" w:line="296" w:lineRule="auto"/>
        <w:rPr>
          <w:sz w:val="20"/>
          <w:szCs w:val="20"/>
          <w:color w:val="auto"/>
        </w:rPr>
      </w:pPr>
      <w:r>
        <w:rPr>
          <w:rFonts w:ascii="Arial" w:cs="Arial" w:eastAsia="Arial" w:hAnsi="Arial"/>
          <w:sz w:val="12"/>
          <w:szCs w:val="12"/>
          <w:color w:val="auto"/>
        </w:rPr>
        <w:t>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50" w:lineRule="exact"/>
        <w:rPr>
          <w:sz w:val="20"/>
          <w:szCs w:val="20"/>
          <w:color w:val="auto"/>
        </w:rPr>
      </w:pPr>
    </w:p>
    <w:p>
      <w:pPr>
        <w:jc w:val="both"/>
        <w:ind w:left="680" w:right="180" w:firstLine="399"/>
        <w:spacing w:after="0" w:line="260" w:lineRule="auto"/>
        <w:rPr>
          <w:sz w:val="20"/>
          <w:szCs w:val="20"/>
          <w:color w:val="auto"/>
        </w:rPr>
      </w:pPr>
      <w:r>
        <w:rPr>
          <w:rFonts w:ascii="Arial" w:cs="Arial" w:eastAsia="Arial" w:hAnsi="Arial"/>
          <w:sz w:val="13"/>
          <w:szCs w:val="13"/>
          <w:i w:val="1"/>
          <w:iCs w:val="1"/>
          <w:color w:val="auto"/>
        </w:rPr>
        <w:t xml:space="preserve">Insurance </w:t>
      </w:r>
      <w:r>
        <w:rPr>
          <w:rFonts w:ascii="Arial" w:cs="Arial" w:eastAsia="Arial" w:hAnsi="Arial"/>
          <w:sz w:val="13"/>
          <w:szCs w:val="13"/>
          <w:color w:val="auto"/>
        </w:rPr>
        <w:t>— We carry insurance coverage for protection of our assets and operations from certain risks, including automobile liability, general liability, real and personal property,</w:t>
      </w:r>
      <w:r>
        <w:rPr>
          <w:rFonts w:ascii="Arial" w:cs="Arial" w:eastAsia="Arial" w:hAnsi="Arial"/>
          <w:sz w:val="13"/>
          <w:szCs w:val="13"/>
          <w:i w:val="1"/>
          <w:iCs w:val="1"/>
          <w:color w:val="auto"/>
        </w:rPr>
        <w:t xml:space="preserve"> </w:t>
      </w:r>
      <w:r>
        <w:rPr>
          <w:rFonts w:ascii="Arial" w:cs="Arial" w:eastAsia="Arial" w:hAnsi="Arial"/>
          <w:sz w:val="13"/>
          <w:szCs w:val="13"/>
          <w:color w:val="auto"/>
        </w:rPr>
        <w:t>workers’ compensation, directors’ and officers’ liability, pollution legal liability and other coverages we believe are customary in the industry. Our exposure to loss for insurance claims is generally limited to the per incident deductible under the related insurance policy. Our exposure, however, could increase if our insurers are unable to meet their commitments on a timely basis.</w:t>
      </w:r>
    </w:p>
    <w:p>
      <w:pPr>
        <w:spacing w:after="0" w:line="70" w:lineRule="exact"/>
        <w:rPr>
          <w:sz w:val="20"/>
          <w:szCs w:val="20"/>
          <w:color w:val="auto"/>
        </w:rPr>
      </w:pPr>
    </w:p>
    <w:p>
      <w:pPr>
        <w:jc w:val="both"/>
        <w:ind w:left="680" w:right="220" w:firstLine="399"/>
        <w:spacing w:after="0" w:line="260" w:lineRule="auto"/>
        <w:rPr>
          <w:sz w:val="20"/>
          <w:szCs w:val="20"/>
          <w:color w:val="auto"/>
        </w:rPr>
      </w:pPr>
      <w:r>
        <w:rPr>
          <w:rFonts w:ascii="Arial" w:cs="Arial" w:eastAsia="Arial" w:hAnsi="Arial"/>
          <w:sz w:val="13"/>
          <w:szCs w:val="13"/>
          <w:color w:val="auto"/>
        </w:rPr>
        <w:t>We have retained a significant portion of the risks related to our automobile, general liability and workers’ compensation insurance programs. For our self-insured retentions, the exposure for unpaid claims and associated expenses, including incurred but not reported losses, is based on an actuarial valuation and internal estimates. The accruals for these liabilities could be revised if future occurrences or loss development significantly differ from our assumptions used. We do not expect the impact of any known casualty, property, environmental or other contingency to have a material impact on our financial condition, results of operations or cash flows.</w:t>
      </w:r>
    </w:p>
    <w:p>
      <w:pPr>
        <w:spacing w:after="0" w:line="7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i w:val="1"/>
          <w:iCs w:val="1"/>
          <w:color w:val="auto"/>
        </w:rPr>
        <w:t xml:space="preserve">Guarantees </w:t>
      </w:r>
      <w:r>
        <w:rPr>
          <w:rFonts w:ascii="Arial" w:cs="Arial" w:eastAsia="Arial" w:hAnsi="Arial"/>
          <w:sz w:val="13"/>
          <w:szCs w:val="13"/>
          <w:color w:val="auto"/>
        </w:rPr>
        <w:t>— In the ordinary course of our business, WMI and WM Holdings enter into guarantee agreements associated with their subsidiaries’ operations. Additionally, WMI and</w:t>
      </w:r>
      <w:r>
        <w:rPr>
          <w:rFonts w:ascii="Arial" w:cs="Arial" w:eastAsia="Arial" w:hAnsi="Arial"/>
          <w:sz w:val="13"/>
          <w:szCs w:val="13"/>
          <w:i w:val="1"/>
          <w:iCs w:val="1"/>
          <w:color w:val="auto"/>
        </w:rPr>
        <w:t xml:space="preserve"> </w:t>
      </w:r>
      <w:r>
        <w:rPr>
          <w:rFonts w:ascii="Arial" w:cs="Arial" w:eastAsia="Arial" w:hAnsi="Arial"/>
          <w:sz w:val="13"/>
          <w:szCs w:val="13"/>
          <w:color w:val="auto"/>
        </w:rPr>
        <w:t>WM Holdings have each guaranteed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560"/>
        <w:spacing w:after="0" w:line="276" w:lineRule="auto"/>
        <w:rPr>
          <w:sz w:val="20"/>
          <w:szCs w:val="20"/>
          <w:color w:val="auto"/>
        </w:rPr>
      </w:pPr>
      <w:r>
        <w:rPr>
          <w:rFonts w:ascii="Arial" w:cs="Arial" w:eastAsia="Arial" w:hAnsi="Arial"/>
          <w:sz w:val="13"/>
          <w:szCs w:val="13"/>
          <w:color w:val="auto"/>
        </w:rPr>
        <w:t>all of the senior debt of the other entity. No additional liabilities have been recorded for these intercompany guarantees because all of the underlying obligations are reflected in our Condensed Consolidated Balance Sheets.</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We also have guaranteed the obligations of, and provided indemnification to, third parties in the ordinary course of business. Guarantee agreements outstanding as of June 30, 2010 include (i) guarantees of unconsolidated entities’ financial obligations maturing through 2020 for maximum future payments of $12 million; and (ii) agreements guaranteeing the market value of homeowners’ properties adjacent to or near certain of our landfills. Our indemnification obligations generally arise in divestitures and provide that we will be responsible for liabilities associated with our operations for events that occurred prior to the sale of the operations. Additionally, under certain of our acquisition agreements, we have provided for additional consideration to be paid to the sellers if established financial targets are achieved post-closing. Effective January 1, 2009, we have recognized liabilities for these contingent obligations based on an estimate of the fair value of these contingencies at the time of acquisition. Contingent obligations related to indemnifications arising from our divestitures and contingent consideration provided for by our acquisitions are not expected to be material to our financial position, results of operations or cash flows.</w:t>
      </w:r>
    </w:p>
    <w:p>
      <w:pPr>
        <w:spacing w:after="0" w:line="5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Environmental matters </w:t>
      </w:r>
      <w:r>
        <w:rPr>
          <w:rFonts w:ascii="Arial" w:cs="Arial" w:eastAsia="Arial" w:hAnsi="Arial"/>
          <w:sz w:val="13"/>
          <w:szCs w:val="13"/>
          <w:color w:val="auto"/>
        </w:rPr>
        <w:t>— A significant portion of our operating costs and capital expenditures could be characterized as costs of environmental protection, as we are subject to an</w:t>
      </w:r>
      <w:r>
        <w:rPr>
          <w:rFonts w:ascii="Arial" w:cs="Arial" w:eastAsia="Arial" w:hAnsi="Arial"/>
          <w:sz w:val="13"/>
          <w:szCs w:val="13"/>
          <w:i w:val="1"/>
          <w:iCs w:val="1"/>
          <w:color w:val="auto"/>
        </w:rPr>
        <w:t xml:space="preserve"> </w:t>
      </w:r>
      <w:r>
        <w:rPr>
          <w:rFonts w:ascii="Arial" w:cs="Arial" w:eastAsia="Arial" w:hAnsi="Arial"/>
          <w:sz w:val="13"/>
          <w:szCs w:val="13"/>
          <w:color w:val="auto"/>
        </w:rPr>
        <w:t>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or PRP, investigations. The costs associated with these liabilities can include settlements, certain legal and consultant fees, as well as incremental internal and external costs directly associated with site investigation and clean-up.</w:t>
      </w:r>
    </w:p>
    <w:p>
      <w:pPr>
        <w:spacing w:after="0" w:line="71"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investigation of the extent of environmental impact and identification of likely site-remediation alternatives. In these cases, we use the amount within the range that constitutes our best estimate. If no amount within a range appears to be a better estimate than any other, we use the amount that is the low end of such range. If we used the high ends of such ranges, our aggregate potential liability would be approximately $125 million higher than the $302 million recorded in the Condensed Consolidated Financial Statements as of June 30, 2010.</w:t>
      </w:r>
    </w:p>
    <w:p>
      <w:pPr>
        <w:spacing w:after="0" w:line="72" w:lineRule="exact"/>
        <w:rPr>
          <w:sz w:val="20"/>
          <w:szCs w:val="20"/>
          <w:color w:val="auto"/>
        </w:rPr>
      </w:pPr>
    </w:p>
    <w:p>
      <w:pPr>
        <w:ind w:left="680" w:right="100" w:firstLine="399"/>
        <w:spacing w:after="0" w:line="308" w:lineRule="auto"/>
        <w:rPr>
          <w:sz w:val="20"/>
          <w:szCs w:val="20"/>
          <w:color w:val="auto"/>
        </w:rPr>
      </w:pPr>
      <w:r>
        <w:rPr>
          <w:rFonts w:ascii="Arial" w:cs="Arial" w:eastAsia="Arial" w:hAnsi="Arial"/>
          <w:sz w:val="11"/>
          <w:szCs w:val="11"/>
          <w:color w:val="auto"/>
        </w:rPr>
        <w:t>Our ongoing review of our remediation liabilities could result in revisions to our accruals that could cause upward or downward adjustments to income from operations. These adjustments could be material in any given period. During the three months ended June 30, 2010, we revised our accruals for estimated liabilities principally related to two sites where environmental liabilities were not previously reasonably estimable beyond the feasibility study. The accruals for these sites now include an estimate of approximately $39 million resulting from (i) recording at one site our allocated share of the estimated cost of implementing the remediation alternative that the EPA has recently proposed; and (ii) recording at a second site our allocated share of the low-end cost estimate of the four remediation alternatives that were included in the draft feasibility study submitted to the EPA during the second quarter of 2010 and that are presently under consideration by the EPA. At the second site, we recorded the low-cost estimate of the four remediation alternatives because, in our opinion, no alternative is more likely than the others. In both cases, our liabilities arose from operations and conduct of predecessor companies at landfills that were closed prior to our acquisition of such companies. We believe that the ultimate settlement of our obligations with respect to these two sites will not have a material impact on our future financial position, results of operations or liquidity.</w:t>
      </w:r>
    </w:p>
    <w:p>
      <w:pPr>
        <w:spacing w:after="0" w:line="48"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As of June 30, 2010, we had been notified that we are a PRP in connection with 74 locations listed on the EPA’s National Priorities List, or NPL. Of the 74 sites at which claims have been made against us, 16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jc w:val="both"/>
        <w:ind w:left="680" w:right="200"/>
        <w:spacing w:after="0" w:line="264" w:lineRule="auto"/>
        <w:rPr>
          <w:sz w:val="20"/>
          <w:szCs w:val="20"/>
          <w:color w:val="auto"/>
        </w:rPr>
      </w:pPr>
      <w:r>
        <w:rPr>
          <w:rFonts w:ascii="Arial" w:cs="Arial" w:eastAsia="Arial" w:hAnsi="Arial"/>
          <w:sz w:val="13"/>
          <w:szCs w:val="13"/>
          <w:color w:val="auto"/>
        </w:rPr>
        <w:t>are working toward a cost-sharing agreement. We generally expect to receive any amounts due from other participating parties at or near the time that we make the remedial expenditures. The other 58 NPL sites, which we do not own, are at various procedural stages under the Comprehensive Environmental Response, Compensation and Liability Act of 1980, as amended, known as CERCLA or Superfund.</w:t>
      </w:r>
    </w:p>
    <w:p>
      <w:pPr>
        <w:spacing w:after="0" w:line="67"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The majority of these proceedings involve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59"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i w:val="1"/>
          <w:iCs w:val="1"/>
          <w:color w:val="auto"/>
        </w:rPr>
        <w:t xml:space="preserve">Litigation </w:t>
      </w:r>
      <w:r>
        <w:rPr>
          <w:rFonts w:ascii="Arial" w:cs="Arial" w:eastAsia="Arial" w:hAnsi="Arial"/>
          <w:sz w:val="12"/>
          <w:szCs w:val="12"/>
          <w:color w:val="auto"/>
        </w:rPr>
        <w:t>— In April 2002, two former participants in the ERISA plans of WM Holdings, filed a lawsuit in the U.S. District Court for the District of Columbia in a case entitled</w:t>
      </w:r>
      <w:r>
        <w:rPr>
          <w:rFonts w:ascii="Arial" w:cs="Arial" w:eastAsia="Arial" w:hAnsi="Arial"/>
          <w:sz w:val="12"/>
          <w:szCs w:val="12"/>
          <w:i w:val="1"/>
          <w:iCs w:val="1"/>
          <w:color w:val="auto"/>
        </w:rPr>
        <w:t xml:space="preserve"> William S. Harris, et al. v. James E. Koenig, et al</w:t>
      </w:r>
      <w:r>
        <w:rPr>
          <w:rFonts w:ascii="Arial" w:cs="Arial" w:eastAsia="Arial" w:hAnsi="Arial"/>
          <w:sz w:val="12"/>
          <w:szCs w:val="12"/>
          <w:color w:val="auto"/>
        </w:rPr>
        <w:t>. The lawsuit named as defendants WM Holdings; the members of WM Holdings’ Board of Directors prior to July 1998; the administrative</w:t>
      </w:r>
      <w:r>
        <w:rPr>
          <w:rFonts w:ascii="Arial" w:cs="Arial" w:eastAsia="Arial" w:hAnsi="Arial"/>
          <w:sz w:val="12"/>
          <w:szCs w:val="12"/>
          <w:i w:val="1"/>
          <w:iCs w:val="1"/>
          <w:color w:val="auto"/>
        </w:rPr>
        <w:t xml:space="preserve"> </w:t>
      </w:r>
      <w:r>
        <w:rPr>
          <w:rFonts w:ascii="Arial" w:cs="Arial" w:eastAsia="Arial" w:hAnsi="Arial"/>
          <w:sz w:val="12"/>
          <w:szCs w:val="12"/>
          <w:color w:val="auto"/>
        </w:rPr>
        <w:t>and investment committees of WM Holdings’ ERISA plans and their individual members; WMI’s retirement savings plan; the investment committees of WMI’s plan and its individual members; and State Street Bank &amp; Trust, the trustee and investment manager of the ERISA plans. The lawsuit attempts to increase the recovery of a class of ERISA plan participants based on allegations related to both the events alleged in, and the settlements relating to, the securities class action against WM Holdings that was settled in 1998 and the securities class action against WMI that was settled in 2001. The defendants filed motions to dismiss the complaints on the pleadings, and the Court granted in part and denied in part the defendants’ motions in the first quarter of 2009. However, in December 2009, the Court granted the plaintiffs’ motion for leave to file a fourth amended complaint to overcome the dismissal of certain claims and the motion for leave to file a substitute fourth amended complaint to add two new claims. Each of Mr. Pope, Mr. Rothmeier and Ms. San Juan Cafferty, members of our Board of Directors, was a member of the WM Holdings’ Board of Directors and therefore was a named defendant in these actions. Additionally, Mr. Simpson, our Chief Financial Officer, is a named defendant in these actions by virtue of his membership on the WMI ERISA plan Investment Committee at that time. The defendants again moved to dismiss the fourth amended complaint, and during the second quarter of 2010, the Court dismissed certain claims against individual defendants, including the claims against Messrs. Pope and Rothmeier and Ms. San Juan Cafferty. All of the remaining defendants intend to continue to defend themselves vigorously.</w:t>
      </w:r>
    </w:p>
    <w:p>
      <w:pPr>
        <w:spacing w:after="0" w:line="65"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Two separate wage and hour lawsuits were commenced in October 2006 and March 2007, respectively, that are pending against certain of our subsidiaries in California, each seeking class certification. The actions were coordinated to proceed in San Diego County Superior Court. Both lawsuits make the same general allegations that the defendants failed to comply with certain California wage and hour laws, including allegedly failing to provide meal and rest periods and failing to properly pay hourly and overtime wages. Additionally, in July 2008, we were named as a defendant in a purported class action in the Circuit Court of Bullock County, Alabama, which was subsequently removed to the United States District Court for the Northern District of Alabama. This suit pertains to our fuel and environmental charge and generally alleges that such charges were not properly disclosed, were unfair, and were contrary to contract. We filed a motion to dismiss that is pending. We deny the claims in all of these actions and intend to continue to vigorously defend these matters. Given the inherent uncertainties of litigation, the ultimate outcome of these cases cannot be predicted at this time, nor can possible damages, if any, be reasonably estimated.</w:t>
      </w:r>
    </w:p>
    <w:p>
      <w:pPr>
        <w:spacing w:after="0" w:line="58"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From time to time, we also are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jc w:val="both"/>
        <w:ind w:left="680" w:right="120"/>
        <w:spacing w:after="0" w:line="296" w:lineRule="auto"/>
        <w:rPr>
          <w:sz w:val="20"/>
          <w:szCs w:val="20"/>
          <w:color w:val="auto"/>
        </w:rPr>
      </w:pPr>
      <w:r>
        <w:rPr>
          <w:rFonts w:ascii="Arial" w:cs="Arial" w:eastAsia="Arial" w:hAnsi="Arial"/>
          <w:sz w:val="12"/>
          <w:szCs w:val="12"/>
          <w:color w:val="auto"/>
        </w:rPr>
        <w:t>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w:t>
      </w:r>
    </w:p>
    <w:p>
      <w:pPr>
        <w:spacing w:after="0" w:line="50"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employment-related claims, including, as noted above, purported class action lawsuits related to our customer service agreements and purported class actions involving federal and state wage and hour and other laws. The plaintiffs in some actions seek unspecified damages or injunctive relief, or both. These actions are in various procedural stages, and some are covered in part by insurance. We currently do not believe that any such actions will ultimately have a material adverse impact on our consolidated financial statements.</w:t>
      </w:r>
    </w:p>
    <w:p>
      <w:pPr>
        <w:spacing w:after="0" w:line="55"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WMI’s charter and bylaws require indemnification of its officers and directors if statutory standards of conduct have been met and allow the advancement of expenses to these individuals upon receipt of an undertaking by the individuals to repay all expenses if it is ultimately determined that they did not meet the required standards of conduct. Additionally, WMI has entered into separate indemnification agreements with each of the members of its Board of Directors as well as its President and Chief Executive Officer, and its Chief Financial Officer. The Company may incur substantial expenses in connection with the fulfillment of its advancement of costs and indemnification obligations in connection with current actions involving former officers of the Company or its subsidiaries or other actions or proceedings that may be brought against its former or current officers, directors and employees.</w:t>
      </w:r>
    </w:p>
    <w:p>
      <w:pPr>
        <w:spacing w:after="0" w:line="55"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 April 2010, we settled our previously disclosed lawsuit relating to a revenue management system. We received a one-time cash payment, and all parties dismissed their claims with prejudice.</w:t>
      </w:r>
    </w:p>
    <w:p>
      <w:pPr>
        <w:spacing w:after="0" w:line="59" w:lineRule="exact"/>
        <w:rPr>
          <w:sz w:val="20"/>
          <w:szCs w:val="20"/>
          <w:color w:val="auto"/>
        </w:rPr>
      </w:pPr>
    </w:p>
    <w:p>
      <w:pPr>
        <w:ind w:left="680" w:right="120" w:firstLine="399"/>
        <w:spacing w:after="0" w:line="371" w:lineRule="auto"/>
        <w:rPr>
          <w:sz w:val="20"/>
          <w:szCs w:val="20"/>
          <w:color w:val="auto"/>
        </w:rPr>
      </w:pPr>
      <w:r>
        <w:rPr>
          <w:rFonts w:ascii="Arial" w:cs="Arial" w:eastAsia="Arial" w:hAnsi="Arial"/>
          <w:sz w:val="11"/>
          <w:szCs w:val="11"/>
          <w:color w:val="auto"/>
        </w:rPr>
        <w:t>Item 103 of the SEC’s Regulation S-K requires disclosure of certain environmental matters when a governmental authority is a party to the proceedings and the proceedings involve potential monetary sanctions that we reasonably believe could exceed $100,000. The following matter pending as of June 30, 2010 is disclosed in accordance with that requirement:</w:t>
      </w:r>
    </w:p>
    <w:p>
      <w:pPr>
        <w:spacing w:after="0" w:line="12" w:lineRule="exact"/>
        <w:rPr>
          <w:sz w:val="20"/>
          <w:szCs w:val="20"/>
          <w:color w:val="auto"/>
        </w:rPr>
      </w:pPr>
    </w:p>
    <w:p>
      <w:pPr>
        <w:ind w:left="1080" w:firstLine="383"/>
        <w:spacing w:after="0" w:line="257" w:lineRule="auto"/>
        <w:rPr>
          <w:sz w:val="20"/>
          <w:szCs w:val="20"/>
          <w:color w:val="auto"/>
        </w:rPr>
      </w:pPr>
      <w:r>
        <w:rPr>
          <w:rFonts w:ascii="Arial" w:cs="Arial" w:eastAsia="Arial" w:hAnsi="Arial"/>
          <w:sz w:val="13"/>
          <w:szCs w:val="13"/>
          <w:color w:val="auto"/>
        </w:rPr>
        <w:t>On April 4, 2006, the EPA issued a Finding and Notice of Violation (“FNOV”) to Waste Management of Hawaii, Inc., an indirect wholly-owned subsidiary of WMI, and to the City and County of Honolulu for alleged violations of the federal Clean Air Act, based on alleged failure to submit certain reports and design plans required by the EPA, and the failure to begin and timely complete the installation of a gas collection and control system (“GCCS”) for the Waimanalo Gulch Sanitary Landfill on Oahu. The EPA has also indicated that it will seek penalties and injunctive relief as part of the FNOV enforcement for elevated landfill temperatures that were recorded after installation of the GCCS. The FNOV did not propose a penalty amount and the parties have been in confidential settlement negotiations. Pursuant to an indemnity agreement, any penalty assessed will be paid by the Company, and not by the City and County of Honolulu.</w:t>
      </w:r>
    </w:p>
    <w:p>
      <w:pPr>
        <w:spacing w:after="0" w:line="72"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i w:val="1"/>
          <w:iCs w:val="1"/>
          <w:color w:val="auto"/>
        </w:rPr>
        <w:t xml:space="preserve">Multi-Employer, Defined Benefit Pension Plans </w:t>
      </w:r>
      <w:r>
        <w:rPr>
          <w:rFonts w:ascii="Arial" w:cs="Arial" w:eastAsia="Arial" w:hAnsi="Arial"/>
          <w:sz w:val="13"/>
          <w:szCs w:val="13"/>
          <w:color w:val="auto"/>
        </w:rPr>
        <w:t>— Over 20% of our workforce is covered by collective bargaining agreements, which are with various union locals across the United</w:t>
      </w:r>
      <w:r>
        <w:rPr>
          <w:rFonts w:ascii="Arial" w:cs="Arial" w:eastAsia="Arial" w:hAnsi="Arial"/>
          <w:sz w:val="13"/>
          <w:szCs w:val="13"/>
          <w:i w:val="1"/>
          <w:iCs w:val="1"/>
          <w:color w:val="auto"/>
        </w:rPr>
        <w:t xml:space="preserve"> </w:t>
      </w:r>
      <w:r>
        <w:rPr>
          <w:rFonts w:ascii="Arial" w:cs="Arial" w:eastAsia="Arial" w:hAnsi="Arial"/>
          <w:sz w:val="13"/>
          <w:szCs w:val="13"/>
          <w:color w:val="auto"/>
        </w:rPr>
        <w:t>States. As a result of some of these agreements, certain of our subsidiaries are participating employers in a number of trustee-managed multi-employer, defined benefit pension plans for the affected employees. One of the multi-employer pension plans in which we participate is the Central States Southeast and Southwest Areas Pension Plan (“Central States Pension Plan”), which has reported that it adopted a rehabilitation plan as a result of its actuarial certification for the plan year beginning January 1, 2008. The Central States Pension Plan is in “critical status,” as defined by the Pension Protection Act of 2006.</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In connection with our ongoing re-negotiation of various collective bargaining agreements, we may discuss and negotiate for the complete or partial withdrawal from one or more of these pension plans. In the first quarter of 2010, we recognized a $28 million charge to “Operating” expenses for the agreed-upon withdrawals of three bargaining units from the Central States Pension Plan in connection with our negotiations of those units’ agreements. We do not believe that our withdrawals from multi-employer plans, individually or in the aggregate, will have a material adverse effect on our financial condition or liquidity. However, depending on the number of employees withdrawn in any future period and the financial condition of the multi-employer plans at the time of withdrawal, such withdrawals could materially affect our results of operations in the period of the withdrawal.</w:t>
      </w:r>
    </w:p>
    <w:p>
      <w:pPr>
        <w:spacing w:after="0" w:line="55"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i w:val="1"/>
          <w:iCs w:val="1"/>
          <w:color w:val="auto"/>
        </w:rPr>
        <w:t xml:space="preserve">Tax Matters </w:t>
      </w:r>
      <w:r>
        <w:rPr>
          <w:rFonts w:ascii="Arial" w:cs="Arial" w:eastAsia="Arial" w:hAnsi="Arial"/>
          <w:sz w:val="12"/>
          <w:szCs w:val="12"/>
          <w:color w:val="auto"/>
        </w:rPr>
        <w:t>— We are currently in the examination phase of IRS audits for the tax years 2009 and 2010 and expect these audits to be completed within the next six and 18 months,</w:t>
      </w:r>
      <w:r>
        <w:rPr>
          <w:rFonts w:ascii="Arial" w:cs="Arial" w:eastAsia="Arial" w:hAnsi="Arial"/>
          <w:sz w:val="12"/>
          <w:szCs w:val="12"/>
          <w:i w:val="1"/>
          <w:iCs w:val="1"/>
          <w:color w:val="auto"/>
        </w:rPr>
        <w:t xml:space="preserve"> </w:t>
      </w:r>
      <w:r>
        <w:rPr>
          <w:rFonts w:ascii="Arial" w:cs="Arial" w:eastAsia="Arial" w:hAnsi="Arial"/>
          <w:sz w:val="12"/>
          <w:szCs w:val="12"/>
          <w:color w:val="auto"/>
        </w:rPr>
        <w:t>respectively. We participate in the IRS’s Compliance Assurance Program, which means we work with the IRS throughout the year in order to resolve any material issues prior to the filing of our year-end tax return. We are also currently undergoing audits by various state and local jurisdictions that date back to 1999 and examinations in Canada that date back to 1998. To provide for certain potential tax exposures, we maintain a liability for unrecognized tax benefits, the balance of which management believes is adequate. Results of audit assessments by taxing authorities are not currently expected to have a material adverse impact on our results of operations or cash flows.</w:t>
      </w:r>
    </w:p>
    <w:p>
      <w:pPr>
        <w:spacing w:after="0" w:line="130" w:lineRule="exact"/>
        <w:rPr>
          <w:sz w:val="20"/>
          <w:szCs w:val="20"/>
          <w:color w:val="auto"/>
        </w:rPr>
      </w:pPr>
    </w:p>
    <w:p>
      <w:pPr>
        <w:ind w:left="1000" w:hanging="313"/>
        <w:spacing w:after="0"/>
        <w:tabs>
          <w:tab w:leader="none" w:pos="1000"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w:t>
      </w:r>
    </w:p>
    <w:p>
      <w:pPr>
        <w:spacing w:after="0" w:line="100"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In January 2009, we took steps to streamline our organization by (i) consolidating many of our Market Areas; (ii) integrating the management of our recycling operations with the remainder of our solid waste business; and (iii) realigning our corporate organization with this new structure in order to provide support functions more efficiently.</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This reorganization eliminated over 1,500 employee positions throughout the Company. During the three and six months ended June 30, 2009, we recognized $5 million and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$43 million, respectively, of pre-tax restructuring charges associated with this reorganization, of which $2 million and $38 million, respectively, were related to employee severance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benefit costs. During the remainder of 2009, we incurred an additional $7 million of pre-tax restructuring charges associated with this reorganization, of which $3 million was related to</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employee severance and benefit costs. The remaining charges were primarily related to operating lease obligations for property that will no longer be utilized. The following table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summarizes the charges recognized for this restructuring by each of our current reportable segments and our Corporate and Other organization for the three and six months ended June 30,</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2009 (in millions):</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500" w:type="dxa"/>
            <w:vAlign w:val="bottom"/>
          </w:tcPr>
          <w:p>
            <w:pPr>
              <w:spacing w:after="0"/>
              <w:rPr>
                <w:sz w:val="10"/>
                <w:szCs w:val="10"/>
                <w:color w:val="auto"/>
              </w:rPr>
            </w:pPr>
          </w:p>
        </w:tc>
        <w:tc>
          <w:tcPr>
            <w:tcW w:w="1380" w:type="dxa"/>
            <w:vAlign w:val="bottom"/>
          </w:tcPr>
          <w:p>
            <w:pPr>
              <w:jc w:val="right"/>
              <w:ind w:right="41"/>
              <w:spacing w:after="0"/>
              <w:rPr>
                <w:sz w:val="20"/>
                <w:szCs w:val="20"/>
                <w:color w:val="auto"/>
              </w:rPr>
            </w:pPr>
            <w:r>
              <w:rPr>
                <w:rFonts w:ascii="Arial" w:cs="Arial" w:eastAsia="Arial" w:hAnsi="Arial"/>
                <w:sz w:val="10"/>
                <w:szCs w:val="10"/>
                <w:b w:val="1"/>
                <w:bCs w:val="1"/>
                <w:color w:val="auto"/>
              </w:rPr>
              <w:t>Three Months Ended</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Six Months Ended</w:t>
            </w:r>
          </w:p>
        </w:tc>
      </w:tr>
      <w:tr>
        <w:trPr>
          <w:trHeight w:val="125"/>
        </w:trPr>
        <w:tc>
          <w:tcPr>
            <w:tcW w:w="6500" w:type="dxa"/>
            <w:vAlign w:val="bottom"/>
          </w:tcPr>
          <w:p>
            <w:pPr>
              <w:spacing w:after="0"/>
              <w:rPr>
                <w:sz w:val="10"/>
                <w:szCs w:val="10"/>
                <w:color w:val="auto"/>
              </w:rPr>
            </w:pPr>
          </w:p>
        </w:tc>
        <w:tc>
          <w:tcPr>
            <w:tcW w:w="1380" w:type="dxa"/>
            <w:vAlign w:val="bottom"/>
          </w:tcPr>
          <w:p>
            <w:pPr>
              <w:jc w:val="right"/>
              <w:ind w:right="201"/>
              <w:spacing w:after="0"/>
              <w:rPr>
                <w:sz w:val="20"/>
                <w:szCs w:val="20"/>
                <w:color w:val="auto"/>
              </w:rPr>
            </w:pPr>
            <w:r>
              <w:rPr>
                <w:rFonts w:ascii="Arial" w:cs="Arial" w:eastAsia="Arial" w:hAnsi="Arial"/>
                <w:sz w:val="10"/>
                <w:szCs w:val="10"/>
                <w:b w:val="1"/>
                <w:bCs w:val="1"/>
                <w:color w:val="auto"/>
              </w:rPr>
              <w:t>June 30, 2009</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June 30, 2009</w:t>
            </w:r>
          </w:p>
        </w:tc>
      </w:tr>
      <w:tr>
        <w:trPr>
          <w:trHeight w:val="29"/>
        </w:trPr>
        <w:tc>
          <w:tcPr>
            <w:tcW w:w="650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1380" w:type="dxa"/>
            <w:vAlign w:val="bottom"/>
            <w:shd w:val="clear" w:color="auto" w:fill="CCEEFF"/>
          </w:tcPr>
          <w:p>
            <w:pPr>
              <w:jc w:val="right"/>
              <w:ind w:right="1241"/>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Midwest</w:t>
            </w:r>
          </w:p>
        </w:tc>
        <w:tc>
          <w:tcPr>
            <w:tcW w:w="13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13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Western</w:t>
            </w:r>
          </w:p>
        </w:tc>
        <w:tc>
          <w:tcPr>
            <w:tcW w:w="13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13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Corporate and Other</w:t>
            </w:r>
          </w:p>
        </w:tc>
        <w:tc>
          <w:tcPr>
            <w:tcW w:w="13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r>
      <w:tr>
        <w:trPr>
          <w:trHeight w:val="20"/>
        </w:trPr>
        <w:tc>
          <w:tcPr>
            <w:tcW w:w="65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380" w:type="dxa"/>
            <w:vAlign w:val="bottom"/>
            <w:shd w:val="clear" w:color="auto" w:fill="CCEEFF"/>
          </w:tcPr>
          <w:p>
            <w:pPr>
              <w:jc w:val="right"/>
              <w:ind w:right="1241"/>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w:t>
            </w:r>
          </w:p>
        </w:tc>
      </w:tr>
      <w:tr>
        <w:trPr>
          <w:trHeight w:val="29"/>
        </w:trPr>
        <w:tc>
          <w:tcPr>
            <w:tcW w:w="650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For the three and six months ended June 30, 2010, we recognized $1 million of income related to the reversal of pre-tax restructuring charges. Through June 30, 2010, we have paid approximately $38 million of the employee severance and benefit costs incurred as a result of this restructuring. The length of time we are obligated to make severance payments varies, with the longest obligation continuing through the fourth quarter of 2010.</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Segment and Related Information</w:t>
      </w:r>
    </w:p>
    <w:p>
      <w:pPr>
        <w:spacing w:after="0" w:line="100" w:lineRule="exact"/>
        <w:rPr>
          <w:sz w:val="20"/>
          <w:szCs w:val="20"/>
          <w:color w:val="auto"/>
        </w:rPr>
      </w:pPr>
    </w:p>
    <w:p>
      <w:pPr>
        <w:ind w:left="680" w:right="1000" w:firstLine="399"/>
        <w:spacing w:after="0" w:line="322" w:lineRule="auto"/>
        <w:rPr>
          <w:sz w:val="20"/>
          <w:szCs w:val="20"/>
          <w:color w:val="auto"/>
        </w:rPr>
      </w:pPr>
      <w:r>
        <w:rPr>
          <w:rFonts w:ascii="Arial" w:cs="Arial" w:eastAsia="Arial" w:hAnsi="Arial"/>
          <w:sz w:val="11"/>
          <w:szCs w:val="11"/>
          <w:color w:val="auto"/>
        </w:rPr>
        <w:t>We currently manage and evaluate our operations primarily through our Eastern, Midwest, Southern, Western and Wheelabrator Groups. These five Groups are presented below as our reportable segments. Our four geographic operating Groups provide collection, transfer, disposal (in both solid waste and hazardous waste landfills) and recycling services. Our Wheelabrator Group provides waste-to-energy services and manages waste-to-energy facilities and independent power production plants. We serve commercial, industrial, municipal and residential customers throughout the United States and in Puerto Rico and Canada. The operations not managed through our five operating Groups are presented herein as “Other.”</w:t>
      </w:r>
    </w:p>
    <w:p>
      <w:pPr>
        <w:spacing w:after="0" w:line="3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Summarized financial information concerning our reportable segments for the three and six months ended June 30 is shown in the following tables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9"/>
              </w:rPr>
              <w:t>Gross</w:t>
            </w: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7"/>
              </w:rPr>
              <w:t>Intercompany</w:t>
            </w:r>
          </w:p>
        </w:tc>
        <w:tc>
          <w:tcPr>
            <w:tcW w:w="10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Net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w w:val="99"/>
              </w:rPr>
              <w:t>Income from</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7"/>
              </w:rPr>
              <w:t>Operating</w:t>
            </w:r>
          </w:p>
        </w:tc>
        <w:tc>
          <w:tcPr>
            <w:tcW w:w="120" w:type="dxa"/>
            <w:vAlign w:val="bottom"/>
          </w:tcPr>
          <w:p>
            <w:pPr>
              <w:spacing w:after="0"/>
              <w:rPr>
                <w:sz w:val="9"/>
                <w:szCs w:val="9"/>
                <w:color w:val="auto"/>
              </w:rPr>
            </w:pPr>
          </w:p>
        </w:tc>
        <w:tc>
          <w:tcPr>
            <w:tcW w:w="126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9"/>
                <w:szCs w:val="9"/>
                <w:color w:val="auto"/>
              </w:rPr>
            </w:pPr>
          </w:p>
        </w:tc>
        <w:tc>
          <w:tcPr>
            <w:tcW w:w="10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Revenues</w:t>
            </w: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Revenues</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8"/>
              </w:rPr>
              <w:t>Revenues</w:t>
            </w:r>
          </w:p>
        </w:tc>
        <w:tc>
          <w:tcPr>
            <w:tcW w:w="100" w:type="dxa"/>
            <w:vAlign w:val="bottom"/>
          </w:tcPr>
          <w:p>
            <w:pPr>
              <w:spacing w:after="0"/>
              <w:rPr>
                <w:sz w:val="10"/>
                <w:szCs w:val="1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Operations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3080" w:type="dxa"/>
            <w:vAlign w:val="bottom"/>
            <w:gridSpan w:val="3"/>
            <w:shd w:val="clear" w:color="auto" w:fill="CCEEFF"/>
          </w:tcPr>
          <w:p>
            <w:pPr>
              <w:spacing w:after="0" w:line="128" w:lineRule="exact"/>
              <w:rPr>
                <w:sz w:val="20"/>
                <w:szCs w:val="20"/>
                <w:color w:val="auto"/>
              </w:rPr>
            </w:pPr>
            <w:r>
              <w:rPr>
                <w:rFonts w:ascii="Arial" w:cs="Arial" w:eastAsia="Arial" w:hAnsi="Arial"/>
                <w:sz w:val="13"/>
                <w:szCs w:val="13"/>
                <w:b w:val="1"/>
                <w:bCs w:val="1"/>
                <w:color w:val="auto"/>
              </w:rPr>
              <w:t>Three Months Ended:</w:t>
            </w:r>
          </w:p>
        </w:tc>
        <w:tc>
          <w:tcPr>
            <w:tcW w:w="2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680" w:type="dxa"/>
            <w:vAlign w:val="bottom"/>
          </w:tcPr>
          <w:p>
            <w:pPr>
              <w:spacing w:after="0"/>
              <w:rPr>
                <w:sz w:val="20"/>
                <w:szCs w:val="20"/>
                <w:color w:val="auto"/>
              </w:rPr>
            </w:pPr>
          </w:p>
        </w:tc>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June 30, 2010</w:t>
            </w:r>
          </w:p>
        </w:tc>
        <w:tc>
          <w:tcPr>
            <w:tcW w:w="1840" w:type="dxa"/>
            <w:vAlign w:val="bottom"/>
            <w:tcBorders>
              <w:top w:val="single" w:sz="8" w:color="CCEEFF"/>
            </w:tcBorders>
          </w:tcPr>
          <w:p>
            <w:pPr>
              <w:spacing w:after="0"/>
              <w:rPr>
                <w:sz w:val="20"/>
                <w:szCs w:val="20"/>
                <w:color w:val="auto"/>
              </w:rPr>
            </w:pPr>
          </w:p>
        </w:tc>
        <w:tc>
          <w:tcPr>
            <w:tcW w:w="23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20" w:type="dxa"/>
            <w:vAlign w:val="bottom"/>
            <w:tcBorders>
              <w:top w:val="single" w:sz="8" w:color="CCEEFF"/>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880" w:type="dxa"/>
            <w:vAlign w:val="bottom"/>
            <w:tcBorders>
              <w:top w:val="single" w:sz="8" w:color="CCEEFF"/>
            </w:tcBorders>
          </w:tcPr>
          <w:p>
            <w:pPr>
              <w:spacing w:after="0"/>
              <w:rPr>
                <w:sz w:val="20"/>
                <w:szCs w:val="20"/>
                <w:color w:val="auto"/>
              </w:rPr>
            </w:pPr>
          </w:p>
        </w:tc>
        <w:tc>
          <w:tcPr>
            <w:tcW w:w="3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0" w:type="dxa"/>
            <w:vAlign w:val="bottom"/>
            <w:tcBorders>
              <w:top w:val="single" w:sz="8" w:color="CCEEFF"/>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7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Eastern</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774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Midwest</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780</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(119)</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661</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Southern</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876</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(104)</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772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Western</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799</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687</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Wheelabrator</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217</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Other</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216</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(513)</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3,158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Corporate and Other</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8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3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3,671</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(513)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3,158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080" w:type="dxa"/>
            <w:vAlign w:val="bottom"/>
            <w:gridSpan w:val="3"/>
          </w:tcPr>
          <w:p>
            <w:pPr>
              <w:spacing w:after="0"/>
              <w:rPr>
                <w:sz w:val="20"/>
                <w:szCs w:val="20"/>
                <w:color w:val="auto"/>
              </w:rPr>
            </w:pPr>
            <w:r>
              <w:rPr>
                <w:rFonts w:ascii="Arial" w:cs="Arial" w:eastAsia="Arial" w:hAnsi="Arial"/>
                <w:sz w:val="13"/>
                <w:szCs w:val="13"/>
                <w:b w:val="1"/>
                <w:bCs w:val="1"/>
                <w:color w:val="auto"/>
              </w:rPr>
              <w:t>June 30, 2009</w:t>
            </w:r>
          </w:p>
        </w:tc>
        <w:tc>
          <w:tcPr>
            <w:tcW w:w="23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Eastern</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756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Midwest</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723</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611</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Southern</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840</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729</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Western</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785</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681</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Wheelabrator</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212</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180</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Other</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146</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138</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(510)</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2,952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Corporate and Other</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8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3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3,462</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(510)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2,952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80" w:type="dxa"/>
            <w:vAlign w:val="bottom"/>
          </w:tcPr>
          <w:p>
            <w:pPr>
              <w:spacing w:after="0"/>
              <w:rPr>
                <w:sz w:val="11"/>
                <w:szCs w:val="11"/>
                <w:color w:val="auto"/>
              </w:rPr>
            </w:pPr>
          </w:p>
        </w:tc>
        <w:tc>
          <w:tcPr>
            <w:tcW w:w="3080" w:type="dxa"/>
            <w:vAlign w:val="bottom"/>
            <w:gridSpan w:val="3"/>
          </w:tcPr>
          <w:p>
            <w:pPr>
              <w:spacing w:after="0" w:line="138" w:lineRule="exact"/>
              <w:rPr>
                <w:sz w:val="20"/>
                <w:szCs w:val="20"/>
                <w:color w:val="auto"/>
              </w:rPr>
            </w:pPr>
            <w:r>
              <w:rPr>
                <w:rFonts w:ascii="Arial" w:cs="Arial" w:eastAsia="Arial" w:hAnsi="Arial"/>
                <w:sz w:val="13"/>
                <w:szCs w:val="13"/>
                <w:b w:val="1"/>
                <w:bCs w:val="1"/>
                <w:color w:val="auto"/>
              </w:rPr>
              <w:t>Six Months Ended:</w:t>
            </w:r>
          </w:p>
        </w:tc>
        <w:tc>
          <w:tcPr>
            <w:tcW w:w="2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680" w:type="dxa"/>
            <w:vAlign w:val="bottom"/>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June 30, 2010</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Eastern</w:t>
            </w:r>
          </w:p>
        </w:tc>
        <w:tc>
          <w:tcPr>
            <w:tcW w:w="2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1,459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(253)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1,206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Midwest</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1,474</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(217)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1,257</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Southern</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1,699</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(201)</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1,498</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Western</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1,563</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(215)</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1,348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Wheelabrator</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423</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363</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7,058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(965)</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6,093</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Corporate and Other</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80" w:type="dxa"/>
            <w:vAlign w:val="bottom"/>
            <w:gridSpan w:val="3"/>
            <w:vMerge w:val="restart"/>
          </w:tcPr>
          <w:p>
            <w:pPr>
              <w:ind w:left="140"/>
              <w:spacing w:after="0"/>
              <w:rPr>
                <w:sz w:val="20"/>
                <w:szCs w:val="20"/>
                <w:color w:val="auto"/>
              </w:rPr>
            </w:pPr>
            <w:r>
              <w:rPr>
                <w:rFonts w:ascii="Arial" w:cs="Arial" w:eastAsia="Arial" w:hAnsi="Arial"/>
                <w:sz w:val="13"/>
                <w:szCs w:val="13"/>
                <w:color w:val="auto"/>
              </w:rPr>
              <w:t>Total</w:t>
            </w: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80" w:type="dxa"/>
            <w:vAlign w:val="bottom"/>
            <w:gridSpan w:val="3"/>
            <w:vMerge w:val="continue"/>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7,058</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(965)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6,093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998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320" w:type="dxa"/>
            <w:vAlign w:val="bottom"/>
          </w:tcPr>
          <w:p>
            <w:pPr>
              <w:jc w:val="right"/>
              <w:ind w:right="274"/>
              <w:spacing w:after="0"/>
              <w:rPr>
                <w:sz w:val="20"/>
                <w:szCs w:val="20"/>
                <w:color w:val="auto"/>
              </w:rPr>
            </w:pPr>
            <w:r>
              <w:rPr>
                <w:rFonts w:ascii="Arial" w:cs="Arial" w:eastAsia="Arial" w:hAnsi="Arial"/>
                <w:sz w:val="13"/>
                <w:szCs w:val="13"/>
                <w:color w:val="auto"/>
              </w:rPr>
              <w:t>20</w:t>
            </w: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840" w:type="dxa"/>
            <w:vAlign w:val="bottom"/>
            <w:tcBorders>
              <w:bottom w:val="single" w:sz="8" w:color="808080"/>
            </w:tcBorders>
          </w:tcPr>
          <w:p>
            <w:pPr>
              <w:spacing w:after="0"/>
              <w:rPr>
                <w:sz w:val="14"/>
                <w:szCs w:val="14"/>
                <w:color w:val="auto"/>
              </w:rPr>
            </w:pPr>
          </w:p>
        </w:tc>
        <w:tc>
          <w:tcPr>
            <w:tcW w:w="23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9"/>
              </w:rPr>
              <w:t>Gross</w:t>
            </w: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7"/>
              </w:rPr>
              <w:t>Intercompany</w:t>
            </w:r>
          </w:p>
        </w:tc>
        <w:tc>
          <w:tcPr>
            <w:tcW w:w="10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Net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w w:val="99"/>
              </w:rPr>
              <w:t>Income from</w:t>
            </w:r>
          </w:p>
        </w:tc>
        <w:tc>
          <w:tcPr>
            <w:tcW w:w="0" w:type="dxa"/>
            <w:vAlign w:val="bottom"/>
          </w:tcPr>
          <w:p>
            <w:pPr>
              <w:spacing w:after="0"/>
              <w:rPr>
                <w:sz w:val="1"/>
                <w:szCs w:val="1"/>
                <w:color w:val="auto"/>
              </w:rPr>
            </w:pPr>
          </w:p>
        </w:tc>
      </w:tr>
      <w:tr>
        <w:trPr>
          <w:trHeight w:val="108"/>
        </w:trPr>
        <w:tc>
          <w:tcPr>
            <w:tcW w:w="5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7"/>
              </w:rPr>
              <w:t>Operating</w:t>
            </w:r>
          </w:p>
        </w:tc>
        <w:tc>
          <w:tcPr>
            <w:tcW w:w="120" w:type="dxa"/>
            <w:vAlign w:val="bottom"/>
          </w:tcPr>
          <w:p>
            <w:pPr>
              <w:spacing w:after="0"/>
              <w:rPr>
                <w:sz w:val="9"/>
                <w:szCs w:val="9"/>
                <w:color w:val="auto"/>
              </w:rPr>
            </w:pPr>
          </w:p>
        </w:tc>
        <w:tc>
          <w:tcPr>
            <w:tcW w:w="126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9"/>
                <w:szCs w:val="9"/>
                <w:color w:val="auto"/>
              </w:rPr>
            </w:pPr>
          </w:p>
        </w:tc>
        <w:tc>
          <w:tcPr>
            <w:tcW w:w="10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Revenues</w:t>
            </w: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Revenues</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8"/>
              </w:rPr>
              <w:t>Revenues</w:t>
            </w:r>
          </w:p>
        </w:tc>
        <w:tc>
          <w:tcPr>
            <w:tcW w:w="100" w:type="dxa"/>
            <w:vAlign w:val="bottom"/>
          </w:tcPr>
          <w:p>
            <w:pPr>
              <w:spacing w:after="0"/>
              <w:rPr>
                <w:sz w:val="10"/>
                <w:szCs w:val="1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Operations</w:t>
            </w:r>
          </w:p>
        </w:tc>
        <w:tc>
          <w:tcPr>
            <w:tcW w:w="0" w:type="dxa"/>
            <w:vAlign w:val="bottom"/>
          </w:tcPr>
          <w:p>
            <w:pPr>
              <w:spacing w:after="0"/>
              <w:rPr>
                <w:sz w:val="1"/>
                <w:szCs w:val="1"/>
                <w:color w:val="auto"/>
              </w:rPr>
            </w:pPr>
          </w:p>
        </w:tc>
      </w:tr>
      <w:tr>
        <w:trPr>
          <w:trHeight w:val="29"/>
        </w:trPr>
        <w:tc>
          <w:tcPr>
            <w:tcW w:w="5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June 30, 2009</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Eastern</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1,448</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(265)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1,183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Midwest</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(207)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1,165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Southern</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1,673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(218)</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1,455</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388</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Western</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(204)</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274</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Wheelabrator</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355</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266</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6,726</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(964)</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5,762</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1,108</w:t>
            </w:r>
          </w:p>
        </w:tc>
        <w:tc>
          <w:tcPr>
            <w:tcW w:w="0" w:type="dxa"/>
            <w:vAlign w:val="bottom"/>
          </w:tcPr>
          <w:p>
            <w:pPr>
              <w:spacing w:after="0"/>
              <w:rPr>
                <w:sz w:val="1"/>
                <w:szCs w:val="1"/>
                <w:color w:val="auto"/>
              </w:rPr>
            </w:pPr>
          </w:p>
        </w:tc>
      </w:tr>
      <w:tr>
        <w:trPr>
          <w:trHeight w:val="158"/>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Corporate and Other</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6,726</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(964)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5,762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906</w:t>
            </w:r>
          </w:p>
        </w:tc>
        <w:tc>
          <w:tcPr>
            <w:tcW w:w="0" w:type="dxa"/>
            <w:vAlign w:val="bottom"/>
          </w:tcPr>
          <w:p>
            <w:pPr>
              <w:spacing w:after="0"/>
              <w:rPr>
                <w:sz w:val="1"/>
                <w:szCs w:val="1"/>
                <w:color w:val="auto"/>
              </w:rPr>
            </w:pPr>
          </w:p>
        </w:tc>
      </w:tr>
      <w:tr>
        <w:trPr>
          <w:trHeight w:val="30"/>
        </w:trPr>
        <w:tc>
          <w:tcPr>
            <w:tcW w:w="5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322" w:lineRule="auto"/>
        <w:rPr>
          <w:sz w:val="20"/>
          <w:szCs w:val="20"/>
          <w:color w:val="auto"/>
        </w:rPr>
      </w:pPr>
      <w:r>
        <w:rPr>
          <w:rFonts w:ascii="Arial" w:cs="Arial" w:eastAsia="Arial" w:hAnsi="Arial"/>
          <w:sz w:val="11"/>
          <w:szCs w:val="11"/>
          <w:color w:val="auto"/>
        </w:rPr>
        <w:t>Fluctuations in our operating results may be caused by many factors, including period-to-period changes in the relative contribution of revenue by each line of business and operating segment and by general economic conditions. In addition, our revenues and income from operations typically reflect seasonal patterns. Our operating revenues tend to be somewhat higher in the summer months, primarily due to the traditional seasonal increase in the volume of construction and demolition waste. The volumes of industrial and residential waste in certain regions where we operate also tend to increase during the summer months. Our second and third quarter revenues and results of operations typically reflect these seasonal trends.</w:t>
      </w:r>
    </w:p>
    <w:p>
      <w:pPr>
        <w:spacing w:after="0" w:line="3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Additionally, certain destructive weather conditions that tend to occur during the second half of the year, such as hurricanes typically experienced by our Southern Group, can actually increase our revenues in the areas affected. However, for several reasons, including significant mobilization costs, such revenue often generates earnings at comparatively lower margins. Certain weather conditions, including severe winter storms,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From time to time, the operating results of our reportable segments are significantly affected by unusual or infrequent transactions or events. During the first quarter of 2010, our</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Midwest Group recognized a $28 million charge as a result of employees of three bargaining units in Michigan and Ohio agreeing to our proposal to withdraw them from an under-funded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multi-employer pension plan. During the second quarter of 2009, employees of a bargaining unit in New Jersey agreed to a similar proposal and our Eastern Group recognized a charge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$9 million. Refer to Note 8 for additional information related to our participation in multi-employer pension plans. Further, as disclosed in Note 9, the income from operations of each of our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geographic Groups for the three and six months ended June 30, 2009 was affected by our January 2009 reorganization.</w:t>
      </w:r>
    </w:p>
    <w:p>
      <w:pPr>
        <w:spacing w:after="0" w:line="89" w:lineRule="exact"/>
        <w:rPr>
          <w:sz w:val="20"/>
          <w:szCs w:val="20"/>
          <w:color w:val="auto"/>
        </w:rPr>
      </w:pPr>
    </w:p>
    <w:p>
      <w:pPr>
        <w:ind w:left="680" w:firstLine="399"/>
        <w:spacing w:after="0" w:line="301" w:lineRule="auto"/>
        <w:rPr>
          <w:sz w:val="20"/>
          <w:szCs w:val="20"/>
          <w:color w:val="auto"/>
        </w:rPr>
      </w:pPr>
      <w:r>
        <w:rPr>
          <w:rFonts w:ascii="Arial" w:cs="Arial" w:eastAsia="Arial" w:hAnsi="Arial"/>
          <w:sz w:val="11"/>
          <w:szCs w:val="11"/>
          <w:i w:val="1"/>
          <w:iCs w:val="1"/>
          <w:color w:val="auto"/>
        </w:rPr>
        <w:t xml:space="preserve">Segment assets </w:t>
      </w:r>
      <w:r>
        <w:rPr>
          <w:rFonts w:ascii="Arial" w:cs="Arial" w:eastAsia="Arial" w:hAnsi="Arial"/>
          <w:sz w:val="11"/>
          <w:szCs w:val="11"/>
          <w:color w:val="auto"/>
        </w:rPr>
        <w:t>— Consistent with our continued focus on the expansion of our waste-to-energy business, we completed two investments during the six months ended June 30, 2010</w:t>
      </w:r>
      <w:r>
        <w:rPr>
          <w:rFonts w:ascii="Arial" w:cs="Arial" w:eastAsia="Arial" w:hAnsi="Arial"/>
          <w:sz w:val="11"/>
          <w:szCs w:val="11"/>
          <w:i w:val="1"/>
          <w:iCs w:val="1"/>
          <w:color w:val="auto"/>
        </w:rPr>
        <w:t xml:space="preserve"> </w:t>
      </w:r>
      <w:r>
        <w:rPr>
          <w:rFonts w:ascii="Arial" w:cs="Arial" w:eastAsia="Arial" w:hAnsi="Arial"/>
          <w:sz w:val="11"/>
          <w:szCs w:val="11"/>
          <w:color w:val="auto"/>
        </w:rPr>
        <w:t>which increased total assets of our Wheelabrator segment by $298 million, or 13%, from December 31, 2009 to June 30, 2010. In the first quarter of 2010, we paid $142 million to acquire a 40% equity investment in Shanghai Environment Group (“SEG”), a subsidiary of Shanghai Chengtou Holding Co., Ltd. As a joint venture partner in SEG, we will participate in the operation and management of waste-to-energy and other waste services in the Chinese market. SEG will also focus on building new waste-to-energy facilities in China. In April 2010, we paid</w:t>
      </w:r>
    </w:p>
    <w:p>
      <w:pPr>
        <w:spacing w:after="0" w:line="2" w:lineRule="exact"/>
        <w:rPr>
          <w:sz w:val="20"/>
          <w:szCs w:val="20"/>
          <w:color w:val="auto"/>
        </w:rPr>
      </w:pPr>
    </w:p>
    <w:p>
      <w:pPr>
        <w:ind w:left="680" w:right="520"/>
        <w:spacing w:after="0" w:line="264" w:lineRule="auto"/>
        <w:rPr>
          <w:sz w:val="20"/>
          <w:szCs w:val="20"/>
          <w:color w:val="auto"/>
        </w:rPr>
      </w:pPr>
      <w:r>
        <w:rPr>
          <w:rFonts w:ascii="Arial" w:cs="Arial" w:eastAsia="Arial" w:hAnsi="Arial"/>
          <w:sz w:val="13"/>
          <w:szCs w:val="13"/>
          <w:color w:val="auto"/>
        </w:rPr>
        <w:t>$150 million for the acquisition of a waste-to-energy facility in Portsmouth, Virginia. These investments did not have a significant impact on our operating revenues or income from operations for the three and six months ended June 30, 2010.</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(Income) Expense from Divestitures, Asset Impairments and Unusual Items</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Through December 31, 2008, we capitalized $70 million of accumulated costs associated with the development of a new waste and recycling revenue management system. A significant portion of these costs was specifically associated with the purchase of a license for waste and recycling revenue management software and the efforts required to develop and configure that software for our use. After a failed pilot implementation of the software in one of our smallest Market Areas, the development efforts associated with the revenue management system were suspended in 2007. During 2009, we determined to enhance and improve our existing revenue management system and not pursue alternatives associated with the development and implementation of the licensed software. Accordingly, in 2009, we recognized a non-cash charge of $51 million, $49 million of which was recognized during the first quarter of 2009 and $2 million of which was recognized during the fourth quarter of 2009, for the abandonment of the licensed software.</w:t>
      </w:r>
    </w:p>
    <w:p>
      <w:pPr>
        <w:spacing w:after="0" w:line="59"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We filed a lawsuit in March 2008 related to the revenue management software implementation that was suspended in 2007 and abandoned in 2009. In April 2010, we settled the lawsuit and received a one-time cash payment. The settlement, included in “(Income) expense from divestitures, asset impairments and unusual items,” which is included in our “Income from operations,” resulted in an increase for the three and six months ended June 30, 2010 of $77 million.</w:t>
      </w:r>
    </w:p>
    <w:p>
      <w:pPr>
        <w:spacing w:after="0" w:line="142" w:lineRule="exact"/>
        <w:rPr>
          <w:sz w:val="20"/>
          <w:szCs w:val="20"/>
          <w:color w:val="auto"/>
        </w:rPr>
      </w:pPr>
    </w:p>
    <w:p>
      <w:pPr>
        <w:ind w:left="1180" w:hanging="493"/>
        <w:spacing w:after="0"/>
        <w:tabs>
          <w:tab w:leader="none" w:pos="1180" w:val="left"/>
        </w:tabs>
        <w:numPr>
          <w:ilvl w:val="0"/>
          <w:numId w:val="14"/>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Measurements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Assets and Liabilities Accounted for at Fair Value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June 30, 2010, our assets and liabilities that are measured at fair value on a recurring basis include the following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gridSpan w:val="6"/>
          </w:tcPr>
          <w:p>
            <w:pPr>
              <w:ind w:left="120"/>
              <w:spacing w:after="0"/>
              <w:rPr>
                <w:sz w:val="20"/>
                <w:szCs w:val="20"/>
                <w:color w:val="auto"/>
              </w:rPr>
            </w:pPr>
            <w:r>
              <w:rPr>
                <w:rFonts w:ascii="Arial" w:cs="Arial" w:eastAsia="Arial" w:hAnsi="Arial"/>
                <w:sz w:val="10"/>
                <w:szCs w:val="10"/>
                <w:b w:val="1"/>
                <w:bCs w:val="1"/>
                <w:color w:val="auto"/>
              </w:rPr>
              <w:t>Fair Value Measurements Using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rPr>
              <w:t>Quoted</w:t>
            </w: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Significant</w:t>
            </w:r>
          </w:p>
        </w:tc>
        <w:tc>
          <w:tcPr>
            <w:tcW w:w="100" w:type="dxa"/>
            <w:vAlign w:val="bottom"/>
          </w:tcPr>
          <w:p>
            <w:pPr>
              <w:spacing w:after="0"/>
              <w:rPr>
                <w:sz w:val="7"/>
                <w:szCs w:val="7"/>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3"/>
              </w:rPr>
              <w:t>Significant</w:t>
            </w:r>
          </w:p>
        </w:tc>
        <w:tc>
          <w:tcPr>
            <w:tcW w:w="0" w:type="dxa"/>
            <w:vAlign w:val="bottom"/>
          </w:tcPr>
          <w:p>
            <w:pPr>
              <w:spacing w:after="0"/>
              <w:rPr>
                <w:sz w:val="1"/>
                <w:szCs w:val="1"/>
                <w:color w:val="auto"/>
              </w:rPr>
            </w:pPr>
          </w:p>
        </w:tc>
      </w:tr>
      <w:tr>
        <w:trPr>
          <w:trHeight w:val="108"/>
        </w:trPr>
        <w:tc>
          <w:tcPr>
            <w:tcW w:w="6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gridSpan w:val="3"/>
          </w:tcPr>
          <w:p>
            <w:pPr>
              <w:jc w:val="center"/>
              <w:ind w:right="100"/>
              <w:spacing w:after="0" w:line="108" w:lineRule="exact"/>
              <w:rPr>
                <w:sz w:val="20"/>
                <w:szCs w:val="20"/>
                <w:color w:val="auto"/>
              </w:rPr>
            </w:pPr>
            <w:r>
              <w:rPr>
                <w:rFonts w:ascii="Arial" w:cs="Arial" w:eastAsia="Arial" w:hAnsi="Arial"/>
                <w:sz w:val="10"/>
                <w:szCs w:val="10"/>
                <w:b w:val="1"/>
                <w:bCs w:val="1"/>
                <w:color w:val="auto"/>
                <w:w w:val="91"/>
              </w:rPr>
              <w:t>Prices in</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Other</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9"/>
              </w:rPr>
              <w:t>Active</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5"/>
              </w:rPr>
              <w:t>Observable</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0"/>
              </w:rPr>
              <w:t>Unobservable</w:t>
            </w:r>
          </w:p>
        </w:tc>
        <w:tc>
          <w:tcPr>
            <w:tcW w:w="0" w:type="dxa"/>
            <w:vAlign w:val="bottom"/>
          </w:tcPr>
          <w:p>
            <w:pPr>
              <w:spacing w:after="0"/>
              <w:rPr>
                <w:sz w:val="1"/>
                <w:szCs w:val="1"/>
                <w:color w:val="auto"/>
              </w:rPr>
            </w:pPr>
          </w:p>
        </w:tc>
      </w:tr>
      <w:tr>
        <w:trPr>
          <w:trHeight w:val="108"/>
        </w:trPr>
        <w:tc>
          <w:tcPr>
            <w:tcW w:w="6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Total</w:t>
            </w:r>
          </w:p>
        </w:tc>
        <w:tc>
          <w:tcPr>
            <w:tcW w:w="600" w:type="dxa"/>
            <w:vAlign w:val="bottom"/>
            <w:gridSpan w:val="3"/>
          </w:tcPr>
          <w:p>
            <w:pPr>
              <w:jc w:val="center"/>
              <w:ind w:right="100"/>
              <w:spacing w:after="0" w:line="108" w:lineRule="exact"/>
              <w:rPr>
                <w:sz w:val="20"/>
                <w:szCs w:val="20"/>
                <w:color w:val="auto"/>
              </w:rPr>
            </w:pPr>
            <w:r>
              <w:rPr>
                <w:rFonts w:ascii="Arial" w:cs="Arial" w:eastAsia="Arial" w:hAnsi="Arial"/>
                <w:sz w:val="10"/>
                <w:szCs w:val="10"/>
                <w:b w:val="1"/>
                <w:bCs w:val="1"/>
                <w:color w:val="auto"/>
              </w:rPr>
              <w:t>Markets</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9"/>
              </w:rPr>
              <w:t>Inputs</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3"/>
              </w:rPr>
              <w:t>Inputs</w:t>
            </w:r>
          </w:p>
        </w:tc>
        <w:tc>
          <w:tcPr>
            <w:tcW w:w="0" w:type="dxa"/>
            <w:vAlign w:val="bottom"/>
          </w:tcPr>
          <w:p>
            <w:pPr>
              <w:spacing w:after="0"/>
              <w:rPr>
                <w:sz w:val="1"/>
                <w:szCs w:val="1"/>
                <w:color w:val="auto"/>
              </w:rPr>
            </w:pPr>
          </w:p>
        </w:tc>
      </w:tr>
      <w:tr>
        <w:trPr>
          <w:trHeight w:val="125"/>
        </w:trPr>
        <w:tc>
          <w:tcPr>
            <w:tcW w:w="6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3"/>
              </w:rPr>
              <w:t>(Level 1)</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8"/>
              </w:rPr>
              <w:t>(Level 2)</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(Level 3)</w:t>
            </w:r>
          </w:p>
        </w:tc>
        <w:tc>
          <w:tcPr>
            <w:tcW w:w="0" w:type="dxa"/>
            <w:vAlign w:val="bottom"/>
          </w:tcPr>
          <w:p>
            <w:pPr>
              <w:spacing w:after="0"/>
              <w:rPr>
                <w:sz w:val="1"/>
                <w:szCs w:val="1"/>
                <w:color w:val="auto"/>
              </w:rPr>
            </w:pPr>
          </w:p>
        </w:tc>
      </w:tr>
      <w:tr>
        <w:trPr>
          <w:trHeight w:val="29"/>
        </w:trPr>
        <w:tc>
          <w:tcPr>
            <w:tcW w:w="6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200" w:type="dxa"/>
            <w:vAlign w:val="bottom"/>
          </w:tcPr>
          <w:p>
            <w:pPr>
              <w:ind w:left="140"/>
              <w:spacing w:after="0"/>
              <w:rPr>
                <w:sz w:val="20"/>
                <w:szCs w:val="20"/>
                <w:color w:val="auto"/>
              </w:rPr>
            </w:pPr>
            <w:r>
              <w:rPr>
                <w:rFonts w:ascii="Arial" w:cs="Arial" w:eastAsia="Arial" w:hAnsi="Arial"/>
                <w:sz w:val="13"/>
                <w:szCs w:val="13"/>
                <w:color w:val="auto"/>
              </w:rPr>
              <w:t>Cash equivalents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w w:val="98"/>
              </w:rPr>
              <w:t>1,036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1,036</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Available-for-sale securities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174</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174</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200" w:type="dxa"/>
            <w:vAlign w:val="bottom"/>
          </w:tcPr>
          <w:p>
            <w:pPr>
              <w:ind w:left="140"/>
              <w:spacing w:after="0"/>
              <w:rPr>
                <w:sz w:val="20"/>
                <w:szCs w:val="20"/>
                <w:color w:val="auto"/>
              </w:rPr>
            </w:pPr>
            <w:r>
              <w:rPr>
                <w:rFonts w:ascii="Arial" w:cs="Arial" w:eastAsia="Arial" w:hAnsi="Arial"/>
                <w:sz w:val="13"/>
                <w:szCs w:val="13"/>
                <w:color w:val="auto"/>
              </w:rPr>
              <w:t>Interest in available-for-sale securities of unconsolidated entities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107</w:t>
            </w:r>
          </w:p>
        </w:tc>
        <w:tc>
          <w:tcPr>
            <w:tcW w:w="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107</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rate derivatives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280"/>
              <w:spacing w:after="0"/>
              <w:rPr>
                <w:sz w:val="20"/>
                <w:szCs w:val="20"/>
                <w:color w:val="auto"/>
              </w:rPr>
            </w:pPr>
            <w:r>
              <w:rPr>
                <w:rFonts w:ascii="Arial" w:cs="Arial" w:eastAsia="Arial" w:hAnsi="Arial"/>
                <w:sz w:val="13"/>
                <w:szCs w:val="13"/>
                <w:color w:val="auto"/>
              </w:rPr>
              <w:t>Total assets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w w:val="98"/>
              </w:rPr>
              <w:t>1,363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1,317</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46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Liabilities:</w:t>
            </w:r>
          </w:p>
        </w:tc>
        <w:tc>
          <w:tcPr>
            <w:tcW w:w="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200" w:type="dxa"/>
            <w:vAlign w:val="bottom"/>
          </w:tcPr>
          <w:p>
            <w:pPr>
              <w:ind w:left="140"/>
              <w:spacing w:after="0"/>
              <w:rPr>
                <w:sz w:val="20"/>
                <w:szCs w:val="20"/>
                <w:color w:val="auto"/>
              </w:rPr>
            </w:pPr>
            <w:r>
              <w:rPr>
                <w:rFonts w:ascii="Arial" w:cs="Arial" w:eastAsia="Arial" w:hAnsi="Arial"/>
                <w:sz w:val="13"/>
                <w:szCs w:val="13"/>
                <w:color w:val="auto"/>
              </w:rPr>
              <w:t>Interest rate derivatives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37</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 currency derivatives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200" w:type="dxa"/>
            <w:vAlign w:val="bottom"/>
          </w:tcPr>
          <w:p>
            <w:pPr>
              <w:ind w:left="140"/>
              <w:spacing w:after="0"/>
              <w:rPr>
                <w:sz w:val="20"/>
                <w:szCs w:val="20"/>
                <w:color w:val="auto"/>
              </w:rPr>
            </w:pPr>
            <w:r>
              <w:rPr>
                <w:rFonts w:ascii="Arial" w:cs="Arial" w:eastAsia="Arial" w:hAnsi="Arial"/>
                <w:sz w:val="13"/>
                <w:szCs w:val="13"/>
                <w:color w:val="auto"/>
              </w:rPr>
              <w:t>Electricity commodity derivatives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6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Debt</w:t>
      </w:r>
    </w:p>
    <w:p>
      <w:pPr>
        <w:spacing w:after="0" w:line="96" w:lineRule="exact"/>
        <w:rPr>
          <w:sz w:val="20"/>
          <w:szCs w:val="20"/>
          <w:color w:val="auto"/>
        </w:rPr>
      </w:pPr>
    </w:p>
    <w:p>
      <w:pPr>
        <w:ind w:left="680" w:right="620" w:firstLine="399"/>
        <w:spacing w:after="0" w:line="320" w:lineRule="auto"/>
        <w:rPr>
          <w:sz w:val="20"/>
          <w:szCs w:val="20"/>
          <w:color w:val="auto"/>
        </w:rPr>
      </w:pPr>
      <w:r>
        <w:rPr>
          <w:rFonts w:ascii="Arial" w:cs="Arial" w:eastAsia="Arial" w:hAnsi="Arial"/>
          <w:sz w:val="12"/>
          <w:szCs w:val="12"/>
          <w:color w:val="auto"/>
        </w:rPr>
        <w:t>At June 30, 2010, the carrying value of our debt was approximately $9.6 billion compared with $8.9 billion at December 31, 2009. The carrying value of our debt includes adjustments for both the unamortized fair value adjustments related to terminated hedge arrangements and fair value adjustments of debt instruments that are currently hedged.</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8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8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estimated fair value of our debt was approximately $10.2 billion at June 30, 2010 and approximately $9.3 billion at December 31, 2009. The estimated fair value of our senior notes is based on quoted market prices. The carrying value of remarketable debt approximates fair value due to the short-term nature of the interest rates. The fair value of our other debt is estimated using discounted cash flow analysis, based on rates we would currently pay for similar types of instruments. The increase in the fair value of our debt when comparing June 30, 2010 with December 31, 2009 is primarily related to an increase in outstanding debt balances.</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information available as of June 30, 2010 and December 31, 2009. These amounts have not been revalued since those dates, and current estimates of fair value could differ significantly from the amounts presented.</w:t>
      </w:r>
    </w:p>
    <w:p>
      <w:pPr>
        <w:spacing w:after="0" w:line="146" w:lineRule="exact"/>
        <w:rPr>
          <w:sz w:val="20"/>
          <w:szCs w:val="20"/>
          <w:color w:val="auto"/>
        </w:rPr>
      </w:pPr>
    </w:p>
    <w:p>
      <w:pPr>
        <w:ind w:left="1180" w:hanging="493"/>
        <w:spacing w:after="0"/>
        <w:tabs>
          <w:tab w:leader="none" w:pos="1180" w:val="left"/>
        </w:tabs>
        <w:numPr>
          <w:ilvl w:val="0"/>
          <w:numId w:val="15"/>
        </w:numPr>
        <w:rPr>
          <w:rFonts w:ascii="Arial" w:cs="Arial" w:eastAsia="Arial" w:hAnsi="Arial"/>
          <w:sz w:val="13"/>
          <w:szCs w:val="13"/>
          <w:b w:val="1"/>
          <w:bCs w:val="1"/>
          <w:color w:val="auto"/>
        </w:rPr>
      </w:pPr>
      <w:r>
        <w:rPr>
          <w:rFonts w:ascii="Arial" w:cs="Arial" w:eastAsia="Arial" w:hAnsi="Arial"/>
          <w:sz w:val="13"/>
          <w:szCs w:val="13"/>
          <w:b w:val="1"/>
          <w:bCs w:val="1"/>
          <w:color w:val="auto"/>
        </w:rPr>
        <w:t>Condensed Consolidating Financial Statements</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WM Holdings has fully and unconditionally guaranteed all of WMI’s senior indebtedness. WMI has fully and unconditionally guaranteed all of WM Holdings’ senior indebtedness. None of WMI’s other subsidiaries have guaranteed any of WMI’s or WM Holdings’ debt. As a result of these guarantee arrangements, we are required to present the following condensed consolidating financial information (in millions):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40"/>
          </w:cols>
          <w:pgMar w:left="220" w:top="343" w:right="113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CONDENSED CONSOLIDATING BALANCE SHEETS</w:t>
      </w:r>
    </w:p>
    <w:p>
      <w:pPr>
        <w:spacing w:after="0" w:line="96" w:lineRule="exact"/>
        <w:rPr>
          <w:sz w:val="20"/>
          <w:szCs w:val="20"/>
          <w:color w:val="auto"/>
        </w:rPr>
      </w:pPr>
    </w:p>
    <w:p>
      <w:pPr>
        <w:ind w:left="5300"/>
        <w:spacing w:after="0"/>
        <w:rPr>
          <w:sz w:val="20"/>
          <w:szCs w:val="20"/>
          <w:color w:val="auto"/>
        </w:rPr>
      </w:pPr>
      <w:r>
        <w:rPr>
          <w:rFonts w:ascii="Arial" w:cs="Arial" w:eastAsia="Arial" w:hAnsi="Arial"/>
          <w:sz w:val="13"/>
          <w:szCs w:val="13"/>
          <w:b w:val="1"/>
          <w:bCs w:val="1"/>
          <w:color w:val="auto"/>
        </w:rPr>
        <w:t>June 30, 2010</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WMI</w:t>
            </w:r>
          </w:p>
        </w:tc>
        <w:tc>
          <w:tcPr>
            <w:tcW w:w="80" w:type="dxa"/>
            <w:vAlign w:val="bottom"/>
          </w:tcPr>
          <w:p>
            <w:pPr>
              <w:spacing w:after="0"/>
              <w:rPr>
                <w:sz w:val="10"/>
                <w:szCs w:val="10"/>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8"/>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w w:val="92"/>
              </w:rPr>
              <w:t>ASSETS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1,032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1,975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1,987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1,044</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2,109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11,575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11,575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Investments in and advances to affiliates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10,661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13,252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2,376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(26,289)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Other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94</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6,917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7,028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11,799</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13,272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22,977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(26,289)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21,759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180" w:type="dxa"/>
            <w:vAlign w:val="bottom"/>
            <w:gridSpan w:val="7"/>
          </w:tcPr>
          <w:p>
            <w:pPr>
              <w:jc w:val="center"/>
              <w:ind w:left="74"/>
              <w:spacing w:after="0"/>
              <w:rPr>
                <w:sz w:val="20"/>
                <w:szCs w:val="20"/>
                <w:color w:val="auto"/>
              </w:rPr>
            </w:pPr>
            <w:r>
              <w:rPr>
                <w:rFonts w:ascii="Arial" w:cs="Arial" w:eastAsia="Arial" w:hAnsi="Arial"/>
                <w:sz w:val="13"/>
                <w:szCs w:val="13"/>
                <w:b w:val="1"/>
                <w:bCs w:val="1"/>
                <w:color w:val="auto"/>
              </w:rPr>
              <w:t>LIABILITIES AND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602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156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and other 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1,970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715</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2,126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2,858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Long-term debt, less current portion</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4,961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3,267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Other liabilities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24</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3,642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3,666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5,700</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9,035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15,351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Equity:</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Stockholders’ equity</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6,099</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12,656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13,633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(26,289)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Noncontrolling interests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309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6,099</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12,656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13,942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(26,289)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vMerge w:val="restart"/>
          </w:tcPr>
          <w:p>
            <w:pPr>
              <w:ind w:left="280"/>
              <w:spacing w:after="0"/>
              <w:rPr>
                <w:sz w:val="20"/>
                <w:szCs w:val="20"/>
                <w:color w:val="auto"/>
              </w:rPr>
            </w:pPr>
            <w:r>
              <w:rPr>
                <w:rFonts w:ascii="Arial" w:cs="Arial" w:eastAsia="Arial" w:hAnsi="Arial"/>
                <w:sz w:val="13"/>
                <w:szCs w:val="13"/>
                <w:color w:val="auto"/>
              </w:rPr>
              <w:t>Total liabilities and equity</w:t>
            </w: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4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11,799</w:t>
            </w: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13,272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22,977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(26,289)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21,759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center"/>
              <w:ind w:left="175"/>
              <w:spacing w:after="0"/>
              <w:rPr>
                <w:sz w:val="20"/>
                <w:szCs w:val="20"/>
                <w:color w:val="auto"/>
              </w:rPr>
            </w:pPr>
            <w:r>
              <w:rPr>
                <w:rFonts w:ascii="Arial" w:cs="Arial" w:eastAsia="Arial" w:hAnsi="Arial"/>
                <w:sz w:val="13"/>
                <w:szCs w:val="13"/>
                <w:color w:val="auto"/>
                <w:w w:val="82"/>
              </w:rPr>
              <w:t>24</w:t>
            </w: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40" w:type="dxa"/>
            <w:vAlign w:val="bottom"/>
            <w:tcBorders>
              <w:bottom w:val="single" w:sz="8" w:color="808080"/>
            </w:tcBorders>
          </w:tcPr>
          <w:p>
            <w:pPr>
              <w:spacing w:after="0"/>
              <w:rPr>
                <w:sz w:val="14"/>
                <w:szCs w:val="14"/>
                <w:color w:val="auto"/>
              </w:rPr>
            </w:pPr>
          </w:p>
        </w:tc>
        <w:tc>
          <w:tcPr>
            <w:tcW w:w="1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BALANCE SHEETS (Continued)</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December 31, 2009</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WMI</w:t>
            </w:r>
          </w:p>
        </w:tc>
        <w:tc>
          <w:tcPr>
            <w:tcW w:w="80" w:type="dxa"/>
            <w:vAlign w:val="bottom"/>
          </w:tcPr>
          <w:p>
            <w:pPr>
              <w:spacing w:after="0"/>
              <w:rPr>
                <w:sz w:val="10"/>
                <w:szCs w:val="10"/>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8"/>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w w:val="92"/>
              </w:rPr>
              <w:t>ASSETS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1,093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24</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1,845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1,870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1,117</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1,892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11,541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11,541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Investments in and advances to affiliates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10,174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12,770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2,303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(25,247)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Other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6,524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6,603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11,353</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12,788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22,260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(25,247)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21,154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180" w:type="dxa"/>
            <w:vAlign w:val="bottom"/>
            <w:gridSpan w:val="7"/>
          </w:tcPr>
          <w:p>
            <w:pPr>
              <w:jc w:val="center"/>
              <w:ind w:left="74"/>
              <w:spacing w:after="0"/>
              <w:rPr>
                <w:sz w:val="20"/>
                <w:szCs w:val="20"/>
                <w:color w:val="auto"/>
              </w:rPr>
            </w:pPr>
            <w:r>
              <w:rPr>
                <w:rFonts w:ascii="Arial" w:cs="Arial" w:eastAsia="Arial" w:hAnsi="Arial"/>
                <w:sz w:val="13"/>
                <w:szCs w:val="13"/>
                <w:b w:val="1"/>
                <w:bCs w:val="1"/>
                <w:color w:val="auto"/>
              </w:rPr>
              <w:t>LIABILITIES AND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580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134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and other 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2,045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670</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2,179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2,901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Long-term debt, less current portion</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4,398</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3,125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Other liabilities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3,538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3,538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5,068</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8,842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14,563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Equity:</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Stockholders’ equity</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6,285</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12,135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13,112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(25,247)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Noncontrolling interests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306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6,285</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12,135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13,418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(25,247)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vMerge w:val="restart"/>
          </w:tcPr>
          <w:p>
            <w:pPr>
              <w:ind w:left="280"/>
              <w:spacing w:after="0"/>
              <w:rPr>
                <w:sz w:val="20"/>
                <w:szCs w:val="20"/>
                <w:color w:val="auto"/>
              </w:rPr>
            </w:pPr>
            <w:r>
              <w:rPr>
                <w:rFonts w:ascii="Arial" w:cs="Arial" w:eastAsia="Arial" w:hAnsi="Arial"/>
                <w:sz w:val="13"/>
                <w:szCs w:val="13"/>
                <w:color w:val="auto"/>
              </w:rPr>
              <w:t>Total liabilities and equity</w:t>
            </w: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4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11,353</w:t>
            </w: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12,788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22,260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(25,247)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21,154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center"/>
              <w:ind w:left="175"/>
              <w:spacing w:after="0"/>
              <w:rPr>
                <w:sz w:val="20"/>
                <w:szCs w:val="20"/>
                <w:color w:val="auto"/>
              </w:rPr>
            </w:pPr>
            <w:r>
              <w:rPr>
                <w:rFonts w:ascii="Arial" w:cs="Arial" w:eastAsia="Arial" w:hAnsi="Arial"/>
                <w:sz w:val="13"/>
                <w:szCs w:val="13"/>
                <w:color w:val="auto"/>
                <w:w w:val="82"/>
              </w:rPr>
              <w:t>25</w:t>
            </w: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40" w:type="dxa"/>
            <w:vAlign w:val="bottom"/>
            <w:tcBorders>
              <w:bottom w:val="single" w:sz="8" w:color="808080"/>
            </w:tcBorders>
          </w:tcPr>
          <w:p>
            <w:pPr>
              <w:spacing w:after="0"/>
              <w:rPr>
                <w:sz w:val="14"/>
                <w:szCs w:val="14"/>
                <w:color w:val="auto"/>
              </w:rPr>
            </w:pPr>
          </w:p>
        </w:tc>
        <w:tc>
          <w:tcPr>
            <w:tcW w:w="1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STATEMENTS OF OPERATIONS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Three Months Ended June 30, 2010</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00" w:type="dxa"/>
            <w:vAlign w:val="bottom"/>
            <w:gridSpan w:val="3"/>
            <w:vMerge w:val="restart"/>
          </w:tcPr>
          <w:p>
            <w:pPr>
              <w:jc w:val="right"/>
              <w:ind w:right="42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3,158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Costs and expenses</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2,572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2,572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Other income (expense):</w:t>
            </w:r>
          </w:p>
        </w:tc>
        <w:tc>
          <w:tcPr>
            <w:tcW w:w="14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293</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299</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(592)</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215</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(592)</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215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(592)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246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(592)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Waste Management, Inc.</w:t>
            </w:r>
          </w:p>
        </w:tc>
        <w:tc>
          <w:tcPr>
            <w:tcW w:w="2140" w:type="dxa"/>
            <w:vAlign w:val="bottom"/>
            <w:gridSpan w:val="4"/>
            <w:shd w:val="clear" w:color="auto" w:fill="CCEEFF"/>
          </w:tcPr>
          <w:p>
            <w:pPr>
              <w:jc w:val="right"/>
              <w:ind w:right="400"/>
              <w:spacing w:after="0"/>
              <w:rPr>
                <w:sz w:val="20"/>
                <w:szCs w:val="20"/>
                <w:color w:val="auto"/>
              </w:rPr>
            </w:pPr>
            <w:r>
              <w:rPr>
                <w:rFonts w:ascii="Arial" w:cs="Arial" w:eastAsia="Arial" w:hAnsi="Arial"/>
                <w:sz w:val="13"/>
                <w:szCs w:val="13"/>
                <w:color w:val="auto"/>
              </w:rPr>
              <w:t>$ 246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(592)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0"/>
        </w:trPr>
        <w:tc>
          <w:tcPr>
            <w:tcW w:w="6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040" w:type="dxa"/>
            <w:vAlign w:val="bottom"/>
            <w:gridSpan w:val="7"/>
          </w:tcPr>
          <w:p>
            <w:pPr>
              <w:jc w:val="center"/>
              <w:ind w:right="20"/>
              <w:spacing w:after="0"/>
              <w:rPr>
                <w:sz w:val="20"/>
                <w:szCs w:val="20"/>
                <w:color w:val="auto"/>
              </w:rPr>
            </w:pPr>
            <w:r>
              <w:rPr>
                <w:rFonts w:ascii="Arial" w:cs="Arial" w:eastAsia="Arial" w:hAnsi="Arial"/>
                <w:sz w:val="13"/>
                <w:szCs w:val="13"/>
                <w:b w:val="1"/>
                <w:bCs w:val="1"/>
                <w:color w:val="auto"/>
                <w:w w:val="91"/>
              </w:rPr>
              <w:t>Three Months Ended June 30, 2009</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140" w:type="dxa"/>
            <w:vAlign w:val="bottom"/>
            <w:gridSpan w:val="4"/>
          </w:tcPr>
          <w:p>
            <w:pPr>
              <w:jc w:val="center"/>
              <w:ind w:left="834"/>
              <w:spacing w:after="0"/>
              <w:rPr>
                <w:sz w:val="20"/>
                <w:szCs w:val="20"/>
                <w:color w:val="auto"/>
              </w:rPr>
            </w:pPr>
            <w:r>
              <w:rPr>
                <w:rFonts w:ascii="Arial" w:cs="Arial" w:eastAsia="Arial" w:hAnsi="Arial"/>
                <w:sz w:val="13"/>
                <w:szCs w:val="13"/>
                <w:b w:val="1"/>
                <w:bCs w:val="1"/>
                <w:color w:val="auto"/>
                <w:w w:val="94"/>
              </w:rPr>
              <w:t>(Unaudited)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00" w:type="dxa"/>
            <w:vAlign w:val="bottom"/>
            <w:gridSpan w:val="3"/>
            <w:vMerge w:val="restart"/>
          </w:tcPr>
          <w:p>
            <w:pPr>
              <w:jc w:val="right"/>
              <w:ind w:right="42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6"/>
                <w:szCs w:val="16"/>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6"/>
                <w:szCs w:val="16"/>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6"/>
                <w:szCs w:val="16"/>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2,952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Costs and expenses</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2,418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2,418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Other income (expense):</w:t>
            </w:r>
          </w:p>
        </w:tc>
        <w:tc>
          <w:tcPr>
            <w:tcW w:w="14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(69)</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289</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296</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(585)</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220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(585)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220</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285</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510</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(585)</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vMerge w:val="restart"/>
          </w:tcPr>
          <w:p>
            <w:pPr>
              <w:spacing w:after="0"/>
              <w:rPr>
                <w:sz w:val="20"/>
                <w:szCs w:val="20"/>
                <w:color w:val="auto"/>
              </w:rPr>
            </w:pPr>
            <w:r>
              <w:rPr>
                <w:rFonts w:ascii="Arial" w:cs="Arial" w:eastAsia="Arial" w:hAnsi="Arial"/>
                <w:sz w:val="13"/>
                <w:szCs w:val="13"/>
                <w:color w:val="auto"/>
              </w:rPr>
              <w:t>Consolidated net income</w:t>
            </w: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247</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289</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316</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(585)</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vMerge w:val="restart"/>
          </w:tcPr>
          <w:p>
            <w:pPr>
              <w:spacing w:after="0"/>
              <w:rPr>
                <w:sz w:val="20"/>
                <w:szCs w:val="20"/>
                <w:color w:val="auto"/>
              </w:rPr>
            </w:pPr>
            <w:r>
              <w:rPr>
                <w:rFonts w:ascii="Arial" w:cs="Arial" w:eastAsia="Arial" w:hAnsi="Arial"/>
                <w:sz w:val="13"/>
                <w:szCs w:val="13"/>
                <w:color w:val="auto"/>
              </w:rPr>
              <w:t>Net income attributable to Waste Management, Inc.</w:t>
            </w:r>
          </w:p>
        </w:tc>
        <w:tc>
          <w:tcPr>
            <w:tcW w:w="144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480" w:type="dxa"/>
            <w:vAlign w:val="bottom"/>
            <w:vMerge w:val="continue"/>
          </w:tcPr>
          <w:p>
            <w:pPr>
              <w:spacing w:after="0"/>
              <w:rPr>
                <w:sz w:val="15"/>
                <w:szCs w:val="15"/>
                <w:color w:val="auto"/>
              </w:rPr>
            </w:pPr>
          </w:p>
        </w:tc>
        <w:tc>
          <w:tcPr>
            <w:tcW w:w="2140" w:type="dxa"/>
            <w:vAlign w:val="bottom"/>
            <w:gridSpan w:val="4"/>
          </w:tcPr>
          <w:p>
            <w:pPr>
              <w:jc w:val="right"/>
              <w:ind w:right="400"/>
              <w:spacing w:after="0"/>
              <w:rPr>
                <w:sz w:val="20"/>
                <w:szCs w:val="20"/>
                <w:color w:val="auto"/>
              </w:rPr>
            </w:pPr>
            <w:r>
              <w:rPr>
                <w:rFonts w:ascii="Arial" w:cs="Arial" w:eastAsia="Arial" w:hAnsi="Arial"/>
                <w:sz w:val="13"/>
                <w:szCs w:val="13"/>
                <w:color w:val="auto"/>
              </w:rPr>
              <w:t>$ 247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289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296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(585)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247</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0"/>
        </w:trPr>
        <w:tc>
          <w:tcPr>
            <w:tcW w:w="6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Borders>
              <w:top w:val="single" w:sz="8" w:color="auto"/>
            </w:tcBorders>
            <w:gridSpan w:val="2"/>
          </w:tcPr>
          <w:p>
            <w:pPr>
              <w:jc w:val="center"/>
              <w:ind w:right="74"/>
              <w:spacing w:after="0"/>
              <w:rPr>
                <w:sz w:val="20"/>
                <w:szCs w:val="20"/>
                <w:color w:val="auto"/>
              </w:rPr>
            </w:pPr>
            <w:r>
              <w:rPr>
                <w:rFonts w:ascii="Arial" w:cs="Arial" w:eastAsia="Arial" w:hAnsi="Arial"/>
                <w:sz w:val="13"/>
                <w:szCs w:val="13"/>
                <w:color w:val="auto"/>
                <w:w w:val="82"/>
              </w:rPr>
              <w:t>26</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80" w:type="dxa"/>
            <w:vAlign w:val="bottom"/>
            <w:tcBorders>
              <w:bottom w:val="single" w:sz="8" w:color="808080"/>
            </w:tcBorders>
          </w:tcPr>
          <w:p>
            <w:pPr>
              <w:spacing w:after="0"/>
              <w:rPr>
                <w:sz w:val="14"/>
                <w:szCs w:val="14"/>
                <w:color w:val="auto"/>
              </w:rPr>
            </w:pPr>
          </w:p>
        </w:tc>
        <w:tc>
          <w:tcPr>
            <w:tcW w:w="14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STATEMENTS OF OPERATIONS (Continued)</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Six Months Ended June 30, 2010</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6,093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tcPr>
          <w:p>
            <w:pPr>
              <w:spacing w:after="0"/>
              <w:rPr>
                <w:sz w:val="20"/>
                <w:szCs w:val="20"/>
                <w:color w:val="auto"/>
              </w:rPr>
            </w:pPr>
            <w:r>
              <w:rPr>
                <w:rFonts w:ascii="Arial" w:cs="Arial" w:eastAsia="Arial" w:hAnsi="Arial"/>
                <w:sz w:val="13"/>
                <w:szCs w:val="13"/>
                <w:color w:val="auto"/>
              </w:rPr>
              <w:t>Costs and expenses</w:t>
            </w: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5,095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5,095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520" w:type="dxa"/>
            <w:vAlign w:val="bottom"/>
          </w:tcPr>
          <w:p>
            <w:pPr>
              <w:spacing w:after="0"/>
              <w:rPr>
                <w:sz w:val="20"/>
                <w:szCs w:val="20"/>
                <w:color w:val="auto"/>
              </w:rPr>
            </w:pPr>
            <w:r>
              <w:rPr>
                <w:rFonts w:ascii="Arial" w:cs="Arial" w:eastAsia="Arial" w:hAnsi="Arial"/>
                <w:sz w:val="13"/>
                <w:szCs w:val="13"/>
                <w:color w:val="auto"/>
              </w:rPr>
              <w:t>Other income (expense):</w:t>
            </w:r>
          </w:p>
        </w:tc>
        <w:tc>
          <w:tcPr>
            <w:tcW w:w="1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521</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533</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(1,054)</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368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514</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(1,054)</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938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(1,054)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383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(1,054)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Waste Management, Inc.</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(1,054)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0"/>
        </w:trPr>
        <w:tc>
          <w:tcPr>
            <w:tcW w:w="6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000" w:type="dxa"/>
            <w:vAlign w:val="bottom"/>
            <w:gridSpan w:val="7"/>
          </w:tcPr>
          <w:p>
            <w:pPr>
              <w:jc w:val="center"/>
              <w:ind w:right="40"/>
              <w:spacing w:after="0"/>
              <w:rPr>
                <w:sz w:val="20"/>
                <w:szCs w:val="20"/>
                <w:color w:val="auto"/>
              </w:rPr>
            </w:pPr>
            <w:r>
              <w:rPr>
                <w:rFonts w:ascii="Arial" w:cs="Arial" w:eastAsia="Arial" w:hAnsi="Arial"/>
                <w:sz w:val="13"/>
                <w:szCs w:val="13"/>
                <w:b w:val="1"/>
                <w:bCs w:val="1"/>
                <w:color w:val="auto"/>
                <w:w w:val="91"/>
              </w:rPr>
              <w:t>Six Months Ended June 30, 2009</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100" w:type="dxa"/>
            <w:vAlign w:val="bottom"/>
            <w:gridSpan w:val="4"/>
          </w:tcPr>
          <w:p>
            <w:pPr>
              <w:jc w:val="center"/>
              <w:ind w:left="794"/>
              <w:spacing w:after="0"/>
              <w:rPr>
                <w:sz w:val="20"/>
                <w:szCs w:val="20"/>
                <w:color w:val="auto"/>
              </w:rPr>
            </w:pPr>
            <w:r>
              <w:rPr>
                <w:rFonts w:ascii="Arial" w:cs="Arial" w:eastAsia="Arial" w:hAnsi="Arial"/>
                <w:sz w:val="13"/>
                <w:szCs w:val="13"/>
                <w:b w:val="1"/>
                <w:bCs w:val="1"/>
                <w:color w:val="auto"/>
                <w:w w:val="94"/>
              </w:rPr>
              <w:t>(Unaudited)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6"/>
                <w:szCs w:val="16"/>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6"/>
                <w:szCs w:val="16"/>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6"/>
                <w:szCs w:val="16"/>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5,762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tcPr>
          <w:p>
            <w:pPr>
              <w:spacing w:after="0"/>
              <w:rPr>
                <w:sz w:val="20"/>
                <w:szCs w:val="20"/>
                <w:color w:val="auto"/>
              </w:rPr>
            </w:pPr>
            <w:r>
              <w:rPr>
                <w:rFonts w:ascii="Arial" w:cs="Arial" w:eastAsia="Arial" w:hAnsi="Arial"/>
                <w:sz w:val="13"/>
                <w:szCs w:val="13"/>
                <w:color w:val="auto"/>
              </w:rPr>
              <w:t>Costs and expenses</w:t>
            </w: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4,856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4,856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520" w:type="dxa"/>
            <w:vAlign w:val="bottom"/>
          </w:tcPr>
          <w:p>
            <w:pPr>
              <w:spacing w:after="0"/>
              <w:rPr>
                <w:sz w:val="20"/>
                <w:szCs w:val="20"/>
                <w:color w:val="auto"/>
              </w:rPr>
            </w:pPr>
            <w:r>
              <w:rPr>
                <w:rFonts w:ascii="Arial" w:cs="Arial" w:eastAsia="Arial" w:hAnsi="Arial"/>
                <w:sz w:val="13"/>
                <w:szCs w:val="13"/>
                <w:color w:val="auto"/>
              </w:rPr>
              <w:t>Other income (expense):</w:t>
            </w:r>
          </w:p>
        </w:tc>
        <w:tc>
          <w:tcPr>
            <w:tcW w:w="1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483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496</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(979)</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(979)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2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350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475</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855</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(979)</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20" w:type="dxa"/>
            <w:vAlign w:val="bottom"/>
            <w:vMerge w:val="restart"/>
          </w:tcPr>
          <w:p>
            <w:pPr>
              <w:spacing w:after="0"/>
              <w:rPr>
                <w:sz w:val="20"/>
                <w:szCs w:val="20"/>
                <w:color w:val="auto"/>
              </w:rPr>
            </w:pPr>
            <w:r>
              <w:rPr>
                <w:rFonts w:ascii="Arial" w:cs="Arial" w:eastAsia="Arial" w:hAnsi="Arial"/>
                <w:sz w:val="13"/>
                <w:szCs w:val="13"/>
                <w:color w:val="auto"/>
              </w:rPr>
              <w:t>Consolidated net income</w:t>
            </w: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402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483</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531</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(979)</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20" w:type="dxa"/>
            <w:vAlign w:val="bottom"/>
            <w:vMerge w:val="restart"/>
          </w:tcPr>
          <w:p>
            <w:pPr>
              <w:spacing w:after="0"/>
              <w:rPr>
                <w:sz w:val="20"/>
                <w:szCs w:val="20"/>
                <w:color w:val="auto"/>
              </w:rPr>
            </w:pPr>
            <w:r>
              <w:rPr>
                <w:rFonts w:ascii="Arial" w:cs="Arial" w:eastAsia="Arial" w:hAnsi="Arial"/>
                <w:sz w:val="13"/>
                <w:szCs w:val="13"/>
                <w:color w:val="auto"/>
              </w:rPr>
              <w:t>Net income attributable to Waste Management, Inc.</w:t>
            </w: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52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402</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483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496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(979)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402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center"/>
              <w:ind w:right="35"/>
              <w:spacing w:after="0"/>
              <w:rPr>
                <w:sz w:val="20"/>
                <w:szCs w:val="20"/>
                <w:color w:val="auto"/>
              </w:rPr>
            </w:pPr>
            <w:r>
              <w:rPr>
                <w:rFonts w:ascii="Arial" w:cs="Arial" w:eastAsia="Arial" w:hAnsi="Arial"/>
                <w:sz w:val="13"/>
                <w:szCs w:val="13"/>
                <w:color w:val="auto"/>
                <w:w w:val="82"/>
              </w:rPr>
              <w:t>27</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520" w:type="dxa"/>
            <w:vAlign w:val="bottom"/>
            <w:tcBorders>
              <w:bottom w:val="single" w:sz="8" w:color="808080"/>
            </w:tcBorders>
          </w:tcPr>
          <w:p>
            <w:pPr>
              <w:spacing w:after="0"/>
              <w:rPr>
                <w:sz w:val="14"/>
                <w:szCs w:val="14"/>
                <w:color w:val="auto"/>
              </w:rPr>
            </w:pPr>
          </w:p>
        </w:tc>
        <w:tc>
          <w:tcPr>
            <w:tcW w:w="12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CONDENSED CONSOLIDATING STATEMENTS OF CASH FLOWS</w:t>
      </w:r>
    </w:p>
    <w:p>
      <w:pPr>
        <w:spacing w:after="0" w:line="96" w:lineRule="exact"/>
        <w:rPr>
          <w:sz w:val="20"/>
          <w:szCs w:val="20"/>
          <w:color w:val="auto"/>
        </w:rPr>
      </w:pPr>
    </w:p>
    <w:p>
      <w:pPr>
        <w:ind w:left="4760"/>
        <w:spacing w:after="0"/>
        <w:rPr>
          <w:sz w:val="20"/>
          <w:szCs w:val="20"/>
          <w:color w:val="auto"/>
        </w:rPr>
      </w:pPr>
      <w:r>
        <w:rPr>
          <w:rFonts w:ascii="Arial" w:cs="Arial" w:eastAsia="Arial" w:hAnsi="Arial"/>
          <w:sz w:val="13"/>
          <w:szCs w:val="13"/>
          <w:b w:val="1"/>
          <w:bCs w:val="1"/>
          <w:color w:val="auto"/>
        </w:rPr>
        <w:t>Six Months Ended June 30, 2010</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Consolidated net income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428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521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555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(1,054)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(521)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(533)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1,054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Other adjustments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519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operating activities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1,074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(475)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8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w w:val="98"/>
              </w:rPr>
              <w:t>Proceeds from divestitures of businesses (net of cash divested) and other sales of</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assets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Net receipts from restricted trust and escrow accounts and other, net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(138)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investing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(823)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borrowings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Debt repayments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(161)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 repurchases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Cash dividends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(305)</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 of common stock options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Distributions paid to noncontrolling interests and other</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(Increase) decrease in intercompany and investments, net</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Increase (decrease) in cash and cash equivalents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beginning of period</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1,093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Cash and cash equivalents at end of period</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1,032</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134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1,169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rPr>
              <w:t>28</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STATEMENTS OF CASH FLOWS (Continued)</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Six Months Ended June 30, 2009</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Consolidated net income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402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483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531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(979)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(483)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(496)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979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Other adjustments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624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operating activities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(583)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(583)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8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w w:val="98"/>
              </w:rPr>
              <w:t>Proceeds from divestitures of businesses (net of cash divested) and other sales of</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assets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Net receipts from restricted trust and escrow accounts and other, net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investing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(563)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borrowings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Debt repayments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(810)</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(204)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(1,014)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dividends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Exercise of common stock options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Distributions paid to noncontrolling interests and other</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(Increase) decrease in intercompany and investments, net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377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(391)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financing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(553)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Increase in cash and cash equivalents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and cash equivalents at beginning of period</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450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rPr>
              <w:t>29</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New Accounting Pronouncement Pending Adoption</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i w:val="1"/>
          <w:iCs w:val="1"/>
          <w:color w:val="auto"/>
        </w:rPr>
        <w:t xml:space="preserve">Multiple-Deliverable Revenue Arrangements </w:t>
      </w:r>
      <w:r>
        <w:rPr>
          <w:rFonts w:ascii="Arial" w:cs="Arial" w:eastAsia="Arial" w:hAnsi="Arial"/>
          <w:sz w:val="12"/>
          <w:szCs w:val="12"/>
          <w:color w:val="auto"/>
        </w:rPr>
        <w:t>— In October 2009, the FASB amended authoritative guidance associated with multiple-deliverable revenue arrangements. This</w:t>
      </w:r>
      <w:r>
        <w:rPr>
          <w:rFonts w:ascii="Arial" w:cs="Arial" w:eastAsia="Arial" w:hAnsi="Arial"/>
          <w:sz w:val="12"/>
          <w:szCs w:val="12"/>
          <w:i w:val="1"/>
          <w:iCs w:val="1"/>
          <w:color w:val="auto"/>
        </w:rPr>
        <w:t xml:space="preserve"> </w:t>
      </w:r>
      <w:r>
        <w:rPr>
          <w:rFonts w:ascii="Arial" w:cs="Arial" w:eastAsia="Arial" w:hAnsi="Arial"/>
          <w:sz w:val="12"/>
          <w:szCs w:val="12"/>
          <w:color w:val="auto"/>
        </w:rPr>
        <w:t>amended guidance addresses the determination of when individual deliverables within an arrangement may be treated as separate units of accounting and modifies the manner in which consideration is allocated across the separately identifiable deliverables. The amendments to authoritative guidance associated with multiple-deliverable revenue arrangements are effective for the Company on January 1, 2011, although the FASB does permit early adoption of the guidance provided that it is retroactively applied to the beginning of the year of adoption. The new accounting standard may be applied either retrospectively for all periods presented or prospectively to arrangements entered into or materially modified after the date of adoption. We are in the process of assessing the provisions of this new guidance and currently do not expect that the adoption will have a material impact on our consolidated financial statements. However, our adoption of this guidance may significantly impact our accounting and reporting for future revenue arrangements to the extent they are material.</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2009.</w:t>
      </w:r>
    </w:p>
    <w:p>
      <w:pPr>
        <w:spacing w:after="0" w:line="67" w:lineRule="exact"/>
        <w:rPr>
          <w:sz w:val="20"/>
          <w:szCs w:val="20"/>
          <w:color w:val="auto"/>
        </w:rPr>
      </w:pPr>
    </w:p>
    <w:p>
      <w:pPr>
        <w:jc w:val="both"/>
        <w:ind w:left="680" w:right="240" w:firstLine="399"/>
        <w:spacing w:after="0" w:line="296" w:lineRule="auto"/>
        <w:rPr>
          <w:sz w:val="20"/>
          <w:szCs w:val="20"/>
          <w:color w:val="auto"/>
        </w:rPr>
      </w:pPr>
      <w:r>
        <w:rPr>
          <w:rFonts w:ascii="Arial" w:cs="Arial" w:eastAsia="Arial" w:hAnsi="Arial"/>
          <w:sz w:val="12"/>
          <w:szCs w:val="12"/>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similar nature and generally include statements containing:</w:t>
      </w:r>
    </w:p>
    <w:p>
      <w:pPr>
        <w:spacing w:after="0" w:line="50" w:lineRule="exact"/>
        <w:rPr>
          <w:sz w:val="20"/>
          <w:szCs w:val="20"/>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projections about accounting and finances;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plans and objectives for the future;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projections or estimates about assumptions relating to our performance;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opinions, views or beliefs about the effects of current or future events, circumstances or performance.</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You should view these statements with caution. These statements are not guarantees of future performance, circumstances or events. They are based on the facts and circumstances known to us as of the date the statements are made. All phases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Condensed Consolidated Financial Statements and the notes thereto.</w:t>
      </w:r>
    </w:p>
    <w:p>
      <w:pPr>
        <w:spacing w:after="0" w:line="71"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Some of the risks that we face and that could affect our financial statements for 2010 and beyond and that could cause actual results to be materially different from those that may be set forth in forward-looking statements made by the Company include the following:</w:t>
      </w:r>
    </w:p>
    <w:p>
      <w:pPr>
        <w:spacing w:after="0" w:line="59"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volatility and deterioration in the credit markets, inflation and other general and local economic conditions may negatively affect the volumes of waste generated;</w:t>
      </w:r>
    </w:p>
    <w:p>
      <w:pPr>
        <w:spacing w:after="0" w:line="86" w:lineRule="exact"/>
        <w:rPr>
          <w:rFonts w:ascii="Arial" w:cs="Arial" w:eastAsia="Arial" w:hAnsi="Arial"/>
          <w:sz w:val="13"/>
          <w:szCs w:val="13"/>
          <w:color w:val="auto"/>
        </w:rPr>
      </w:pPr>
    </w:p>
    <w:p>
      <w:pPr>
        <w:ind w:left="1280" w:right="400" w:hanging="190"/>
        <w:spacing w:after="0" w:line="320" w:lineRule="auto"/>
        <w:tabs>
          <w:tab w:leader="none" w:pos="12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economic conditions may negatively affect parties with whom we do business, which could result in late payments or the uncollectability of receivables as well as the non-performance of certain agreements, including expected funding under our credit agreement, which could negatively impact our liquidity and results of operations;</w:t>
      </w:r>
    </w:p>
    <w:p>
      <w:pPr>
        <w:spacing w:after="0" w:line="25" w:lineRule="exact"/>
        <w:rPr>
          <w:rFonts w:ascii="Arial" w:cs="Arial" w:eastAsia="Arial" w:hAnsi="Arial"/>
          <w:sz w:val="12"/>
          <w:szCs w:val="12"/>
          <w:color w:val="auto"/>
        </w:rPr>
      </w:pPr>
    </w:p>
    <w:p>
      <w:pPr>
        <w:ind w:left="1280" w:hanging="190"/>
        <w:spacing w:after="0" w:line="276"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competition may negatively affect our profitability or cash flows, our price increases may have negative effects on volumes, and price roll-backs and lower than average pricing to retain and attract customers may negatively affect our average yield on collection and disposal business;</w:t>
      </w:r>
    </w:p>
    <w:p>
      <w:pPr>
        <w:spacing w:after="0" w:line="49" w:lineRule="exact"/>
        <w:rPr>
          <w:rFonts w:ascii="Arial" w:cs="Arial" w:eastAsia="Arial" w:hAnsi="Arial"/>
          <w:sz w:val="13"/>
          <w:szCs w:val="13"/>
          <w:color w:val="auto"/>
        </w:rPr>
      </w:pPr>
    </w:p>
    <w:p>
      <w:pPr>
        <w:ind w:left="1280" w:right="500" w:hanging="190"/>
        <w:spacing w:after="0" w:line="276"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may be unable to maintain or expand margins if we are unable to control costs or raise prices;</w:t>
      </w:r>
    </w:p>
    <w:p>
      <w:pPr>
        <w:spacing w:after="0" w:line="86" w:lineRule="exact"/>
        <w:rPr>
          <w:rFonts w:ascii="Arial" w:cs="Arial" w:eastAsia="Arial" w:hAnsi="Arial"/>
          <w:sz w:val="13"/>
          <w:szCs w:val="13"/>
          <w:color w:val="auto"/>
        </w:rPr>
      </w:pPr>
    </w:p>
    <w:p>
      <w:pPr>
        <w:ind w:left="1280" w:right="60" w:hanging="190"/>
        <w:spacing w:after="0" w:line="264"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may not be able to successfully execute or continue our operational or other margin improvement plans and programs, including: pricing increases; passing on increased costs to our customers; reducing costs; and divesting under-performing assets and purchasing accretive businesses, any failures of which could negatively affect our revenues and margins;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weather conditions cause our quarter-to-quarter results to fluctuate, and harsh weather or natural disasters may cause us to temporarily shut down operations;</w:t>
      </w:r>
    </w:p>
    <w:p>
      <w:pPr>
        <w:spacing w:after="0" w:line="86" w:lineRule="exact"/>
        <w:rPr>
          <w:rFonts w:ascii="Arial" w:cs="Arial" w:eastAsia="Arial" w:hAnsi="Arial"/>
          <w:sz w:val="13"/>
          <w:szCs w:val="13"/>
          <w:color w:val="auto"/>
        </w:rPr>
      </w:pPr>
    </w:p>
    <w:p>
      <w:pPr>
        <w:ind w:left="1280" w:right="220" w:hanging="190"/>
        <w:spacing w:after="0" w:line="276"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possible changes in our estimates of costs for site remediation requirements, final capping, closure and post-closure obligations, compliance and regulatory developments may increase our expenses;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regulations may negatively impact our business by, among other things, restricting our operations, increasing costs of operations or requiring additional capital expenditures;</w:t>
      </w:r>
    </w:p>
    <w:p>
      <w:pPr>
        <w:spacing w:after="0" w:line="97" w:lineRule="exact"/>
        <w:rPr>
          <w:rFonts w:ascii="Arial" w:cs="Arial" w:eastAsia="Arial" w:hAnsi="Arial"/>
          <w:sz w:val="12"/>
          <w:szCs w:val="12"/>
          <w:color w:val="auto"/>
        </w:rPr>
      </w:pPr>
    </w:p>
    <w:p>
      <w:pPr>
        <w:ind w:left="1280" w:right="140" w:hanging="190"/>
        <w:spacing w:after="0" w:line="320" w:lineRule="auto"/>
        <w:tabs>
          <w:tab w:leader="none" w:pos="12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any such legislation;</w:t>
      </w:r>
    </w:p>
    <w:p>
      <w:pPr>
        <w:spacing w:after="0" w:line="25" w:lineRule="exact"/>
        <w:rPr>
          <w:rFonts w:ascii="Arial" w:cs="Arial" w:eastAsia="Arial" w:hAnsi="Arial"/>
          <w:sz w:val="12"/>
          <w:szCs w:val="12"/>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if we are unable to obtain and maintain permits needed to open, operate, and/or expand our facilities, our results of operations will be negatively impacted;</w:t>
      </w:r>
    </w:p>
    <w:p>
      <w:pPr>
        <w:spacing w:after="0" w:line="86" w:lineRule="exact"/>
        <w:rPr>
          <w:rFonts w:ascii="Arial" w:cs="Arial" w:eastAsia="Arial" w:hAnsi="Arial"/>
          <w:sz w:val="13"/>
          <w:szCs w:val="13"/>
          <w:color w:val="auto"/>
        </w:rPr>
      </w:pPr>
    </w:p>
    <w:p>
      <w:pPr>
        <w:ind w:left="1280" w:right="44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limitations or bans on disposal or transportation of out-of-state, cross-border, or certain categories of waste, as well as mandates on the disposal of waste, can increase our expenses and reduce our revenue;</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fuel price increases or fuel supply shortages may increase our expenses or restrict our ability to operate;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increased costs or the inability to obtain financial assurance or the inadequacy of our insurance coverages could negatively impact our liquidity and increase our liabilities;</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possible charges as a result of shut-down operations, uncompleted development or expansion projects or other events may negatively affect earnings;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fluctuations in commodity prices may have negative effects on our operating results;</w:t>
      </w:r>
    </w:p>
    <w:p>
      <w:pPr>
        <w:spacing w:after="0" w:line="86" w:lineRule="exact"/>
        <w:rPr>
          <w:rFonts w:ascii="Arial" w:cs="Arial" w:eastAsia="Arial" w:hAnsi="Arial"/>
          <w:sz w:val="13"/>
          <w:szCs w:val="13"/>
          <w:color w:val="auto"/>
        </w:rPr>
      </w:pPr>
    </w:p>
    <w:p>
      <w:pPr>
        <w:ind w:left="1280" w:right="10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trends requiring recycling, waste reduction at the source and prohibiting the disposal of certain types of waste could have negative effects on volumes of waste going to landfills and waste-to-energy facilities;</w:t>
      </w:r>
    </w:p>
    <w:p>
      <w:pPr>
        <w:spacing w:after="0" w:line="49" w:lineRule="exact"/>
        <w:rPr>
          <w:rFonts w:ascii="Arial" w:cs="Arial" w:eastAsia="Arial" w:hAnsi="Arial"/>
          <w:sz w:val="13"/>
          <w:szCs w:val="13"/>
          <w:color w:val="auto"/>
        </w:rPr>
      </w:pPr>
    </w:p>
    <w:p>
      <w:pPr>
        <w:jc w:val="both"/>
        <w:ind w:left="1280" w:right="200" w:hanging="190"/>
        <w:spacing w:after="0" w:line="264"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7" w:lineRule="exact"/>
        <w:rPr>
          <w:rFonts w:ascii="Arial" w:cs="Arial" w:eastAsia="Arial" w:hAnsi="Arial"/>
          <w:sz w:val="13"/>
          <w:szCs w:val="13"/>
          <w:color w:val="auto"/>
        </w:rPr>
      </w:pPr>
    </w:p>
    <w:p>
      <w:pPr>
        <w:ind w:left="1280" w:right="24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49" w:lineRule="exact"/>
        <w:rPr>
          <w:rFonts w:ascii="Arial" w:cs="Arial" w:eastAsia="Arial" w:hAnsi="Arial"/>
          <w:sz w:val="13"/>
          <w:szCs w:val="13"/>
          <w:color w:val="auto"/>
        </w:rPr>
      </w:pPr>
    </w:p>
    <w:p>
      <w:pPr>
        <w:ind w:left="1280" w:right="12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problems with the operation of our current information technology or the development and deployment of new information systems could decrease our efficiencies and increase our costs;</w:t>
      </w:r>
    </w:p>
    <w:p>
      <w:pPr>
        <w:spacing w:after="0" w:line="49" w:lineRule="exact"/>
        <w:rPr>
          <w:rFonts w:ascii="Arial" w:cs="Arial" w:eastAsia="Arial" w:hAnsi="Arial"/>
          <w:sz w:val="13"/>
          <w:szCs w:val="13"/>
          <w:color w:val="auto"/>
        </w:rPr>
      </w:pPr>
    </w:p>
    <w:p>
      <w:pPr>
        <w:ind w:left="1280" w:right="54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adoption of new accounting standards or interpretations may cause fluctuations in reported quarterly results of operations or adversely impact our reported results of operations;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we may reduce or suspend capital expenditures, acquisition activity, dividend declarations or share repurchases if we suffer a significant reduction in cash flows; and</w:t>
      </w:r>
    </w:p>
    <w:p>
      <w:pPr>
        <w:spacing w:after="0" w:line="97" w:lineRule="exact"/>
        <w:rPr>
          <w:rFonts w:ascii="Arial" w:cs="Arial" w:eastAsia="Arial" w:hAnsi="Arial"/>
          <w:sz w:val="12"/>
          <w:szCs w:val="12"/>
          <w:color w:val="auto"/>
        </w:rPr>
      </w:pPr>
    </w:p>
    <w:p>
      <w:pPr>
        <w:ind w:left="1280" w:right="10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 may be unable to incur future indebtedness on terms we deem acceptable or to refinance our debt obligations, including near-term maturities, on acceptable terms and higher interest rates and market conditions may increase our expenses.</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61"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Our principal executive offices are located at 1001 Fannin Street, Suite 4000, Houston, Texas 77002. Our telephone number at that address is (713) 512-6200. Our website address is http://www.wm.com.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67"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Through the first half of 2010, we have seen improvements in our results, which reflect our discipline in pricing and cost control, as well as an improvement in the general economic environment. Highlights of our financial results for the current quarter include:</w:t>
      </w:r>
    </w:p>
    <w:p>
      <w:pPr>
        <w:spacing w:after="0" w:line="59" w:lineRule="exact"/>
        <w:rPr>
          <w:sz w:val="20"/>
          <w:szCs w:val="20"/>
          <w:color w:val="auto"/>
        </w:rPr>
      </w:pPr>
    </w:p>
    <w:p>
      <w:pPr>
        <w:ind w:left="1280" w:right="2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Revenues of $3,158 million compared with $2,952 million in the second quarter of 2009, an increase of $206 million, or 7.0%. This increase in revenues is primarily attributable to:</w:t>
      </w:r>
    </w:p>
    <w:p>
      <w:pPr>
        <w:spacing w:after="0" w:line="59" w:lineRule="exact"/>
        <w:rPr>
          <w:rFonts w:ascii="Arial" w:cs="Arial" w:eastAsia="Arial" w:hAnsi="Arial"/>
          <w:sz w:val="13"/>
          <w:szCs w:val="13"/>
          <w:color w:val="auto"/>
        </w:rPr>
      </w:pPr>
    </w:p>
    <w:p>
      <w:pPr>
        <w:ind w:left="1500" w:right="160" w:hanging="214"/>
        <w:spacing w:after="0" w:line="276" w:lineRule="auto"/>
        <w:tabs>
          <w:tab w:leader="none" w:pos="1500" w:val="left"/>
        </w:tabs>
        <w:numPr>
          <w:ilvl w:val="1"/>
          <w:numId w:val="20"/>
        </w:numPr>
        <w:rPr>
          <w:rFonts w:ascii="Arial" w:cs="Arial" w:eastAsia="Arial" w:hAnsi="Arial"/>
          <w:sz w:val="13"/>
          <w:szCs w:val="13"/>
          <w:color w:val="auto"/>
        </w:rPr>
      </w:pPr>
      <w:r>
        <w:rPr>
          <w:rFonts w:ascii="Arial" w:cs="Arial" w:eastAsia="Arial" w:hAnsi="Arial"/>
          <w:sz w:val="13"/>
          <w:szCs w:val="13"/>
          <w:color w:val="auto"/>
        </w:rPr>
        <w:t>Increases from recyclable commodity prices of $123 million; increases from our fuel surcharge program of $27 million; and increases from foreign currency translation of $22 million; and</w:t>
      </w:r>
    </w:p>
    <w:p>
      <w:pPr>
        <w:spacing w:after="0" w:line="49" w:lineRule="exact"/>
        <w:rPr>
          <w:rFonts w:ascii="Arial" w:cs="Arial" w:eastAsia="Arial" w:hAnsi="Arial"/>
          <w:sz w:val="13"/>
          <w:szCs w:val="13"/>
          <w:color w:val="auto"/>
        </w:rPr>
      </w:pPr>
    </w:p>
    <w:p>
      <w:pPr>
        <w:ind w:left="1500" w:hanging="214"/>
        <w:spacing w:after="0"/>
        <w:tabs>
          <w:tab w:leader="none" w:pos="1500" w:val="left"/>
        </w:tabs>
        <w:numPr>
          <w:ilvl w:val="1"/>
          <w:numId w:val="20"/>
        </w:numPr>
        <w:rPr>
          <w:rFonts w:ascii="Arial" w:cs="Arial" w:eastAsia="Arial" w:hAnsi="Arial"/>
          <w:sz w:val="13"/>
          <w:szCs w:val="13"/>
          <w:color w:val="auto"/>
        </w:rPr>
      </w:pPr>
      <w:r>
        <w:rPr>
          <w:rFonts w:ascii="Arial" w:cs="Arial" w:eastAsia="Arial" w:hAnsi="Arial"/>
          <w:sz w:val="13"/>
          <w:szCs w:val="13"/>
          <w:color w:val="auto"/>
        </w:rPr>
        <w:t>Internal revenue growth from yield on collection and disposal business measured as a percentage of the related business of 2.3% in the current period;</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Internal revenue growth from volume was negative 2.9% in the second quarter of 2010, compared with negative 8.6% in the second quarter of 2009;</w:t>
      </w:r>
    </w:p>
    <w:p>
      <w:pPr>
        <w:spacing w:after="0" w:line="86"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Operating expenses of $1,996 million, or 63.2% of revenues, compared with $1,786 million, or 60.5% of revenues, in the second quarter of 2009. This increase of $210 million, or 11.8%, is due primarily to higher recyclable commodity prices, higher fuel prices and increases in our environmental remediation reserves;</w:t>
      </w:r>
    </w:p>
    <w:p>
      <w:pPr>
        <w:spacing w:after="0" w:line="49" w:lineRule="exact"/>
        <w:rPr>
          <w:rFonts w:ascii="Arial" w:cs="Arial" w:eastAsia="Arial" w:hAnsi="Arial"/>
          <w:sz w:val="13"/>
          <w:szCs w:val="13"/>
          <w:color w:val="auto"/>
        </w:rPr>
      </w:pPr>
    </w:p>
    <w:p>
      <w:pPr>
        <w:jc w:val="both"/>
        <w:ind w:left="1280" w:right="80" w:hanging="190"/>
        <w:spacing w:after="0" w:line="264"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Selling, general and administrative expenses increased by $22 million, or 6.8%, from $323 million in the comparable prior year period to $345 million in the second quarter of 2010. These costs increased in support of the Company’s strategic plan to grow into new markets and provide expanded service offerings and in support of our current focus on improving our information technology systems;</w:t>
      </w:r>
    </w:p>
    <w:p>
      <w:pPr>
        <w:spacing w:after="0" w:line="57" w:lineRule="exact"/>
        <w:rPr>
          <w:rFonts w:ascii="Arial" w:cs="Arial" w:eastAsia="Arial" w:hAnsi="Arial"/>
          <w:sz w:val="13"/>
          <w:szCs w:val="13"/>
          <w:color w:val="auto"/>
        </w:rPr>
      </w:pPr>
    </w:p>
    <w:p>
      <w:pPr>
        <w:ind w:left="1280" w:right="30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Income from operations of $586 million, or 18.6% of revenues, for the second quarter of 2010 compared with $534 million, or 18.1% of revenues, for the second quarter of 2009; and</w:t>
      </w:r>
    </w:p>
    <w:p>
      <w:pPr>
        <w:spacing w:after="0" w:line="49"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Net income attributable to Waste Management, Inc. of $246 million, or $0.51 per diluted share for the current quarter, as compared with $247 million, or $0.50 per diluted share, for the prior year period.</w:t>
      </w:r>
    </w:p>
    <w:p>
      <w:pPr>
        <w:spacing w:after="0" w:line="5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comparability of our results for the second quarter of 2010 with the second quarter of 2009 has been affected by certain items management believes are not representative or indicative of our results. The results of the second quarter of 2010 were significantly affected by the following:</w:t>
      </w:r>
    </w:p>
    <w:p>
      <w:pPr>
        <w:spacing w:after="0" w:line="59" w:lineRule="exact"/>
        <w:rPr>
          <w:sz w:val="20"/>
          <w:szCs w:val="20"/>
          <w:color w:val="auto"/>
        </w:rPr>
      </w:pPr>
    </w:p>
    <w:p>
      <w:pPr>
        <w:ind w:left="1280" w:hanging="190"/>
        <w:spacing w:after="0" w:line="276"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recognition of a pre-tax cash benefit of $77 million related to the settlement of a lawsuit related to the abandonment of revenue management software, which had a favorable impact of $0.10 on our diluted earnings per share;</w:t>
      </w:r>
    </w:p>
    <w:p>
      <w:pPr>
        <w:spacing w:after="0" w:line="49" w:lineRule="exact"/>
        <w:rPr>
          <w:rFonts w:ascii="Arial" w:cs="Arial" w:eastAsia="Arial" w:hAnsi="Arial"/>
          <w:sz w:val="13"/>
          <w:szCs w:val="13"/>
          <w:color w:val="auto"/>
        </w:rPr>
      </w:pPr>
    </w:p>
    <w:p>
      <w:pPr>
        <w:ind w:left="1280" w:right="220" w:hanging="190"/>
        <w:spacing w:after="0" w:line="276"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recognition of a tax charge of $37 million principally related to refinements in estimates of our deferred state income taxes, which had a negative impact of $0.08 on our diluted earnings per share; and</w:t>
      </w:r>
    </w:p>
    <w:p>
      <w:pPr>
        <w:spacing w:after="0" w:line="49"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recognition of a pre-tax non-cash charge of $39 million related to increases in our environmental remediation reserves principally related to two landfill sites, which had a negative impact of $0.05 on our diluted earnings per share.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results of the second quarter of 2009 were significantly affected by the following:</w:t>
      </w:r>
    </w:p>
    <w:p>
      <w:pPr>
        <w:spacing w:after="0" w:line="96" w:lineRule="exact"/>
        <w:rPr>
          <w:sz w:val="20"/>
          <w:szCs w:val="20"/>
          <w:color w:val="auto"/>
        </w:rPr>
      </w:pPr>
    </w:p>
    <w:p>
      <w:pPr>
        <w:ind w:left="1280" w:right="80" w:hanging="190"/>
        <w:spacing w:after="0" w:line="276"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recognition of a pre-tax charge of $5 million related to our 2009 restructuring, which was primarily related to severance and benefit costs. The restructuring charge reduced diluted earnings per share for the quarter by $0.01; and</w:t>
      </w:r>
    </w:p>
    <w:p>
      <w:pPr>
        <w:spacing w:after="0" w:line="49" w:lineRule="exact"/>
        <w:rPr>
          <w:rFonts w:ascii="Arial" w:cs="Arial" w:eastAsia="Arial" w:hAnsi="Arial"/>
          <w:sz w:val="13"/>
          <w:szCs w:val="13"/>
          <w:color w:val="auto"/>
        </w:rPr>
      </w:pPr>
    </w:p>
    <w:p>
      <w:pPr>
        <w:ind w:left="1280" w:right="260" w:hanging="190"/>
        <w:spacing w:after="0" w:line="276"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recognition of a pre-tax charge of $9 million related to the partial withdrawal from a Teamsters’ under-funded multi-employer pension plan, which had a negative $0.01 impact on our diluted earnings per share.</w:t>
      </w:r>
    </w:p>
    <w:p>
      <w:pPr>
        <w:spacing w:after="0" w:line="59"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Our second quarter results are particularly noteworthy in light of the continued challenges we faced during the quarter due to continued weakness in industrial collection volumes, caused in large part by sustained reductions in residential and commercial construction, and the negative pressures on our earnings and margins from rising fuel costs.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We are optimistic about the lessening rate of revenue decline due to lower volumes. However, we expect that throughout 2010 we may continue to face challenges related to the economy and rising fuel prices. Additionally, we are mindful of trends toward waste reduction at the source, diversion from landfills and customers seeking alternative methods of disposal. We are continuing to implement measures that we believe will grow our business, improve our current operations performance and enhance and expand our services.</w:t>
      </w:r>
    </w:p>
    <w:p>
      <w:pPr>
        <w:spacing w:after="0" w:line="50"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color w:val="auto"/>
        </w:rPr>
        <w:t>Through our continued focus on the expansion of our waste-to-energy business, during the second quarter of 2010, we paid $150 million to purchase a waste-to-energy facility in Portsmouth, Virginia, which was approved by both the Southeastern Public Service Authority of Virginia, or SPSA, and the Virginia Resources Authority in the first quarter of 2010.</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Free Cash Flow</w:t>
      </w:r>
    </w:p>
    <w:p>
      <w:pPr>
        <w:spacing w:after="0" w:line="96"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As is our practice, 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(net of cash divested) and other sales of assets.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U.S. GAAP measure. However, we believe free cash flow gives investors useful insight into how we view our liquidity. Nonetheless, the use of free cash flow as a liquidity measure has material limitations because it excludes certain expenditures that are required or that we have committed to, such as declared dividend payments and debt service requirements.</w:t>
      </w:r>
    </w:p>
    <w:p>
      <w:pPr>
        <w:spacing w:after="0" w:line="5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Our calculation of free cash flow and reconciliation to “Net cash provided by operating activities” is shown in the table below (in millions), and may not be calculated the same as similarly titled measures presented by other companies: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5"/>
          </w:tcPr>
          <w:p>
            <w:pPr>
              <w:jc w:val="center"/>
              <w:ind w:right="480"/>
              <w:spacing w:after="0"/>
              <w:rPr>
                <w:sz w:val="20"/>
                <w:szCs w:val="20"/>
                <w:color w:val="auto"/>
              </w:rPr>
            </w:pPr>
            <w:r>
              <w:rPr>
                <w:rFonts w:ascii="Arial" w:cs="Arial" w:eastAsia="Arial" w:hAnsi="Arial"/>
                <w:sz w:val="10"/>
                <w:szCs w:val="10"/>
                <w:b w:val="1"/>
                <w:bCs w:val="1"/>
                <w:color w:val="auto"/>
                <w:w w:val="94"/>
              </w:rPr>
              <w:t>Three Months</w:t>
            </w:r>
          </w:p>
        </w:tc>
        <w:tc>
          <w:tcPr>
            <w:tcW w:w="80" w:type="dxa"/>
            <w:vAlign w:val="bottom"/>
          </w:tcPr>
          <w:p>
            <w:pPr>
              <w:spacing w:after="0"/>
              <w:rPr>
                <w:sz w:val="10"/>
                <w:szCs w:val="10"/>
                <w:color w:val="auto"/>
              </w:rPr>
            </w:pPr>
          </w:p>
        </w:tc>
        <w:tc>
          <w:tcPr>
            <w:tcW w:w="840" w:type="dxa"/>
            <w:vAlign w:val="bottom"/>
            <w:gridSpan w:val="4"/>
          </w:tcPr>
          <w:p>
            <w:pPr>
              <w:jc w:val="center"/>
              <w:ind w:left="239"/>
              <w:spacing w:after="0"/>
              <w:rPr>
                <w:sz w:val="20"/>
                <w:szCs w:val="20"/>
                <w:color w:val="auto"/>
              </w:rPr>
            </w:pPr>
            <w:r>
              <w:rPr>
                <w:rFonts w:ascii="Arial" w:cs="Arial" w:eastAsia="Arial" w:hAnsi="Arial"/>
                <w:sz w:val="10"/>
                <w:szCs w:val="10"/>
                <w:b w:val="1"/>
                <w:bCs w:val="1"/>
                <w:color w:val="auto"/>
                <w:w w:val="93"/>
              </w:rPr>
              <w:t>Six Months</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8"/>
              </w:rPr>
              <w:t>Ended</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7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0"/>
                <w:szCs w:val="10"/>
                <w:b w:val="1"/>
                <w:bCs w:val="1"/>
                <w:color w:val="auto"/>
                <w:w w:val="94"/>
              </w:rPr>
              <w:t>June 30,</w:t>
            </w: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9"/>
              <w:spacing w:after="0" w:line="98" w:lineRule="exact"/>
              <w:rPr>
                <w:sz w:val="20"/>
                <w:szCs w:val="20"/>
                <w:color w:val="auto"/>
              </w:rPr>
            </w:pPr>
            <w:r>
              <w:rPr>
                <w:rFonts w:ascii="Arial" w:cs="Arial" w:eastAsia="Arial" w:hAnsi="Arial"/>
                <w:sz w:val="10"/>
                <w:szCs w:val="10"/>
                <w:b w:val="1"/>
                <w:bCs w:val="1"/>
                <w:color w:val="auto"/>
                <w:w w:val="89"/>
              </w:rPr>
              <w:t>2010</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89"/>
              </w:rPr>
              <w:t>2009</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19"/>
              <w:spacing w:after="0" w:line="98" w:lineRule="exact"/>
              <w:rPr>
                <w:sz w:val="20"/>
                <w:szCs w:val="20"/>
                <w:color w:val="auto"/>
              </w:rPr>
            </w:pPr>
            <w:r>
              <w:rPr>
                <w:rFonts w:ascii="Arial" w:cs="Arial" w:eastAsia="Arial" w:hAnsi="Arial"/>
                <w:sz w:val="10"/>
                <w:szCs w:val="10"/>
                <w:b w:val="1"/>
                <w:bCs w:val="1"/>
                <w:color w:val="auto"/>
                <w:w w:val="98"/>
              </w:rPr>
              <w:t>2010</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548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976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1,067</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Capital expenditures</w:t>
            </w:r>
          </w:p>
        </w:tc>
        <w:tc>
          <w:tcPr>
            <w:tcW w:w="100" w:type="dxa"/>
            <w:vAlign w:val="bottom"/>
          </w:tcPr>
          <w:p>
            <w:pPr>
              <w:spacing w:after="0"/>
              <w:rPr>
                <w:sz w:val="13"/>
                <w:szCs w:val="13"/>
                <w:color w:val="auto"/>
              </w:rPr>
            </w:pPr>
          </w:p>
        </w:tc>
        <w:tc>
          <w:tcPr>
            <w:tcW w:w="720" w:type="dxa"/>
            <w:vAlign w:val="bottom"/>
            <w:gridSpan w:val="2"/>
          </w:tcPr>
          <w:p>
            <w:pPr>
              <w:jc w:val="right"/>
              <w:ind w:right="308"/>
              <w:spacing w:after="0"/>
              <w:rPr>
                <w:sz w:val="20"/>
                <w:szCs w:val="20"/>
                <w:color w:val="auto"/>
              </w:rPr>
            </w:pPr>
            <w:r>
              <w:rPr>
                <w:rFonts w:ascii="Arial" w:cs="Arial" w:eastAsia="Arial" w:hAnsi="Arial"/>
                <w:sz w:val="13"/>
                <w:szCs w:val="13"/>
                <w:color w:val="auto"/>
              </w:rPr>
              <w:t>(220)</w:t>
            </w:r>
          </w:p>
        </w:tc>
        <w:tc>
          <w:tcPr>
            <w:tcW w:w="8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3"/>
                <w:szCs w:val="13"/>
                <w:color w:val="auto"/>
              </w:rPr>
              <w:t>(258)</w:t>
            </w:r>
          </w:p>
        </w:tc>
        <w:tc>
          <w:tcPr>
            <w:tcW w:w="80" w:type="dxa"/>
            <w:vAlign w:val="bottom"/>
          </w:tcPr>
          <w:p>
            <w:pPr>
              <w:spacing w:after="0"/>
              <w:rPr>
                <w:sz w:val="13"/>
                <w:szCs w:val="13"/>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(475)</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(583)</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Proceeds from divestitures of businesses (net of cash divested) and other sales of assets</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27</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color w:val="auto"/>
              </w:rPr>
              <w:t>Free cash flow</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275</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297</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528</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496</w:t>
            </w:r>
          </w:p>
        </w:tc>
        <w:tc>
          <w:tcPr>
            <w:tcW w:w="0" w:type="dxa"/>
            <w:vAlign w:val="bottom"/>
          </w:tcPr>
          <w:p>
            <w:pPr>
              <w:spacing w:after="0"/>
              <w:rPr>
                <w:sz w:val="1"/>
                <w:szCs w:val="1"/>
                <w:color w:val="auto"/>
              </w:rPr>
            </w:pPr>
          </w:p>
        </w:tc>
      </w:tr>
      <w:tr>
        <w:trPr>
          <w:trHeight w:val="30"/>
        </w:trPr>
        <w:tc>
          <w:tcPr>
            <w:tcW w:w="7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When comparing our cash flow from operating activities for the three months and six months ended June 30, 2010 to the comparable periods in 2009, the current year decreases were driven by increases in our receivable balances due to seasonal trends generally experienced during the second quarter, which were not significant in 2009 due to economic conditions. Further, increases in our income tax payments and interest payments have negatively affected our cash flow from operations this year. These current year reductions were partially offset by a favorable cash benefit of $77 million resulting from a litigation settlement in April 2010 and prior year payments related to severance and benefit costs associated with our 2009 restructuring. The decrease in capital expenditures when comparing the first half of 2010 with the prior year period can generally be attributed to timing differences associated with cash payments for the previous years’ fourth quarter capital spending. We generally use a significant portion of our free cash flow on capital spending in the fourth quarter of each year. A less significant portion of our fourth quarter 2009 spending was paid in cash in 2010 than in the preceding year.</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Adoption of New Accounting Pronouncements</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Consolidation of Variable Interest Entities </w:t>
      </w:r>
      <w:r>
        <w:rPr>
          <w:rFonts w:ascii="Arial" w:cs="Arial" w:eastAsia="Arial" w:hAnsi="Arial"/>
          <w:sz w:val="13"/>
          <w:szCs w:val="13"/>
          <w:color w:val="auto"/>
        </w:rPr>
        <w:t>— In June 2009, the FASB issued revised authoritative guidance associated with the consolidation of variable interest entities. This revised</w:t>
      </w:r>
      <w:r>
        <w:rPr>
          <w:rFonts w:ascii="Arial" w:cs="Arial" w:eastAsia="Arial" w:hAnsi="Arial"/>
          <w:sz w:val="13"/>
          <w:szCs w:val="13"/>
          <w:i w:val="1"/>
          <w:iCs w:val="1"/>
          <w:color w:val="auto"/>
        </w:rPr>
        <w:t xml:space="preserve"> </w:t>
      </w:r>
      <w:r>
        <w:rPr>
          <w:rFonts w:ascii="Arial" w:cs="Arial" w:eastAsia="Arial" w:hAnsi="Arial"/>
          <w:sz w:val="13"/>
          <w:szCs w:val="13"/>
          <w:color w:val="auto"/>
        </w:rPr>
        <w:t>guidance replaced the previous quantitative-based assessment for determining whether an enterprise is the primary beneficiary of a variable interest entity, and is, therefore, required to consolidate an entity, with an approach that is now primarily qualitative.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60" w:lineRule="auto"/>
        <w:rPr>
          <w:sz w:val="20"/>
          <w:szCs w:val="20"/>
          <w:color w:val="auto"/>
        </w:rPr>
      </w:pPr>
      <w:r>
        <w:rPr>
          <w:rFonts w:ascii="Arial" w:cs="Arial" w:eastAsia="Arial" w:hAnsi="Arial"/>
          <w:sz w:val="13"/>
          <w:szCs w:val="13"/>
          <w:color w:val="auto"/>
        </w:rPr>
        <w:t>This qualitative approach focuses on identifying the enterprise that has (i) the power to direct the activities of the variable interest entity that can most significantly impact the entity’s performance; and (ii) the obligation to absorb losses and the right to receive benefits from the variable interest entity that could potentially be significant to such entity. This revised guidance also requires that the enterprise continually reassess whether it is the primary beneficiary of a variable interest entity rather than conducting a reassessment only upon the occurrence of specific events.</w:t>
      </w:r>
    </w:p>
    <w:p>
      <w:pPr>
        <w:spacing w:after="0" w:line="7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adopted this revised guidance effective January 1, 2010. This change in accounting has not materially affected our financial position, results of operations or cash flows during the periods presented. For information related to our interests in variable interest entities, refer to Note 1 to the Condensed Consolidated Financial Statements.</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New Accounting Pronouncement Pending Adoption</w:t>
      </w:r>
    </w:p>
    <w:p>
      <w:pPr>
        <w:spacing w:after="0" w:line="96"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i w:val="1"/>
          <w:iCs w:val="1"/>
          <w:color w:val="auto"/>
        </w:rPr>
        <w:t xml:space="preserve">Multiple-Deliverable Revenue Arrangements </w:t>
      </w:r>
      <w:r>
        <w:rPr>
          <w:rFonts w:ascii="Arial" w:cs="Arial" w:eastAsia="Arial" w:hAnsi="Arial"/>
          <w:sz w:val="12"/>
          <w:szCs w:val="12"/>
          <w:color w:val="auto"/>
        </w:rPr>
        <w:t>— In October 2009, the FASB amended authoritative guidance associated with multiple-deliverable revenue arrangements. This</w:t>
      </w:r>
      <w:r>
        <w:rPr>
          <w:rFonts w:ascii="Arial" w:cs="Arial" w:eastAsia="Arial" w:hAnsi="Arial"/>
          <w:sz w:val="12"/>
          <w:szCs w:val="12"/>
          <w:i w:val="1"/>
          <w:iCs w:val="1"/>
          <w:color w:val="auto"/>
        </w:rPr>
        <w:t xml:space="preserve"> </w:t>
      </w:r>
      <w:r>
        <w:rPr>
          <w:rFonts w:ascii="Arial" w:cs="Arial" w:eastAsia="Arial" w:hAnsi="Arial"/>
          <w:sz w:val="12"/>
          <w:szCs w:val="12"/>
          <w:color w:val="auto"/>
        </w:rPr>
        <w:t>amended guidance addresses the determination of when individual deliverables within an arrangement may be treated as separate units of accounting and modifies the manner in which consideration is allocated across the separately identifiable deliverables. The amendments to authoritative guidance associated with multiple-deliverable revenue arrangements are effective for the Company on January 1, 2011, although the FASB does permit early adoption of the guidance provided that it is retroactively applied to the beginning of the year of adoption. The new accounting standard may be applied either retrospectively for all periods presented or prospectively to arrangements entered into or materially modified after the date of adoption. We are in the process of assessing the provisions of this new guidance and currently do not expect that the adoption will have a material impact on our consolidated financial statements. However, our adoption of this guidance may significantly impact our accounting and reporting for future revenue arrangements to the extent they are material.</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Critical Accounting Estimates and Assumptions</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methods. In some cases, these estimates are particularly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reserves associated with our uninsured claims and reserves and recoveries associated with our insured claims, as described in Item 7 of our Annual Report on Form 10-K for the year ended December 31, 2009. Actual results could differ materially from the estimates and assumptions that we use in the preparation of our financial statements.</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Revenues</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manage and evaluate our principal operations through five Groups. Our four geographic Groups, which include our Eastern, Midwest, Southern and Western Groups, provide collection, transfer, recycling and disposal services. Our fifth Group is the Wheelabrator Group, which provides waste-to-energy services. We also provide additional services that are not managed through our five Groups, including recycling brokerage services, electronic recycling services, in-plant services and landfill gas-to-energy services. These operations are presented as “Other.”</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Shown below (in millions) is the contribution to revenues during each period provided by our five Groups and our Other waste services: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left="197"/>
              <w:spacing w:after="0"/>
              <w:rPr>
                <w:sz w:val="20"/>
                <w:szCs w:val="20"/>
                <w:color w:val="auto"/>
              </w:rPr>
            </w:pPr>
            <w:r>
              <w:rPr>
                <w:rFonts w:ascii="Arial" w:cs="Arial" w:eastAsia="Arial" w:hAnsi="Arial"/>
                <w:sz w:val="10"/>
                <w:szCs w:val="10"/>
                <w:b w:val="1"/>
                <w:bCs w:val="1"/>
                <w:color w:val="auto"/>
                <w:w w:val="94"/>
              </w:rPr>
              <w:t>Three Months</w:t>
            </w: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tcPr>
          <w:p>
            <w:pPr>
              <w:jc w:val="center"/>
              <w:ind w:left="217"/>
              <w:spacing w:after="0"/>
              <w:rPr>
                <w:sz w:val="20"/>
                <w:szCs w:val="20"/>
                <w:color w:val="auto"/>
              </w:rPr>
            </w:pPr>
            <w:r>
              <w:rPr>
                <w:rFonts w:ascii="Arial" w:cs="Arial" w:eastAsia="Arial" w:hAnsi="Arial"/>
                <w:sz w:val="10"/>
                <w:szCs w:val="10"/>
                <w:b w:val="1"/>
                <w:bCs w:val="1"/>
                <w:color w:val="auto"/>
                <w:w w:val="97"/>
              </w:rPr>
              <w:t>Six Months</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Ended</w:t>
            </w: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7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June 30,</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7"/>
              <w:spacing w:after="0" w:line="98" w:lineRule="exact"/>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2009</w:t>
            </w: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756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1,459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1,448</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Midwest</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780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723</w:t>
            </w:r>
          </w:p>
        </w:tc>
        <w:tc>
          <w:tcPr>
            <w:tcW w:w="120" w:type="dxa"/>
            <w:vAlign w:val="bottom"/>
          </w:tcPr>
          <w:p>
            <w:pPr>
              <w:spacing w:after="0"/>
              <w:rPr>
                <w:sz w:val="13"/>
                <w:szCs w:val="13"/>
                <w:color w:val="auto"/>
              </w:rPr>
            </w:pP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1,474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1,372</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840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1,699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1,673</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Western</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799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785</w:t>
            </w:r>
          </w:p>
        </w:tc>
        <w:tc>
          <w:tcPr>
            <w:tcW w:w="120" w:type="dxa"/>
            <w:vAlign w:val="bottom"/>
          </w:tcPr>
          <w:p>
            <w:pPr>
              <w:spacing w:after="0"/>
              <w:rPr>
                <w:sz w:val="13"/>
                <w:szCs w:val="13"/>
                <w:color w:val="auto"/>
              </w:rPr>
            </w:pP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1,563</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1,542</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423</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413</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Other</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225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146</w:t>
            </w:r>
          </w:p>
        </w:tc>
        <w:tc>
          <w:tcPr>
            <w:tcW w:w="120" w:type="dxa"/>
            <w:vAlign w:val="bottom"/>
          </w:tcPr>
          <w:p>
            <w:pPr>
              <w:spacing w:after="0"/>
              <w:rPr>
                <w:sz w:val="13"/>
                <w:szCs w:val="13"/>
                <w:color w:val="auto"/>
              </w:rPr>
            </w:pP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440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278</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Intercompany</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(513)</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(510)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(965)</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(964)</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28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700" w:type="dxa"/>
            <w:vAlign w:val="bottom"/>
            <w:vMerge w:val="continue"/>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3,158</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2,952</w:t>
            </w:r>
          </w:p>
        </w:tc>
        <w:tc>
          <w:tcPr>
            <w:tcW w:w="3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6,093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5,762</w:t>
            </w:r>
          </w:p>
        </w:tc>
        <w:tc>
          <w:tcPr>
            <w:tcW w:w="0" w:type="dxa"/>
            <w:vAlign w:val="bottom"/>
          </w:tcPr>
          <w:p>
            <w:pPr>
              <w:spacing w:after="0"/>
              <w:rPr>
                <w:sz w:val="1"/>
                <w:szCs w:val="1"/>
                <w:color w:val="auto"/>
              </w:rPr>
            </w:pPr>
          </w:p>
        </w:tc>
      </w:tr>
      <w:tr>
        <w:trPr>
          <w:trHeight w:val="254"/>
        </w:trPr>
        <w:tc>
          <w:tcPr>
            <w:tcW w:w="6700" w:type="dxa"/>
            <w:vAlign w:val="bottom"/>
          </w:tcPr>
          <w:p>
            <w:pPr>
              <w:ind w:left="400"/>
              <w:spacing w:after="0"/>
              <w:rPr>
                <w:sz w:val="20"/>
                <w:szCs w:val="20"/>
                <w:color w:val="auto"/>
              </w:rPr>
            </w:pPr>
            <w:r>
              <w:rPr>
                <w:rFonts w:ascii="Arial" w:cs="Arial" w:eastAsia="Arial" w:hAnsi="Arial"/>
                <w:sz w:val="13"/>
                <w:szCs w:val="13"/>
                <w:color w:val="auto"/>
              </w:rPr>
              <w:t>The mix of operating revenues from our major lines of business is reflected in the table below (in millions):</w:t>
            </w:r>
          </w:p>
        </w:tc>
        <w:tc>
          <w:tcPr>
            <w:tcW w:w="12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6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jc w:val="center"/>
              <w:ind w:left="197"/>
              <w:spacing w:after="0"/>
              <w:rPr>
                <w:sz w:val="20"/>
                <w:szCs w:val="20"/>
                <w:color w:val="auto"/>
              </w:rPr>
            </w:pPr>
            <w:r>
              <w:rPr>
                <w:rFonts w:ascii="Arial" w:cs="Arial" w:eastAsia="Arial" w:hAnsi="Arial"/>
                <w:sz w:val="10"/>
                <w:szCs w:val="10"/>
                <w:b w:val="1"/>
                <w:bCs w:val="1"/>
                <w:color w:val="auto"/>
                <w:w w:val="94"/>
              </w:rPr>
              <w:t>Three Months</w:t>
            </w: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center"/>
              <w:ind w:left="217"/>
              <w:spacing w:after="0"/>
              <w:rPr>
                <w:sz w:val="20"/>
                <w:szCs w:val="20"/>
                <w:color w:val="auto"/>
              </w:rPr>
            </w:pPr>
            <w:r>
              <w:rPr>
                <w:rFonts w:ascii="Arial" w:cs="Arial" w:eastAsia="Arial" w:hAnsi="Arial"/>
                <w:sz w:val="10"/>
                <w:szCs w:val="10"/>
                <w:b w:val="1"/>
                <w:bCs w:val="1"/>
                <w:color w:val="auto"/>
                <w:w w:val="97"/>
              </w:rPr>
              <w:t>Six Months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Ended</w:t>
            </w: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7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June 30,</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7"/>
              <w:spacing w:after="0" w:line="98" w:lineRule="exact"/>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2009</w:t>
            </w: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Collection</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1,999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4,056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3,951</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Landfill</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664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663</w:t>
            </w:r>
          </w:p>
        </w:tc>
        <w:tc>
          <w:tcPr>
            <w:tcW w:w="120" w:type="dxa"/>
            <w:vAlign w:val="bottom"/>
          </w:tcPr>
          <w:p>
            <w:pPr>
              <w:spacing w:after="0"/>
              <w:rPr>
                <w:sz w:val="13"/>
                <w:szCs w:val="13"/>
                <w:color w:val="auto"/>
              </w:rPr>
            </w:pP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1,226</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1,263</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Transfer</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663</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687</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Wheelabrator</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217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212</w:t>
            </w:r>
          </w:p>
        </w:tc>
        <w:tc>
          <w:tcPr>
            <w:tcW w:w="120" w:type="dxa"/>
            <w:vAlign w:val="bottom"/>
          </w:tcPr>
          <w:p>
            <w:pPr>
              <w:spacing w:after="0"/>
              <w:rPr>
                <w:sz w:val="13"/>
                <w:szCs w:val="13"/>
                <w:color w:val="auto"/>
              </w:rPr>
            </w:pP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423</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413</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Recycling</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550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308</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Other</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76</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13"/>
                <w:szCs w:val="13"/>
                <w:color w:val="auto"/>
              </w:rPr>
            </w:pP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140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Intercompany</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(513)</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(510)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(965)</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(964)</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28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00" w:type="dxa"/>
            <w:vAlign w:val="bottom"/>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3,158</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2,952</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6,093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5,762</w:t>
            </w:r>
          </w:p>
        </w:tc>
        <w:tc>
          <w:tcPr>
            <w:tcW w:w="0" w:type="dxa"/>
            <w:vAlign w:val="bottom"/>
          </w:tcPr>
          <w:p>
            <w:pPr>
              <w:spacing w:after="0"/>
              <w:rPr>
                <w:sz w:val="1"/>
                <w:szCs w:val="1"/>
                <w:color w:val="auto"/>
              </w:rPr>
            </w:pPr>
          </w:p>
        </w:tc>
      </w:tr>
      <w:tr>
        <w:trPr>
          <w:trHeight w:val="30"/>
        </w:trPr>
        <w:tc>
          <w:tcPr>
            <w:tcW w:w="6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The following table provides details associated with the period-to-period change in revenues (dollars in millions) along with an explanation of the significant components of the current period changes: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20" w:type="dxa"/>
            <w:vAlign w:val="bottom"/>
            <w:gridSpan w:val="5"/>
          </w:tcPr>
          <w:p>
            <w:pPr>
              <w:jc w:val="center"/>
              <w:ind w:right="580"/>
              <w:spacing w:after="0"/>
              <w:rPr>
                <w:sz w:val="20"/>
                <w:szCs w:val="20"/>
                <w:color w:val="auto"/>
              </w:rPr>
            </w:pPr>
            <w:r>
              <w:rPr>
                <w:rFonts w:ascii="Arial" w:cs="Arial" w:eastAsia="Arial" w:hAnsi="Arial"/>
                <w:sz w:val="10"/>
                <w:szCs w:val="10"/>
                <w:b w:val="1"/>
                <w:bCs w:val="1"/>
                <w:color w:val="auto"/>
                <w:w w:val="95"/>
              </w:rPr>
              <w:t>Period-to-Period Change</w:t>
            </w:r>
          </w:p>
        </w:tc>
        <w:tc>
          <w:tcPr>
            <w:tcW w:w="160" w:type="dxa"/>
            <w:vAlign w:val="bottom"/>
          </w:tcPr>
          <w:p>
            <w:pPr>
              <w:spacing w:after="0"/>
              <w:rPr>
                <w:sz w:val="10"/>
                <w:szCs w:val="10"/>
                <w:color w:val="auto"/>
              </w:rPr>
            </w:pPr>
          </w:p>
        </w:tc>
        <w:tc>
          <w:tcPr>
            <w:tcW w:w="1740" w:type="dxa"/>
            <w:vAlign w:val="bottom"/>
            <w:gridSpan w:val="5"/>
          </w:tcPr>
          <w:p>
            <w:pPr>
              <w:jc w:val="center"/>
              <w:ind w:right="260"/>
              <w:spacing w:after="0"/>
              <w:rPr>
                <w:sz w:val="20"/>
                <w:szCs w:val="20"/>
                <w:color w:val="auto"/>
              </w:rPr>
            </w:pPr>
            <w:r>
              <w:rPr>
                <w:rFonts w:ascii="Arial" w:cs="Arial" w:eastAsia="Arial" w:hAnsi="Arial"/>
                <w:sz w:val="10"/>
                <w:szCs w:val="10"/>
                <w:b w:val="1"/>
                <w:bCs w:val="1"/>
                <w:color w:val="auto"/>
                <w:w w:val="95"/>
              </w:rPr>
              <w:t>Period-to-Period Change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20" w:type="dxa"/>
            <w:vAlign w:val="bottom"/>
            <w:gridSpan w:val="5"/>
          </w:tcPr>
          <w:p>
            <w:pPr>
              <w:jc w:val="center"/>
              <w:ind w:right="580"/>
              <w:spacing w:after="0" w:line="108" w:lineRule="exact"/>
              <w:rPr>
                <w:sz w:val="20"/>
                <w:szCs w:val="20"/>
                <w:color w:val="auto"/>
              </w:rPr>
            </w:pPr>
            <w:r>
              <w:rPr>
                <w:rFonts w:ascii="Arial" w:cs="Arial" w:eastAsia="Arial" w:hAnsi="Arial"/>
                <w:sz w:val="10"/>
                <w:szCs w:val="10"/>
                <w:b w:val="1"/>
                <w:bCs w:val="1"/>
                <w:color w:val="auto"/>
                <w:w w:val="96"/>
              </w:rPr>
              <w:t>for the Three Months Ended</w:t>
            </w:r>
          </w:p>
        </w:tc>
        <w:tc>
          <w:tcPr>
            <w:tcW w:w="160" w:type="dxa"/>
            <w:vAlign w:val="bottom"/>
          </w:tcPr>
          <w:p>
            <w:pPr>
              <w:spacing w:after="0"/>
              <w:rPr>
                <w:sz w:val="9"/>
                <w:szCs w:val="9"/>
                <w:color w:val="auto"/>
              </w:rPr>
            </w:pPr>
          </w:p>
        </w:tc>
        <w:tc>
          <w:tcPr>
            <w:tcW w:w="1740" w:type="dxa"/>
            <w:vAlign w:val="bottom"/>
            <w:gridSpan w:val="5"/>
          </w:tcPr>
          <w:p>
            <w:pPr>
              <w:jc w:val="center"/>
              <w:ind w:right="260"/>
              <w:spacing w:after="0" w:line="108" w:lineRule="exact"/>
              <w:rPr>
                <w:sz w:val="20"/>
                <w:szCs w:val="20"/>
                <w:color w:val="auto"/>
              </w:rPr>
            </w:pPr>
            <w:r>
              <w:rPr>
                <w:rFonts w:ascii="Arial" w:cs="Arial" w:eastAsia="Arial" w:hAnsi="Arial"/>
                <w:sz w:val="10"/>
                <w:szCs w:val="10"/>
                <w:b w:val="1"/>
                <w:bCs w:val="1"/>
                <w:color w:val="auto"/>
                <w:w w:val="96"/>
              </w:rPr>
              <w:t>for the Six Months Ended</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gridSpan w:val="3"/>
          </w:tcPr>
          <w:p>
            <w:pPr>
              <w:jc w:val="center"/>
              <w:ind w:right="960"/>
              <w:spacing w:after="0" w:line="108" w:lineRule="exact"/>
              <w:rPr>
                <w:sz w:val="20"/>
                <w:szCs w:val="20"/>
                <w:color w:val="auto"/>
              </w:rPr>
            </w:pPr>
            <w:r>
              <w:rPr>
                <w:rFonts w:ascii="Arial" w:cs="Arial" w:eastAsia="Arial" w:hAnsi="Arial"/>
                <w:sz w:val="10"/>
                <w:szCs w:val="10"/>
                <w:b w:val="1"/>
                <w:bCs w:val="1"/>
                <w:color w:val="auto"/>
                <w:w w:val="94"/>
              </w:rPr>
              <w:t>June 30,</w:t>
            </w: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3"/>
          </w:tcPr>
          <w:p>
            <w:pPr>
              <w:jc w:val="center"/>
              <w:ind w:right="680"/>
              <w:spacing w:after="0" w:line="108" w:lineRule="exact"/>
              <w:rPr>
                <w:sz w:val="20"/>
                <w:szCs w:val="20"/>
                <w:color w:val="auto"/>
              </w:rPr>
            </w:pPr>
            <w:r>
              <w:rPr>
                <w:rFonts w:ascii="Arial" w:cs="Arial" w:eastAsia="Arial" w:hAnsi="Arial"/>
                <w:sz w:val="10"/>
                <w:szCs w:val="10"/>
                <w:b w:val="1"/>
                <w:bCs w:val="1"/>
                <w:color w:val="auto"/>
                <w:w w:val="89"/>
              </w:rPr>
              <w:t>June 30,</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gridSpan w:val="3"/>
          </w:tcPr>
          <w:p>
            <w:pPr>
              <w:jc w:val="center"/>
              <w:ind w:right="960"/>
              <w:spacing w:after="0"/>
              <w:rPr>
                <w:sz w:val="20"/>
                <w:szCs w:val="20"/>
                <w:color w:val="auto"/>
              </w:rPr>
            </w:pPr>
            <w:r>
              <w:rPr>
                <w:rFonts w:ascii="Arial" w:cs="Arial" w:eastAsia="Arial" w:hAnsi="Arial"/>
                <w:sz w:val="10"/>
                <w:szCs w:val="10"/>
                <w:b w:val="1"/>
                <w:bCs w:val="1"/>
                <w:color w:val="auto"/>
                <w:w w:val="90"/>
              </w:rPr>
              <w:t>2010 vs. 2009</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tcPr>
          <w:p>
            <w:pPr>
              <w:jc w:val="center"/>
              <w:ind w:right="680"/>
              <w:spacing w:after="0"/>
              <w:rPr>
                <w:sz w:val="20"/>
                <w:szCs w:val="20"/>
                <w:color w:val="auto"/>
              </w:rPr>
            </w:pPr>
            <w:r>
              <w:rPr>
                <w:rFonts w:ascii="Arial" w:cs="Arial" w:eastAsia="Arial" w:hAnsi="Arial"/>
                <w:sz w:val="10"/>
                <w:szCs w:val="10"/>
                <w:b w:val="1"/>
                <w:bCs w:val="1"/>
                <w:color w:val="auto"/>
                <w:w w:val="93"/>
              </w:rPr>
              <w:t>2010 vs. 2009</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6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As a % of</w:t>
            </w:r>
          </w:p>
        </w:tc>
        <w:tc>
          <w:tcPr>
            <w:tcW w:w="4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As a % of</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600" w:type="dxa"/>
            <w:vAlign w:val="bottom"/>
          </w:tcPr>
          <w:p>
            <w:pPr>
              <w:spacing w:after="0"/>
              <w:rPr>
                <w:sz w:val="9"/>
                <w:szCs w:val="9"/>
                <w:color w:val="auto"/>
              </w:rPr>
            </w:pPr>
          </w:p>
        </w:tc>
        <w:tc>
          <w:tcPr>
            <w:tcW w:w="560" w:type="dxa"/>
            <w:vAlign w:val="bottom"/>
            <w:gridSpan w:val="3"/>
            <w:vMerge w:val="restart"/>
          </w:tcPr>
          <w:p>
            <w:pPr>
              <w:jc w:val="right"/>
              <w:ind w:right="140"/>
              <w:spacing w:after="0"/>
              <w:rPr>
                <w:sz w:val="20"/>
                <w:szCs w:val="20"/>
                <w:color w:val="auto"/>
              </w:rPr>
            </w:pPr>
            <w:r>
              <w:rPr>
                <w:rFonts w:ascii="Arial" w:cs="Arial" w:eastAsia="Arial" w:hAnsi="Arial"/>
                <w:sz w:val="10"/>
                <w:szCs w:val="10"/>
                <w:b w:val="1"/>
                <w:bCs w:val="1"/>
                <w:color w:val="auto"/>
              </w:rPr>
              <w:t>Amount</w:t>
            </w:r>
          </w:p>
        </w:tc>
        <w:tc>
          <w:tcPr>
            <w:tcW w:w="320" w:type="dxa"/>
            <w:vAlign w:val="bottom"/>
          </w:tcPr>
          <w:p>
            <w:pPr>
              <w:spacing w:after="0"/>
              <w:rPr>
                <w:sz w:val="9"/>
                <w:szCs w:val="9"/>
                <w:color w:val="auto"/>
              </w:rPr>
            </w:pPr>
          </w:p>
        </w:tc>
        <w:tc>
          <w:tcPr>
            <w:tcW w:w="13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Total</w:t>
            </w:r>
          </w:p>
        </w:tc>
        <w:tc>
          <w:tcPr>
            <w:tcW w:w="580" w:type="dxa"/>
            <w:vAlign w:val="bottom"/>
            <w:gridSpan w:val="3"/>
            <w:vMerge w:val="restart"/>
          </w:tcPr>
          <w:p>
            <w:pPr>
              <w:jc w:val="right"/>
              <w:ind w:right="140"/>
              <w:spacing w:after="0"/>
              <w:rPr>
                <w:sz w:val="20"/>
                <w:szCs w:val="20"/>
                <w:color w:val="auto"/>
              </w:rPr>
            </w:pPr>
            <w:r>
              <w:rPr>
                <w:rFonts w:ascii="Arial" w:cs="Arial" w:eastAsia="Arial" w:hAnsi="Arial"/>
                <w:sz w:val="10"/>
                <w:szCs w:val="10"/>
                <w:b w:val="1"/>
                <w:bCs w:val="1"/>
                <w:color w:val="auto"/>
              </w:rPr>
              <w:t>Amount</w:t>
            </w:r>
          </w:p>
        </w:tc>
        <w:tc>
          <w:tcPr>
            <w:tcW w:w="320" w:type="dxa"/>
            <w:vAlign w:val="bottom"/>
          </w:tcPr>
          <w:p>
            <w:pPr>
              <w:spacing w:after="0"/>
              <w:rPr>
                <w:sz w:val="9"/>
                <w:szCs w:val="9"/>
                <w:color w:val="auto"/>
              </w:rPr>
            </w:pPr>
          </w:p>
        </w:tc>
        <w:tc>
          <w:tcPr>
            <w:tcW w:w="10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6"/>
              </w:rPr>
              <w:t>Company(a)</w:t>
            </w:r>
          </w:p>
        </w:tc>
        <w:tc>
          <w:tcPr>
            <w:tcW w:w="5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6"/>
              </w:rPr>
              <w:t>Company(a)</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Average yield(b)</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209</w:t>
            </w:r>
          </w:p>
        </w:tc>
        <w:tc>
          <w:tcPr>
            <w:tcW w:w="16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7.1%</w:t>
            </w: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402</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57"/>
        </w:trPr>
        <w:tc>
          <w:tcPr>
            <w:tcW w:w="5900" w:type="dxa"/>
            <w:vAlign w:val="bottom"/>
            <w:gridSpan w:val="2"/>
          </w:tcPr>
          <w:p>
            <w:pPr>
              <w:spacing w:after="0"/>
              <w:rPr>
                <w:sz w:val="20"/>
                <w:szCs w:val="20"/>
                <w:color w:val="auto"/>
              </w:rPr>
            </w:pPr>
            <w:r>
              <w:rPr>
                <w:rFonts w:ascii="Arial" w:cs="Arial" w:eastAsia="Arial" w:hAnsi="Arial"/>
                <w:sz w:val="13"/>
                <w:szCs w:val="13"/>
                <w:color w:val="auto"/>
              </w:rPr>
              <w:t>Volume</w:t>
            </w:r>
          </w:p>
        </w:tc>
        <w:tc>
          <w:tcPr>
            <w:tcW w:w="16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(86)</w:t>
            </w:r>
          </w:p>
        </w:tc>
        <w:tc>
          <w:tcPr>
            <w:tcW w:w="1620" w:type="dxa"/>
            <w:vAlign w:val="bottom"/>
            <w:gridSpan w:val="3"/>
          </w:tcPr>
          <w:p>
            <w:pPr>
              <w:jc w:val="right"/>
              <w:ind w:right="360"/>
              <w:spacing w:after="0"/>
              <w:rPr>
                <w:sz w:val="20"/>
                <w:szCs w:val="20"/>
                <w:color w:val="auto"/>
              </w:rPr>
            </w:pPr>
            <w:r>
              <w:rPr>
                <w:rFonts w:ascii="Arial" w:cs="Arial" w:eastAsia="Arial" w:hAnsi="Arial"/>
                <w:sz w:val="13"/>
                <w:szCs w:val="13"/>
                <w:color w:val="auto"/>
              </w:rPr>
              <w:t>(2.9)</w:t>
            </w:r>
          </w:p>
        </w:tc>
        <w:tc>
          <w:tcPr>
            <w:tcW w:w="16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(228)</w:t>
            </w:r>
          </w:p>
        </w:tc>
        <w:tc>
          <w:tcPr>
            <w:tcW w:w="1320" w:type="dxa"/>
            <w:vAlign w:val="bottom"/>
            <w:gridSpan w:val="3"/>
          </w:tcPr>
          <w:p>
            <w:pPr>
              <w:jc w:val="right"/>
              <w:ind w:right="60"/>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Internal revenue growth</w:t>
            </w:r>
          </w:p>
        </w:tc>
        <w:tc>
          <w:tcPr>
            <w:tcW w:w="1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123</w:t>
            </w:r>
          </w:p>
        </w:tc>
        <w:tc>
          <w:tcPr>
            <w:tcW w:w="16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4.2</w:t>
            </w:r>
          </w:p>
        </w:tc>
        <w:tc>
          <w:tcPr>
            <w:tcW w:w="1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174</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57"/>
        </w:trPr>
        <w:tc>
          <w:tcPr>
            <w:tcW w:w="5900" w:type="dxa"/>
            <w:vAlign w:val="bottom"/>
            <w:gridSpan w:val="2"/>
          </w:tcPr>
          <w:p>
            <w:pPr>
              <w:spacing w:after="0"/>
              <w:rPr>
                <w:sz w:val="20"/>
                <w:szCs w:val="20"/>
                <w:color w:val="auto"/>
              </w:rPr>
            </w:pPr>
            <w:r>
              <w:rPr>
                <w:rFonts w:ascii="Arial" w:cs="Arial" w:eastAsia="Arial" w:hAnsi="Arial"/>
                <w:sz w:val="13"/>
                <w:szCs w:val="13"/>
                <w:color w:val="auto"/>
              </w:rPr>
              <w:t>Acquisitions</w:t>
            </w:r>
          </w:p>
        </w:tc>
        <w:tc>
          <w:tcPr>
            <w:tcW w:w="16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62</w:t>
            </w:r>
          </w:p>
        </w:tc>
        <w:tc>
          <w:tcPr>
            <w:tcW w:w="1620" w:type="dxa"/>
            <w:vAlign w:val="bottom"/>
            <w:gridSpan w:val="3"/>
          </w:tcPr>
          <w:p>
            <w:pPr>
              <w:jc w:val="right"/>
              <w:ind w:right="400"/>
              <w:spacing w:after="0"/>
              <w:rPr>
                <w:sz w:val="20"/>
                <w:szCs w:val="20"/>
                <w:color w:val="auto"/>
              </w:rPr>
            </w:pPr>
            <w:r>
              <w:rPr>
                <w:rFonts w:ascii="Arial" w:cs="Arial" w:eastAsia="Arial" w:hAnsi="Arial"/>
                <w:sz w:val="13"/>
                <w:szCs w:val="13"/>
                <w:color w:val="auto"/>
              </w:rPr>
              <w:t>2.1</w:t>
            </w:r>
          </w:p>
        </w:tc>
        <w:tc>
          <w:tcPr>
            <w:tcW w:w="160" w:type="dxa"/>
            <w:vAlign w:val="bottom"/>
          </w:tcPr>
          <w:p>
            <w:pPr>
              <w:spacing w:after="0"/>
              <w:rPr>
                <w:sz w:val="13"/>
                <w:szCs w:val="13"/>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110</w:t>
            </w:r>
          </w:p>
        </w:tc>
        <w:tc>
          <w:tcPr>
            <w:tcW w:w="1320" w:type="dxa"/>
            <w:vAlign w:val="bottom"/>
            <w:gridSpan w:val="3"/>
          </w:tcPr>
          <w:p>
            <w:pPr>
              <w:jc w:val="right"/>
              <w:ind w:right="12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Divestitures</w:t>
            </w:r>
          </w:p>
        </w:tc>
        <w:tc>
          <w:tcPr>
            <w:tcW w:w="1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w:t>
            </w:r>
          </w:p>
        </w:tc>
        <w:tc>
          <w:tcPr>
            <w:tcW w:w="3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w:t>
            </w:r>
          </w:p>
        </w:tc>
        <w:tc>
          <w:tcPr>
            <w:tcW w:w="3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900" w:type="dxa"/>
            <w:vAlign w:val="bottom"/>
            <w:gridSpan w:val="2"/>
          </w:tcPr>
          <w:p>
            <w:pPr>
              <w:spacing w:after="0"/>
              <w:rPr>
                <w:sz w:val="20"/>
                <w:szCs w:val="20"/>
                <w:color w:val="auto"/>
              </w:rPr>
            </w:pPr>
            <w:r>
              <w:rPr>
                <w:rFonts w:ascii="Arial" w:cs="Arial" w:eastAsia="Arial" w:hAnsi="Arial"/>
                <w:sz w:val="13"/>
                <w:szCs w:val="13"/>
                <w:color w:val="auto"/>
              </w:rPr>
              <w:t>Foreign currency translation</w:t>
            </w:r>
          </w:p>
        </w:tc>
        <w:tc>
          <w:tcPr>
            <w:tcW w:w="16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22</w:t>
            </w:r>
          </w:p>
        </w:tc>
        <w:tc>
          <w:tcPr>
            <w:tcW w:w="1620" w:type="dxa"/>
            <w:vAlign w:val="bottom"/>
            <w:gridSpan w:val="3"/>
          </w:tcPr>
          <w:p>
            <w:pPr>
              <w:jc w:val="right"/>
              <w:ind w:right="400"/>
              <w:spacing w:after="0"/>
              <w:rPr>
                <w:sz w:val="20"/>
                <w:szCs w:val="20"/>
                <w:color w:val="auto"/>
              </w:rPr>
            </w:pPr>
            <w:r>
              <w:rPr>
                <w:rFonts w:ascii="Arial" w:cs="Arial" w:eastAsia="Arial" w:hAnsi="Arial"/>
                <w:sz w:val="13"/>
                <w:szCs w:val="13"/>
                <w:color w:val="auto"/>
              </w:rPr>
              <w:t>0.7</w:t>
            </w:r>
          </w:p>
        </w:tc>
        <w:tc>
          <w:tcPr>
            <w:tcW w:w="160" w:type="dxa"/>
            <w:vAlign w:val="bottom"/>
          </w:tcPr>
          <w:p>
            <w:pPr>
              <w:spacing w:after="0"/>
              <w:rPr>
                <w:sz w:val="13"/>
                <w:szCs w:val="13"/>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49</w:t>
            </w:r>
          </w:p>
        </w:tc>
        <w:tc>
          <w:tcPr>
            <w:tcW w:w="1320" w:type="dxa"/>
            <w:vAlign w:val="bottom"/>
            <w:gridSpan w:val="3"/>
          </w:tcPr>
          <w:p>
            <w:pPr>
              <w:jc w:val="right"/>
              <w:ind w:right="120"/>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300" w:type="dxa"/>
            <w:vAlign w:val="bottom"/>
            <w:shd w:val="clear" w:color="auto" w:fill="CCEEFF"/>
          </w:tcPr>
          <w:p>
            <w:pPr>
              <w:spacing w:after="0"/>
              <w:rPr>
                <w:sz w:val="14"/>
                <w:szCs w:val="14"/>
                <w:color w:val="auto"/>
              </w:rPr>
            </w:pPr>
          </w:p>
        </w:tc>
        <w:tc>
          <w:tcPr>
            <w:tcW w:w="46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206</w:t>
            </w:r>
          </w:p>
        </w:tc>
        <w:tc>
          <w:tcPr>
            <w:tcW w:w="16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7.0%</w:t>
            </w: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331</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6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80" w:hanging="393"/>
        <w:spacing w:after="0" w:line="276" w:lineRule="auto"/>
        <w:tabs>
          <w:tab w:leader="none" w:pos="10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Calculated by dividing the amount of current-year period increase or decrease by the prior-year period’s total company revenue ($2,952 million and $5,762 million for the three- and six-month periods, respectively)</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adjusted to exclude the impacts of divestitures for the current-year period ($1 million and $2 million for the three- and six-month periods, respectively).</w:t>
      </w:r>
    </w:p>
    <w:p>
      <w:pPr>
        <w:spacing w:after="0" w:line="47" w:lineRule="exact"/>
        <w:rPr>
          <w:sz w:val="20"/>
          <w:szCs w:val="20"/>
          <w:color w:val="auto"/>
        </w:rPr>
      </w:pPr>
    </w:p>
    <w:p>
      <w:pPr>
        <w:ind w:left="1080" w:right="80" w:hanging="393"/>
        <w:spacing w:after="0" w:line="264" w:lineRule="auto"/>
        <w:tabs>
          <w:tab w:leader="none" w:pos="10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amounts reported herein represent the changes in our revenue attributable to average yield for the total Company. We analyze the changes in average yield in terms of related business revenues in order to differentiate the changes in yield attributable to our pricing strategies from the changes that are caused by market-driven price changes in commodities. The following table summarizes changes in revenues from average yield on a related-business basis:</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0" w:type="dxa"/>
            <w:vAlign w:val="bottom"/>
            <w:gridSpan w:val="5"/>
          </w:tcPr>
          <w:p>
            <w:pPr>
              <w:jc w:val="center"/>
              <w:ind w:right="880"/>
              <w:spacing w:after="0"/>
              <w:rPr>
                <w:sz w:val="20"/>
                <w:szCs w:val="20"/>
                <w:color w:val="auto"/>
              </w:rPr>
            </w:pPr>
            <w:r>
              <w:rPr>
                <w:rFonts w:ascii="Arial" w:cs="Arial" w:eastAsia="Arial" w:hAnsi="Arial"/>
                <w:sz w:val="10"/>
                <w:szCs w:val="10"/>
                <w:b w:val="1"/>
                <w:bCs w:val="1"/>
                <w:color w:val="auto"/>
                <w:w w:val="95"/>
              </w:rPr>
              <w:t>Period-to-Period Change</w:t>
            </w:r>
          </w:p>
        </w:tc>
        <w:tc>
          <w:tcPr>
            <w:tcW w:w="200" w:type="dxa"/>
            <w:vAlign w:val="bottom"/>
          </w:tcPr>
          <w:p>
            <w:pPr>
              <w:spacing w:after="0"/>
              <w:rPr>
                <w:sz w:val="10"/>
                <w:szCs w:val="10"/>
                <w:color w:val="auto"/>
              </w:rPr>
            </w:pPr>
          </w:p>
        </w:tc>
        <w:tc>
          <w:tcPr>
            <w:tcW w:w="1840" w:type="dxa"/>
            <w:vAlign w:val="bottom"/>
            <w:gridSpan w:val="5"/>
          </w:tcPr>
          <w:p>
            <w:pPr>
              <w:jc w:val="center"/>
              <w:ind w:right="360"/>
              <w:spacing w:after="0"/>
              <w:rPr>
                <w:sz w:val="20"/>
                <w:szCs w:val="20"/>
                <w:color w:val="auto"/>
              </w:rPr>
            </w:pPr>
            <w:r>
              <w:rPr>
                <w:rFonts w:ascii="Arial" w:cs="Arial" w:eastAsia="Arial" w:hAnsi="Arial"/>
                <w:sz w:val="10"/>
                <w:szCs w:val="10"/>
                <w:b w:val="1"/>
                <w:bCs w:val="1"/>
                <w:color w:val="auto"/>
                <w:w w:val="95"/>
              </w:rPr>
              <w:t>Period-to-Period Change</w:t>
            </w:r>
          </w:p>
        </w:tc>
        <w:tc>
          <w:tcPr>
            <w:tcW w:w="0" w:type="dxa"/>
            <w:vAlign w:val="bottom"/>
          </w:tcPr>
          <w:p>
            <w:pPr>
              <w:spacing w:after="0"/>
              <w:rPr>
                <w:sz w:val="1"/>
                <w:szCs w:val="1"/>
                <w:color w:val="auto"/>
              </w:rPr>
            </w:pPr>
          </w:p>
        </w:tc>
      </w:tr>
      <w:tr>
        <w:trPr>
          <w:trHeight w:val="108"/>
        </w:trPr>
        <w:tc>
          <w:tcPr>
            <w:tcW w:w="5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0" w:type="dxa"/>
            <w:vAlign w:val="bottom"/>
            <w:gridSpan w:val="5"/>
          </w:tcPr>
          <w:p>
            <w:pPr>
              <w:jc w:val="center"/>
              <w:ind w:right="880"/>
              <w:spacing w:after="0" w:line="108" w:lineRule="exact"/>
              <w:rPr>
                <w:sz w:val="20"/>
                <w:szCs w:val="20"/>
                <w:color w:val="auto"/>
              </w:rPr>
            </w:pPr>
            <w:r>
              <w:rPr>
                <w:rFonts w:ascii="Arial" w:cs="Arial" w:eastAsia="Arial" w:hAnsi="Arial"/>
                <w:sz w:val="10"/>
                <w:szCs w:val="10"/>
                <w:b w:val="1"/>
                <w:bCs w:val="1"/>
                <w:color w:val="auto"/>
                <w:w w:val="96"/>
              </w:rPr>
              <w:t>for the Three Months Ended</w:t>
            </w:r>
          </w:p>
        </w:tc>
        <w:tc>
          <w:tcPr>
            <w:tcW w:w="200" w:type="dxa"/>
            <w:vAlign w:val="bottom"/>
          </w:tcPr>
          <w:p>
            <w:pPr>
              <w:spacing w:after="0"/>
              <w:rPr>
                <w:sz w:val="9"/>
                <w:szCs w:val="9"/>
                <w:color w:val="auto"/>
              </w:rPr>
            </w:pPr>
          </w:p>
        </w:tc>
        <w:tc>
          <w:tcPr>
            <w:tcW w:w="1840" w:type="dxa"/>
            <w:vAlign w:val="bottom"/>
            <w:gridSpan w:val="5"/>
          </w:tcPr>
          <w:p>
            <w:pPr>
              <w:jc w:val="center"/>
              <w:ind w:right="360"/>
              <w:spacing w:after="0" w:line="108" w:lineRule="exact"/>
              <w:rPr>
                <w:sz w:val="20"/>
                <w:szCs w:val="20"/>
                <w:color w:val="auto"/>
              </w:rPr>
            </w:pPr>
            <w:r>
              <w:rPr>
                <w:rFonts w:ascii="Arial" w:cs="Arial" w:eastAsia="Arial" w:hAnsi="Arial"/>
                <w:sz w:val="10"/>
                <w:szCs w:val="10"/>
                <w:b w:val="1"/>
                <w:bCs w:val="1"/>
                <w:color w:val="auto"/>
                <w:w w:val="96"/>
              </w:rPr>
              <w:t>for the Six Months Ended</w:t>
            </w:r>
          </w:p>
        </w:tc>
        <w:tc>
          <w:tcPr>
            <w:tcW w:w="0" w:type="dxa"/>
            <w:vAlign w:val="bottom"/>
          </w:tcPr>
          <w:p>
            <w:pPr>
              <w:spacing w:after="0"/>
              <w:rPr>
                <w:sz w:val="1"/>
                <w:szCs w:val="1"/>
                <w:color w:val="auto"/>
              </w:rPr>
            </w:pPr>
          </w:p>
        </w:tc>
      </w:tr>
      <w:tr>
        <w:trPr>
          <w:trHeight w:val="108"/>
        </w:trPr>
        <w:tc>
          <w:tcPr>
            <w:tcW w:w="5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40" w:type="dxa"/>
            <w:vAlign w:val="bottom"/>
            <w:gridSpan w:val="3"/>
          </w:tcPr>
          <w:p>
            <w:pPr>
              <w:jc w:val="center"/>
              <w:ind w:right="1320"/>
              <w:spacing w:after="0" w:line="108" w:lineRule="exact"/>
              <w:rPr>
                <w:sz w:val="20"/>
                <w:szCs w:val="20"/>
                <w:color w:val="auto"/>
              </w:rPr>
            </w:pPr>
            <w:r>
              <w:rPr>
                <w:rFonts w:ascii="Arial" w:cs="Arial" w:eastAsia="Arial" w:hAnsi="Arial"/>
                <w:sz w:val="10"/>
                <w:szCs w:val="10"/>
                <w:b w:val="1"/>
                <w:bCs w:val="1"/>
                <w:color w:val="auto"/>
                <w:w w:val="94"/>
              </w:rPr>
              <w:t>June 30,</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tcPr>
          <w:p>
            <w:pPr>
              <w:jc w:val="center"/>
              <w:ind w:right="740"/>
              <w:spacing w:after="0" w:line="108" w:lineRule="exact"/>
              <w:rPr>
                <w:sz w:val="20"/>
                <w:szCs w:val="20"/>
                <w:color w:val="auto"/>
              </w:rPr>
            </w:pPr>
            <w:r>
              <w:rPr>
                <w:rFonts w:ascii="Arial" w:cs="Arial" w:eastAsia="Arial" w:hAnsi="Arial"/>
                <w:sz w:val="10"/>
                <w:szCs w:val="10"/>
                <w:b w:val="1"/>
                <w:bCs w:val="1"/>
                <w:color w:val="auto"/>
                <w:w w:val="94"/>
              </w:rPr>
              <w:t>June 30,</w:t>
            </w:r>
          </w:p>
        </w:tc>
        <w:tc>
          <w:tcPr>
            <w:tcW w:w="0" w:type="dxa"/>
            <w:vAlign w:val="bottom"/>
          </w:tcPr>
          <w:p>
            <w:pPr>
              <w:spacing w:after="0"/>
              <w:rPr>
                <w:sz w:val="1"/>
                <w:szCs w:val="1"/>
                <w:color w:val="auto"/>
              </w:rPr>
            </w:pPr>
          </w:p>
        </w:tc>
      </w:tr>
      <w:tr>
        <w:trPr>
          <w:trHeight w:val="125"/>
        </w:trPr>
        <w:tc>
          <w:tcPr>
            <w:tcW w:w="5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40" w:type="dxa"/>
            <w:vAlign w:val="bottom"/>
            <w:gridSpan w:val="3"/>
          </w:tcPr>
          <w:p>
            <w:pPr>
              <w:jc w:val="center"/>
              <w:ind w:right="1320"/>
              <w:spacing w:after="0"/>
              <w:rPr>
                <w:sz w:val="20"/>
                <w:szCs w:val="20"/>
                <w:color w:val="auto"/>
              </w:rPr>
            </w:pPr>
            <w:r>
              <w:rPr>
                <w:rFonts w:ascii="Arial" w:cs="Arial" w:eastAsia="Arial" w:hAnsi="Arial"/>
                <w:sz w:val="10"/>
                <w:szCs w:val="10"/>
                <w:b w:val="1"/>
                <w:bCs w:val="1"/>
                <w:color w:val="auto"/>
                <w:w w:val="90"/>
              </w:rPr>
              <w:t>2010 vs. 2009</w:t>
            </w: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3"/>
          </w:tcPr>
          <w:p>
            <w:pPr>
              <w:jc w:val="center"/>
              <w:ind w:right="760"/>
              <w:spacing w:after="0"/>
              <w:rPr>
                <w:sz w:val="20"/>
                <w:szCs w:val="20"/>
                <w:color w:val="auto"/>
              </w:rPr>
            </w:pPr>
            <w:r>
              <w:rPr>
                <w:rFonts w:ascii="Arial" w:cs="Arial" w:eastAsia="Arial" w:hAnsi="Arial"/>
                <w:sz w:val="10"/>
                <w:szCs w:val="10"/>
                <w:b w:val="1"/>
                <w:bCs w:val="1"/>
                <w:color w:val="auto"/>
                <w:w w:val="93"/>
              </w:rPr>
              <w:t>2010 vs. 2009</w:t>
            </w:r>
          </w:p>
        </w:tc>
        <w:tc>
          <w:tcPr>
            <w:tcW w:w="0" w:type="dxa"/>
            <w:vAlign w:val="bottom"/>
          </w:tcPr>
          <w:p>
            <w:pPr>
              <w:spacing w:after="0"/>
              <w:rPr>
                <w:sz w:val="1"/>
                <w:szCs w:val="1"/>
                <w:color w:val="auto"/>
              </w:rPr>
            </w:pPr>
          </w:p>
        </w:tc>
      </w:tr>
      <w:tr>
        <w:trPr>
          <w:trHeight w:val="81"/>
        </w:trPr>
        <w:tc>
          <w:tcPr>
            <w:tcW w:w="516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As a % of</w:t>
            </w:r>
          </w:p>
        </w:tc>
        <w:tc>
          <w:tcPr>
            <w:tcW w:w="7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As a % of</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160" w:type="dxa"/>
            <w:vAlign w:val="bottom"/>
          </w:tcPr>
          <w:p>
            <w:pPr>
              <w:spacing w:after="0"/>
              <w:rPr>
                <w:sz w:val="9"/>
                <w:szCs w:val="9"/>
                <w:color w:val="auto"/>
              </w:rPr>
            </w:pPr>
          </w:p>
        </w:tc>
        <w:tc>
          <w:tcPr>
            <w:tcW w:w="640" w:type="dxa"/>
            <w:vAlign w:val="bottom"/>
            <w:gridSpan w:val="3"/>
            <w:vMerge w:val="restart"/>
          </w:tcPr>
          <w:p>
            <w:pPr>
              <w:jc w:val="right"/>
              <w:ind w:right="200"/>
              <w:spacing w:after="0"/>
              <w:rPr>
                <w:sz w:val="20"/>
                <w:szCs w:val="20"/>
                <w:color w:val="auto"/>
              </w:rPr>
            </w:pPr>
            <w:r>
              <w:rPr>
                <w:rFonts w:ascii="Arial" w:cs="Arial" w:eastAsia="Arial" w:hAnsi="Arial"/>
                <w:sz w:val="10"/>
                <w:szCs w:val="10"/>
                <w:b w:val="1"/>
                <w:bCs w:val="1"/>
                <w:color w:val="auto"/>
              </w:rPr>
              <w:t>Amount</w:t>
            </w:r>
          </w:p>
        </w:tc>
        <w:tc>
          <w:tcPr>
            <w:tcW w:w="760" w:type="dxa"/>
            <w:vAlign w:val="bottom"/>
          </w:tcPr>
          <w:p>
            <w:pPr>
              <w:spacing w:after="0"/>
              <w:rPr>
                <w:sz w:val="9"/>
                <w:szCs w:val="9"/>
                <w:color w:val="auto"/>
              </w:rPr>
            </w:pPr>
          </w:p>
        </w:tc>
        <w:tc>
          <w:tcPr>
            <w:tcW w:w="1380" w:type="dxa"/>
            <w:vAlign w:val="bottom"/>
            <w:gridSpan w:val="2"/>
          </w:tcPr>
          <w:p>
            <w:pPr>
              <w:jc w:val="center"/>
              <w:ind w:right="700"/>
              <w:spacing w:after="0" w:line="108" w:lineRule="exact"/>
              <w:rPr>
                <w:sz w:val="20"/>
                <w:szCs w:val="20"/>
                <w:color w:val="auto"/>
              </w:rPr>
            </w:pPr>
            <w:r>
              <w:rPr>
                <w:rFonts w:ascii="Arial" w:cs="Arial" w:eastAsia="Arial" w:hAnsi="Arial"/>
                <w:sz w:val="10"/>
                <w:szCs w:val="10"/>
                <w:b w:val="1"/>
                <w:bCs w:val="1"/>
                <w:color w:val="auto"/>
                <w:w w:val="99"/>
              </w:rPr>
              <w:t>Related</w:t>
            </w: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0"/>
                <w:szCs w:val="10"/>
                <w:b w:val="1"/>
                <w:bCs w:val="1"/>
                <w:color w:val="auto"/>
              </w:rPr>
              <w:t>Amount</w:t>
            </w:r>
          </w:p>
        </w:tc>
        <w:tc>
          <w:tcPr>
            <w:tcW w:w="580" w:type="dxa"/>
            <w:vAlign w:val="bottom"/>
          </w:tcPr>
          <w:p>
            <w:pPr>
              <w:spacing w:after="0"/>
              <w:rPr>
                <w:sz w:val="9"/>
                <w:szCs w:val="9"/>
                <w:color w:val="auto"/>
              </w:rPr>
            </w:pPr>
          </w:p>
        </w:tc>
        <w:tc>
          <w:tcPr>
            <w:tcW w:w="86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3"/>
              </w:rPr>
              <w:t>Related</w:t>
            </w:r>
          </w:p>
        </w:tc>
        <w:tc>
          <w:tcPr>
            <w:tcW w:w="0" w:type="dxa"/>
            <w:vAlign w:val="bottom"/>
          </w:tcPr>
          <w:p>
            <w:pPr>
              <w:spacing w:after="0"/>
              <w:rPr>
                <w:sz w:val="1"/>
                <w:szCs w:val="1"/>
                <w:color w:val="auto"/>
              </w:rPr>
            </w:pPr>
          </w:p>
        </w:tc>
      </w:tr>
      <w:tr>
        <w:trPr>
          <w:trHeight w:val="125"/>
        </w:trPr>
        <w:tc>
          <w:tcPr>
            <w:tcW w:w="516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760" w:type="dxa"/>
            <w:vAlign w:val="bottom"/>
          </w:tcPr>
          <w:p>
            <w:pPr>
              <w:spacing w:after="0"/>
              <w:rPr>
                <w:sz w:val="10"/>
                <w:szCs w:val="10"/>
                <w:color w:val="auto"/>
              </w:rPr>
            </w:pPr>
          </w:p>
        </w:tc>
        <w:tc>
          <w:tcPr>
            <w:tcW w:w="1380" w:type="dxa"/>
            <w:vAlign w:val="bottom"/>
            <w:gridSpan w:val="2"/>
          </w:tcPr>
          <w:p>
            <w:pPr>
              <w:jc w:val="center"/>
              <w:ind w:right="700"/>
              <w:spacing w:after="0"/>
              <w:rPr>
                <w:sz w:val="20"/>
                <w:szCs w:val="20"/>
                <w:color w:val="auto"/>
              </w:rPr>
            </w:pPr>
            <w:r>
              <w:rPr>
                <w:rFonts w:ascii="Arial" w:cs="Arial" w:eastAsia="Arial" w:hAnsi="Arial"/>
                <w:sz w:val="10"/>
                <w:szCs w:val="10"/>
                <w:b w:val="1"/>
                <w:bCs w:val="1"/>
                <w:color w:val="auto"/>
                <w:w w:val="88"/>
              </w:rPr>
              <w:t>Business(i)</w:t>
            </w:r>
          </w:p>
        </w:tc>
        <w:tc>
          <w:tcPr>
            <w:tcW w:w="60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8"/>
              </w:rPr>
              <w:t>Business(i)</w:t>
            </w:r>
          </w:p>
        </w:tc>
        <w:tc>
          <w:tcPr>
            <w:tcW w:w="0" w:type="dxa"/>
            <w:vAlign w:val="bottom"/>
          </w:tcPr>
          <w:p>
            <w:pPr>
              <w:spacing w:after="0"/>
              <w:rPr>
                <w:sz w:val="1"/>
                <w:szCs w:val="1"/>
                <w:color w:val="auto"/>
              </w:rPr>
            </w:pPr>
          </w:p>
        </w:tc>
      </w:tr>
      <w:tr>
        <w:trPr>
          <w:trHeight w:val="29"/>
        </w:trPr>
        <w:tc>
          <w:tcPr>
            <w:tcW w:w="516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160" w:type="dxa"/>
            <w:vAlign w:val="bottom"/>
            <w:shd w:val="clear" w:color="auto" w:fill="CCEEFF"/>
          </w:tcPr>
          <w:p>
            <w:pPr>
              <w:spacing w:after="0"/>
              <w:rPr>
                <w:sz w:val="20"/>
                <w:szCs w:val="20"/>
                <w:color w:val="auto"/>
              </w:rPr>
            </w:pPr>
            <w:r>
              <w:rPr>
                <w:rFonts w:ascii="Arial" w:cs="Arial" w:eastAsia="Arial" w:hAnsi="Arial"/>
                <w:sz w:val="13"/>
                <w:szCs w:val="13"/>
                <w:color w:val="auto"/>
              </w:rPr>
              <w:t>Average yield:</w:t>
            </w: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60" w:type="dxa"/>
            <w:vAlign w:val="bottom"/>
          </w:tcPr>
          <w:p>
            <w:pPr>
              <w:ind w:left="140"/>
              <w:spacing w:after="0"/>
              <w:rPr>
                <w:sz w:val="20"/>
                <w:szCs w:val="20"/>
                <w:color w:val="auto"/>
              </w:rPr>
            </w:pPr>
            <w:r>
              <w:rPr>
                <w:rFonts w:ascii="Arial" w:cs="Arial" w:eastAsia="Arial" w:hAnsi="Arial"/>
                <w:sz w:val="13"/>
                <w:szCs w:val="13"/>
                <w:color w:val="auto"/>
              </w:rPr>
              <w:t>Collection, landfill and transfer</w:t>
            </w:r>
          </w:p>
        </w:tc>
        <w:tc>
          <w:tcPr>
            <w:tcW w:w="180" w:type="dxa"/>
            <w:vAlign w:val="bottom"/>
          </w:tcPr>
          <w:p>
            <w:pPr>
              <w:jc w:val="right"/>
              <w:ind w:right="39"/>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56</w:t>
            </w:r>
          </w:p>
        </w:tc>
        <w:tc>
          <w:tcPr>
            <w:tcW w:w="140" w:type="dxa"/>
            <w:vAlign w:val="bottom"/>
          </w:tcPr>
          <w:p>
            <w:pPr>
              <w:spacing w:after="0"/>
              <w:rPr>
                <w:sz w:val="13"/>
                <w:szCs w:val="13"/>
                <w:color w:val="auto"/>
              </w:rPr>
            </w:pPr>
          </w:p>
        </w:tc>
        <w:tc>
          <w:tcPr>
            <w:tcW w:w="2140" w:type="dxa"/>
            <w:vAlign w:val="bottom"/>
            <w:gridSpan w:val="3"/>
          </w:tcPr>
          <w:p>
            <w:pPr>
              <w:jc w:val="right"/>
              <w:ind w:right="580"/>
              <w:spacing w:after="0"/>
              <w:rPr>
                <w:sz w:val="20"/>
                <w:szCs w:val="20"/>
                <w:color w:val="auto"/>
              </w:rPr>
            </w:pPr>
            <w:r>
              <w:rPr>
                <w:rFonts w:ascii="Arial" w:cs="Arial" w:eastAsia="Arial" w:hAnsi="Arial"/>
                <w:sz w:val="13"/>
                <w:szCs w:val="13"/>
                <w:color w:val="auto"/>
              </w:rPr>
              <w:t>2.2%</w:t>
            </w:r>
          </w:p>
        </w:tc>
        <w:tc>
          <w:tcPr>
            <w:tcW w:w="200" w:type="dxa"/>
            <w:vAlign w:val="bottom"/>
          </w:tcPr>
          <w:p>
            <w:pPr>
              <w:jc w:val="right"/>
              <w:ind w:right="59"/>
              <w:spacing w:after="0"/>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99</w:t>
            </w:r>
          </w:p>
        </w:tc>
        <w:tc>
          <w:tcPr>
            <w:tcW w:w="1440" w:type="dxa"/>
            <w:vAlign w:val="bottom"/>
            <w:gridSpan w:val="3"/>
          </w:tcPr>
          <w:p>
            <w:pPr>
              <w:jc w:val="right"/>
              <w:ind w:right="6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5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Waste-to-energy disposal</w:t>
            </w: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3"/>
                <w:szCs w:val="13"/>
                <w:color w:val="auto"/>
              </w:rPr>
            </w:pPr>
          </w:p>
        </w:tc>
        <w:tc>
          <w:tcPr>
            <w:tcW w:w="2140" w:type="dxa"/>
            <w:vAlign w:val="bottom"/>
            <w:gridSpan w:val="3"/>
            <w:shd w:val="clear" w:color="auto" w:fill="CCEEFF"/>
          </w:tcPr>
          <w:p>
            <w:pPr>
              <w:jc w:val="right"/>
              <w:ind w:right="700"/>
              <w:spacing w:after="0"/>
              <w:rPr>
                <w:sz w:val="20"/>
                <w:szCs w:val="20"/>
                <w:color w:val="auto"/>
              </w:rPr>
            </w:pPr>
            <w:r>
              <w:rPr>
                <w:rFonts w:ascii="Arial" w:cs="Arial" w:eastAsia="Arial" w:hAnsi="Arial"/>
                <w:sz w:val="13"/>
                <w:szCs w:val="13"/>
                <w:color w:val="auto"/>
              </w:rPr>
              <w:t>5.7</w:t>
            </w:r>
          </w:p>
        </w:tc>
        <w:tc>
          <w:tcPr>
            <w:tcW w:w="2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3"/>
                <w:szCs w:val="13"/>
                <w:color w:val="auto"/>
              </w:rPr>
              <w:t>Collection and disposal</w:t>
            </w: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gridSpan w:val="3"/>
            <w:vMerge w:val="restart"/>
          </w:tcPr>
          <w:p>
            <w:pPr>
              <w:jc w:val="right"/>
              <w:ind w:right="700"/>
              <w:spacing w:after="0"/>
              <w:rPr>
                <w:sz w:val="20"/>
                <w:szCs w:val="20"/>
                <w:color w:val="auto"/>
              </w:rPr>
            </w:pPr>
            <w:r>
              <w:rPr>
                <w:rFonts w:ascii="Arial" w:cs="Arial" w:eastAsia="Arial" w:hAnsi="Arial"/>
                <w:sz w:val="13"/>
                <w:szCs w:val="13"/>
                <w:color w:val="auto"/>
              </w:rPr>
              <w:t>2.3</w:t>
            </w: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3"/>
                <w:szCs w:val="13"/>
                <w:color w:val="auto"/>
              </w:rPr>
              <w:t>2.2(ii)</w:t>
            </w:r>
          </w:p>
        </w:tc>
        <w:tc>
          <w:tcPr>
            <w:tcW w:w="0" w:type="dxa"/>
            <w:vAlign w:val="bottom"/>
          </w:tcPr>
          <w:p>
            <w:pPr>
              <w:spacing w:after="0" w:line="20" w:lineRule="exact"/>
              <w:rPr>
                <w:sz w:val="1"/>
                <w:szCs w:val="1"/>
                <w:color w:val="auto"/>
              </w:rPr>
            </w:pPr>
          </w:p>
        </w:tc>
      </w:tr>
      <w:tr>
        <w:trPr>
          <w:trHeight w:val="156"/>
        </w:trPr>
        <w:tc>
          <w:tcPr>
            <w:tcW w:w="51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62</w:t>
            </w:r>
          </w:p>
        </w:tc>
        <w:tc>
          <w:tcPr>
            <w:tcW w:w="140" w:type="dxa"/>
            <w:vAlign w:val="bottom"/>
          </w:tcPr>
          <w:p>
            <w:pPr>
              <w:spacing w:after="0"/>
              <w:rPr>
                <w:sz w:val="13"/>
                <w:szCs w:val="13"/>
                <w:color w:val="auto"/>
              </w:rPr>
            </w:pPr>
          </w:p>
        </w:tc>
        <w:tc>
          <w:tcPr>
            <w:tcW w:w="214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112</w:t>
            </w:r>
          </w:p>
        </w:tc>
        <w:tc>
          <w:tcPr>
            <w:tcW w:w="5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160" w:type="dxa"/>
            <w:vAlign w:val="bottom"/>
            <w:shd w:val="clear" w:color="auto" w:fill="CCEEFF"/>
          </w:tcPr>
          <w:p>
            <w:pPr>
              <w:spacing w:after="0"/>
              <w:rPr>
                <w:sz w:val="20"/>
                <w:szCs w:val="20"/>
                <w:color w:val="auto"/>
              </w:rPr>
            </w:pPr>
            <w:r>
              <w:rPr>
                <w:rFonts w:ascii="Arial" w:cs="Arial" w:eastAsia="Arial" w:hAnsi="Arial"/>
                <w:sz w:val="13"/>
                <w:szCs w:val="13"/>
                <w:color w:val="auto"/>
              </w:rPr>
              <w:t>Recycling commodities</w:t>
            </w: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40" w:type="dxa"/>
            <w:vAlign w:val="bottom"/>
            <w:shd w:val="clear" w:color="auto" w:fill="CCEEFF"/>
          </w:tcPr>
          <w:p>
            <w:pPr>
              <w:spacing w:after="0"/>
              <w:rPr>
                <w:sz w:val="13"/>
                <w:szCs w:val="13"/>
                <w:color w:val="auto"/>
              </w:rPr>
            </w:pPr>
          </w:p>
        </w:tc>
        <w:tc>
          <w:tcPr>
            <w:tcW w:w="2140" w:type="dxa"/>
            <w:vAlign w:val="bottom"/>
            <w:gridSpan w:val="3"/>
            <w:shd w:val="clear" w:color="auto" w:fill="CCEEFF"/>
          </w:tcPr>
          <w:p>
            <w:pPr>
              <w:jc w:val="right"/>
              <w:ind w:right="700"/>
              <w:spacing w:after="0"/>
              <w:rPr>
                <w:sz w:val="20"/>
                <w:szCs w:val="20"/>
                <w:color w:val="auto"/>
              </w:rPr>
            </w:pPr>
            <w:r>
              <w:rPr>
                <w:rFonts w:ascii="Arial" w:cs="Arial" w:eastAsia="Arial" w:hAnsi="Arial"/>
                <w:sz w:val="13"/>
                <w:szCs w:val="13"/>
                <w:color w:val="auto"/>
              </w:rPr>
              <w:t>78.8</w:t>
            </w:r>
          </w:p>
        </w:tc>
        <w:tc>
          <w:tcPr>
            <w:tcW w:w="2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262</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90.3</w:t>
            </w:r>
          </w:p>
        </w:tc>
        <w:tc>
          <w:tcPr>
            <w:tcW w:w="0" w:type="dxa"/>
            <w:vAlign w:val="bottom"/>
          </w:tcPr>
          <w:p>
            <w:pPr>
              <w:spacing w:after="0"/>
              <w:rPr>
                <w:sz w:val="1"/>
                <w:szCs w:val="1"/>
                <w:color w:val="auto"/>
              </w:rPr>
            </w:pPr>
          </w:p>
        </w:tc>
      </w:tr>
      <w:tr>
        <w:trPr>
          <w:trHeight w:val="157"/>
        </w:trPr>
        <w:tc>
          <w:tcPr>
            <w:tcW w:w="5160" w:type="dxa"/>
            <w:vAlign w:val="bottom"/>
          </w:tcPr>
          <w:p>
            <w:pPr>
              <w:spacing w:after="0"/>
              <w:rPr>
                <w:sz w:val="20"/>
                <w:szCs w:val="20"/>
                <w:color w:val="auto"/>
              </w:rPr>
            </w:pPr>
            <w:r>
              <w:rPr>
                <w:rFonts w:ascii="Arial" w:cs="Arial" w:eastAsia="Arial" w:hAnsi="Arial"/>
                <w:sz w:val="13"/>
                <w:szCs w:val="13"/>
                <w:color w:val="auto"/>
              </w:rPr>
              <w:t>Electricity</w:t>
            </w:r>
          </w:p>
        </w:tc>
        <w:tc>
          <w:tcPr>
            <w:tcW w:w="18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(3)</w:t>
            </w:r>
          </w:p>
        </w:tc>
        <w:tc>
          <w:tcPr>
            <w:tcW w:w="2140" w:type="dxa"/>
            <w:vAlign w:val="bottom"/>
            <w:gridSpan w:val="3"/>
          </w:tcPr>
          <w:p>
            <w:pPr>
              <w:jc w:val="right"/>
              <w:ind w:right="660"/>
              <w:spacing w:after="0"/>
              <w:rPr>
                <w:sz w:val="20"/>
                <w:szCs w:val="20"/>
                <w:color w:val="auto"/>
              </w:rPr>
            </w:pPr>
            <w:r>
              <w:rPr>
                <w:rFonts w:ascii="Arial" w:cs="Arial" w:eastAsia="Arial" w:hAnsi="Arial"/>
                <w:sz w:val="13"/>
                <w:szCs w:val="13"/>
                <w:color w:val="auto"/>
              </w:rPr>
              <w:t>(4.5)</w:t>
            </w:r>
          </w:p>
        </w:tc>
        <w:tc>
          <w:tcPr>
            <w:tcW w:w="200" w:type="dxa"/>
            <w:vAlign w:val="bottom"/>
          </w:tcPr>
          <w:p>
            <w:pPr>
              <w:spacing w:after="0"/>
              <w:rPr>
                <w:sz w:val="13"/>
                <w:szCs w:val="13"/>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(11)</w:t>
            </w:r>
          </w:p>
        </w:tc>
        <w:tc>
          <w:tcPr>
            <w:tcW w:w="1440" w:type="dxa"/>
            <w:vAlign w:val="bottom"/>
            <w:gridSpan w:val="3"/>
          </w:tcPr>
          <w:p>
            <w:pPr>
              <w:jc w:val="right"/>
              <w:ind w:right="120"/>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57"/>
        </w:trPr>
        <w:tc>
          <w:tcPr>
            <w:tcW w:w="5160" w:type="dxa"/>
            <w:vAlign w:val="bottom"/>
            <w:shd w:val="clear" w:color="auto" w:fill="CCEEFF"/>
          </w:tcPr>
          <w:p>
            <w:pPr>
              <w:spacing w:after="0"/>
              <w:rPr>
                <w:sz w:val="20"/>
                <w:szCs w:val="20"/>
                <w:color w:val="auto"/>
              </w:rPr>
            </w:pPr>
            <w:r>
              <w:rPr>
                <w:rFonts w:ascii="Arial" w:cs="Arial" w:eastAsia="Arial" w:hAnsi="Arial"/>
                <w:sz w:val="13"/>
                <w:szCs w:val="13"/>
                <w:color w:val="auto"/>
              </w:rPr>
              <w:t>Fuel surcharges and mandated fees</w:t>
            </w: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40" w:type="dxa"/>
            <w:vAlign w:val="bottom"/>
            <w:shd w:val="clear" w:color="auto" w:fill="CCEEFF"/>
          </w:tcPr>
          <w:p>
            <w:pPr>
              <w:spacing w:after="0"/>
              <w:rPr>
                <w:sz w:val="13"/>
                <w:szCs w:val="13"/>
                <w:color w:val="auto"/>
              </w:rPr>
            </w:pPr>
          </w:p>
        </w:tc>
        <w:tc>
          <w:tcPr>
            <w:tcW w:w="2140" w:type="dxa"/>
            <w:vAlign w:val="bottom"/>
            <w:gridSpan w:val="3"/>
            <w:shd w:val="clear" w:color="auto" w:fill="CCEEFF"/>
          </w:tcPr>
          <w:p>
            <w:pPr>
              <w:jc w:val="right"/>
              <w:ind w:right="700"/>
              <w:spacing w:after="0"/>
              <w:rPr>
                <w:sz w:val="20"/>
                <w:szCs w:val="20"/>
                <w:color w:val="auto"/>
              </w:rPr>
            </w:pPr>
            <w:r>
              <w:rPr>
                <w:rFonts w:ascii="Arial" w:cs="Arial" w:eastAsia="Arial" w:hAnsi="Arial"/>
                <w:sz w:val="13"/>
                <w:szCs w:val="13"/>
                <w:color w:val="auto"/>
              </w:rPr>
              <w:t>31.8</w:t>
            </w:r>
          </w:p>
        </w:tc>
        <w:tc>
          <w:tcPr>
            <w:tcW w:w="2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gridSpan w:val="3"/>
            <w:vMerge w:val="restart"/>
          </w:tcPr>
          <w:p>
            <w:pPr>
              <w:jc w:val="right"/>
              <w:ind w:right="700"/>
              <w:spacing w:after="0"/>
              <w:rPr>
                <w:sz w:val="20"/>
                <w:szCs w:val="20"/>
                <w:color w:val="auto"/>
              </w:rPr>
            </w:pPr>
            <w:r>
              <w:rPr>
                <w:rFonts w:ascii="Arial" w:cs="Arial" w:eastAsia="Arial" w:hAnsi="Arial"/>
                <w:sz w:val="13"/>
                <w:szCs w:val="13"/>
                <w:color w:val="auto"/>
              </w:rPr>
              <w:t>7.1</w:t>
            </w: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7.0</w:t>
            </w:r>
          </w:p>
        </w:tc>
        <w:tc>
          <w:tcPr>
            <w:tcW w:w="0" w:type="dxa"/>
            <w:vAlign w:val="bottom"/>
          </w:tcPr>
          <w:p>
            <w:pPr>
              <w:spacing w:after="0" w:line="20" w:lineRule="exact"/>
              <w:rPr>
                <w:sz w:val="1"/>
                <w:szCs w:val="1"/>
                <w:color w:val="auto"/>
              </w:rPr>
            </w:pPr>
          </w:p>
        </w:tc>
      </w:tr>
      <w:tr>
        <w:trPr>
          <w:trHeight w:val="156"/>
        </w:trPr>
        <w:tc>
          <w:tcPr>
            <w:tcW w:w="5160" w:type="dxa"/>
            <w:vAlign w:val="bottom"/>
            <w:vMerge w:val="continue"/>
          </w:tcPr>
          <w:p>
            <w:pPr>
              <w:spacing w:after="0"/>
              <w:rPr>
                <w:sz w:val="13"/>
                <w:szCs w:val="13"/>
                <w:color w:val="auto"/>
              </w:rPr>
            </w:pPr>
          </w:p>
        </w:tc>
        <w:tc>
          <w:tcPr>
            <w:tcW w:w="180" w:type="dxa"/>
            <w:vAlign w:val="bottom"/>
          </w:tcPr>
          <w:p>
            <w:pPr>
              <w:jc w:val="right"/>
              <w:ind w:right="39"/>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209</w:t>
            </w:r>
          </w:p>
        </w:tc>
        <w:tc>
          <w:tcPr>
            <w:tcW w:w="140" w:type="dxa"/>
            <w:vAlign w:val="bottom"/>
          </w:tcPr>
          <w:p>
            <w:pPr>
              <w:spacing w:after="0"/>
              <w:rPr>
                <w:sz w:val="13"/>
                <w:szCs w:val="13"/>
                <w:color w:val="auto"/>
              </w:rPr>
            </w:pPr>
          </w:p>
        </w:tc>
        <w:tc>
          <w:tcPr>
            <w:tcW w:w="2140" w:type="dxa"/>
            <w:vAlign w:val="bottom"/>
            <w:gridSpan w:val="3"/>
            <w:vMerge w:val="continue"/>
          </w:tcPr>
          <w:p>
            <w:pPr>
              <w:spacing w:after="0"/>
              <w:rPr>
                <w:sz w:val="13"/>
                <w:szCs w:val="13"/>
                <w:color w:val="auto"/>
              </w:rPr>
            </w:pPr>
          </w:p>
        </w:tc>
        <w:tc>
          <w:tcPr>
            <w:tcW w:w="200" w:type="dxa"/>
            <w:vAlign w:val="bottom"/>
          </w:tcPr>
          <w:p>
            <w:pPr>
              <w:jc w:val="right"/>
              <w:ind w:right="59"/>
              <w:spacing w:after="0"/>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402</w:t>
            </w:r>
          </w:p>
        </w:tc>
        <w:tc>
          <w:tcPr>
            <w:tcW w:w="14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5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1080" w:right="140" w:hanging="393"/>
        <w:spacing w:after="0" w:line="371" w:lineRule="auto"/>
        <w:tabs>
          <w:tab w:leader="none" w:pos="1080" w:val="left"/>
        </w:tabs>
        <w:numPr>
          <w:ilvl w:val="0"/>
          <w:numId w:val="25"/>
        </w:numPr>
        <w:rPr>
          <w:rFonts w:ascii="Arial" w:cs="Arial" w:eastAsia="Arial" w:hAnsi="Arial"/>
          <w:sz w:val="11"/>
          <w:szCs w:val="11"/>
          <w:color w:val="auto"/>
        </w:rPr>
      </w:pPr>
      <w:r>
        <w:rPr>
          <w:rFonts w:ascii="Arial" w:cs="Arial" w:eastAsia="Arial" w:hAnsi="Arial"/>
          <w:sz w:val="11"/>
          <w:szCs w:val="11"/>
          <w:color w:val="auto"/>
        </w:rPr>
        <w:t>Calculated by dividing the increase or decrease for the current-year period by the prior-year period’s related business revenue, adjusted to exclude the impacts of divestitures for the current-year period. The table below summarizes the related business revenues for the three and six months ended June 30, 2009 adjusted to exclude the impacts of divestitures:</w:t>
      </w:r>
    </w:p>
    <w:p>
      <w:pPr>
        <w:spacing w:after="0" w:line="9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5"/>
          </w:tcPr>
          <w:p>
            <w:pPr>
              <w:jc w:val="right"/>
              <w:ind w:right="480"/>
              <w:spacing w:after="0"/>
              <w:rPr>
                <w:sz w:val="20"/>
                <w:szCs w:val="20"/>
                <w:color w:val="auto"/>
              </w:rPr>
            </w:pPr>
            <w:r>
              <w:rPr>
                <w:rFonts w:ascii="Arial" w:cs="Arial" w:eastAsia="Arial" w:hAnsi="Arial"/>
                <w:sz w:val="10"/>
                <w:szCs w:val="10"/>
                <w:b w:val="1"/>
                <w:bCs w:val="1"/>
                <w:color w:val="auto"/>
              </w:rPr>
              <w:t>Denominator</w:t>
            </w:r>
          </w:p>
        </w:tc>
        <w:tc>
          <w:tcPr>
            <w:tcW w:w="0" w:type="dxa"/>
            <w:vAlign w:val="bottom"/>
          </w:tcPr>
          <w:p>
            <w:pPr>
              <w:spacing w:after="0"/>
              <w:rPr>
                <w:sz w:val="1"/>
                <w:szCs w:val="1"/>
                <w:color w:val="auto"/>
              </w:rPr>
            </w:pPr>
          </w:p>
        </w:tc>
      </w:tr>
      <w:tr>
        <w:trPr>
          <w:trHeight w:val="81"/>
        </w:trPr>
        <w:tc>
          <w:tcPr>
            <w:tcW w:w="85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20" w:type="dxa"/>
            <w:vAlign w:val="bottom"/>
            <w:tcBorders>
              <w:top w:val="single" w:sz="8" w:color="auto"/>
            </w:tcBorders>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Three</w:t>
            </w:r>
          </w:p>
        </w:tc>
        <w:tc>
          <w:tcPr>
            <w:tcW w:w="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Six</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8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5"/>
              </w:rPr>
              <w:t>Months</w:t>
            </w:r>
          </w:p>
        </w:tc>
        <w:tc>
          <w:tcPr>
            <w:tcW w:w="60" w:type="dxa"/>
            <w:vAlign w:val="bottom"/>
          </w:tcPr>
          <w:p>
            <w:pPr>
              <w:spacing w:after="0"/>
              <w:rPr>
                <w:sz w:val="9"/>
                <w:szCs w:val="9"/>
                <w:color w:val="auto"/>
              </w:rPr>
            </w:pPr>
          </w:p>
        </w:tc>
        <w:tc>
          <w:tcPr>
            <w:tcW w:w="52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rPr>
              <w:t>Months</w:t>
            </w:r>
          </w:p>
        </w:tc>
        <w:tc>
          <w:tcPr>
            <w:tcW w:w="0" w:type="dxa"/>
            <w:vAlign w:val="bottom"/>
          </w:tcPr>
          <w:p>
            <w:pPr>
              <w:spacing w:after="0"/>
              <w:rPr>
                <w:sz w:val="1"/>
                <w:szCs w:val="1"/>
                <w:color w:val="auto"/>
              </w:rPr>
            </w:pPr>
          </w:p>
        </w:tc>
      </w:tr>
      <w:tr>
        <w:trPr>
          <w:trHeight w:val="108"/>
        </w:trPr>
        <w:tc>
          <w:tcPr>
            <w:tcW w:w="8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8"/>
              </w:rPr>
              <w:t>Ended</w:t>
            </w:r>
          </w:p>
        </w:tc>
        <w:tc>
          <w:tcPr>
            <w:tcW w:w="60" w:type="dxa"/>
            <w:vAlign w:val="bottom"/>
          </w:tcPr>
          <w:p>
            <w:pPr>
              <w:spacing w:after="0"/>
              <w:rPr>
                <w:sz w:val="9"/>
                <w:szCs w:val="9"/>
                <w:color w:val="auto"/>
              </w:rPr>
            </w:pPr>
          </w:p>
        </w:tc>
        <w:tc>
          <w:tcPr>
            <w:tcW w:w="52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1"/>
              </w:rPr>
              <w:t>Ended</w:t>
            </w:r>
          </w:p>
        </w:tc>
        <w:tc>
          <w:tcPr>
            <w:tcW w:w="0" w:type="dxa"/>
            <w:vAlign w:val="bottom"/>
          </w:tcPr>
          <w:p>
            <w:pPr>
              <w:spacing w:after="0"/>
              <w:rPr>
                <w:sz w:val="1"/>
                <w:szCs w:val="1"/>
                <w:color w:val="auto"/>
              </w:rPr>
            </w:pPr>
          </w:p>
        </w:tc>
      </w:tr>
      <w:tr>
        <w:trPr>
          <w:trHeight w:val="125"/>
        </w:trPr>
        <w:tc>
          <w:tcPr>
            <w:tcW w:w="8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1"/>
              </w:rPr>
              <w:t>June 30</w:t>
            </w:r>
          </w:p>
        </w:tc>
        <w:tc>
          <w:tcPr>
            <w:tcW w:w="60" w:type="dxa"/>
            <w:vAlign w:val="bottom"/>
          </w:tcPr>
          <w:p>
            <w:pPr>
              <w:spacing w:after="0"/>
              <w:rPr>
                <w:sz w:val="10"/>
                <w:szCs w:val="10"/>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6"/>
              </w:rPr>
              <w:t>June 30</w:t>
            </w: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Related business revenues:</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Collection, landfill and transfer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2,537</w:t>
            </w:r>
          </w:p>
        </w:tc>
        <w:tc>
          <w:tcPr>
            <w:tcW w:w="4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4,957</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Waste-to-energy disposal</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3"/>
                <w:szCs w:val="13"/>
                <w:color w:val="auto"/>
              </w:rPr>
              <w:t>Collection and disposal</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2,643</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5,159</w:t>
            </w:r>
          </w:p>
        </w:tc>
        <w:tc>
          <w:tcPr>
            <w:tcW w:w="0" w:type="dxa"/>
            <w:vAlign w:val="bottom"/>
          </w:tcPr>
          <w:p>
            <w:pPr>
              <w:spacing w:after="0"/>
              <w:rPr>
                <w:sz w:val="1"/>
                <w:szCs w:val="1"/>
                <w:color w:val="auto"/>
              </w:rPr>
            </w:pPr>
          </w:p>
        </w:tc>
      </w:tr>
      <w:tr>
        <w:trPr>
          <w:trHeight w:val="158"/>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Recycling commodity</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290</w:t>
            </w: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Electricity</w:t>
            </w: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67</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Fuel surcharges and mandated fees</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3"/>
                <w:szCs w:val="13"/>
                <w:color w:val="auto"/>
              </w:rPr>
              <w:t>Total Company</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2,951</w:t>
            </w:r>
          </w:p>
        </w:tc>
        <w:tc>
          <w:tcPr>
            <w:tcW w:w="4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5,760</w:t>
            </w:r>
          </w:p>
        </w:tc>
        <w:tc>
          <w:tcPr>
            <w:tcW w:w="0" w:type="dxa"/>
            <w:vAlign w:val="bottom"/>
          </w:tcPr>
          <w:p>
            <w:pPr>
              <w:spacing w:after="0"/>
              <w:rPr>
                <w:sz w:val="1"/>
                <w:szCs w:val="1"/>
                <w:color w:val="auto"/>
              </w:rPr>
            </w:pPr>
          </w:p>
        </w:tc>
      </w:tr>
      <w:tr>
        <w:trPr>
          <w:trHeight w:val="30"/>
        </w:trPr>
        <w:tc>
          <w:tcPr>
            <w:tcW w:w="8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1080" w:right="160" w:hanging="393"/>
        <w:spacing w:after="0" w:line="320" w:lineRule="auto"/>
        <w:tabs>
          <w:tab w:leader="none" w:pos="10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Reflects a refinement to the calculation of the number of “standard workdays” per month used in this calculation for our commercial and residential lines of business. This revision was applied retrospectively to the calculation for the entire six-month period ended June 30, 2010 and resulted in an increase from 1.8% to 2.0% for the first quarter of 2010.</w:t>
      </w:r>
    </w:p>
    <w:p>
      <w:pPr>
        <w:spacing w:after="0" w:line="35" w:lineRule="exact"/>
        <w:rPr>
          <w:sz w:val="20"/>
          <w:szCs w:val="20"/>
          <w:color w:val="auto"/>
        </w:rPr>
      </w:pPr>
    </w:p>
    <w:p>
      <w:pPr>
        <w:ind w:left="680" w:right="80" w:firstLine="399"/>
        <w:spacing w:after="0" w:line="316" w:lineRule="auto"/>
        <w:rPr>
          <w:sz w:val="20"/>
          <w:szCs w:val="20"/>
          <w:color w:val="auto"/>
        </w:rPr>
      </w:pPr>
      <w:r>
        <w:rPr>
          <w:rFonts w:ascii="Arial" w:cs="Arial" w:eastAsia="Arial" w:hAnsi="Arial"/>
          <w:sz w:val="11"/>
          <w:szCs w:val="11"/>
          <w:color w:val="auto"/>
        </w:rPr>
        <w:t>Our revenues increased $206 million, or 7.0%, for the three months ended June 30, 2010 as compared with the prior year period and $331 million, or 5.7%, for the six months ended June 30, 2010 as compared with the prior year period. During the three- and six-month periods, our current period revenue growth has been driven by (i) market factors, including higher recyclable commodity prices; foreign currency translation, which affects revenues from our Canadian operations; and higher diesel fuel prices, which increase revenues provided by our fuel surcharge program; (ii) revenue growth from average yield on our collection and disposal operations; and (iii) acquisitions. Offsetting these revenue increases were revenue declines due to lower volumes, which have generally resulted from pricing competition and continued reductions in consumer and business spending, which results in less waste being generated.</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provides further details associated with our period-to-period change in revenues.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Average yield</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Collection and disposal average yield </w:t>
      </w:r>
      <w:r>
        <w:rPr>
          <w:rFonts w:ascii="Arial" w:cs="Arial" w:eastAsia="Arial" w:hAnsi="Arial"/>
          <w:sz w:val="13"/>
          <w:szCs w:val="13"/>
          <w:color w:val="auto"/>
        </w:rPr>
        <w:t>— This measure reflects the effect on our revenue from the pricing activities of our collection, transfer, landfill and waste-to-energy disposal</w:t>
      </w:r>
      <w:r>
        <w:rPr>
          <w:rFonts w:ascii="Arial" w:cs="Arial" w:eastAsia="Arial" w:hAnsi="Arial"/>
          <w:sz w:val="13"/>
          <w:szCs w:val="13"/>
          <w:i w:val="1"/>
          <w:iCs w:val="1"/>
          <w:color w:val="auto"/>
        </w:rPr>
        <w:t xml:space="preserve"> </w:t>
      </w:r>
      <w:r>
        <w:rPr>
          <w:rFonts w:ascii="Arial" w:cs="Arial" w:eastAsia="Arial" w:hAnsi="Arial"/>
          <w:sz w:val="13"/>
          <w:szCs w:val="13"/>
          <w:color w:val="auto"/>
        </w:rPr>
        <w:t>operations, exclusive of volume changes. Revenue growth from collection and disposal average yield includes not only base rate changes and environmental and service fee increases, but also (i) certain average price changes related to the overall mix of services, which are due to both the types of services provided and the geographic locations where our services are provided; (ii) changes in average price from new and lost business; and (iii) price decreases to retain customers.</w:t>
      </w:r>
    </w:p>
    <w:p>
      <w:pPr>
        <w:spacing w:after="0" w:line="70" w:lineRule="exact"/>
        <w:rPr>
          <w:sz w:val="20"/>
          <w:szCs w:val="20"/>
          <w:color w:val="auto"/>
        </w:rPr>
      </w:pPr>
    </w:p>
    <w:p>
      <w:pPr>
        <w:jc w:val="both"/>
        <w:ind w:left="680" w:right="20" w:firstLine="399"/>
        <w:spacing w:after="0" w:line="289" w:lineRule="auto"/>
        <w:rPr>
          <w:sz w:val="20"/>
          <w:szCs w:val="20"/>
          <w:color w:val="auto"/>
        </w:rPr>
      </w:pPr>
      <w:r>
        <w:rPr>
          <w:rFonts w:ascii="Arial" w:cs="Arial" w:eastAsia="Arial" w:hAnsi="Arial"/>
          <w:sz w:val="12"/>
          <w:szCs w:val="12"/>
          <w:color w:val="auto"/>
        </w:rPr>
        <w:t>For the first six months in 2010, our revenue growth from yield on our collection and disposal lines of business of $112 million, or 2.2%, demonstrates our commitment to our pricing strategies even in the current economic environment. This increase in revenue from yield was driven by our collection operations, which experienced yield growth in all lines of business and in every geographic operating Group. As discussed below, increased collection revenues due to pricing have been more than offset by revenue declines from lower collection volumes. However, revenue growth from yield on base business and a focus on controlling variable costs have provided margin improvements in our collection line of business.</w:t>
      </w:r>
    </w:p>
    <w:p>
      <w:pPr>
        <w:spacing w:after="0" w:line="53"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The current quarter revenue growth from collection and disposal average yield was $62 million, or 2.3%, due, in part, to the successful execution of our pricing strategies. This yield increase is an improvement from the first quarter of this year. We have found that increasing our yield in today’s market is a challenge given the reduced volume levels resulting from the economic slowdown. Additionally, a significant portion of our collection revenues are generated under long-term franchise agreements with municipalities or similar local or regional authorities. These agreements generally tie pricing adjustments to inflation indices, which have been extremely low, and in some cases negative, in recent periods. We consider all of these trends in executing our pricing strategies, but are committed to maintaining pricing discipline in order to improve yield on our base business, particularly during the second half of 2010. We are pleased to see that, despite these negative pricing pressures, we were able to sequentially improve our yield.</w:t>
      </w:r>
    </w:p>
    <w:p>
      <w:pPr>
        <w:spacing w:after="0" w:line="5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During the second quarter of 2010, we increased our environmental fee from 6.0% to 7.5%. Revenues from our environmental fee, which are included in average yield on collection and disposal, increased by $10 million for the three-month period and $9 million for the six-month period. These revenues were $66 million and $117 million during the three and six months ended June 30, 2010, respectively, and $56 million and $108 million in the comparable prior-year periods.</w:t>
      </w:r>
    </w:p>
    <w:p>
      <w:pPr>
        <w:spacing w:after="0" w:line="67" w:lineRule="exact"/>
        <w:rPr>
          <w:sz w:val="20"/>
          <w:szCs w:val="20"/>
          <w:color w:val="auto"/>
        </w:rPr>
      </w:pPr>
    </w:p>
    <w:p>
      <w:pPr>
        <w:ind w:left="680" w:right="80" w:firstLine="399"/>
        <w:spacing w:after="0" w:line="322" w:lineRule="auto"/>
        <w:rPr>
          <w:sz w:val="20"/>
          <w:szCs w:val="20"/>
          <w:color w:val="auto"/>
        </w:rPr>
      </w:pPr>
      <w:r>
        <w:rPr>
          <w:rFonts w:ascii="Arial" w:cs="Arial" w:eastAsia="Arial" w:hAnsi="Arial"/>
          <w:sz w:val="11"/>
          <w:szCs w:val="11"/>
          <w:i w:val="1"/>
          <w:iCs w:val="1"/>
          <w:color w:val="auto"/>
        </w:rPr>
        <w:t xml:space="preserve">Recycling commodities </w:t>
      </w:r>
      <w:r>
        <w:rPr>
          <w:rFonts w:ascii="Arial" w:cs="Arial" w:eastAsia="Arial" w:hAnsi="Arial"/>
          <w:sz w:val="11"/>
          <w:szCs w:val="11"/>
          <w:color w:val="auto"/>
        </w:rPr>
        <w:t>— Increases in the prices of the recycling commodities we process resulted in an increase in revenues of $123 million for the three months ended June 30,</w:t>
      </w:r>
      <w:r>
        <w:rPr>
          <w:rFonts w:ascii="Arial" w:cs="Arial" w:eastAsia="Arial" w:hAnsi="Arial"/>
          <w:sz w:val="11"/>
          <w:szCs w:val="11"/>
          <w:i w:val="1"/>
          <w:iCs w:val="1"/>
          <w:color w:val="auto"/>
        </w:rPr>
        <w:t xml:space="preserve"> </w:t>
      </w:r>
      <w:r>
        <w:rPr>
          <w:rFonts w:ascii="Arial" w:cs="Arial" w:eastAsia="Arial" w:hAnsi="Arial"/>
          <w:sz w:val="11"/>
          <w:szCs w:val="11"/>
          <w:color w:val="auto"/>
        </w:rPr>
        <w:t>2010 and $262 million for the six months ended June 30, 2010 as compared with the prior year periods. During the fourth quarter of 2008 and the first quarter of 2009, recycling commodity prices were sharply lower as a result of a significant decrease in the demand for commodities both domestically and internationally. However, since the first quarter of 2009, prices for recyclable commodities have increased significantly. For the first six months of this year, overall commodity prices have increased over 90% compared with the first six months of last year.</w:t>
      </w:r>
    </w:p>
    <w:p>
      <w:pPr>
        <w:spacing w:after="0" w:line="39" w:lineRule="exact"/>
        <w:rPr>
          <w:sz w:val="20"/>
          <w:szCs w:val="20"/>
          <w:color w:val="auto"/>
        </w:rPr>
      </w:pPr>
    </w:p>
    <w:p>
      <w:pPr>
        <w:ind w:left="680" w:right="120" w:firstLine="399"/>
        <w:spacing w:after="0" w:line="282" w:lineRule="auto"/>
        <w:rPr>
          <w:sz w:val="20"/>
          <w:szCs w:val="20"/>
          <w:color w:val="auto"/>
        </w:rPr>
      </w:pPr>
      <w:r>
        <w:rPr>
          <w:rFonts w:ascii="Arial" w:cs="Arial" w:eastAsia="Arial" w:hAnsi="Arial"/>
          <w:sz w:val="12"/>
          <w:szCs w:val="12"/>
          <w:i w:val="1"/>
          <w:iCs w:val="1"/>
          <w:color w:val="auto"/>
        </w:rPr>
        <w:t xml:space="preserve">Electricity </w:t>
      </w:r>
      <w:r>
        <w:rPr>
          <w:rFonts w:ascii="Arial" w:cs="Arial" w:eastAsia="Arial" w:hAnsi="Arial"/>
          <w:sz w:val="12"/>
          <w:szCs w:val="12"/>
          <w:color w:val="auto"/>
        </w:rPr>
        <w:t>— The changes in revenue from yield provided by our waste-to-energy business are largely due to fluctuations in rates we can receive for electricity under our power</w:t>
      </w:r>
      <w:r>
        <w:rPr>
          <w:rFonts w:ascii="Arial" w:cs="Arial" w:eastAsia="Arial" w:hAnsi="Arial"/>
          <w:sz w:val="12"/>
          <w:szCs w:val="12"/>
          <w:i w:val="1"/>
          <w:iCs w:val="1"/>
          <w:color w:val="auto"/>
        </w:rPr>
        <w:t xml:space="preserve"> </w:t>
      </w:r>
      <w:r>
        <w:rPr>
          <w:rFonts w:ascii="Arial" w:cs="Arial" w:eastAsia="Arial" w:hAnsi="Arial"/>
          <w:sz w:val="12"/>
          <w:szCs w:val="12"/>
          <w:color w:val="auto"/>
        </w:rPr>
        <w:t>purchase contracts and in merchant transactions. In most of the markets in which we operate, electricity prices correlate with natural gas prices. For the three and six months ended June 30, 2010, we experienced declines in revenue from yield at our waste-to-energy facilities of $3 million and $11 million, respectively, due to the expiration of certain above market contracts, resulting in greater exposure to market pricing. Overall, market pricing for electricity has shown slight improvement year-over-year. During the second quarter and first half of 2010, approximately 46% of the electricity revenue at our waste-to-energy facilities was subject to current market rates, which is an increase from 32% during the second quarter and first half of 2009. Our waste-to-energy facilities’ exposure to market price volatility will continue to increase as more long-term contracts expire.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i w:val="1"/>
          <w:iCs w:val="1"/>
          <w:color w:val="auto"/>
        </w:rPr>
        <w:t xml:space="preserve">Fuel surcharges and mandated fees — </w:t>
      </w:r>
      <w:r>
        <w:rPr>
          <w:rFonts w:ascii="Arial" w:cs="Arial" w:eastAsia="Arial" w:hAnsi="Arial"/>
          <w:sz w:val="13"/>
          <w:szCs w:val="13"/>
          <w:color w:val="auto"/>
        </w:rPr>
        <w:t>Revenue predominantly generated by our fuel surcharge program increased by $27 million and $39 million during the three and six months</w:t>
      </w:r>
      <w:r>
        <w:rPr>
          <w:rFonts w:ascii="Arial" w:cs="Arial" w:eastAsia="Arial" w:hAnsi="Arial"/>
          <w:sz w:val="13"/>
          <w:szCs w:val="13"/>
          <w:i w:val="1"/>
          <w:iCs w:val="1"/>
          <w:color w:val="auto"/>
        </w:rPr>
        <w:t xml:space="preserve"> </w:t>
      </w:r>
      <w:r>
        <w:rPr>
          <w:rFonts w:ascii="Arial" w:cs="Arial" w:eastAsia="Arial" w:hAnsi="Arial"/>
          <w:sz w:val="13"/>
          <w:szCs w:val="13"/>
          <w:color w:val="auto"/>
        </w:rPr>
        <w:t>ended June 30, 2010, respectively. This increase is directly attributable to higher crude oil index prices that we use for our fuel surcharge program. The mandated fees included in this line item are primarily related to the pass-through of fees and taxes assessed by various state, county and municipal governmental agencies at our landfills and transfer stations. These mandated fees have not had a significant impact on the comparability of revenues for the periods included in the table above.</w:t>
      </w:r>
    </w:p>
    <w:p>
      <w:pPr>
        <w:spacing w:after="0" w:line="7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i w:val="1"/>
          <w:iCs w:val="1"/>
          <w:color w:val="auto"/>
        </w:rPr>
        <w:t xml:space="preserve">Volume </w:t>
      </w:r>
      <w:r>
        <w:rPr>
          <w:rFonts w:ascii="Arial" w:cs="Arial" w:eastAsia="Arial" w:hAnsi="Arial"/>
          <w:sz w:val="13"/>
          <w:szCs w:val="13"/>
          <w:color w:val="auto"/>
        </w:rPr>
        <w:t>— Our revenue decline due to volume was $86 million, or 2.9%, and $228 million, or 4.0%, for the three and six months ended June 30, 2010, respectively. This is a notable</w:t>
      </w:r>
      <w:r>
        <w:rPr>
          <w:rFonts w:ascii="Arial" w:cs="Arial" w:eastAsia="Arial" w:hAnsi="Arial"/>
          <w:sz w:val="13"/>
          <w:szCs w:val="13"/>
          <w:i w:val="1"/>
          <w:iCs w:val="1"/>
          <w:color w:val="auto"/>
        </w:rPr>
        <w:t xml:space="preserve"> </w:t>
      </w:r>
      <w:r>
        <w:rPr>
          <w:rFonts w:ascii="Arial" w:cs="Arial" w:eastAsia="Arial" w:hAnsi="Arial"/>
          <w:sz w:val="13"/>
          <w:szCs w:val="13"/>
          <w:color w:val="auto"/>
        </w:rPr>
        <w:t>improvement in the rate of revenue decline from the prior-year period when revenue declines due to volume were $299 million, or 8.6%, and $564 million, or 8.4%, for the three and six months ended June 30, 2009, respectively, and also a sequential improvement compared with the first quarter of this year.</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Volume declines are generally attributable to economic conditions, pricing, competition and recent trends of waste reduction and diversion by consumers. Additionally, we had certain infrequent items this year that affected our volumes, including the severe weather conditions experienced during the first quarter, which lowered volumes, and clean-up activities in the gulf coast region during the second quarter, which increased volumes.</w:t>
      </w:r>
    </w:p>
    <w:p>
      <w:pPr>
        <w:spacing w:after="0" w:line="67" w:lineRule="exact"/>
        <w:rPr>
          <w:sz w:val="20"/>
          <w:szCs w:val="20"/>
          <w:color w:val="auto"/>
        </w:rPr>
      </w:pPr>
    </w:p>
    <w:p>
      <w:pPr>
        <w:ind w:left="680" w:right="220" w:firstLine="399"/>
        <w:spacing w:after="0" w:line="258" w:lineRule="auto"/>
        <w:rPr>
          <w:sz w:val="20"/>
          <w:szCs w:val="20"/>
          <w:color w:val="auto"/>
        </w:rPr>
      </w:pPr>
      <w:r>
        <w:rPr>
          <w:rFonts w:ascii="Arial" w:cs="Arial" w:eastAsia="Arial" w:hAnsi="Arial"/>
          <w:sz w:val="13"/>
          <w:szCs w:val="13"/>
          <w:color w:val="auto"/>
        </w:rPr>
        <w:t>Volume declines from our collection business accounted for $63 million and $174 million of the total volume-related revenue decline for the three and six months ended June 30, 2010, respectively. Our industrial collection operations continue to be the most significantly affected by the current economic environment due to the construction slowdown across the United States. Our commercial and residential collection lines of business tend to be more recession resistant than our other lines of business. However, we still experienced some commercial and residential collection volume declines during the first six months in 2010 that we attribute to the recessionary economic environment, as well as the effects of pricing and competition.</w:t>
      </w:r>
    </w:p>
    <w:p>
      <w:pPr>
        <w:spacing w:after="0" w:line="71"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Revenue from third party volumes at our landfills was flat during the second quarter of 2010 when compared with the second quarter of 2009, principally due to higher special waste volumes in our Eastern, Midwest and Southern geographic Groups, which were offset primarily by a decrease in our construction and demolition waste streams. When comparing the year-over-year decline in commercial and demolition waste streams in the second quarter of 2010 with the year-over-year decline in the first quarter of 2010, we noted these volumes declined at a significantly less rapid pace. For the six months ended June 30, 2010, we experienced a $25 million decline in third party revenue due to lower volumes at our landfills primarily as a result of (i) a reduction in the transportation component of our disposal business; and (ii) volume declines in the first quarter of 2010 in our more economically-sensitive construction and demolition business. Lower third party volumes in our transfer station operations also caused revenue declines and can generally be attributed to economic conditions and the effects of pricing and competition. Finally, negative economic impacts on the amount of waste being generated reduced the amount of materials available to recycle, causing volume declines in our recycling operations.</w:t>
      </w:r>
    </w:p>
    <w:p>
      <w:pPr>
        <w:spacing w:after="0" w:line="7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We are optimistic about the lessening rate of revenue decline due to lower volumes. However, (i) the continued weakness of the overall economic environment, particularly in the construction and demolition business, which tends to improve at a slower pace; (ii) recent trends of waste reduction and diversion by consumers; and (iii) pricing competition are presenting challenges to maintaining and growing volumes.</w:t>
      </w:r>
    </w:p>
    <w:p>
      <w:pPr>
        <w:spacing w:after="0" w:line="67"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Acquisitions and divestitures </w:t>
      </w:r>
      <w:r>
        <w:rPr>
          <w:rFonts w:ascii="Arial" w:cs="Arial" w:eastAsia="Arial" w:hAnsi="Arial"/>
          <w:sz w:val="13"/>
          <w:szCs w:val="13"/>
          <w:color w:val="auto"/>
        </w:rPr>
        <w:t>— Revenue increases from acquisitions were principally in (i) the collection and recycling lines of business, reflecting our continued focus on accretive</w:t>
      </w:r>
      <w:r>
        <w:rPr>
          <w:rFonts w:ascii="Arial" w:cs="Arial" w:eastAsia="Arial" w:hAnsi="Arial"/>
          <w:sz w:val="13"/>
          <w:szCs w:val="13"/>
          <w:i w:val="1"/>
          <w:iCs w:val="1"/>
          <w:color w:val="auto"/>
        </w:rPr>
        <w:t xml:space="preserve"> </w:t>
      </w:r>
      <w:r>
        <w:rPr>
          <w:rFonts w:ascii="Arial" w:cs="Arial" w:eastAsia="Arial" w:hAnsi="Arial"/>
          <w:sz w:val="13"/>
          <w:szCs w:val="13"/>
          <w:color w:val="auto"/>
        </w:rPr>
        <w:t>acquisitions that will complement our core solid waste operations; and (ii) our “Other” businesses, demonstrating our current focus on identifying strategic growth opportunities in new, complementary lines of business.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6"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Our operating expenses increased by $210 million, or 11.8%, and $366 million, or 10.4%, when comparing the three and six months ended June 30, 2010 with the comparable prior-year periods, respectively. Our operating expenses as a percentage of revenues increased from 60.5% in the second quarter of 2009 to 63.2% in the current quarter, and increased from 60.9% for the six months ended June 30, 2009 to 63.6% for the six months ended</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June 30, 2010. The increases in our operating expenses during the three and six months ended June 30, 2010 can largely be attributed to the following:</w:t>
      </w:r>
    </w:p>
    <w:p>
      <w:pPr>
        <w:spacing w:after="0" w:line="96" w:lineRule="exact"/>
        <w:rPr>
          <w:sz w:val="20"/>
          <w:szCs w:val="20"/>
          <w:color w:val="auto"/>
        </w:rPr>
      </w:pPr>
    </w:p>
    <w:p>
      <w:pPr>
        <w:ind w:left="1280" w:right="160" w:hanging="190"/>
        <w:spacing w:after="0" w:line="260" w:lineRule="auto"/>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i w:val="1"/>
          <w:iCs w:val="1"/>
          <w:color w:val="auto"/>
        </w:rPr>
        <w:t xml:space="preserve">Higher market prices for recyclable commodities — </w:t>
      </w:r>
      <w:r>
        <w:rPr>
          <w:rFonts w:ascii="Arial" w:cs="Arial" w:eastAsia="Arial" w:hAnsi="Arial"/>
          <w:sz w:val="13"/>
          <w:szCs w:val="13"/>
          <w:color w:val="auto"/>
        </w:rPr>
        <w:t>Overall, market prices for recyclable commodities are approximately 78% higher than prior year levels on a year-to-date</w:t>
      </w:r>
      <w:r>
        <w:rPr>
          <w:rFonts w:ascii="Arial" w:cs="Arial" w:eastAsia="Arial" w:hAnsi="Arial"/>
          <w:sz w:val="13"/>
          <w:szCs w:val="13"/>
          <w:i w:val="1"/>
          <w:iCs w:val="1"/>
          <w:color w:val="auto"/>
        </w:rPr>
        <w:t xml:space="preserve"> </w:t>
      </w:r>
      <w:r>
        <w:rPr>
          <w:rFonts w:ascii="Arial" w:cs="Arial" w:eastAsia="Arial" w:hAnsi="Arial"/>
          <w:sz w:val="13"/>
          <w:szCs w:val="13"/>
          <w:color w:val="auto"/>
        </w:rPr>
        <w:t>basis. The year-over-year increase is the result of continued recovery in recyclable commodity prices from the near-historic lows reached in late 2008 and early 2009. This significant increase in market prices was the driver of the current quarter and year-to-date increases in cost of goods sold as presented in the table below and has also resulted in increased revenues and earnings this year.</w:t>
      </w:r>
    </w:p>
    <w:p>
      <w:pPr>
        <w:spacing w:after="0" w:line="59" w:lineRule="exact"/>
        <w:rPr>
          <w:rFonts w:ascii="Arial" w:cs="Arial" w:eastAsia="Arial" w:hAnsi="Arial"/>
          <w:sz w:val="13"/>
          <w:szCs w:val="13"/>
          <w:color w:val="auto"/>
        </w:rPr>
      </w:pPr>
    </w:p>
    <w:p>
      <w:pPr>
        <w:jc w:val="both"/>
        <w:ind w:left="1280" w:right="180" w:hanging="190"/>
        <w:spacing w:after="0" w:line="296" w:lineRule="auto"/>
        <w:tabs>
          <w:tab w:leader="none" w:pos="1280" w:val="left"/>
        </w:tabs>
        <w:numPr>
          <w:ilvl w:val="0"/>
          <w:numId w:val="27"/>
        </w:numPr>
        <w:rPr>
          <w:rFonts w:ascii="Arial" w:cs="Arial" w:eastAsia="Arial" w:hAnsi="Arial"/>
          <w:sz w:val="12"/>
          <w:szCs w:val="12"/>
          <w:color w:val="auto"/>
        </w:rPr>
      </w:pPr>
      <w:r>
        <w:rPr>
          <w:rFonts w:ascii="Arial" w:cs="Arial" w:eastAsia="Arial" w:hAnsi="Arial"/>
          <w:sz w:val="12"/>
          <w:szCs w:val="12"/>
          <w:i w:val="1"/>
          <w:iCs w:val="1"/>
          <w:color w:val="auto"/>
        </w:rPr>
        <w:t xml:space="preserve">Fuel cost increases — </w:t>
      </w:r>
      <w:r>
        <w:rPr>
          <w:rFonts w:ascii="Arial" w:cs="Arial" w:eastAsia="Arial" w:hAnsi="Arial"/>
          <w:sz w:val="12"/>
          <w:szCs w:val="12"/>
          <w:color w:val="auto"/>
        </w:rPr>
        <w:t>On average, diesel fuel prices increased 30% from $2.26 per gallon in the first half of 2009 to $2.94 per gallon in the first half of 2010. Higher fuel costs</w:t>
      </w:r>
      <w:r>
        <w:rPr>
          <w:rFonts w:ascii="Arial" w:cs="Arial" w:eastAsia="Arial" w:hAnsi="Arial"/>
          <w:sz w:val="12"/>
          <w:szCs w:val="12"/>
          <w:i w:val="1"/>
          <w:iCs w:val="1"/>
          <w:color w:val="auto"/>
        </w:rPr>
        <w:t xml:space="preserve"> </w:t>
      </w:r>
      <w:r>
        <w:rPr>
          <w:rFonts w:ascii="Arial" w:cs="Arial" w:eastAsia="Arial" w:hAnsi="Arial"/>
          <w:sz w:val="12"/>
          <w:szCs w:val="12"/>
          <w:color w:val="auto"/>
        </w:rPr>
        <w:t>caused increases in both our direct fuel costs and in the fuel component of our subcontractor costs for the three and six months ended June 30, 2010. The unfavorable impact of year-over-year increases in fuel prices on our operating costs is offset in part by increased revenues attributable to our fuel surcharge program.</w:t>
      </w:r>
    </w:p>
    <w:p>
      <w:pPr>
        <w:spacing w:after="0" w:line="39" w:lineRule="exact"/>
        <w:rPr>
          <w:rFonts w:ascii="Arial" w:cs="Arial" w:eastAsia="Arial" w:hAnsi="Arial"/>
          <w:sz w:val="12"/>
          <w:szCs w:val="12"/>
          <w:color w:val="auto"/>
        </w:rPr>
      </w:pPr>
    </w:p>
    <w:p>
      <w:pPr>
        <w:ind w:left="1280" w:right="260" w:hanging="190"/>
        <w:spacing w:after="0" w:line="276" w:lineRule="auto"/>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i w:val="1"/>
          <w:iCs w:val="1"/>
          <w:color w:val="auto"/>
        </w:rPr>
        <w:t xml:space="preserve">Acquisitions and growth initiatives </w:t>
      </w:r>
      <w:r>
        <w:rPr>
          <w:rFonts w:ascii="Arial" w:cs="Arial" w:eastAsia="Arial" w:hAnsi="Arial"/>
          <w:sz w:val="13"/>
          <w:szCs w:val="13"/>
          <w:color w:val="auto"/>
        </w:rPr>
        <w:t>— We have experienced cost increases attributable to recently acquired businesses and, to a lesser extent, our various growth and business</w:t>
      </w:r>
      <w:r>
        <w:rPr>
          <w:rFonts w:ascii="Arial" w:cs="Arial" w:eastAsia="Arial" w:hAnsi="Arial"/>
          <w:sz w:val="13"/>
          <w:szCs w:val="13"/>
          <w:i w:val="1"/>
          <w:iCs w:val="1"/>
          <w:color w:val="auto"/>
        </w:rPr>
        <w:t xml:space="preserve"> </w:t>
      </w:r>
      <w:r>
        <w:rPr>
          <w:rFonts w:ascii="Arial" w:cs="Arial" w:eastAsia="Arial" w:hAnsi="Arial"/>
          <w:sz w:val="13"/>
          <w:szCs w:val="13"/>
          <w:color w:val="auto"/>
        </w:rPr>
        <w:t>development initiatives. These cost increases have affected each of the operating cost categories identified in the table below.</w:t>
      </w:r>
    </w:p>
    <w:p>
      <w:pPr>
        <w:spacing w:after="0" w:line="49" w:lineRule="exact"/>
        <w:rPr>
          <w:rFonts w:ascii="Arial" w:cs="Arial" w:eastAsia="Arial" w:hAnsi="Arial"/>
          <w:sz w:val="13"/>
          <w:szCs w:val="13"/>
          <w:color w:val="auto"/>
        </w:rPr>
      </w:pPr>
    </w:p>
    <w:p>
      <w:pPr>
        <w:jc w:val="both"/>
        <w:ind w:left="1280" w:right="220" w:hanging="190"/>
        <w:spacing w:after="0" w:line="296" w:lineRule="auto"/>
        <w:tabs>
          <w:tab w:leader="none" w:pos="1280" w:val="left"/>
        </w:tabs>
        <w:numPr>
          <w:ilvl w:val="0"/>
          <w:numId w:val="27"/>
        </w:numPr>
        <w:rPr>
          <w:rFonts w:ascii="Arial" w:cs="Arial" w:eastAsia="Arial" w:hAnsi="Arial"/>
          <w:sz w:val="12"/>
          <w:szCs w:val="12"/>
          <w:color w:val="auto"/>
        </w:rPr>
      </w:pPr>
      <w:r>
        <w:rPr>
          <w:rFonts w:ascii="Arial" w:cs="Arial" w:eastAsia="Arial" w:hAnsi="Arial"/>
          <w:sz w:val="12"/>
          <w:szCs w:val="12"/>
          <w:i w:val="1"/>
          <w:iCs w:val="1"/>
          <w:color w:val="auto"/>
        </w:rPr>
        <w:t xml:space="preserve">Strengthening of the Canadian dollar </w:t>
      </w:r>
      <w:r>
        <w:rPr>
          <w:rFonts w:ascii="Arial" w:cs="Arial" w:eastAsia="Arial" w:hAnsi="Arial"/>
          <w:sz w:val="12"/>
          <w:szCs w:val="12"/>
          <w:color w:val="auto"/>
        </w:rPr>
        <w:t>— When comparing the average exchange rate for the three and six months ended June 30, 2010 with the comparative 2009 periods, the</w:t>
      </w:r>
      <w:r>
        <w:rPr>
          <w:rFonts w:ascii="Arial" w:cs="Arial" w:eastAsia="Arial" w:hAnsi="Arial"/>
          <w:sz w:val="12"/>
          <w:szCs w:val="12"/>
          <w:i w:val="1"/>
          <w:iCs w:val="1"/>
          <w:color w:val="auto"/>
        </w:rPr>
        <w:t xml:space="preserve"> </w:t>
      </w:r>
      <w:r>
        <w:rPr>
          <w:rFonts w:ascii="Arial" w:cs="Arial" w:eastAsia="Arial" w:hAnsi="Arial"/>
          <w:sz w:val="12"/>
          <w:szCs w:val="12"/>
          <w:color w:val="auto"/>
        </w:rPr>
        <w:t>Canadian rate strengthened by 13% and 16% respectively. The strengthening of the Canadian dollar increased our total operating expenses by $17 million for the three months ended June 30, 2010 and $38 million for the six-month period. Foreign currency translation has increased our expenses in all operating cost categories.</w:t>
      </w:r>
    </w:p>
    <w:p>
      <w:pPr>
        <w:spacing w:after="0" w:line="50" w:lineRule="exact"/>
        <w:rPr>
          <w:sz w:val="20"/>
          <w:szCs w:val="20"/>
          <w:color w:val="auto"/>
        </w:rPr>
      </w:pPr>
    </w:p>
    <w:p>
      <w:pPr>
        <w:ind w:left="680" w:right="300" w:firstLine="399"/>
        <w:spacing w:after="0" w:line="320" w:lineRule="auto"/>
        <w:rPr>
          <w:sz w:val="20"/>
          <w:szCs w:val="20"/>
          <w:color w:val="auto"/>
        </w:rPr>
      </w:pPr>
      <w:r>
        <w:rPr>
          <w:rFonts w:ascii="Arial" w:cs="Arial" w:eastAsia="Arial" w:hAnsi="Arial"/>
          <w:sz w:val="12"/>
          <w:szCs w:val="12"/>
          <w:color w:val="auto"/>
        </w:rPr>
        <w:t>These increases in operating expenses have been partially offset by the impacts of continued volume declines. We are encouraged that our results continue to reflect our focus on identifying operational efficiencies that translate into cost savings and on managing our fixed costs while reducing our variable costs as volumes decline.</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summarizes the major components of our operating expenses, including the impact of foreign currency translation, for the three- and six-month periods ended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June 30 (dollars in millions):</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6"/>
          </w:tcPr>
          <w:p>
            <w:pPr>
              <w:jc w:val="center"/>
              <w:ind w:right="480"/>
              <w:spacing w:after="0"/>
              <w:rPr>
                <w:sz w:val="20"/>
                <w:szCs w:val="20"/>
                <w:color w:val="auto"/>
              </w:rPr>
            </w:pPr>
            <w:r>
              <w:rPr>
                <w:rFonts w:ascii="Arial" w:cs="Arial" w:eastAsia="Arial" w:hAnsi="Arial"/>
                <w:sz w:val="10"/>
                <w:szCs w:val="10"/>
                <w:b w:val="1"/>
                <w:bCs w:val="1"/>
                <w:color w:val="auto"/>
                <w:w w:val="97"/>
              </w:rPr>
              <w:t>Three Months</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3"/>
              </w:rPr>
              <w:t>Period-to-</w:t>
            </w: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6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w w:val="97"/>
              </w:rPr>
              <w:t>Six Months</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Period-to-</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1"/>
              </w:rPr>
              <w:t>Ended</w:t>
            </w: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gridSpan w:val="3"/>
          </w:tcPr>
          <w:p>
            <w:pPr>
              <w:jc w:val="center"/>
              <w:ind w:right="800"/>
              <w:spacing w:after="0" w:line="108"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June 30,</w:t>
            </w: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89"/>
              </w:rPr>
              <w:t>Period</w:t>
            </w: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3"/>
          </w:tcPr>
          <w:p>
            <w:pPr>
              <w:jc w:val="center"/>
              <w:ind w:right="800"/>
              <w:spacing w:after="0"/>
              <w:rPr>
                <w:sz w:val="20"/>
                <w:szCs w:val="20"/>
                <w:color w:val="auto"/>
              </w:rPr>
            </w:pPr>
            <w:r>
              <w:rPr>
                <w:rFonts w:ascii="Arial" w:cs="Arial" w:eastAsia="Arial" w:hAnsi="Arial"/>
                <w:sz w:val="10"/>
                <w:szCs w:val="10"/>
                <w:b w:val="1"/>
                <w:bCs w:val="1"/>
                <w:color w:val="auto"/>
                <w:w w:val="89"/>
              </w:rPr>
              <w:t>June 30,</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w w:val="89"/>
              </w:rPr>
              <w:t>2010</w:t>
            </w:r>
          </w:p>
        </w:tc>
        <w:tc>
          <w:tcPr>
            <w:tcW w:w="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8"/>
              </w:rPr>
              <w:t>Change</w:t>
            </w: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Borders>
              <w:top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rPr>
              <w:t>2010</w:t>
            </w:r>
          </w:p>
        </w:tc>
        <w:tc>
          <w:tcPr>
            <w:tcW w:w="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gridSpan w:val="2"/>
          </w:tcPr>
          <w:p>
            <w:pPr>
              <w:jc w:val="right"/>
              <w:ind w:right="100"/>
              <w:spacing w:after="0" w:line="98" w:lineRule="exact"/>
              <w:rPr>
                <w:sz w:val="20"/>
                <w:szCs w:val="20"/>
                <w:color w:val="auto"/>
              </w:rPr>
            </w:pPr>
            <w:r>
              <w:rPr>
                <w:rFonts w:ascii="Arial" w:cs="Arial" w:eastAsia="Arial" w:hAnsi="Arial"/>
                <w:sz w:val="10"/>
                <w:szCs w:val="10"/>
                <w:b w:val="1"/>
                <w:bCs w:val="1"/>
                <w:color w:val="auto"/>
              </w:rPr>
              <w:t>2009</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1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567</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0.2%</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$ 1,147</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$ 1,122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25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57"/>
        </w:trPr>
        <w:tc>
          <w:tcPr>
            <w:tcW w:w="4160" w:type="dxa"/>
            <w:vAlign w:val="bottom"/>
          </w:tcPr>
          <w:p>
            <w:pPr>
              <w:spacing w:after="0"/>
              <w:rPr>
                <w:sz w:val="20"/>
                <w:szCs w:val="20"/>
                <w:color w:val="auto"/>
              </w:rPr>
            </w:pPr>
            <w:r>
              <w:rPr>
                <w:rFonts w:ascii="Arial" w:cs="Arial" w:eastAsia="Arial" w:hAnsi="Arial"/>
                <w:sz w:val="13"/>
                <w:szCs w:val="13"/>
                <w:color w:val="auto"/>
              </w:rPr>
              <w:t>Transfer and disposal costs</w:t>
            </w:r>
          </w:p>
        </w:tc>
        <w:tc>
          <w:tcPr>
            <w:tcW w:w="80" w:type="dxa"/>
            <w:vAlign w:val="bottom"/>
          </w:tcPr>
          <w:p>
            <w:pPr>
              <w:spacing w:after="0"/>
              <w:rPr>
                <w:sz w:val="13"/>
                <w:szCs w:val="13"/>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249</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243</w:t>
            </w:r>
          </w:p>
        </w:tc>
        <w:tc>
          <w:tcPr>
            <w:tcW w:w="80" w:type="dxa"/>
            <w:vAlign w:val="bottom"/>
          </w:tcPr>
          <w:p>
            <w:pPr>
              <w:spacing w:after="0"/>
              <w:rPr>
                <w:sz w:val="13"/>
                <w:szCs w:val="13"/>
                <w:color w:val="auto"/>
              </w:rPr>
            </w:pPr>
          </w:p>
        </w:tc>
        <w:tc>
          <w:tcPr>
            <w:tcW w:w="700" w:type="dxa"/>
            <w:vAlign w:val="bottom"/>
            <w:gridSpan w:val="2"/>
          </w:tcPr>
          <w:p>
            <w:pPr>
              <w:jc w:val="right"/>
              <w:ind w:right="428"/>
              <w:spacing w:after="0"/>
              <w:rPr>
                <w:sz w:val="20"/>
                <w:szCs w:val="20"/>
                <w:color w:val="auto"/>
              </w:rPr>
            </w:pPr>
            <w:r>
              <w:rPr>
                <w:rFonts w:ascii="Arial" w:cs="Arial" w:eastAsia="Arial" w:hAnsi="Arial"/>
                <w:sz w:val="13"/>
                <w:szCs w:val="13"/>
                <w:color w:val="auto"/>
              </w:rPr>
              <w:t>6</w:t>
            </w:r>
          </w:p>
        </w:tc>
        <w:tc>
          <w:tcPr>
            <w:tcW w:w="720" w:type="dxa"/>
            <w:vAlign w:val="bottom"/>
            <w:gridSpan w:val="2"/>
          </w:tcPr>
          <w:p>
            <w:pPr>
              <w:jc w:val="right"/>
              <w:ind w:right="420"/>
              <w:spacing w:after="0"/>
              <w:rPr>
                <w:sz w:val="20"/>
                <w:szCs w:val="20"/>
                <w:color w:val="auto"/>
              </w:rPr>
            </w:pPr>
            <w:r>
              <w:rPr>
                <w:rFonts w:ascii="Arial" w:cs="Arial" w:eastAsia="Arial" w:hAnsi="Arial"/>
                <w:sz w:val="13"/>
                <w:szCs w:val="13"/>
                <w:color w:val="auto"/>
              </w:rPr>
              <w:t>2.5</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469</w:t>
            </w: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459</w:t>
            </w:r>
          </w:p>
        </w:tc>
        <w:tc>
          <w:tcPr>
            <w:tcW w:w="80" w:type="dxa"/>
            <w:vAlign w:val="bottom"/>
          </w:tcPr>
          <w:p>
            <w:pPr>
              <w:spacing w:after="0"/>
              <w:rPr>
                <w:sz w:val="13"/>
                <w:szCs w:val="13"/>
                <w:color w:val="auto"/>
              </w:rPr>
            </w:pPr>
          </w:p>
        </w:tc>
        <w:tc>
          <w:tcPr>
            <w:tcW w:w="700" w:type="dxa"/>
            <w:vAlign w:val="bottom"/>
            <w:gridSpan w:val="2"/>
          </w:tcPr>
          <w:p>
            <w:pPr>
              <w:jc w:val="right"/>
              <w:ind w:right="428"/>
              <w:spacing w:after="0"/>
              <w:rPr>
                <w:sz w:val="20"/>
                <w:szCs w:val="20"/>
                <w:color w:val="auto"/>
              </w:rPr>
            </w:pPr>
            <w:r>
              <w:rPr>
                <w:rFonts w:ascii="Arial" w:cs="Arial" w:eastAsia="Arial" w:hAnsi="Arial"/>
                <w:sz w:val="13"/>
                <w:szCs w:val="13"/>
                <w:color w:val="auto"/>
              </w:rPr>
              <w:t>10</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57"/>
        </w:trPr>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Maintenance and repairs</w:t>
            </w: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262</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4</w:t>
            </w: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1.6</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530</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527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3</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57"/>
        </w:trPr>
        <w:tc>
          <w:tcPr>
            <w:tcW w:w="4160" w:type="dxa"/>
            <w:vAlign w:val="bottom"/>
          </w:tcPr>
          <w:p>
            <w:pPr>
              <w:spacing w:after="0"/>
              <w:rPr>
                <w:sz w:val="20"/>
                <w:szCs w:val="20"/>
                <w:color w:val="auto"/>
              </w:rPr>
            </w:pPr>
            <w:r>
              <w:rPr>
                <w:rFonts w:ascii="Arial" w:cs="Arial" w:eastAsia="Arial" w:hAnsi="Arial"/>
                <w:sz w:val="13"/>
                <w:szCs w:val="13"/>
                <w:color w:val="auto"/>
              </w:rPr>
              <w:t>Subcontractor costs</w:t>
            </w:r>
          </w:p>
        </w:tc>
        <w:tc>
          <w:tcPr>
            <w:tcW w:w="80" w:type="dxa"/>
            <w:vAlign w:val="bottom"/>
          </w:tcPr>
          <w:p>
            <w:pPr>
              <w:spacing w:after="0"/>
              <w:rPr>
                <w:sz w:val="13"/>
                <w:szCs w:val="13"/>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195</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180</w:t>
            </w:r>
          </w:p>
        </w:tc>
        <w:tc>
          <w:tcPr>
            <w:tcW w:w="80" w:type="dxa"/>
            <w:vAlign w:val="bottom"/>
          </w:tcPr>
          <w:p>
            <w:pPr>
              <w:spacing w:after="0"/>
              <w:rPr>
                <w:sz w:val="13"/>
                <w:szCs w:val="13"/>
                <w:color w:val="auto"/>
              </w:rPr>
            </w:pPr>
          </w:p>
        </w:tc>
        <w:tc>
          <w:tcPr>
            <w:tcW w:w="700" w:type="dxa"/>
            <w:vAlign w:val="bottom"/>
            <w:gridSpan w:val="2"/>
          </w:tcPr>
          <w:p>
            <w:pPr>
              <w:jc w:val="right"/>
              <w:ind w:right="428"/>
              <w:spacing w:after="0"/>
              <w:rPr>
                <w:sz w:val="20"/>
                <w:szCs w:val="20"/>
                <w:color w:val="auto"/>
              </w:rPr>
            </w:pPr>
            <w:r>
              <w:rPr>
                <w:rFonts w:ascii="Arial" w:cs="Arial" w:eastAsia="Arial" w:hAnsi="Arial"/>
                <w:sz w:val="13"/>
                <w:szCs w:val="13"/>
                <w:color w:val="auto"/>
              </w:rPr>
              <w:t>15</w:t>
            </w:r>
          </w:p>
        </w:tc>
        <w:tc>
          <w:tcPr>
            <w:tcW w:w="720" w:type="dxa"/>
            <w:vAlign w:val="bottom"/>
            <w:gridSpan w:val="2"/>
          </w:tcPr>
          <w:p>
            <w:pPr>
              <w:jc w:val="right"/>
              <w:ind w:right="420"/>
              <w:spacing w:after="0"/>
              <w:rPr>
                <w:sz w:val="20"/>
                <w:szCs w:val="20"/>
                <w:color w:val="auto"/>
              </w:rPr>
            </w:pPr>
            <w:r>
              <w:rPr>
                <w:rFonts w:ascii="Arial" w:cs="Arial" w:eastAsia="Arial" w:hAnsi="Arial"/>
                <w:sz w:val="13"/>
                <w:szCs w:val="13"/>
                <w:color w:val="auto"/>
              </w:rPr>
              <w:t>8.3</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360</w:t>
            </w: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350</w:t>
            </w:r>
          </w:p>
        </w:tc>
        <w:tc>
          <w:tcPr>
            <w:tcW w:w="80" w:type="dxa"/>
            <w:vAlign w:val="bottom"/>
          </w:tcPr>
          <w:p>
            <w:pPr>
              <w:spacing w:after="0"/>
              <w:rPr>
                <w:sz w:val="13"/>
                <w:szCs w:val="13"/>
                <w:color w:val="auto"/>
              </w:rPr>
            </w:pPr>
          </w:p>
        </w:tc>
        <w:tc>
          <w:tcPr>
            <w:tcW w:w="700" w:type="dxa"/>
            <w:vAlign w:val="bottom"/>
            <w:gridSpan w:val="2"/>
          </w:tcPr>
          <w:p>
            <w:pPr>
              <w:jc w:val="right"/>
              <w:ind w:right="428"/>
              <w:spacing w:after="0"/>
              <w:rPr>
                <w:sz w:val="20"/>
                <w:szCs w:val="20"/>
                <w:color w:val="auto"/>
              </w:rPr>
            </w:pPr>
            <w:r>
              <w:rPr>
                <w:rFonts w:ascii="Arial" w:cs="Arial" w:eastAsia="Arial" w:hAnsi="Arial"/>
                <w:sz w:val="13"/>
                <w:szCs w:val="13"/>
                <w:color w:val="auto"/>
              </w:rPr>
              <w:t>10</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57"/>
        </w:trPr>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Cost of goods sold</w:t>
            </w: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181</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77</w:t>
            </w: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74.0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354</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200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w w:val="92"/>
              </w:rPr>
              <w:t>154</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77.0</w:t>
            </w:r>
          </w:p>
        </w:tc>
        <w:tc>
          <w:tcPr>
            <w:tcW w:w="0" w:type="dxa"/>
            <w:vAlign w:val="bottom"/>
          </w:tcPr>
          <w:p>
            <w:pPr>
              <w:spacing w:after="0"/>
              <w:rPr>
                <w:sz w:val="1"/>
                <w:szCs w:val="1"/>
                <w:color w:val="auto"/>
              </w:rPr>
            </w:pPr>
          </w:p>
        </w:tc>
      </w:tr>
      <w:tr>
        <w:trPr>
          <w:trHeight w:val="157"/>
        </w:trPr>
        <w:tc>
          <w:tcPr>
            <w:tcW w:w="4160" w:type="dxa"/>
            <w:vAlign w:val="bottom"/>
          </w:tcPr>
          <w:p>
            <w:pPr>
              <w:spacing w:after="0"/>
              <w:rPr>
                <w:sz w:val="20"/>
                <w:szCs w:val="20"/>
                <w:color w:val="auto"/>
              </w:rPr>
            </w:pPr>
            <w:r>
              <w:rPr>
                <w:rFonts w:ascii="Arial" w:cs="Arial" w:eastAsia="Arial" w:hAnsi="Arial"/>
                <w:sz w:val="13"/>
                <w:szCs w:val="13"/>
                <w:color w:val="auto"/>
              </w:rPr>
              <w:t>Fuel</w:t>
            </w:r>
          </w:p>
        </w:tc>
        <w:tc>
          <w:tcPr>
            <w:tcW w:w="80" w:type="dxa"/>
            <w:vAlign w:val="bottom"/>
          </w:tcPr>
          <w:p>
            <w:pPr>
              <w:spacing w:after="0"/>
              <w:rPr>
                <w:sz w:val="13"/>
                <w:szCs w:val="13"/>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127</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98</w:t>
            </w:r>
          </w:p>
        </w:tc>
        <w:tc>
          <w:tcPr>
            <w:tcW w:w="80" w:type="dxa"/>
            <w:vAlign w:val="bottom"/>
          </w:tcPr>
          <w:p>
            <w:pPr>
              <w:spacing w:after="0"/>
              <w:rPr>
                <w:sz w:val="13"/>
                <w:szCs w:val="13"/>
                <w:color w:val="auto"/>
              </w:rPr>
            </w:pPr>
          </w:p>
        </w:tc>
        <w:tc>
          <w:tcPr>
            <w:tcW w:w="700" w:type="dxa"/>
            <w:vAlign w:val="bottom"/>
            <w:gridSpan w:val="2"/>
          </w:tcPr>
          <w:p>
            <w:pPr>
              <w:jc w:val="right"/>
              <w:ind w:right="428"/>
              <w:spacing w:after="0"/>
              <w:rPr>
                <w:sz w:val="20"/>
                <w:szCs w:val="20"/>
                <w:color w:val="auto"/>
              </w:rPr>
            </w:pPr>
            <w:r>
              <w:rPr>
                <w:rFonts w:ascii="Arial" w:cs="Arial" w:eastAsia="Arial" w:hAnsi="Arial"/>
                <w:sz w:val="13"/>
                <w:szCs w:val="13"/>
                <w:color w:val="auto"/>
              </w:rPr>
              <w:t>29</w:t>
            </w:r>
          </w:p>
        </w:tc>
        <w:tc>
          <w:tcPr>
            <w:tcW w:w="720" w:type="dxa"/>
            <w:vAlign w:val="bottom"/>
            <w:gridSpan w:val="2"/>
          </w:tcPr>
          <w:p>
            <w:pPr>
              <w:jc w:val="right"/>
              <w:ind w:right="420"/>
              <w:spacing w:after="0"/>
              <w:rPr>
                <w:sz w:val="20"/>
                <w:szCs w:val="20"/>
                <w:color w:val="auto"/>
              </w:rPr>
            </w:pPr>
            <w:r>
              <w:rPr>
                <w:rFonts w:ascii="Arial" w:cs="Arial" w:eastAsia="Arial" w:hAnsi="Arial"/>
                <w:sz w:val="13"/>
                <w:szCs w:val="13"/>
                <w:color w:val="auto"/>
              </w:rPr>
              <w:t>29.6</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244</w:t>
            </w: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187</w:t>
            </w:r>
          </w:p>
        </w:tc>
        <w:tc>
          <w:tcPr>
            <w:tcW w:w="80" w:type="dxa"/>
            <w:vAlign w:val="bottom"/>
          </w:tcPr>
          <w:p>
            <w:pPr>
              <w:spacing w:after="0"/>
              <w:rPr>
                <w:sz w:val="13"/>
                <w:szCs w:val="13"/>
                <w:color w:val="auto"/>
              </w:rPr>
            </w:pPr>
          </w:p>
        </w:tc>
        <w:tc>
          <w:tcPr>
            <w:tcW w:w="700" w:type="dxa"/>
            <w:vAlign w:val="bottom"/>
            <w:gridSpan w:val="2"/>
          </w:tcPr>
          <w:p>
            <w:pPr>
              <w:jc w:val="right"/>
              <w:ind w:right="428"/>
              <w:spacing w:after="0"/>
              <w:rPr>
                <w:sz w:val="20"/>
                <w:szCs w:val="20"/>
                <w:color w:val="auto"/>
              </w:rPr>
            </w:pPr>
            <w:r>
              <w:rPr>
                <w:rFonts w:ascii="Arial" w:cs="Arial" w:eastAsia="Arial" w:hAnsi="Arial"/>
                <w:sz w:val="13"/>
                <w:szCs w:val="13"/>
                <w:color w:val="auto"/>
              </w:rPr>
              <w:t>57</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30.5</w:t>
            </w:r>
          </w:p>
        </w:tc>
        <w:tc>
          <w:tcPr>
            <w:tcW w:w="0" w:type="dxa"/>
            <w:vAlign w:val="bottom"/>
          </w:tcPr>
          <w:p>
            <w:pPr>
              <w:spacing w:after="0"/>
              <w:rPr>
                <w:sz w:val="1"/>
                <w:szCs w:val="1"/>
                <w:color w:val="auto"/>
              </w:rPr>
            </w:pPr>
          </w:p>
        </w:tc>
      </w:tr>
      <w:tr>
        <w:trPr>
          <w:trHeight w:val="157"/>
        </w:trPr>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Disposal and franchise fees and taxes</w:t>
            </w: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152</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3</w:t>
            </w: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289</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284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5</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4160" w:type="dxa"/>
            <w:vAlign w:val="bottom"/>
          </w:tcPr>
          <w:p>
            <w:pPr>
              <w:spacing w:after="0"/>
              <w:rPr>
                <w:sz w:val="20"/>
                <w:szCs w:val="20"/>
                <w:color w:val="auto"/>
              </w:rPr>
            </w:pPr>
            <w:r>
              <w:rPr>
                <w:rFonts w:ascii="Arial" w:cs="Arial" w:eastAsia="Arial" w:hAnsi="Arial"/>
                <w:sz w:val="13"/>
                <w:szCs w:val="13"/>
                <w:color w:val="auto"/>
              </w:rPr>
              <w:t>Landfill operating costs</w:t>
            </w:r>
          </w:p>
        </w:tc>
        <w:tc>
          <w:tcPr>
            <w:tcW w:w="80" w:type="dxa"/>
            <w:vAlign w:val="bottom"/>
          </w:tcPr>
          <w:p>
            <w:pPr>
              <w:spacing w:after="0"/>
              <w:rPr>
                <w:sz w:val="13"/>
                <w:szCs w:val="13"/>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110</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44</w:t>
            </w:r>
          </w:p>
        </w:tc>
        <w:tc>
          <w:tcPr>
            <w:tcW w:w="80" w:type="dxa"/>
            <w:vAlign w:val="bottom"/>
          </w:tcPr>
          <w:p>
            <w:pPr>
              <w:spacing w:after="0"/>
              <w:rPr>
                <w:sz w:val="13"/>
                <w:szCs w:val="13"/>
                <w:color w:val="auto"/>
              </w:rPr>
            </w:pPr>
          </w:p>
        </w:tc>
        <w:tc>
          <w:tcPr>
            <w:tcW w:w="700" w:type="dxa"/>
            <w:vAlign w:val="bottom"/>
            <w:gridSpan w:val="2"/>
          </w:tcPr>
          <w:p>
            <w:pPr>
              <w:jc w:val="right"/>
              <w:ind w:right="428"/>
              <w:spacing w:after="0"/>
              <w:rPr>
                <w:sz w:val="20"/>
                <w:szCs w:val="20"/>
                <w:color w:val="auto"/>
              </w:rPr>
            </w:pPr>
            <w:r>
              <w:rPr>
                <w:rFonts w:ascii="Arial" w:cs="Arial" w:eastAsia="Arial" w:hAnsi="Arial"/>
                <w:sz w:val="13"/>
                <w:szCs w:val="13"/>
                <w:color w:val="auto"/>
              </w:rPr>
              <w:t>66</w:t>
            </w:r>
          </w:p>
        </w:tc>
        <w:tc>
          <w:tcPr>
            <w:tcW w:w="720" w:type="dxa"/>
            <w:vAlign w:val="bottom"/>
            <w:gridSpan w:val="2"/>
          </w:tcPr>
          <w:p>
            <w:pPr>
              <w:jc w:val="right"/>
              <w:ind w:right="420"/>
              <w:spacing w:after="0"/>
              <w:rPr>
                <w:sz w:val="20"/>
                <w:szCs w:val="20"/>
                <w:color w:val="auto"/>
              </w:rPr>
            </w:pPr>
            <w:r>
              <w:rPr>
                <w:rFonts w:ascii="Arial" w:cs="Arial" w:eastAsia="Arial" w:hAnsi="Arial"/>
                <w:sz w:val="13"/>
                <w:szCs w:val="13"/>
                <w:color w:val="auto"/>
                <w:w w:val="85"/>
              </w:rPr>
              <w:t>150.0</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175</w:t>
            </w: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87</w:t>
            </w:r>
          </w:p>
        </w:tc>
        <w:tc>
          <w:tcPr>
            <w:tcW w:w="80" w:type="dxa"/>
            <w:vAlign w:val="bottom"/>
          </w:tcPr>
          <w:p>
            <w:pPr>
              <w:spacing w:after="0"/>
              <w:rPr>
                <w:sz w:val="13"/>
                <w:szCs w:val="13"/>
                <w:color w:val="auto"/>
              </w:rPr>
            </w:pPr>
          </w:p>
        </w:tc>
        <w:tc>
          <w:tcPr>
            <w:tcW w:w="700" w:type="dxa"/>
            <w:vAlign w:val="bottom"/>
            <w:gridSpan w:val="2"/>
          </w:tcPr>
          <w:p>
            <w:pPr>
              <w:jc w:val="right"/>
              <w:ind w:right="428"/>
              <w:spacing w:after="0"/>
              <w:rPr>
                <w:sz w:val="20"/>
                <w:szCs w:val="20"/>
                <w:color w:val="auto"/>
              </w:rPr>
            </w:pPr>
            <w:r>
              <w:rPr>
                <w:rFonts w:ascii="Arial" w:cs="Arial" w:eastAsia="Arial" w:hAnsi="Arial"/>
                <w:sz w:val="13"/>
                <w:szCs w:val="13"/>
                <w:color w:val="auto"/>
              </w:rPr>
              <w:t>88</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w w:val="85"/>
              </w:rPr>
              <w:t>101.1</w:t>
            </w:r>
          </w:p>
        </w:tc>
        <w:tc>
          <w:tcPr>
            <w:tcW w:w="0" w:type="dxa"/>
            <w:vAlign w:val="bottom"/>
          </w:tcPr>
          <w:p>
            <w:pPr>
              <w:spacing w:after="0"/>
              <w:rPr>
                <w:sz w:val="1"/>
                <w:szCs w:val="1"/>
                <w:color w:val="auto"/>
              </w:rPr>
            </w:pPr>
          </w:p>
        </w:tc>
      </w:tr>
      <w:tr>
        <w:trPr>
          <w:trHeight w:val="157"/>
        </w:trPr>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Risk management</w:t>
            </w: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46</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(4)</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99</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(1)</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4160" w:type="dxa"/>
            <w:vAlign w:val="bottom"/>
          </w:tcPr>
          <w:p>
            <w:pPr>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3"/>
                <w:szCs w:val="13"/>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107</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94</w:t>
            </w:r>
          </w:p>
        </w:tc>
        <w:tc>
          <w:tcPr>
            <w:tcW w:w="80" w:type="dxa"/>
            <w:vAlign w:val="bottom"/>
          </w:tcPr>
          <w:p>
            <w:pPr>
              <w:spacing w:after="0"/>
              <w:rPr>
                <w:sz w:val="13"/>
                <w:szCs w:val="13"/>
                <w:color w:val="auto"/>
              </w:rPr>
            </w:pPr>
          </w:p>
        </w:tc>
        <w:tc>
          <w:tcPr>
            <w:tcW w:w="700" w:type="dxa"/>
            <w:vAlign w:val="bottom"/>
            <w:gridSpan w:val="2"/>
          </w:tcPr>
          <w:p>
            <w:pPr>
              <w:jc w:val="right"/>
              <w:ind w:right="428"/>
              <w:spacing w:after="0"/>
              <w:rPr>
                <w:sz w:val="20"/>
                <w:szCs w:val="20"/>
                <w:color w:val="auto"/>
              </w:rPr>
            </w:pPr>
            <w:r>
              <w:rPr>
                <w:rFonts w:ascii="Arial" w:cs="Arial" w:eastAsia="Arial" w:hAnsi="Arial"/>
                <w:sz w:val="13"/>
                <w:szCs w:val="13"/>
                <w:color w:val="auto"/>
              </w:rPr>
              <w:t>13</w:t>
            </w:r>
          </w:p>
        </w:tc>
        <w:tc>
          <w:tcPr>
            <w:tcW w:w="720" w:type="dxa"/>
            <w:vAlign w:val="bottom"/>
            <w:gridSpan w:val="2"/>
          </w:tcPr>
          <w:p>
            <w:pPr>
              <w:jc w:val="right"/>
              <w:ind w:right="420"/>
              <w:spacing w:after="0"/>
              <w:rPr>
                <w:sz w:val="20"/>
                <w:szCs w:val="20"/>
                <w:color w:val="auto"/>
              </w:rPr>
            </w:pPr>
            <w:r>
              <w:rPr>
                <w:rFonts w:ascii="Arial" w:cs="Arial" w:eastAsia="Arial" w:hAnsi="Arial"/>
                <w:sz w:val="13"/>
                <w:szCs w:val="13"/>
                <w:color w:val="auto"/>
              </w:rPr>
              <w:t>13.8</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210</w:t>
            </w: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195</w:t>
            </w:r>
          </w:p>
        </w:tc>
        <w:tc>
          <w:tcPr>
            <w:tcW w:w="80" w:type="dxa"/>
            <w:vAlign w:val="bottom"/>
          </w:tcPr>
          <w:p>
            <w:pPr>
              <w:spacing w:after="0"/>
              <w:rPr>
                <w:sz w:val="13"/>
                <w:szCs w:val="13"/>
                <w:color w:val="auto"/>
              </w:rPr>
            </w:pPr>
          </w:p>
        </w:tc>
        <w:tc>
          <w:tcPr>
            <w:tcW w:w="700" w:type="dxa"/>
            <w:vAlign w:val="bottom"/>
            <w:gridSpan w:val="2"/>
          </w:tcPr>
          <w:p>
            <w:pPr>
              <w:jc w:val="right"/>
              <w:ind w:right="428"/>
              <w:spacing w:after="0"/>
              <w:rPr>
                <w:sz w:val="20"/>
                <w:szCs w:val="20"/>
                <w:color w:val="auto"/>
              </w:rPr>
            </w:pPr>
            <w:r>
              <w:rPr>
                <w:rFonts w:ascii="Arial" w:cs="Arial" w:eastAsia="Arial" w:hAnsi="Arial"/>
                <w:sz w:val="13"/>
                <w:szCs w:val="13"/>
                <w:color w:val="auto"/>
              </w:rPr>
              <w:t>15</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1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5"/>
              </w:rPr>
              <w:t>1,996</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5"/>
              </w:rPr>
              <w:t>1,786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w w:val="92"/>
              </w:rPr>
              <w:t>210</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11.8%</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$ 3,877</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$ 3,511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w w:val="92"/>
              </w:rPr>
              <w:t>366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29"/>
        </w:trPr>
        <w:tc>
          <w:tcPr>
            <w:tcW w:w="4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Significant changes in our operating expenses by category are discussed below:</w:t>
      </w:r>
    </w:p>
    <w:p>
      <w:pPr>
        <w:spacing w:after="0" w:line="96" w:lineRule="exact"/>
        <w:rPr>
          <w:sz w:val="20"/>
          <w:szCs w:val="20"/>
          <w:color w:val="auto"/>
        </w:rPr>
      </w:pPr>
    </w:p>
    <w:p>
      <w:pPr>
        <w:ind w:left="1280" w:right="60" w:hanging="190"/>
        <w:spacing w:after="0" w:line="289" w:lineRule="auto"/>
        <w:tabs>
          <w:tab w:leader="none" w:pos="1280" w:val="left"/>
        </w:tabs>
        <w:numPr>
          <w:ilvl w:val="0"/>
          <w:numId w:val="28"/>
        </w:numPr>
        <w:rPr>
          <w:rFonts w:ascii="Arial" w:cs="Arial" w:eastAsia="Arial" w:hAnsi="Arial"/>
          <w:sz w:val="12"/>
          <w:szCs w:val="12"/>
          <w:color w:val="auto"/>
        </w:rPr>
      </w:pPr>
      <w:r>
        <w:rPr>
          <w:rFonts w:ascii="Arial" w:cs="Arial" w:eastAsia="Arial" w:hAnsi="Arial"/>
          <w:sz w:val="12"/>
          <w:szCs w:val="12"/>
          <w:i w:val="1"/>
          <w:iCs w:val="1"/>
          <w:color w:val="auto"/>
        </w:rPr>
        <w:t xml:space="preserve">Labor and related benefits </w:t>
      </w:r>
      <w:r>
        <w:rPr>
          <w:rFonts w:ascii="Arial" w:cs="Arial" w:eastAsia="Arial" w:hAnsi="Arial"/>
          <w:sz w:val="12"/>
          <w:szCs w:val="12"/>
          <w:color w:val="auto"/>
        </w:rPr>
        <w:t>— The year-to-date increase was due largely to a $28 million charge incurred by our Midwest Group as a result of bargaining unit employees in</w:t>
      </w:r>
      <w:r>
        <w:rPr>
          <w:rFonts w:ascii="Arial" w:cs="Arial" w:eastAsia="Arial" w:hAnsi="Arial"/>
          <w:sz w:val="12"/>
          <w:szCs w:val="12"/>
          <w:i w:val="1"/>
          <w:iCs w:val="1"/>
          <w:color w:val="auto"/>
        </w:rPr>
        <w:t xml:space="preserve"> </w:t>
      </w:r>
      <w:r>
        <w:rPr>
          <w:rFonts w:ascii="Arial" w:cs="Arial" w:eastAsia="Arial" w:hAnsi="Arial"/>
          <w:sz w:val="12"/>
          <w:szCs w:val="12"/>
          <w:color w:val="auto"/>
        </w:rPr>
        <w:t>Michigan and Ohio agreeing to our proposal to withdraw them from an under-funded multi-employer pension plan during the first quarter of 2010. In the second quarter of 2009, we recognized a charge of $9 million related to bargaining unit employees in New Jersey agreeing to a similar proposal. Our 2010 expenses also increased as a result of (i) higher salaries and wages due to merit increases that were effective in July 2009 for hourly employees and in April 2010 for both</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right="120"/>
        <w:spacing w:after="0" w:line="276" w:lineRule="auto"/>
        <w:rPr>
          <w:sz w:val="20"/>
          <w:szCs w:val="20"/>
          <w:color w:val="auto"/>
        </w:rPr>
      </w:pPr>
      <w:r>
        <w:rPr>
          <w:rFonts w:ascii="Arial" w:cs="Arial" w:eastAsia="Arial" w:hAnsi="Arial"/>
          <w:sz w:val="13"/>
          <w:szCs w:val="13"/>
          <w:color w:val="auto"/>
        </w:rPr>
        <w:t>salaried and hourly employees; (ii) additional expenses incurred for acquisitions and growth opportunities; and (iii) the strengthening Canadian dollar. These cost increases were offset, in part, by cost savings that have been achieved as volumes declined.</w:t>
      </w:r>
    </w:p>
    <w:p>
      <w:pPr>
        <w:spacing w:after="0" w:line="59" w:lineRule="exact"/>
        <w:rPr>
          <w:sz w:val="20"/>
          <w:szCs w:val="20"/>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Cost of goods sold </w:t>
      </w:r>
      <w:r>
        <w:rPr>
          <w:rFonts w:ascii="Arial" w:cs="Arial" w:eastAsia="Arial" w:hAnsi="Arial"/>
          <w:sz w:val="13"/>
          <w:szCs w:val="13"/>
          <w:color w:val="auto"/>
        </w:rPr>
        <w:t>— The significant increase was a result of the improvement in recycling commodity pricing discussed above.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9"/>
        </w:numPr>
        <w:rPr>
          <w:rFonts w:ascii="Arial" w:cs="Arial" w:eastAsia="Arial" w:hAnsi="Arial"/>
          <w:sz w:val="12"/>
          <w:szCs w:val="12"/>
          <w:color w:val="auto"/>
        </w:rPr>
      </w:pPr>
      <w:r>
        <w:rPr>
          <w:rFonts w:ascii="Arial" w:cs="Arial" w:eastAsia="Arial" w:hAnsi="Arial"/>
          <w:sz w:val="12"/>
          <w:szCs w:val="12"/>
          <w:i w:val="1"/>
          <w:iCs w:val="1"/>
          <w:color w:val="auto"/>
        </w:rPr>
        <w:t xml:space="preserve">Fuel </w:t>
      </w:r>
      <w:r>
        <w:rPr>
          <w:rFonts w:ascii="Arial" w:cs="Arial" w:eastAsia="Arial" w:hAnsi="Arial"/>
          <w:sz w:val="12"/>
          <w:szCs w:val="12"/>
          <w:color w:val="auto"/>
        </w:rPr>
        <w:t>— Higher direct costs for diesel fuel were due to an increase in market prices on a year-over-year basis of 30% for the three and six months ended June 30, 2010.</w:t>
      </w:r>
    </w:p>
    <w:p>
      <w:pPr>
        <w:spacing w:after="0" w:line="97" w:lineRule="exact"/>
        <w:rPr>
          <w:rFonts w:ascii="Arial" w:cs="Arial" w:eastAsia="Arial" w:hAnsi="Arial"/>
          <w:sz w:val="12"/>
          <w:szCs w:val="12"/>
          <w:color w:val="auto"/>
        </w:rPr>
      </w:pPr>
    </w:p>
    <w:p>
      <w:pPr>
        <w:ind w:left="1280" w:right="100" w:hanging="190"/>
        <w:spacing w:after="0" w:line="255"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Landfill operating costs </w:t>
      </w:r>
      <w:r>
        <w:rPr>
          <w:rFonts w:ascii="Arial" w:cs="Arial" w:eastAsia="Arial" w:hAnsi="Arial"/>
          <w:sz w:val="13"/>
          <w:szCs w:val="13"/>
          <w:color w:val="auto"/>
        </w:rPr>
        <w:t>— Increases in these costs in the current year were due, in part, to (i) the recognition of charges of $39 million during the three months ended June 30,</w:t>
      </w:r>
      <w:r>
        <w:rPr>
          <w:rFonts w:ascii="Arial" w:cs="Arial" w:eastAsia="Arial" w:hAnsi="Arial"/>
          <w:sz w:val="13"/>
          <w:szCs w:val="13"/>
          <w:i w:val="1"/>
          <w:iCs w:val="1"/>
          <w:color w:val="auto"/>
        </w:rPr>
        <w:t xml:space="preserve"> </w:t>
      </w:r>
      <w:r>
        <w:rPr>
          <w:rFonts w:ascii="Arial" w:cs="Arial" w:eastAsia="Arial" w:hAnsi="Arial"/>
          <w:sz w:val="13"/>
          <w:szCs w:val="13"/>
          <w:color w:val="auto"/>
        </w:rPr>
        <w:t>2010 for revisions of estimates associated with remedial liabilities at two landfills that were closed prior to our acquisition of predecessor companies that operated these sites; (ii) the prior year recognition of favorable adjustments of $22 million for the three months ended June 30, 2009 and $32 million for the six months ended June 30, 2009 due to higher United States Treasury rates, which are used to estimate the present value of our environmental remediation obligations and recovery assets; and (iii) the current year recognition of an unfavorable adjustment of $10 million during the three months ended June 30, 2010 due to the decrease in United States Treasury rates. During the second quarter of 2009, the discount rate used to estimate the present value of our environmental remediation obligations and recovery assets was increased from 2.75% to 3.50% and during the first quarter of 2009, the discount rate used was increased from 2.25% to 2.75%. During the second quarter of 2010, the discount rate used was decreased from 3.75% to 3.00%.</w:t>
      </w:r>
    </w:p>
    <w:p>
      <w:pPr>
        <w:spacing w:after="0" w:line="66" w:lineRule="exact"/>
        <w:rPr>
          <w:rFonts w:ascii="Arial" w:cs="Arial" w:eastAsia="Arial" w:hAnsi="Arial"/>
          <w:sz w:val="13"/>
          <w:szCs w:val="13"/>
          <w:color w:val="auto"/>
        </w:rPr>
      </w:pPr>
    </w:p>
    <w:p>
      <w:pPr>
        <w:ind w:left="1280" w:right="60" w:hanging="190"/>
        <w:spacing w:after="0" w:line="260"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Other — </w:t>
      </w:r>
      <w:r>
        <w:rPr>
          <w:rFonts w:ascii="Arial" w:cs="Arial" w:eastAsia="Arial" w:hAnsi="Arial"/>
          <w:sz w:val="13"/>
          <w:szCs w:val="13"/>
          <w:color w:val="auto"/>
        </w:rPr>
        <w:t>The increase in costs when comparing the three and six months ended June 30, 2010 with the comparable prior year amounts were attributable, in part, to (i) our various</w:t>
      </w:r>
      <w:r>
        <w:rPr>
          <w:rFonts w:ascii="Arial" w:cs="Arial" w:eastAsia="Arial" w:hAnsi="Arial"/>
          <w:sz w:val="13"/>
          <w:szCs w:val="13"/>
          <w:i w:val="1"/>
          <w:iCs w:val="1"/>
          <w:color w:val="auto"/>
        </w:rPr>
        <w:t xml:space="preserve"> </w:t>
      </w:r>
      <w:r>
        <w:rPr>
          <w:rFonts w:ascii="Arial" w:cs="Arial" w:eastAsia="Arial" w:hAnsi="Arial"/>
          <w:sz w:val="13"/>
          <w:szCs w:val="13"/>
          <w:color w:val="auto"/>
        </w:rPr>
        <w:t>growth and business development initiatives, (ii) the oil spill clean-up project in the gulf coast region, and (iii) recently acquired businesses. These cost increases were offset in part by an increase in gains recognized from sales of surplus real estate assets during the three and six months ended June 30, 2010 compared with the respective prior year periods.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Selling, General and Administrative</w:t>
      </w:r>
    </w:p>
    <w:p>
      <w:pPr>
        <w:spacing w:after="0" w:line="96" w:lineRule="exact"/>
        <w:rPr>
          <w:sz w:val="20"/>
          <w:szCs w:val="20"/>
          <w:color w:val="auto"/>
        </w:rPr>
      </w:pPr>
    </w:p>
    <w:p>
      <w:pPr>
        <w:ind w:left="680" w:right="20" w:firstLine="399"/>
        <w:spacing w:after="0" w:line="316" w:lineRule="auto"/>
        <w:rPr>
          <w:sz w:val="20"/>
          <w:szCs w:val="20"/>
          <w:color w:val="auto"/>
        </w:rPr>
      </w:pPr>
      <w:r>
        <w:rPr>
          <w:rFonts w:ascii="Arial" w:cs="Arial" w:eastAsia="Arial" w:hAnsi="Arial"/>
          <w:sz w:val="11"/>
          <w:szCs w:val="11"/>
          <w:color w:val="auto"/>
        </w:rPr>
        <w:t>Our selling, general and administrative expenses increased by $22 million, or 6.8%, and $36 million, or 5.5%, when comparing the three and six months ended June 30, 2010 with the comparable prior-year periods. The increases are largely due to (i) increased costs of $14 million and $28 million during the three- and six-month periods, respectively, incurred to support our strategic plan to grow into new markets and provide expanded service offerings; and (ii) increased costs of $5 million and $9 million during the three- and six-month periods, respectively, resulting from improvements we are making to our information technology systems. Our selling, general and administrative expenses as a percentage of revenues were 10.9% for both the second quarter of 2009 and second quarter of 2010, and decreased from 11.5% for the six months ended June 30, 2009 to 11.4% for the six months ended June 30, 2010.</w:t>
      </w:r>
    </w:p>
    <w:p>
      <w:pPr>
        <w:spacing w:after="0" w:line="4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summarizes the major components of our selling, general and administrative costs for the three- and six-month periods ended June 30 (dollars in millions):</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760" w:type="dxa"/>
            <w:vAlign w:val="bottom"/>
          </w:tcPr>
          <w:p>
            <w:pPr>
              <w:spacing w:after="0"/>
              <w:rPr>
                <w:sz w:val="10"/>
                <w:szCs w:val="10"/>
                <w:color w:val="auto"/>
              </w:rPr>
            </w:pPr>
          </w:p>
        </w:tc>
        <w:tc>
          <w:tcPr>
            <w:tcW w:w="136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w w:val="97"/>
              </w:rPr>
              <w:t>Three Months</w:t>
            </w:r>
          </w:p>
        </w:tc>
        <w:tc>
          <w:tcPr>
            <w:tcW w:w="24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3"/>
              </w:rPr>
              <w:t>Period-to-</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60" w:type="dxa"/>
            <w:vAlign w:val="bottom"/>
            <w:gridSpan w:val="4"/>
          </w:tcPr>
          <w:p>
            <w:pPr>
              <w:jc w:val="center"/>
              <w:ind w:right="380"/>
              <w:spacing w:after="0"/>
              <w:rPr>
                <w:sz w:val="20"/>
                <w:szCs w:val="20"/>
                <w:color w:val="auto"/>
              </w:rPr>
            </w:pPr>
            <w:r>
              <w:rPr>
                <w:rFonts w:ascii="Arial" w:cs="Arial" w:eastAsia="Arial" w:hAnsi="Arial"/>
                <w:sz w:val="10"/>
                <w:szCs w:val="10"/>
                <w:b w:val="1"/>
                <w:bCs w:val="1"/>
                <w:color w:val="auto"/>
                <w:w w:val="93"/>
              </w:rPr>
              <w:t>Six Months</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Period-to-</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gridSpan w:val="3"/>
          </w:tcPr>
          <w:p>
            <w:pPr>
              <w:jc w:val="center"/>
              <w:ind w:right="680"/>
              <w:spacing w:after="0" w:line="108" w:lineRule="exact"/>
              <w:rPr>
                <w:sz w:val="20"/>
                <w:szCs w:val="20"/>
                <w:color w:val="auto"/>
              </w:rPr>
            </w:pPr>
            <w:r>
              <w:rPr>
                <w:rFonts w:ascii="Arial" w:cs="Arial" w:eastAsia="Arial" w:hAnsi="Arial"/>
                <w:sz w:val="10"/>
                <w:szCs w:val="10"/>
                <w:b w:val="1"/>
                <w:bCs w:val="1"/>
                <w:color w:val="auto"/>
                <w:w w:val="98"/>
              </w:rPr>
              <w:t>Ended</w:t>
            </w:r>
          </w:p>
        </w:tc>
        <w:tc>
          <w:tcPr>
            <w:tcW w:w="24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gridSpan w:val="3"/>
          </w:tcPr>
          <w:p>
            <w:pPr>
              <w:jc w:val="center"/>
              <w:ind w:right="680"/>
              <w:spacing w:after="0" w:line="108" w:lineRule="exact"/>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3"/>
          </w:tcPr>
          <w:p>
            <w:pPr>
              <w:jc w:val="center"/>
              <w:ind w:right="680"/>
              <w:spacing w:after="0"/>
              <w:rPr>
                <w:sz w:val="20"/>
                <w:szCs w:val="20"/>
                <w:color w:val="auto"/>
              </w:rPr>
            </w:pPr>
            <w:r>
              <w:rPr>
                <w:rFonts w:ascii="Arial" w:cs="Arial" w:eastAsia="Arial" w:hAnsi="Arial"/>
                <w:sz w:val="10"/>
                <w:szCs w:val="10"/>
                <w:b w:val="1"/>
                <w:bCs w:val="1"/>
                <w:color w:val="auto"/>
                <w:w w:val="94"/>
              </w:rPr>
              <w:t>June 30,</w:t>
            </w:r>
          </w:p>
        </w:tc>
        <w:tc>
          <w:tcPr>
            <w:tcW w:w="24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89"/>
              </w:rPr>
              <w:t>Period</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3"/>
          </w:tcPr>
          <w:p>
            <w:pPr>
              <w:jc w:val="center"/>
              <w:ind w:right="680"/>
              <w:spacing w:after="0"/>
              <w:rPr>
                <w:sz w:val="20"/>
                <w:szCs w:val="20"/>
                <w:color w:val="auto"/>
              </w:rPr>
            </w:pPr>
            <w:r>
              <w:rPr>
                <w:rFonts w:ascii="Arial" w:cs="Arial" w:eastAsia="Arial" w:hAnsi="Arial"/>
                <w:sz w:val="10"/>
                <w:szCs w:val="10"/>
                <w:b w:val="1"/>
                <w:bCs w:val="1"/>
                <w:color w:val="auto"/>
                <w:w w:val="94"/>
              </w:rPr>
              <w:t>June 30,</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760" w:type="dxa"/>
            <w:vAlign w:val="bottom"/>
          </w:tcPr>
          <w:p>
            <w:pPr>
              <w:spacing w:after="0"/>
              <w:rPr>
                <w:sz w:val="8"/>
                <w:szCs w:val="8"/>
                <w:color w:val="auto"/>
              </w:rPr>
            </w:pPr>
          </w:p>
        </w:tc>
        <w:tc>
          <w:tcPr>
            <w:tcW w:w="2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2010</w:t>
            </w:r>
          </w:p>
        </w:tc>
        <w:tc>
          <w:tcPr>
            <w:tcW w:w="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gridSpan w:val="2"/>
          </w:tcPr>
          <w:p>
            <w:pPr>
              <w:jc w:val="right"/>
              <w:ind w:right="40"/>
              <w:spacing w:after="0" w:line="98" w:lineRule="exact"/>
              <w:rPr>
                <w:sz w:val="20"/>
                <w:szCs w:val="20"/>
                <w:color w:val="auto"/>
              </w:rPr>
            </w:pPr>
            <w:r>
              <w:rPr>
                <w:rFonts w:ascii="Arial" w:cs="Arial" w:eastAsia="Arial" w:hAnsi="Arial"/>
                <w:sz w:val="10"/>
                <w:szCs w:val="10"/>
                <w:b w:val="1"/>
                <w:bCs w:val="1"/>
                <w:color w:val="auto"/>
              </w:rPr>
              <w:t>2009</w:t>
            </w: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8"/>
              </w:rPr>
              <w:t>Change</w:t>
            </w: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680" w:type="dxa"/>
            <w:vAlign w:val="bottom"/>
            <w:tcBorders>
              <w:top w:val="single" w:sz="8" w:color="auto"/>
            </w:tcBorders>
            <w:gridSpan w:val="2"/>
          </w:tcPr>
          <w:p>
            <w:pPr>
              <w:jc w:val="right"/>
              <w:ind w:right="60"/>
              <w:spacing w:after="0" w:line="98" w:lineRule="exact"/>
              <w:rPr>
                <w:sz w:val="20"/>
                <w:szCs w:val="20"/>
                <w:color w:val="auto"/>
              </w:rPr>
            </w:pPr>
            <w:r>
              <w:rPr>
                <w:rFonts w:ascii="Arial" w:cs="Arial" w:eastAsia="Arial" w:hAnsi="Arial"/>
                <w:sz w:val="10"/>
                <w:szCs w:val="10"/>
                <w:b w:val="1"/>
                <w:bCs w:val="1"/>
                <w:color w:val="auto"/>
              </w:rPr>
              <w:t>2009</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76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76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5"/>
              </w:rPr>
              <w:t>$ 202</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$ 186</w:t>
            </w:r>
          </w:p>
        </w:tc>
        <w:tc>
          <w:tcPr>
            <w:tcW w:w="72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w w:val="86"/>
              </w:rPr>
              <w:t>$ 16</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8.6%</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$ 410</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$ 382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28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57"/>
        </w:trPr>
        <w:tc>
          <w:tcPr>
            <w:tcW w:w="4760" w:type="dxa"/>
            <w:vAlign w:val="bottom"/>
          </w:tcPr>
          <w:p>
            <w:pPr>
              <w:spacing w:after="0"/>
              <w:rPr>
                <w:sz w:val="20"/>
                <w:szCs w:val="20"/>
                <w:color w:val="auto"/>
              </w:rPr>
            </w:pPr>
            <w:r>
              <w:rPr>
                <w:rFonts w:ascii="Arial" w:cs="Arial" w:eastAsia="Arial" w:hAnsi="Arial"/>
                <w:sz w:val="13"/>
                <w:szCs w:val="13"/>
                <w:color w:val="auto"/>
              </w:rPr>
              <w:t>Professional fees</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41</w:t>
            </w:r>
          </w:p>
        </w:tc>
        <w:tc>
          <w:tcPr>
            <w:tcW w:w="1060" w:type="dxa"/>
            <w:vAlign w:val="bottom"/>
            <w:gridSpan w:val="3"/>
          </w:tcPr>
          <w:p>
            <w:pPr>
              <w:jc w:val="right"/>
              <w:ind w:right="380"/>
              <w:spacing w:after="0"/>
              <w:rPr>
                <w:sz w:val="20"/>
                <w:szCs w:val="20"/>
                <w:color w:val="auto"/>
              </w:rPr>
            </w:pPr>
            <w:r>
              <w:rPr>
                <w:rFonts w:ascii="Arial" w:cs="Arial" w:eastAsia="Arial" w:hAnsi="Arial"/>
                <w:sz w:val="13"/>
                <w:szCs w:val="13"/>
                <w:color w:val="auto"/>
              </w:rPr>
              <w:t>44</w:t>
            </w:r>
          </w:p>
        </w:tc>
        <w:tc>
          <w:tcPr>
            <w:tcW w:w="720" w:type="dxa"/>
            <w:vAlign w:val="bottom"/>
            <w:gridSpan w:val="2"/>
          </w:tcPr>
          <w:p>
            <w:pPr>
              <w:jc w:val="right"/>
              <w:ind w:right="388"/>
              <w:spacing w:after="0"/>
              <w:rPr>
                <w:sz w:val="20"/>
                <w:szCs w:val="20"/>
                <w:color w:val="auto"/>
              </w:rPr>
            </w:pPr>
            <w:r>
              <w:rPr>
                <w:rFonts w:ascii="Arial" w:cs="Arial" w:eastAsia="Arial" w:hAnsi="Arial"/>
                <w:sz w:val="13"/>
                <w:szCs w:val="13"/>
                <w:color w:val="auto"/>
              </w:rPr>
              <w:t>(3)</w:t>
            </w:r>
          </w:p>
        </w:tc>
        <w:tc>
          <w:tcPr>
            <w:tcW w:w="640" w:type="dxa"/>
            <w:vAlign w:val="bottom"/>
            <w:gridSpan w:val="2"/>
          </w:tcPr>
          <w:p>
            <w:pPr>
              <w:jc w:val="right"/>
              <w:ind w:right="360"/>
              <w:spacing w:after="0"/>
              <w:rPr>
                <w:sz w:val="20"/>
                <w:szCs w:val="20"/>
                <w:color w:val="auto"/>
              </w:rPr>
            </w:pPr>
            <w:r>
              <w:rPr>
                <w:rFonts w:ascii="Arial" w:cs="Arial" w:eastAsia="Arial" w:hAnsi="Arial"/>
                <w:sz w:val="13"/>
                <w:szCs w:val="13"/>
                <w:color w:val="auto"/>
                <w:w w:val="97"/>
              </w:rPr>
              <w:t>(6.8)</w:t>
            </w:r>
          </w:p>
        </w:tc>
        <w:tc>
          <w:tcPr>
            <w:tcW w:w="300" w:type="dxa"/>
            <w:vAlign w:val="bottom"/>
          </w:tcPr>
          <w:p>
            <w:pPr>
              <w:jc w:val="right"/>
              <w:spacing w:after="0"/>
              <w:rPr>
                <w:sz w:val="20"/>
                <w:szCs w:val="20"/>
                <w:color w:val="auto"/>
              </w:rPr>
            </w:pPr>
            <w:r>
              <w:rPr>
                <w:rFonts w:ascii="Arial" w:cs="Arial" w:eastAsia="Arial" w:hAnsi="Arial"/>
                <w:sz w:val="13"/>
                <w:szCs w:val="13"/>
                <w:color w:val="auto"/>
              </w:rPr>
              <w:t>83</w:t>
            </w:r>
          </w:p>
        </w:tc>
        <w:tc>
          <w:tcPr>
            <w:tcW w:w="1060" w:type="dxa"/>
            <w:vAlign w:val="bottom"/>
            <w:gridSpan w:val="3"/>
          </w:tcPr>
          <w:p>
            <w:pPr>
              <w:jc w:val="right"/>
              <w:ind w:right="380"/>
              <w:spacing w:after="0"/>
              <w:rPr>
                <w:sz w:val="20"/>
                <w:szCs w:val="20"/>
                <w:color w:val="auto"/>
              </w:rPr>
            </w:pPr>
            <w:r>
              <w:rPr>
                <w:rFonts w:ascii="Arial" w:cs="Arial" w:eastAsia="Arial" w:hAnsi="Arial"/>
                <w:sz w:val="13"/>
                <w:szCs w:val="13"/>
                <w:color w:val="auto"/>
              </w:rPr>
              <w:t>78</w:t>
            </w:r>
          </w:p>
        </w:tc>
        <w:tc>
          <w:tcPr>
            <w:tcW w:w="80" w:type="dxa"/>
            <w:vAlign w:val="bottom"/>
          </w:tcPr>
          <w:p>
            <w:pPr>
              <w:spacing w:after="0"/>
              <w:rPr>
                <w:sz w:val="13"/>
                <w:szCs w:val="13"/>
                <w:color w:val="auto"/>
              </w:rPr>
            </w:pPr>
          </w:p>
        </w:tc>
        <w:tc>
          <w:tcPr>
            <w:tcW w:w="660" w:type="dxa"/>
            <w:vAlign w:val="bottom"/>
            <w:gridSpan w:val="2"/>
          </w:tcPr>
          <w:p>
            <w:pPr>
              <w:jc w:val="right"/>
              <w:ind w:right="408"/>
              <w:spacing w:after="0"/>
              <w:rPr>
                <w:sz w:val="20"/>
                <w:szCs w:val="20"/>
                <w:color w:val="auto"/>
              </w:rPr>
            </w:pPr>
            <w:r>
              <w:rPr>
                <w:rFonts w:ascii="Arial" w:cs="Arial" w:eastAsia="Arial" w:hAnsi="Arial"/>
                <w:sz w:val="13"/>
                <w:szCs w:val="13"/>
                <w:color w:val="auto"/>
              </w:rPr>
              <w:t>5</w:t>
            </w: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57"/>
        </w:trPr>
        <w:tc>
          <w:tcPr>
            <w:tcW w:w="476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bad debts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11</w:t>
            </w:r>
          </w:p>
        </w:tc>
        <w:tc>
          <w:tcPr>
            <w:tcW w:w="72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(1)</w:t>
            </w: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7"/>
              </w:rPr>
              <w:t>(9.1)</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w w:val="94"/>
              </w:rPr>
              <w:t>(10)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4"/>
              </w:rPr>
              <w:t>(31.3)</w:t>
            </w:r>
          </w:p>
        </w:tc>
        <w:tc>
          <w:tcPr>
            <w:tcW w:w="0" w:type="dxa"/>
            <w:vAlign w:val="bottom"/>
          </w:tcPr>
          <w:p>
            <w:pPr>
              <w:spacing w:after="0"/>
              <w:rPr>
                <w:sz w:val="1"/>
                <w:szCs w:val="1"/>
                <w:color w:val="auto"/>
              </w:rPr>
            </w:pPr>
          </w:p>
        </w:tc>
      </w:tr>
      <w:tr>
        <w:trPr>
          <w:trHeight w:val="157"/>
        </w:trPr>
        <w:tc>
          <w:tcPr>
            <w:tcW w:w="4760" w:type="dxa"/>
            <w:vAlign w:val="bottom"/>
          </w:tcPr>
          <w:p>
            <w:pPr>
              <w:spacing w:after="0"/>
              <w:rPr>
                <w:sz w:val="20"/>
                <w:szCs w:val="20"/>
                <w:color w:val="auto"/>
              </w:rPr>
            </w:pPr>
            <w:r>
              <w:rPr>
                <w:rFonts w:ascii="Arial" w:cs="Arial" w:eastAsia="Arial" w:hAnsi="Arial"/>
                <w:sz w:val="13"/>
                <w:szCs w:val="13"/>
                <w:color w:val="auto"/>
              </w:rPr>
              <w:t>Other</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92</w:t>
            </w:r>
          </w:p>
        </w:tc>
        <w:tc>
          <w:tcPr>
            <w:tcW w:w="1060" w:type="dxa"/>
            <w:vAlign w:val="bottom"/>
            <w:gridSpan w:val="3"/>
          </w:tcPr>
          <w:p>
            <w:pPr>
              <w:jc w:val="right"/>
              <w:ind w:right="380"/>
              <w:spacing w:after="0"/>
              <w:rPr>
                <w:sz w:val="20"/>
                <w:szCs w:val="20"/>
                <w:color w:val="auto"/>
              </w:rPr>
            </w:pPr>
            <w:r>
              <w:rPr>
                <w:rFonts w:ascii="Arial" w:cs="Arial" w:eastAsia="Arial" w:hAnsi="Arial"/>
                <w:sz w:val="13"/>
                <w:szCs w:val="13"/>
                <w:color w:val="auto"/>
              </w:rPr>
              <w:t>82</w:t>
            </w:r>
          </w:p>
        </w:tc>
        <w:tc>
          <w:tcPr>
            <w:tcW w:w="720" w:type="dxa"/>
            <w:vAlign w:val="bottom"/>
            <w:gridSpan w:val="2"/>
          </w:tcPr>
          <w:p>
            <w:pPr>
              <w:jc w:val="right"/>
              <w:ind w:right="428"/>
              <w:spacing w:after="0"/>
              <w:rPr>
                <w:sz w:val="20"/>
                <w:szCs w:val="20"/>
                <w:color w:val="auto"/>
              </w:rPr>
            </w:pPr>
            <w:r>
              <w:rPr>
                <w:rFonts w:ascii="Arial" w:cs="Arial" w:eastAsia="Arial" w:hAnsi="Arial"/>
                <w:sz w:val="13"/>
                <w:szCs w:val="13"/>
                <w:color w:val="auto"/>
              </w:rPr>
              <w:t>10</w:t>
            </w: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w w:val="86"/>
              </w:rPr>
              <w:t>12.2</w:t>
            </w:r>
          </w:p>
        </w:tc>
        <w:tc>
          <w:tcPr>
            <w:tcW w:w="300" w:type="dxa"/>
            <w:vAlign w:val="bottom"/>
          </w:tcPr>
          <w:p>
            <w:pPr>
              <w:jc w:val="right"/>
              <w:spacing w:after="0"/>
              <w:rPr>
                <w:sz w:val="20"/>
                <w:szCs w:val="20"/>
                <w:color w:val="auto"/>
              </w:rPr>
            </w:pPr>
            <w:r>
              <w:rPr>
                <w:rFonts w:ascii="Arial" w:cs="Arial" w:eastAsia="Arial" w:hAnsi="Arial"/>
                <w:sz w:val="13"/>
                <w:szCs w:val="13"/>
                <w:color w:val="auto"/>
              </w:rPr>
              <w:t>181</w:t>
            </w:r>
          </w:p>
        </w:tc>
        <w:tc>
          <w:tcPr>
            <w:tcW w:w="1060" w:type="dxa"/>
            <w:vAlign w:val="bottom"/>
            <w:gridSpan w:val="3"/>
          </w:tcPr>
          <w:p>
            <w:pPr>
              <w:jc w:val="right"/>
              <w:ind w:right="380"/>
              <w:spacing w:after="0"/>
              <w:rPr>
                <w:sz w:val="20"/>
                <w:szCs w:val="20"/>
                <w:color w:val="auto"/>
              </w:rPr>
            </w:pPr>
            <w:r>
              <w:rPr>
                <w:rFonts w:ascii="Arial" w:cs="Arial" w:eastAsia="Arial" w:hAnsi="Arial"/>
                <w:sz w:val="13"/>
                <w:szCs w:val="13"/>
                <w:color w:val="auto"/>
              </w:rPr>
              <w:t>168</w:t>
            </w:r>
          </w:p>
        </w:tc>
        <w:tc>
          <w:tcPr>
            <w:tcW w:w="80" w:type="dxa"/>
            <w:vAlign w:val="bottom"/>
          </w:tcPr>
          <w:p>
            <w:pPr>
              <w:spacing w:after="0"/>
              <w:rPr>
                <w:sz w:val="13"/>
                <w:szCs w:val="13"/>
                <w:color w:val="auto"/>
              </w:rPr>
            </w:pPr>
          </w:p>
        </w:tc>
        <w:tc>
          <w:tcPr>
            <w:tcW w:w="660" w:type="dxa"/>
            <w:vAlign w:val="bottom"/>
            <w:gridSpan w:val="2"/>
          </w:tcPr>
          <w:p>
            <w:pPr>
              <w:jc w:val="right"/>
              <w:ind w:right="408"/>
              <w:spacing w:after="0"/>
              <w:rPr>
                <w:sz w:val="20"/>
                <w:szCs w:val="20"/>
                <w:color w:val="auto"/>
              </w:rPr>
            </w:pPr>
            <w:r>
              <w:rPr>
                <w:rFonts w:ascii="Arial" w:cs="Arial" w:eastAsia="Arial" w:hAnsi="Arial"/>
                <w:sz w:val="13"/>
                <w:szCs w:val="13"/>
                <w:color w:val="auto"/>
              </w:rPr>
              <w:t>13</w:t>
            </w: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5"/>
              </w:rPr>
              <w:t>$ 345</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$ 323</w:t>
            </w:r>
          </w:p>
        </w:tc>
        <w:tc>
          <w:tcPr>
            <w:tcW w:w="72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w w:val="86"/>
              </w:rPr>
              <w:t>$ 22</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6.8%</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$ 696</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$ 660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36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29"/>
        </w:trPr>
        <w:tc>
          <w:tcPr>
            <w:tcW w:w="47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i w:val="1"/>
          <w:iCs w:val="1"/>
          <w:color w:val="auto"/>
        </w:rPr>
        <w:t xml:space="preserve">Labor and related benefits </w:t>
      </w:r>
      <w:r>
        <w:rPr>
          <w:rFonts w:ascii="Arial" w:cs="Arial" w:eastAsia="Arial" w:hAnsi="Arial"/>
          <w:sz w:val="13"/>
          <w:szCs w:val="13"/>
          <w:color w:val="auto"/>
        </w:rPr>
        <w:t>— In 2010, our labor and related benefits costs have increased due to (i) higher non-cash compensation costs incurred for equity awards granted under our</w:t>
      </w:r>
      <w:r>
        <w:rPr>
          <w:rFonts w:ascii="Arial" w:cs="Arial" w:eastAsia="Arial" w:hAnsi="Arial"/>
          <w:sz w:val="13"/>
          <w:szCs w:val="13"/>
          <w:i w:val="1"/>
          <w:iCs w:val="1"/>
          <w:color w:val="auto"/>
        </w:rPr>
        <w:t xml:space="preserve"> </w:t>
      </w:r>
      <w:r>
        <w:rPr>
          <w:rFonts w:ascii="Arial" w:cs="Arial" w:eastAsia="Arial" w:hAnsi="Arial"/>
          <w:sz w:val="13"/>
          <w:szCs w:val="13"/>
          <w:color w:val="auto"/>
        </w:rPr>
        <w:t>long-term incentive plans; (ii) higher salaried and hourly wages from our growth initiatives and annual merit increases; (iii) increased contract labor costs as a result of our current focus on optimizing our information technology systems; and (iv) increased severance costs, primarily in the second quarter of 2010. These increases were partially offset by a decrease in bonus expense in</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82" w:lineRule="auto"/>
        <w:rPr>
          <w:sz w:val="20"/>
          <w:szCs w:val="20"/>
          <w:color w:val="auto"/>
        </w:rPr>
      </w:pPr>
      <w:r>
        <w:rPr>
          <w:rFonts w:ascii="Arial" w:cs="Arial" w:eastAsia="Arial" w:hAnsi="Arial"/>
          <w:sz w:val="12"/>
          <w:szCs w:val="12"/>
          <w:color w:val="auto"/>
        </w:rPr>
        <w:t>2010. Additionally, our salary deferral plan, the costs of which are directly affected by equity-market conditions, increased our costs in the first quarter of 2010 and subsequently decreased our costs in the second quarter of 2010. In the second quarter of 2009 all of the compensation costs previously recognized for our 2008 performance share units were reversed based on a determination at that point in time that it was no longer probable that the targets established for that award would be met, which is a contributing factor to the increase in non-cash compensation costs. Additionally, certain equity awards granted during the first quarter of 2010 provide for continued vesting for three years following an employee’s retirement. Because retirement-eligible employees are not required to provide any future service to vest in these awards, we recognized all of the compensation expense associated with their awards immediately. This retirement provision was not included in equity awards granted in 2009.</w:t>
      </w:r>
    </w:p>
    <w:p>
      <w:pPr>
        <w:spacing w:after="0" w:line="5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i w:val="1"/>
          <w:iCs w:val="1"/>
          <w:color w:val="auto"/>
        </w:rPr>
        <w:t xml:space="preserve">Professional fees </w:t>
      </w:r>
      <w:r>
        <w:rPr>
          <w:rFonts w:ascii="Arial" w:cs="Arial" w:eastAsia="Arial" w:hAnsi="Arial"/>
          <w:sz w:val="13"/>
          <w:szCs w:val="13"/>
          <w:color w:val="auto"/>
        </w:rPr>
        <w:t>— Changes in our professional fees are attributed to current period increases in consulting fees for both the three- and six-month periods, driven primarily by</w:t>
      </w:r>
      <w:r>
        <w:rPr>
          <w:rFonts w:ascii="Arial" w:cs="Arial" w:eastAsia="Arial" w:hAnsi="Arial"/>
          <w:sz w:val="13"/>
          <w:szCs w:val="13"/>
          <w:i w:val="1"/>
          <w:iCs w:val="1"/>
          <w:color w:val="auto"/>
        </w:rPr>
        <w:t xml:space="preserve"> </w:t>
      </w:r>
      <w:r>
        <w:rPr>
          <w:rFonts w:ascii="Arial" w:cs="Arial" w:eastAsia="Arial" w:hAnsi="Arial"/>
          <w:sz w:val="13"/>
          <w:szCs w:val="13"/>
          <w:color w:val="auto"/>
        </w:rPr>
        <w:t>improvements we are making to our information technology systems and our strategic plan to grow into new markets and provide expanded service offerings; offset largely by (i) higher costs during 2009 related to the expansion of our waste-to-energy business in China, Europe and the United States; and (ii) a reduction in legal fees for the three months ended June 30, 2010 as compared with the prior year period.</w:t>
      </w:r>
    </w:p>
    <w:p>
      <w:pPr>
        <w:spacing w:after="0" w:line="70"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i w:val="1"/>
          <w:iCs w:val="1"/>
          <w:color w:val="auto"/>
        </w:rPr>
        <w:t xml:space="preserve">Provision for bad debts </w:t>
      </w:r>
      <w:r>
        <w:rPr>
          <w:rFonts w:ascii="Arial" w:cs="Arial" w:eastAsia="Arial" w:hAnsi="Arial"/>
          <w:sz w:val="12"/>
          <w:szCs w:val="12"/>
          <w:color w:val="auto"/>
        </w:rPr>
        <w:t>— Our provision for bad debts for the six months ended June 30, 2009, and particularly for the three months ended March 31, 2009, was significantly higher</w:t>
      </w:r>
      <w:r>
        <w:rPr>
          <w:rFonts w:ascii="Arial" w:cs="Arial" w:eastAsia="Arial" w:hAnsi="Arial"/>
          <w:sz w:val="12"/>
          <w:szCs w:val="12"/>
          <w:i w:val="1"/>
          <w:iCs w:val="1"/>
          <w:color w:val="auto"/>
        </w:rPr>
        <w:t xml:space="preserve"> </w:t>
      </w:r>
      <w:r>
        <w:rPr>
          <w:rFonts w:ascii="Arial" w:cs="Arial" w:eastAsia="Arial" w:hAnsi="Arial"/>
          <w:sz w:val="12"/>
          <w:szCs w:val="12"/>
          <w:color w:val="auto"/>
        </w:rPr>
        <w:t>than what we generally recognize due to the Company’s assessment in 2009 of the generally weak economic and market environment and the resulting impacts on our collection risk. We believe those risks have moderated. Accordingly, our provision for bad debts recognized for the six months ended June 30, 2010 is significantly lower than the prior year period. Additionally, the reduction in our provision for bad debts reflects management’s continued focus on the collection of our receivables.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Other </w:t>
      </w:r>
      <w:r>
        <w:rPr>
          <w:rFonts w:ascii="Arial" w:cs="Arial" w:eastAsia="Arial" w:hAnsi="Arial"/>
          <w:sz w:val="12"/>
          <w:szCs w:val="12"/>
          <w:color w:val="auto"/>
        </w:rPr>
        <w:t>— We experienced increases in our (i) marketing and advertising costs, due in part to our strategic plan to grow into new markets and provide expanded service offerings,</w:t>
      </w:r>
    </w:p>
    <w:p>
      <w:pPr>
        <w:spacing w:after="0" w:line="27" w:lineRule="exact"/>
        <w:rPr>
          <w:sz w:val="20"/>
          <w:szCs w:val="20"/>
          <w:color w:val="auto"/>
        </w:rPr>
      </w:pPr>
    </w:p>
    <w:p>
      <w:pPr>
        <w:ind w:left="880" w:hanging="193"/>
        <w:spacing w:after="0"/>
        <w:tabs>
          <w:tab w:leader="none" w:pos="8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travel and entertainment costs and (iii) seminars and education costs in the current year.</w:t>
      </w:r>
    </w:p>
    <w:p>
      <w:pPr>
        <w:spacing w:after="0" w:line="167" w:lineRule="exact"/>
        <w:rPr>
          <w:rFonts w:ascii="Arial" w:cs="Arial" w:eastAsia="Arial" w:hAnsi="Arial"/>
          <w:sz w:val="13"/>
          <w:szCs w:val="13"/>
          <w:color w:val="auto"/>
        </w:rPr>
      </w:pPr>
    </w:p>
    <w:p>
      <w:pPr>
        <w:ind w:left="880"/>
        <w:spacing w:after="0"/>
        <w:rPr>
          <w:rFonts w:ascii="Arial" w:cs="Arial" w:eastAsia="Arial" w:hAnsi="Arial"/>
          <w:sz w:val="13"/>
          <w:szCs w:val="13"/>
          <w:color w:val="auto"/>
        </w:rPr>
      </w:pPr>
      <w:r>
        <w:rPr>
          <w:rFonts w:ascii="Arial" w:cs="Arial" w:eastAsia="Arial" w:hAnsi="Arial"/>
          <w:sz w:val="13"/>
          <w:szCs w:val="13"/>
          <w:b w:val="1"/>
          <w:bCs w:val="1"/>
          <w:i w:val="1"/>
          <w:iCs w:val="1"/>
          <w:color w:val="auto"/>
        </w:rPr>
        <w:t>Depreciation and Amortization</w:t>
      </w:r>
    </w:p>
    <w:p>
      <w:pPr>
        <w:spacing w:after="0" w:line="96" w:lineRule="exact"/>
        <w:rPr>
          <w:rFonts w:ascii="Arial" w:cs="Arial" w:eastAsia="Arial" w:hAnsi="Arial"/>
          <w:sz w:val="13"/>
          <w:szCs w:val="13"/>
          <w:color w:val="auto"/>
        </w:rPr>
      </w:pPr>
    </w:p>
    <w:p>
      <w:pPr>
        <w:ind w:left="1080"/>
        <w:spacing w:after="0"/>
        <w:rPr>
          <w:rFonts w:ascii="Arial" w:cs="Arial" w:eastAsia="Arial" w:hAnsi="Arial"/>
          <w:sz w:val="13"/>
          <w:szCs w:val="13"/>
          <w:color w:val="auto"/>
        </w:rPr>
      </w:pPr>
      <w:r>
        <w:rPr>
          <w:rFonts w:ascii="Arial" w:cs="Arial" w:eastAsia="Arial" w:hAnsi="Arial"/>
          <w:sz w:val="13"/>
          <w:szCs w:val="13"/>
          <w:color w:val="auto"/>
        </w:rPr>
        <w:t>The following table summarizes the components of our depreciation and amortization costs for the three- and six-month periods ended June 30 (dollars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880" w:type="dxa"/>
            <w:vAlign w:val="bottom"/>
          </w:tcPr>
          <w:p>
            <w:pPr>
              <w:spacing w:after="0"/>
              <w:rPr>
                <w:sz w:val="10"/>
                <w:szCs w:val="10"/>
                <w:color w:val="auto"/>
              </w:rPr>
            </w:pPr>
          </w:p>
        </w:tc>
        <w:tc>
          <w:tcPr>
            <w:tcW w:w="1360" w:type="dxa"/>
            <w:vAlign w:val="bottom"/>
            <w:gridSpan w:val="4"/>
          </w:tcPr>
          <w:p>
            <w:pPr>
              <w:jc w:val="center"/>
              <w:ind w:right="400"/>
              <w:spacing w:after="0"/>
              <w:rPr>
                <w:sz w:val="20"/>
                <w:szCs w:val="20"/>
                <w:color w:val="auto"/>
              </w:rPr>
            </w:pPr>
            <w:r>
              <w:rPr>
                <w:rFonts w:ascii="Arial" w:cs="Arial" w:eastAsia="Arial" w:hAnsi="Arial"/>
                <w:sz w:val="10"/>
                <w:szCs w:val="10"/>
                <w:b w:val="1"/>
                <w:bCs w:val="1"/>
                <w:color w:val="auto"/>
                <w:w w:val="97"/>
              </w:rPr>
              <w:t>Three Months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3"/>
              </w:rPr>
              <w:t>Period-to-</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60" w:type="dxa"/>
            <w:vAlign w:val="bottom"/>
            <w:gridSpan w:val="4"/>
          </w:tcPr>
          <w:p>
            <w:pPr>
              <w:jc w:val="center"/>
              <w:ind w:right="400"/>
              <w:spacing w:after="0"/>
              <w:rPr>
                <w:sz w:val="20"/>
                <w:szCs w:val="20"/>
                <w:color w:val="auto"/>
              </w:rPr>
            </w:pPr>
            <w:r>
              <w:rPr>
                <w:rFonts w:ascii="Arial" w:cs="Arial" w:eastAsia="Arial" w:hAnsi="Arial"/>
                <w:sz w:val="10"/>
                <w:szCs w:val="10"/>
                <w:b w:val="1"/>
                <w:bCs w:val="1"/>
                <w:color w:val="auto"/>
                <w:w w:val="97"/>
              </w:rPr>
              <w:t>Six Months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vMerge w:val="restart"/>
          </w:tcPr>
          <w:p>
            <w:pPr>
              <w:jc w:val="center"/>
              <w:ind w:right="360"/>
              <w:spacing w:after="0"/>
              <w:rPr>
                <w:sz w:val="20"/>
                <w:szCs w:val="20"/>
                <w:color w:val="auto"/>
              </w:rPr>
            </w:pPr>
            <w:r>
              <w:rPr>
                <w:rFonts w:ascii="Arial" w:cs="Arial" w:eastAsia="Arial" w:hAnsi="Arial"/>
                <w:sz w:val="10"/>
                <w:szCs w:val="10"/>
                <w:b w:val="1"/>
                <w:bCs w:val="1"/>
                <w:color w:val="auto"/>
                <w:w w:val="97"/>
              </w:rPr>
              <w:t>Period-to-</w:t>
            </w:r>
          </w:p>
        </w:tc>
        <w:tc>
          <w:tcPr>
            <w:tcW w:w="0" w:type="dxa"/>
            <w:vAlign w:val="bottom"/>
          </w:tcPr>
          <w:p>
            <w:pPr>
              <w:spacing w:after="0"/>
              <w:rPr>
                <w:sz w:val="1"/>
                <w:szCs w:val="1"/>
                <w:color w:val="auto"/>
              </w:rPr>
            </w:pPr>
          </w:p>
        </w:tc>
      </w:tr>
      <w:tr>
        <w:trPr>
          <w:trHeight w:val="108"/>
        </w:trPr>
        <w:tc>
          <w:tcPr>
            <w:tcW w:w="4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gridSpan w:val="3"/>
          </w:tcPr>
          <w:p>
            <w:pPr>
              <w:jc w:val="center"/>
              <w:ind w:right="660"/>
              <w:spacing w:after="0" w:line="108" w:lineRule="exact"/>
              <w:rPr>
                <w:sz w:val="20"/>
                <w:szCs w:val="20"/>
                <w:color w:val="auto"/>
              </w:rPr>
            </w:pPr>
            <w:r>
              <w:rPr>
                <w:rFonts w:ascii="Arial" w:cs="Arial" w:eastAsia="Arial" w:hAnsi="Arial"/>
                <w:sz w:val="10"/>
                <w:szCs w:val="10"/>
                <w:b w:val="1"/>
                <w:bCs w:val="1"/>
                <w:color w:val="auto"/>
                <w:w w:val="98"/>
              </w:rPr>
              <w:t>Ended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gridSpan w:val="3"/>
          </w:tcPr>
          <w:p>
            <w:pPr>
              <w:jc w:val="center"/>
              <w:ind w:right="700"/>
              <w:spacing w:after="0" w:line="108"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gridSpan w:val="3"/>
          </w:tcPr>
          <w:p>
            <w:pPr>
              <w:jc w:val="center"/>
              <w:ind w:right="660"/>
              <w:spacing w:after="0"/>
              <w:rPr>
                <w:sz w:val="20"/>
                <w:szCs w:val="20"/>
                <w:color w:val="auto"/>
              </w:rPr>
            </w:pPr>
            <w:r>
              <w:rPr>
                <w:rFonts w:ascii="Arial" w:cs="Arial" w:eastAsia="Arial" w:hAnsi="Arial"/>
                <w:sz w:val="10"/>
                <w:szCs w:val="10"/>
                <w:b w:val="1"/>
                <w:bCs w:val="1"/>
                <w:color w:val="auto"/>
                <w:w w:val="94"/>
              </w:rPr>
              <w:t>June 30,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3"/>
          </w:tcPr>
          <w:p>
            <w:pPr>
              <w:jc w:val="center"/>
              <w:ind w:right="700"/>
              <w:spacing w:after="0"/>
              <w:rPr>
                <w:sz w:val="20"/>
                <w:szCs w:val="20"/>
                <w:color w:val="auto"/>
              </w:rPr>
            </w:pPr>
            <w:r>
              <w:rPr>
                <w:rFonts w:ascii="Arial" w:cs="Arial" w:eastAsia="Arial" w:hAnsi="Arial"/>
                <w:sz w:val="10"/>
                <w:szCs w:val="10"/>
                <w:b w:val="1"/>
                <w:bCs w:val="1"/>
                <w:color w:val="auto"/>
                <w:w w:val="89"/>
              </w:rPr>
              <w:t>June 30,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6"/>
              </w:rPr>
              <w:t>Period</w:t>
            </w:r>
          </w:p>
        </w:tc>
        <w:tc>
          <w:tcPr>
            <w:tcW w:w="0" w:type="dxa"/>
            <w:vAlign w:val="bottom"/>
          </w:tcPr>
          <w:p>
            <w:pPr>
              <w:spacing w:after="0"/>
              <w:rPr>
                <w:sz w:val="1"/>
                <w:szCs w:val="1"/>
                <w:color w:val="auto"/>
              </w:rPr>
            </w:pPr>
          </w:p>
        </w:tc>
      </w:tr>
      <w:tr>
        <w:trPr>
          <w:trHeight w:val="98"/>
        </w:trPr>
        <w:tc>
          <w:tcPr>
            <w:tcW w:w="4880" w:type="dxa"/>
            <w:vAlign w:val="bottom"/>
          </w:tcPr>
          <w:p>
            <w:pPr>
              <w:spacing w:after="0"/>
              <w:rPr>
                <w:sz w:val="8"/>
                <w:szCs w:val="8"/>
                <w:color w:val="auto"/>
              </w:rPr>
            </w:pPr>
          </w:p>
        </w:tc>
        <w:tc>
          <w:tcPr>
            <w:tcW w:w="2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2010</w:t>
            </w:r>
          </w:p>
        </w:tc>
        <w:tc>
          <w:tcPr>
            <w:tcW w:w="70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2010</w:t>
            </w:r>
          </w:p>
        </w:tc>
        <w:tc>
          <w:tcPr>
            <w:tcW w:w="66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2"/>
          </w:tcPr>
          <w:p>
            <w:pPr>
              <w:jc w:val="center"/>
              <w:ind w:right="360"/>
              <w:spacing w:after="0" w:line="98" w:lineRule="exact"/>
              <w:rPr>
                <w:sz w:val="20"/>
                <w:szCs w:val="20"/>
                <w:color w:val="auto"/>
              </w:rPr>
            </w:pPr>
            <w:r>
              <w:rPr>
                <w:rFonts w:ascii="Arial" w:cs="Arial" w:eastAsia="Arial" w:hAnsi="Arial"/>
                <w:sz w:val="10"/>
                <w:szCs w:val="10"/>
                <w:b w:val="1"/>
                <w:bCs w:val="1"/>
                <w:color w:val="auto"/>
                <w:w w:val="92"/>
              </w:rPr>
              <w:t>Change</w:t>
            </w:r>
          </w:p>
        </w:tc>
        <w:tc>
          <w:tcPr>
            <w:tcW w:w="0" w:type="dxa"/>
            <w:vAlign w:val="bottom"/>
          </w:tcPr>
          <w:p>
            <w:pPr>
              <w:spacing w:after="0"/>
              <w:rPr>
                <w:sz w:val="1"/>
                <w:szCs w:val="1"/>
                <w:color w:val="auto"/>
              </w:rPr>
            </w:pPr>
          </w:p>
        </w:tc>
      </w:tr>
      <w:tr>
        <w:trPr>
          <w:trHeight w:val="29"/>
        </w:trPr>
        <w:tc>
          <w:tcPr>
            <w:tcW w:w="48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880" w:type="dxa"/>
            <w:vAlign w:val="bottom"/>
            <w:shd w:val="clear" w:color="auto" w:fill="CCEEFF"/>
          </w:tcPr>
          <w:p>
            <w:pPr>
              <w:spacing w:after="0"/>
              <w:rPr>
                <w:sz w:val="20"/>
                <w:szCs w:val="20"/>
                <w:color w:val="auto"/>
              </w:rPr>
            </w:pPr>
            <w:r>
              <w:rPr>
                <w:rFonts w:ascii="Arial" w:cs="Arial" w:eastAsia="Arial" w:hAnsi="Arial"/>
                <w:sz w:val="13"/>
                <w:szCs w:val="13"/>
                <w:color w:val="auto"/>
              </w:rPr>
              <w:t>Depreciation of tangible property and equipment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9"/>
              </w:rPr>
              <w:t>$ 197</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$ 196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0.5%</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$ 391</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$ 391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880" w:type="dxa"/>
            <w:vAlign w:val="bottom"/>
          </w:tcPr>
          <w:p>
            <w:pPr>
              <w:spacing w:after="0"/>
              <w:rPr>
                <w:sz w:val="20"/>
                <w:szCs w:val="20"/>
                <w:color w:val="auto"/>
              </w:rPr>
            </w:pPr>
            <w:r>
              <w:rPr>
                <w:rFonts w:ascii="Arial" w:cs="Arial" w:eastAsia="Arial" w:hAnsi="Arial"/>
                <w:sz w:val="13"/>
                <w:szCs w:val="13"/>
                <w:color w:val="auto"/>
              </w:rPr>
              <w:t>Amortization of landfill airspace</w:t>
            </w:r>
          </w:p>
        </w:tc>
        <w:tc>
          <w:tcPr>
            <w:tcW w:w="280" w:type="dxa"/>
            <w:vAlign w:val="bottom"/>
          </w:tcPr>
          <w:p>
            <w:pPr>
              <w:jc w:val="right"/>
              <w:spacing w:after="0"/>
              <w:rPr>
                <w:sz w:val="20"/>
                <w:szCs w:val="20"/>
                <w:color w:val="auto"/>
              </w:rPr>
            </w:pPr>
            <w:r>
              <w:rPr>
                <w:rFonts w:ascii="Arial" w:cs="Arial" w:eastAsia="Arial" w:hAnsi="Arial"/>
                <w:sz w:val="13"/>
                <w:szCs w:val="13"/>
                <w:color w:val="auto"/>
              </w:rPr>
              <w:t>102</w:t>
            </w:r>
          </w:p>
        </w:tc>
        <w:tc>
          <w:tcPr>
            <w:tcW w:w="1080" w:type="dxa"/>
            <w:vAlign w:val="bottom"/>
            <w:gridSpan w:val="3"/>
          </w:tcPr>
          <w:p>
            <w:pPr>
              <w:jc w:val="right"/>
              <w:ind w:right="380"/>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3"/>
                <w:szCs w:val="13"/>
                <w:color w:val="auto"/>
              </w:rPr>
            </w:pPr>
          </w:p>
        </w:tc>
        <w:tc>
          <w:tcPr>
            <w:tcW w:w="580" w:type="dxa"/>
            <w:vAlign w:val="bottom"/>
            <w:gridSpan w:val="2"/>
          </w:tcPr>
          <w:p>
            <w:pPr>
              <w:jc w:val="right"/>
              <w:ind w:right="428"/>
              <w:spacing w:after="0"/>
              <w:rPr>
                <w:sz w:val="20"/>
                <w:szCs w:val="20"/>
                <w:color w:val="auto"/>
              </w:rPr>
            </w:pPr>
            <w:r>
              <w:rPr>
                <w:rFonts w:ascii="Arial" w:cs="Arial" w:eastAsia="Arial" w:hAnsi="Arial"/>
                <w:sz w:val="13"/>
                <w:szCs w:val="13"/>
                <w:color w:val="auto"/>
              </w:rPr>
              <w:t>2</w:t>
            </w: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2.0</w:t>
            </w:r>
          </w:p>
        </w:tc>
        <w:tc>
          <w:tcPr>
            <w:tcW w:w="300" w:type="dxa"/>
            <w:vAlign w:val="bottom"/>
          </w:tcPr>
          <w:p>
            <w:pPr>
              <w:jc w:val="right"/>
              <w:spacing w:after="0"/>
              <w:rPr>
                <w:sz w:val="20"/>
                <w:szCs w:val="20"/>
                <w:color w:val="auto"/>
              </w:rPr>
            </w:pPr>
            <w:r>
              <w:rPr>
                <w:rFonts w:ascii="Arial" w:cs="Arial" w:eastAsia="Arial" w:hAnsi="Arial"/>
                <w:sz w:val="13"/>
                <w:szCs w:val="13"/>
                <w:color w:val="auto"/>
              </w:rPr>
              <w:t>189</w:t>
            </w:r>
          </w:p>
        </w:tc>
        <w:tc>
          <w:tcPr>
            <w:tcW w:w="1060" w:type="dxa"/>
            <w:vAlign w:val="bottom"/>
            <w:gridSpan w:val="3"/>
          </w:tcPr>
          <w:p>
            <w:pPr>
              <w:jc w:val="right"/>
              <w:ind w:right="380"/>
              <w:spacing w:after="0"/>
              <w:rPr>
                <w:sz w:val="20"/>
                <w:szCs w:val="20"/>
                <w:color w:val="auto"/>
              </w:rPr>
            </w:pPr>
            <w:r>
              <w:rPr>
                <w:rFonts w:ascii="Arial" w:cs="Arial" w:eastAsia="Arial" w:hAnsi="Arial"/>
                <w:sz w:val="13"/>
                <w:szCs w:val="13"/>
                <w:color w:val="auto"/>
              </w:rPr>
              <w:t>188</w:t>
            </w:r>
          </w:p>
        </w:tc>
        <w:tc>
          <w:tcPr>
            <w:tcW w:w="8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1</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57"/>
        </w:trPr>
        <w:tc>
          <w:tcPr>
            <w:tcW w:w="488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intangible assets</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4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6"/>
              </w:rPr>
              <w:t>66.7</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3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66.7</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2.3%</w:t>
            </w: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line="20" w:lineRule="exact"/>
              <w:rPr>
                <w:sz w:val="1"/>
                <w:szCs w:val="1"/>
                <w:color w:val="auto"/>
              </w:rPr>
            </w:pPr>
          </w:p>
        </w:tc>
      </w:tr>
      <w:tr>
        <w:trPr>
          <w:trHeight w:val="156"/>
        </w:trPr>
        <w:tc>
          <w:tcPr>
            <w:tcW w:w="48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w w:val="79"/>
              </w:rPr>
              <w:t>$ 309</w:t>
            </w:r>
          </w:p>
        </w:tc>
        <w:tc>
          <w:tcPr>
            <w:tcW w:w="4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$ 302</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7</w:t>
            </w:r>
          </w:p>
        </w:tc>
        <w:tc>
          <w:tcPr>
            <w:tcW w:w="4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$ 600</w:t>
            </w:r>
          </w:p>
        </w:tc>
        <w:tc>
          <w:tcPr>
            <w:tcW w:w="1060" w:type="dxa"/>
            <w:vAlign w:val="bottom"/>
            <w:gridSpan w:val="3"/>
          </w:tcPr>
          <w:p>
            <w:pPr>
              <w:jc w:val="right"/>
              <w:ind w:right="380"/>
              <w:spacing w:after="0"/>
              <w:rPr>
                <w:sz w:val="20"/>
                <w:szCs w:val="20"/>
                <w:color w:val="auto"/>
              </w:rPr>
            </w:pPr>
            <w:r>
              <w:rPr>
                <w:rFonts w:ascii="Arial" w:cs="Arial" w:eastAsia="Arial" w:hAnsi="Arial"/>
                <w:sz w:val="13"/>
                <w:szCs w:val="13"/>
                <w:color w:val="auto"/>
              </w:rPr>
              <w:t>$ 591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9</w:t>
            </w: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48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The increase in amortization expense of intangible assets is due to our focus on the growth and development of our business through acquisitions and other investments. The current year increases are primarily related to the amortization of definite-lived operating permits acquired by our Healthcare Solutions operations and customer lists acquired by our Southern and Midwest Groups.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Restructuring</w:t>
      </w:r>
    </w:p>
    <w:p>
      <w:pPr>
        <w:spacing w:after="0" w:line="96"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In January 2009, we took steps to streamline our organization by (i) consolidating many of our Market Areas; (ii) integrating the management of our recycling operations with the remainder of our solid waste business; and (iii) realigning our corporate organization with this new structure in order to provide support functions more efficiently.</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This reorganization eliminated over 1,500 employee positions throughout the Company. During the three and six months ended June 30, 2009, we recognized $5 million and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$43 million, respectively, of pre-tax restructuring charges associated with this reorganization, of which $2 million and $38 million, respectively, were related to employee severance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benefit costs. During the remainder of 2009, we incurred an additional $7 million of pre-tax restructuring charges associated with this reorganization, of which $3 million was related to</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employee severance and benefit costs. The remaining charges were primarily related to operating lease obligations for property that will no longer be utilized.</w:t>
      </w:r>
    </w:p>
    <w:p>
      <w:pPr>
        <w:spacing w:after="0" w:line="8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For the three and six months ended June 30, 2010, we recognized $1 million of income related to the reversal of pre-tax restructuring charges. Through June 30, 2010, we paid approximately $38 million of the employee severance and benefit costs incurred as a result of this restructuring. The length of time we are obligated to make severance payments varies, with the longest obligation continuing through the fourth quarter of 2010.</w:t>
      </w:r>
    </w:p>
    <w:p>
      <w:pPr>
        <w:spacing w:after="0" w:line="146"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i w:val="1"/>
          <w:iCs w:val="1"/>
          <w:color w:val="auto"/>
        </w:rPr>
        <w:t>(Income)</w:t>
      </w:r>
      <w:r>
        <w:rPr>
          <w:sz w:val="20"/>
          <w:szCs w:val="20"/>
          <w:color w:val="auto"/>
        </w:rPr>
        <w:tab/>
      </w:r>
      <w:r>
        <w:rPr>
          <w:rFonts w:ascii="Arial" w:cs="Arial" w:eastAsia="Arial" w:hAnsi="Arial"/>
          <w:sz w:val="13"/>
          <w:szCs w:val="13"/>
          <w:b w:val="1"/>
          <w:bCs w:val="1"/>
          <w:i w:val="1"/>
          <w:iCs w:val="1"/>
          <w:color w:val="auto"/>
        </w:rPr>
        <w:t>Expense from Divestitures, Asset Impairments and Unusual Items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Through December 31, 2008, we capitalized $70 million of accumulated costs associated with the development of a new waste and recycling revenue management system. A significant portion of these costs was specifically associated with the purchase of a license for waste and recycling revenue management software and the efforts required to develop and configure that software for our use. After a failed pilot implementation of the software in one of our smallest Market Areas, the development efforts associated with the revenue management system were suspended in 2007. During 2009, we determined to enhance and improve our existing revenue management system and not pursue alternatives associated with the development and implementation of the licensed software. Accordingly, in 2009, we recognized a non-cash charge of $51 million, $49 million of which was recognized during the first quarter of 2009 and $2 million of which was recognized during the fourth quarter of 2009 for the abandonment of the licensed software.</w:t>
      </w:r>
    </w:p>
    <w:p>
      <w:pPr>
        <w:spacing w:after="0" w:line="59"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We filed a lawsuit in March 2008 related to the revenue management software implementation that was suspended in 2007 and abandoned in 2009. In April 2010, we settled the lawsuit and received a one-time cash payment. The settlement increased our “Income from operations” for the three and six months ended June 30, 2010 by $77 million.</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From Operations by Reportable Segment</w:t>
      </w:r>
    </w:p>
    <w:p>
      <w:pPr>
        <w:spacing w:after="0" w:line="9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following table summarizes income from operations by reportable segment for the three- and six-month periods ended June 30 and provides explanations of significant factors contributing to the identified variances (dollars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360" w:type="dxa"/>
            <w:vAlign w:val="bottom"/>
            <w:gridSpan w:val="4"/>
          </w:tcPr>
          <w:p>
            <w:pPr>
              <w:jc w:val="center"/>
              <w:ind w:right="400"/>
              <w:spacing w:after="0"/>
              <w:rPr>
                <w:sz w:val="20"/>
                <w:szCs w:val="20"/>
                <w:color w:val="auto"/>
              </w:rPr>
            </w:pPr>
            <w:r>
              <w:rPr>
                <w:rFonts w:ascii="Arial" w:cs="Arial" w:eastAsia="Arial" w:hAnsi="Arial"/>
                <w:sz w:val="10"/>
                <w:szCs w:val="10"/>
                <w:b w:val="1"/>
                <w:bCs w:val="1"/>
                <w:color w:val="auto"/>
                <w:w w:val="97"/>
              </w:rPr>
              <w:t>Three Months</w:t>
            </w:r>
          </w:p>
        </w:tc>
        <w:tc>
          <w:tcPr>
            <w:tcW w:w="24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3"/>
              </w:rPr>
              <w:t>Period-to-</w:t>
            </w: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ind w:left="217"/>
              <w:spacing w:after="0"/>
              <w:rPr>
                <w:sz w:val="20"/>
                <w:szCs w:val="20"/>
                <w:color w:val="auto"/>
              </w:rPr>
            </w:pPr>
            <w:r>
              <w:rPr>
                <w:rFonts w:ascii="Arial" w:cs="Arial" w:eastAsia="Arial" w:hAnsi="Arial"/>
                <w:sz w:val="10"/>
                <w:szCs w:val="10"/>
                <w:b w:val="1"/>
                <w:bCs w:val="1"/>
                <w:color w:val="auto"/>
                <w:w w:val="97"/>
              </w:rPr>
              <w:t>Six Months</w:t>
            </w: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Period-to-</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Ended</w:t>
            </w: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30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center"/>
              <w:ind w:left="8"/>
              <w:spacing w:after="0"/>
              <w:rPr>
                <w:sz w:val="20"/>
                <w:szCs w:val="20"/>
                <w:color w:val="auto"/>
              </w:rPr>
            </w:pPr>
            <w:r>
              <w:rPr>
                <w:rFonts w:ascii="Arial" w:cs="Arial" w:eastAsia="Arial" w:hAnsi="Arial"/>
                <w:sz w:val="10"/>
                <w:szCs w:val="10"/>
                <w:b w:val="1"/>
                <w:bCs w:val="1"/>
                <w:color w:val="auto"/>
                <w:w w:val="96"/>
              </w:rPr>
              <w:t>Period</w:t>
            </w: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3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center"/>
              <w:ind w:left="8"/>
              <w:spacing w:after="0" w:line="98" w:lineRule="exact"/>
              <w:rPr>
                <w:sz w:val="20"/>
                <w:szCs w:val="20"/>
                <w:color w:val="auto"/>
              </w:rPr>
            </w:pPr>
            <w:r>
              <w:rPr>
                <w:rFonts w:ascii="Arial" w:cs="Arial" w:eastAsia="Arial" w:hAnsi="Arial"/>
                <w:sz w:val="10"/>
                <w:szCs w:val="10"/>
                <w:b w:val="1"/>
                <w:bCs w:val="1"/>
                <w:color w:val="auto"/>
                <w:w w:val="92"/>
              </w:rPr>
              <w:t>Change</w:t>
            </w:r>
          </w:p>
        </w:tc>
        <w:tc>
          <w:tcPr>
            <w:tcW w:w="2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rPr>
              <w:t>2009</w:t>
            </w: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Reportable segments:</w:t>
            </w: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60" w:type="dxa"/>
            <w:vAlign w:val="bottom"/>
            <w:gridSpan w:val="2"/>
          </w:tcPr>
          <w:p>
            <w:pPr>
              <w:ind w:left="280"/>
              <w:spacing w:after="0"/>
              <w:rPr>
                <w:sz w:val="20"/>
                <w:szCs w:val="20"/>
                <w:color w:val="auto"/>
              </w:rPr>
            </w:pPr>
            <w:r>
              <w:rPr>
                <w:rFonts w:ascii="Arial" w:cs="Arial" w:eastAsia="Arial" w:hAnsi="Arial"/>
                <w:sz w:val="13"/>
                <w:szCs w:val="13"/>
                <w:color w:val="auto"/>
              </w:rPr>
              <w:t>Eastern(a)</w:t>
            </w:r>
          </w:p>
        </w:tc>
        <w:tc>
          <w:tcPr>
            <w:tcW w:w="280" w:type="dxa"/>
            <w:vAlign w:val="bottom"/>
          </w:tcPr>
          <w:p>
            <w:pPr>
              <w:jc w:val="right"/>
              <w:spacing w:after="0"/>
              <w:rPr>
                <w:sz w:val="20"/>
                <w:szCs w:val="20"/>
                <w:color w:val="auto"/>
              </w:rPr>
            </w:pPr>
            <w:r>
              <w:rPr>
                <w:rFonts w:ascii="Arial" w:cs="Arial" w:eastAsia="Arial" w:hAnsi="Arial"/>
                <w:sz w:val="13"/>
                <w:szCs w:val="13"/>
                <w:color w:val="auto"/>
                <w:w w:val="79"/>
              </w:rPr>
              <w:t>$ 143</w:t>
            </w:r>
          </w:p>
        </w:tc>
        <w:tc>
          <w:tcPr>
            <w:tcW w:w="40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w w:val="85"/>
              </w:rPr>
              <w:t>$ 119</w:t>
            </w:r>
          </w:p>
        </w:tc>
        <w:tc>
          <w:tcPr>
            <w:tcW w:w="720" w:type="dxa"/>
            <w:vAlign w:val="bottom"/>
            <w:gridSpan w:val="2"/>
          </w:tcPr>
          <w:p>
            <w:pPr>
              <w:jc w:val="right"/>
              <w:ind w:right="428"/>
              <w:spacing w:after="0"/>
              <w:rPr>
                <w:sz w:val="20"/>
                <w:szCs w:val="20"/>
                <w:color w:val="auto"/>
              </w:rPr>
            </w:pPr>
            <w:r>
              <w:rPr>
                <w:rFonts w:ascii="Arial" w:cs="Arial" w:eastAsia="Arial" w:hAnsi="Arial"/>
                <w:sz w:val="13"/>
                <w:szCs w:val="13"/>
                <w:color w:val="auto"/>
                <w:w w:val="86"/>
              </w:rPr>
              <w:t>$ 24</w:t>
            </w:r>
          </w:p>
        </w:tc>
        <w:tc>
          <w:tcPr>
            <w:tcW w:w="700" w:type="dxa"/>
            <w:vAlign w:val="bottom"/>
            <w:gridSpan w:val="2"/>
          </w:tcPr>
          <w:p>
            <w:pPr>
              <w:jc w:val="right"/>
              <w:ind w:right="300"/>
              <w:spacing w:after="0"/>
              <w:rPr>
                <w:sz w:val="20"/>
                <w:szCs w:val="20"/>
                <w:color w:val="auto"/>
              </w:rPr>
            </w:pPr>
            <w:r>
              <w:rPr>
                <w:rFonts w:ascii="Arial" w:cs="Arial" w:eastAsia="Arial" w:hAnsi="Arial"/>
                <w:sz w:val="13"/>
                <w:szCs w:val="13"/>
                <w:color w:val="auto"/>
              </w:rPr>
              <w:t>20.2%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252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211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428"/>
              <w:spacing w:after="0"/>
              <w:rPr>
                <w:sz w:val="20"/>
                <w:szCs w:val="20"/>
                <w:color w:val="auto"/>
              </w:rPr>
            </w:pPr>
            <w:r>
              <w:rPr>
                <w:rFonts w:ascii="Arial" w:cs="Arial" w:eastAsia="Arial" w:hAnsi="Arial"/>
                <w:sz w:val="13"/>
                <w:szCs w:val="13"/>
                <w:color w:val="auto"/>
              </w:rPr>
              <w:t>41</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r>
        <w:trPr>
          <w:trHeight w:val="157"/>
        </w:trPr>
        <w:tc>
          <w:tcPr>
            <w:tcW w:w="42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Midwest(a)</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4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116</w:t>
            </w:r>
          </w:p>
        </w:tc>
        <w:tc>
          <w:tcPr>
            <w:tcW w:w="72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25</w:t>
            </w: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21.6</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223</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201</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22</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57"/>
        </w:trPr>
        <w:tc>
          <w:tcPr>
            <w:tcW w:w="4260" w:type="dxa"/>
            <w:vAlign w:val="bottom"/>
            <w:gridSpan w:val="2"/>
          </w:tcPr>
          <w:p>
            <w:pPr>
              <w:ind w:left="280"/>
              <w:spacing w:after="0"/>
              <w:rPr>
                <w:sz w:val="20"/>
                <w:szCs w:val="20"/>
                <w:color w:val="auto"/>
              </w:rPr>
            </w:pPr>
            <w:r>
              <w:rPr>
                <w:rFonts w:ascii="Arial" w:cs="Arial" w:eastAsia="Arial" w:hAnsi="Arial"/>
                <w:sz w:val="13"/>
                <w:szCs w:val="13"/>
                <w:color w:val="auto"/>
              </w:rPr>
              <w:t>Southern</w:t>
            </w:r>
          </w:p>
        </w:tc>
        <w:tc>
          <w:tcPr>
            <w:tcW w:w="280" w:type="dxa"/>
            <w:vAlign w:val="bottom"/>
          </w:tcPr>
          <w:p>
            <w:pPr>
              <w:jc w:val="right"/>
              <w:spacing w:after="0"/>
              <w:rPr>
                <w:sz w:val="20"/>
                <w:szCs w:val="20"/>
                <w:color w:val="auto"/>
              </w:rPr>
            </w:pPr>
            <w:r>
              <w:rPr>
                <w:rFonts w:ascii="Arial" w:cs="Arial" w:eastAsia="Arial" w:hAnsi="Arial"/>
                <w:sz w:val="13"/>
                <w:szCs w:val="13"/>
                <w:color w:val="auto"/>
              </w:rPr>
              <w:t>206</w:t>
            </w:r>
          </w:p>
        </w:tc>
        <w:tc>
          <w:tcPr>
            <w:tcW w:w="40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191</w:t>
            </w:r>
          </w:p>
        </w:tc>
        <w:tc>
          <w:tcPr>
            <w:tcW w:w="720" w:type="dxa"/>
            <w:vAlign w:val="bottom"/>
            <w:gridSpan w:val="2"/>
          </w:tcPr>
          <w:p>
            <w:pPr>
              <w:jc w:val="right"/>
              <w:ind w:right="428"/>
              <w:spacing w:after="0"/>
              <w:rPr>
                <w:sz w:val="20"/>
                <w:szCs w:val="20"/>
                <w:color w:val="auto"/>
              </w:rPr>
            </w:pPr>
            <w:r>
              <w:rPr>
                <w:rFonts w:ascii="Arial" w:cs="Arial" w:eastAsia="Arial" w:hAnsi="Arial"/>
                <w:sz w:val="13"/>
                <w:szCs w:val="13"/>
                <w:color w:val="auto"/>
              </w:rPr>
              <w:t>15</w:t>
            </w:r>
          </w:p>
        </w:tc>
        <w:tc>
          <w:tcPr>
            <w:tcW w:w="700" w:type="dxa"/>
            <w:vAlign w:val="bottom"/>
            <w:gridSpan w:val="2"/>
          </w:tcPr>
          <w:p>
            <w:pPr>
              <w:jc w:val="right"/>
              <w:ind w:right="420"/>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13"/>
                <w:szCs w:val="13"/>
                <w:color w:val="auto"/>
              </w:rPr>
            </w:pP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406</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388</w:t>
            </w:r>
          </w:p>
        </w:tc>
        <w:tc>
          <w:tcPr>
            <w:tcW w:w="100" w:type="dxa"/>
            <w:vAlign w:val="bottom"/>
          </w:tcPr>
          <w:p>
            <w:pPr>
              <w:spacing w:after="0"/>
              <w:rPr>
                <w:sz w:val="13"/>
                <w:szCs w:val="13"/>
                <w:color w:val="auto"/>
              </w:rPr>
            </w:pPr>
          </w:p>
        </w:tc>
        <w:tc>
          <w:tcPr>
            <w:tcW w:w="680" w:type="dxa"/>
            <w:vAlign w:val="bottom"/>
            <w:gridSpan w:val="2"/>
          </w:tcPr>
          <w:p>
            <w:pPr>
              <w:jc w:val="right"/>
              <w:ind w:right="428"/>
              <w:spacing w:after="0"/>
              <w:rPr>
                <w:sz w:val="20"/>
                <w:szCs w:val="20"/>
                <w:color w:val="auto"/>
              </w:rPr>
            </w:pPr>
            <w:r>
              <w:rPr>
                <w:rFonts w:ascii="Arial" w:cs="Arial" w:eastAsia="Arial" w:hAnsi="Arial"/>
                <w:sz w:val="13"/>
                <w:szCs w:val="13"/>
                <w:color w:val="auto"/>
              </w:rPr>
              <w:t>18</w:t>
            </w: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57"/>
        </w:trPr>
        <w:tc>
          <w:tcPr>
            <w:tcW w:w="42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Western</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4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146</w:t>
            </w:r>
          </w:p>
        </w:tc>
        <w:tc>
          <w:tcPr>
            <w:tcW w:w="72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(5)</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270</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274</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(4)</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4260" w:type="dxa"/>
            <w:vAlign w:val="bottom"/>
            <w:gridSpan w:val="2"/>
          </w:tcPr>
          <w:p>
            <w:pPr>
              <w:ind w:left="280"/>
              <w:spacing w:after="0"/>
              <w:rPr>
                <w:sz w:val="20"/>
                <w:szCs w:val="20"/>
                <w:color w:val="auto"/>
              </w:rPr>
            </w:pPr>
            <w:r>
              <w:rPr>
                <w:rFonts w:ascii="Arial" w:cs="Arial" w:eastAsia="Arial" w:hAnsi="Arial"/>
                <w:sz w:val="13"/>
                <w:szCs w:val="13"/>
                <w:color w:val="auto"/>
              </w:rPr>
              <w:t>Wheelabrator</w:t>
            </w:r>
          </w:p>
        </w:tc>
        <w:tc>
          <w:tcPr>
            <w:tcW w:w="280" w:type="dxa"/>
            <w:vAlign w:val="bottom"/>
          </w:tcPr>
          <w:p>
            <w:pPr>
              <w:jc w:val="right"/>
              <w:spacing w:after="0"/>
              <w:rPr>
                <w:sz w:val="20"/>
                <w:szCs w:val="20"/>
                <w:color w:val="auto"/>
              </w:rPr>
            </w:pPr>
            <w:r>
              <w:rPr>
                <w:rFonts w:ascii="Arial" w:cs="Arial" w:eastAsia="Arial" w:hAnsi="Arial"/>
                <w:sz w:val="13"/>
                <w:szCs w:val="13"/>
                <w:color w:val="auto"/>
              </w:rPr>
              <w:t>47</w:t>
            </w:r>
          </w:p>
        </w:tc>
        <w:tc>
          <w:tcPr>
            <w:tcW w:w="40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54</w:t>
            </w:r>
          </w:p>
        </w:tc>
        <w:tc>
          <w:tcPr>
            <w:tcW w:w="720" w:type="dxa"/>
            <w:vAlign w:val="bottom"/>
            <w:gridSpan w:val="2"/>
          </w:tcPr>
          <w:p>
            <w:pPr>
              <w:jc w:val="right"/>
              <w:ind w:right="388"/>
              <w:spacing w:after="0"/>
              <w:rPr>
                <w:sz w:val="20"/>
                <w:szCs w:val="20"/>
                <w:color w:val="auto"/>
              </w:rPr>
            </w:pPr>
            <w:r>
              <w:rPr>
                <w:rFonts w:ascii="Arial" w:cs="Arial" w:eastAsia="Arial" w:hAnsi="Arial"/>
                <w:sz w:val="13"/>
                <w:szCs w:val="13"/>
                <w:color w:val="auto"/>
              </w:rPr>
              <w:t>(7)</w:t>
            </w: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88"/>
              </w:rPr>
              <w:t>(13.0)</w:t>
            </w:r>
          </w:p>
        </w:tc>
        <w:tc>
          <w:tcPr>
            <w:tcW w:w="100" w:type="dxa"/>
            <w:vAlign w:val="bottom"/>
          </w:tcPr>
          <w:p>
            <w:pPr>
              <w:spacing w:after="0"/>
              <w:rPr>
                <w:sz w:val="13"/>
                <w:szCs w:val="13"/>
                <w:color w:val="auto"/>
              </w:rPr>
            </w:pP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3"/>
                <w:szCs w:val="13"/>
                <w:color w:val="auto"/>
              </w:rPr>
            </w:pPr>
          </w:p>
        </w:tc>
        <w:tc>
          <w:tcPr>
            <w:tcW w:w="680" w:type="dxa"/>
            <w:vAlign w:val="bottom"/>
            <w:gridSpan w:val="2"/>
          </w:tcPr>
          <w:p>
            <w:pPr>
              <w:jc w:val="right"/>
              <w:ind w:right="388"/>
              <w:spacing w:after="0"/>
              <w:rPr>
                <w:sz w:val="20"/>
                <w:szCs w:val="20"/>
                <w:color w:val="auto"/>
              </w:rPr>
            </w:pPr>
            <w:r>
              <w:rPr>
                <w:rFonts w:ascii="Arial" w:cs="Arial" w:eastAsia="Arial" w:hAnsi="Arial"/>
                <w:sz w:val="13"/>
                <w:szCs w:val="13"/>
                <w:color w:val="auto"/>
                <w:w w:val="94"/>
              </w:rPr>
              <w:t>(10)</w:t>
            </w: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w w:val="94"/>
              </w:rPr>
              <w:t>(10.8)</w:t>
            </w:r>
          </w:p>
        </w:tc>
        <w:tc>
          <w:tcPr>
            <w:tcW w:w="0" w:type="dxa"/>
            <w:vAlign w:val="bottom"/>
          </w:tcPr>
          <w:p>
            <w:pPr>
              <w:spacing w:after="0"/>
              <w:rPr>
                <w:sz w:val="1"/>
                <w:szCs w:val="1"/>
                <w:color w:val="auto"/>
              </w:rPr>
            </w:pPr>
          </w:p>
        </w:tc>
      </w:tr>
      <w:tr>
        <w:trPr>
          <w:trHeight w:val="157"/>
        </w:trPr>
        <w:tc>
          <w:tcPr>
            <w:tcW w:w="4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6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(26)</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(28)</w:t>
            </w:r>
          </w:p>
        </w:tc>
        <w:tc>
          <w:tcPr>
            <w:tcW w:w="72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2</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4</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gridSpan w:val="2"/>
            <w:vMerge w:val="restart"/>
          </w:tcPr>
          <w:p>
            <w:pPr>
              <w:jc w:val="right"/>
              <w:ind w:right="420"/>
              <w:spacing w:after="0"/>
              <w:rPr>
                <w:sz w:val="20"/>
                <w:szCs w:val="20"/>
                <w:color w:val="auto"/>
              </w:rPr>
            </w:pPr>
            <w:r>
              <w:rPr>
                <w:rFonts w:ascii="Arial" w:cs="Arial" w:eastAsia="Arial" w:hAnsi="Arial"/>
                <w:sz w:val="13"/>
                <w:szCs w:val="13"/>
                <w:color w:val="auto"/>
              </w:rPr>
              <w:t>9.0</w:t>
            </w: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6.4</w:t>
            </w:r>
          </w:p>
        </w:tc>
        <w:tc>
          <w:tcPr>
            <w:tcW w:w="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652</w:t>
            </w:r>
          </w:p>
        </w:tc>
        <w:tc>
          <w:tcPr>
            <w:tcW w:w="4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598</w:t>
            </w:r>
          </w:p>
        </w:tc>
        <w:tc>
          <w:tcPr>
            <w:tcW w:w="3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54</w:t>
            </w:r>
          </w:p>
        </w:tc>
        <w:tc>
          <w:tcPr>
            <w:tcW w:w="4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1,179</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1,108</w:t>
            </w:r>
          </w:p>
        </w:tc>
        <w:tc>
          <w:tcPr>
            <w:tcW w:w="100" w:type="dxa"/>
            <w:vAlign w:val="bottom"/>
          </w:tcPr>
          <w:p>
            <w:pPr>
              <w:spacing w:after="0"/>
              <w:rPr>
                <w:sz w:val="13"/>
                <w:szCs w:val="13"/>
                <w:color w:val="auto"/>
              </w:rPr>
            </w:pPr>
          </w:p>
        </w:tc>
        <w:tc>
          <w:tcPr>
            <w:tcW w:w="680" w:type="dxa"/>
            <w:vAlign w:val="bottom"/>
            <w:gridSpan w:val="2"/>
          </w:tcPr>
          <w:p>
            <w:pPr>
              <w:jc w:val="right"/>
              <w:ind w:right="428"/>
              <w:spacing w:after="0"/>
              <w:rPr>
                <w:sz w:val="20"/>
                <w:szCs w:val="20"/>
                <w:color w:val="auto"/>
              </w:rPr>
            </w:pPr>
            <w:r>
              <w:rPr>
                <w:rFonts w:ascii="Arial" w:cs="Arial" w:eastAsia="Arial" w:hAnsi="Arial"/>
                <w:sz w:val="13"/>
                <w:szCs w:val="13"/>
                <w:color w:val="auto"/>
              </w:rPr>
              <w:t>71</w:t>
            </w:r>
          </w:p>
        </w:tc>
        <w:tc>
          <w:tcPr>
            <w:tcW w:w="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Corporate and Other</w:t>
            </w:r>
          </w:p>
        </w:tc>
        <w:tc>
          <w:tcPr>
            <w:tcW w:w="6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(66)</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(64)</w:t>
            </w:r>
          </w:p>
        </w:tc>
        <w:tc>
          <w:tcPr>
            <w:tcW w:w="72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(2)</w:t>
            </w: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(181)</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(202)</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21</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4"/>
              </w:rPr>
              <w:t>(10.4)</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w:t>
            </w: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9.7%</w:t>
            </w: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3"/>
                <w:szCs w:val="13"/>
                <w:color w:val="auto"/>
              </w:rPr>
              <w:t>10.2%</w:t>
            </w:r>
          </w:p>
        </w:tc>
        <w:tc>
          <w:tcPr>
            <w:tcW w:w="0" w:type="dxa"/>
            <w:vAlign w:val="bottom"/>
          </w:tcPr>
          <w:p>
            <w:pPr>
              <w:spacing w:after="0" w:line="20" w:lineRule="exact"/>
              <w:rPr>
                <w:sz w:val="1"/>
                <w:szCs w:val="1"/>
                <w:color w:val="auto"/>
              </w:rPr>
            </w:pPr>
          </w:p>
        </w:tc>
      </w:tr>
      <w:tr>
        <w:trPr>
          <w:trHeight w:val="166"/>
        </w:trPr>
        <w:tc>
          <w:tcPr>
            <w:tcW w:w="4260" w:type="dxa"/>
            <w:vAlign w:val="bottom"/>
            <w:gridSpan w:val="2"/>
            <w:vMerge w:val="continue"/>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w w:val="79"/>
              </w:rPr>
              <w:t>$ 586</w:t>
            </w:r>
          </w:p>
        </w:tc>
        <w:tc>
          <w:tcPr>
            <w:tcW w:w="4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$ 534</w:t>
            </w:r>
          </w:p>
        </w:tc>
        <w:tc>
          <w:tcPr>
            <w:tcW w:w="3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86"/>
              </w:rPr>
              <w:t>$ 52</w:t>
            </w:r>
          </w:p>
        </w:tc>
        <w:tc>
          <w:tcPr>
            <w:tcW w:w="4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998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906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428"/>
              <w:spacing w:after="0"/>
              <w:rPr>
                <w:sz w:val="20"/>
                <w:szCs w:val="20"/>
                <w:color w:val="auto"/>
              </w:rPr>
            </w:pPr>
            <w:r>
              <w:rPr>
                <w:rFonts w:ascii="Arial" w:cs="Arial" w:eastAsia="Arial" w:hAnsi="Arial"/>
                <w:sz w:val="13"/>
                <w:szCs w:val="13"/>
                <w:color w:val="auto"/>
              </w:rPr>
              <w:t>92</w:t>
            </w:r>
          </w:p>
        </w:tc>
        <w:tc>
          <w:tcPr>
            <w:tcW w:w="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96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100" w:hanging="393"/>
        <w:spacing w:after="0" w:line="276" w:lineRule="auto"/>
        <w:tabs>
          <w:tab w:leader="none" w:pos="10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income from operations of our Midwest Group for the six months ended June 30, 2010 was significantly affected by the recognition of a $28 million charge in March as a result of employees of three bargaining units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right="260"/>
        <w:spacing w:after="0" w:line="276" w:lineRule="auto"/>
        <w:rPr>
          <w:sz w:val="20"/>
          <w:szCs w:val="20"/>
          <w:color w:val="auto"/>
        </w:rPr>
      </w:pPr>
      <w:r>
        <w:rPr>
          <w:rFonts w:ascii="Arial" w:cs="Arial" w:eastAsia="Arial" w:hAnsi="Arial"/>
          <w:sz w:val="13"/>
          <w:szCs w:val="13"/>
          <w:color w:val="auto"/>
        </w:rPr>
        <w:t>in Michigan and Ohio agreeing to our proposal to withdraw them from an under-funded, multi-employer pension plan. A $9 million charge was recognized by our Eastern Group during the quarter ended June 30, 2009 related to employees of a bargaining unit employee in New Jersey agreeing to a similar proposal.</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Reportable Segments — </w:t>
      </w:r>
      <w:r>
        <w:rPr>
          <w:rFonts w:ascii="Arial" w:cs="Arial" w:eastAsia="Arial" w:hAnsi="Arial"/>
          <w:sz w:val="12"/>
          <w:szCs w:val="12"/>
          <w:color w:val="auto"/>
        </w:rPr>
        <w:t>During the three and six months ended June 30, 2010, the results of operations of each of our geographic Groups improved as a result of the following:</w:t>
      </w:r>
    </w:p>
    <w:p>
      <w:pPr>
        <w:spacing w:after="0" w:line="108" w:lineRule="exact"/>
        <w:rPr>
          <w:sz w:val="20"/>
          <w:szCs w:val="20"/>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 significant year-over-year improvement in market prices for recyclable commodities;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revenue growth from yield on our base business;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accretive benefits of recent acquisitions.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These improvements in the geographic Groups’ 2010 results were offset, in part, by a decrease in income from operations caused by the following:</w:t>
      </w:r>
    </w:p>
    <w:p>
      <w:pPr>
        <w:spacing w:after="0" w:line="96" w:lineRule="exact"/>
        <w:rPr>
          <w:sz w:val="20"/>
          <w:szCs w:val="20"/>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continued volume declines due to economic conditions, pricing, competition and recent trends of waste reduction and diversion by consumers;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increasing direct and indirect costs for diesel fuels, which have outpaced the related revenue growth from our fuel surcharge program;</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higher salaries and wages due to annual merit increases that were effective in July of 2009 for hourly employees and in April 2010 for both salaried and hourly employees; and</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 decrease in revenues and increased overtime and landfill operating costs due to the severe winter weather experienced during the first quarter of 2010.</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Although each of the geographic Groups have been significantly affected by the above items, our Eastern and Midwest Groups saw much more significant 2010 earnings growth than our Southern and Western Groups largely because (i) the significant slowdown in construction activities, which has driven our industrial collection volume declines, is more significant in the Southern and Western portions of the United States; (ii) recycling activities are less prevalent in the South, which made that Group’s earnings growth from recyclable commodity price recovery in the current quarter less significant; (iii) a more significant portion of the Western Group’s collection revenues are subject to long-term franchise agreements that tie pricing adjustments to inflation indices, which have been extremely low, and in some cases negative, in recent periods; and (iv) the Western Group has experienced more significant volume declines, particularly in the economically-sensitive special waste business where volumes have shown year-over-year improvement in our other geographic Groups.</w:t>
      </w:r>
    </w:p>
    <w:p>
      <w:pPr>
        <w:spacing w:after="0" w:line="5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comparability of each of our geographic Groups’ operating results for the periods was also affected by (i) the restructuring charges we recognized during the three and six months ended June 30, 2009; and (ii) a significantly higher provision for bad debts during 2009 due to the economic and market conditions at that time.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decrease in the income from operations of our Wheelabrator Group for the three- and six-month periods of 2010 as compared to the respective prior year periods was driven by</w:t>
      </w:r>
    </w:p>
    <w:p>
      <w:pPr>
        <w:spacing w:after="0" w:line="27" w:lineRule="exact"/>
        <w:rPr>
          <w:sz w:val="20"/>
          <w:szCs w:val="20"/>
          <w:color w:val="auto"/>
        </w:rPr>
      </w:pPr>
    </w:p>
    <w:p>
      <w:pPr>
        <w:jc w:val="both"/>
        <w:ind w:left="680" w:right="100" w:firstLine="7"/>
        <w:spacing w:after="0" w:line="290" w:lineRule="auto"/>
        <w:tabs>
          <w:tab w:leader="none" w:pos="836" w:val="left"/>
        </w:tabs>
        <w:numPr>
          <w:ilvl w:val="0"/>
          <w:numId w:val="34"/>
        </w:numPr>
        <w:rPr>
          <w:rFonts w:ascii="Arial" w:cs="Arial" w:eastAsia="Arial" w:hAnsi="Arial"/>
          <w:sz w:val="12"/>
          <w:szCs w:val="12"/>
          <w:color w:val="auto"/>
        </w:rPr>
      </w:pPr>
      <w:r>
        <w:rPr>
          <w:rFonts w:ascii="Arial" w:cs="Arial" w:eastAsia="Arial" w:hAnsi="Arial"/>
          <w:sz w:val="12"/>
          <w:szCs w:val="12"/>
          <w:color w:val="auto"/>
        </w:rPr>
        <w:t>changes in contracts at two of our facilities, which increased our exposure to current energy market prices; and (ii) an increase in maintenance related outages as compared with the prior year, which resulted in decreased electricity generation and increased plant maintenance costs. These unfavorable items were offset in part by the favorable impact of (i) prior year expenses associated with international and domestic business development activities that did not recur this year; and (ii) increased revenues from the sale of metals.</w:t>
      </w:r>
    </w:p>
    <w:p>
      <w:pPr>
        <w:spacing w:after="0" w:line="53"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i w:val="1"/>
          <w:iCs w:val="1"/>
          <w:color w:val="auto"/>
        </w:rPr>
        <w:t xml:space="preserve">Other — </w:t>
      </w:r>
      <w:r>
        <w:rPr>
          <w:rFonts w:ascii="Arial" w:cs="Arial" w:eastAsia="Arial" w:hAnsi="Arial"/>
          <w:sz w:val="13"/>
          <w:szCs w:val="13"/>
          <w:color w:val="auto"/>
        </w:rPr>
        <w:t>The favorable change in operating results for our “Other” businesses during the three and six months ended June 30, 2010 is due in part to improvements in our recycling</w:t>
      </w:r>
      <w:r>
        <w:rPr>
          <w:rFonts w:ascii="Arial" w:cs="Arial" w:eastAsia="Arial" w:hAnsi="Arial"/>
          <w:sz w:val="13"/>
          <w:szCs w:val="13"/>
          <w:i w:val="1"/>
          <w:iCs w:val="1"/>
          <w:color w:val="auto"/>
        </w:rPr>
        <w:t xml:space="preserve"> </w:t>
      </w:r>
      <w:r>
        <w:rPr>
          <w:rFonts w:ascii="Arial" w:cs="Arial" w:eastAsia="Arial" w:hAnsi="Arial"/>
          <w:sz w:val="13"/>
          <w:szCs w:val="13"/>
          <w:color w:val="auto"/>
        </w:rPr>
        <w:t>brokerage business as a result of higher recycling commodity prices so far this year. This impact was partially offset by additional costs in the current quarter to support the Company’s strategic plan to grow into new markets and provide expanded service offerings.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Corporate and Other — </w:t>
      </w:r>
      <w:r>
        <w:rPr>
          <w:rFonts w:ascii="Arial" w:cs="Arial" w:eastAsia="Arial" w:hAnsi="Arial"/>
          <w:sz w:val="13"/>
          <w:szCs w:val="13"/>
          <w:color w:val="auto"/>
        </w:rPr>
        <w:t>The year to date favorable change in expenses as compared with the prior year is largely attributable to the following significant items:</w:t>
      </w:r>
    </w:p>
    <w:p>
      <w:pPr>
        <w:spacing w:after="0" w:line="96" w:lineRule="exact"/>
        <w:rPr>
          <w:sz w:val="20"/>
          <w:szCs w:val="20"/>
          <w:color w:val="auto"/>
        </w:rPr>
      </w:pPr>
    </w:p>
    <w:p>
      <w:pPr>
        <w:ind w:left="1280" w:hanging="190"/>
        <w:spacing w:after="0" w:line="264" w:lineRule="auto"/>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 benefit of $126 million associated with the revenue management software implementation that was suspended in 2007 and abandoned in 2009, comprised of (i) a current year benefit of $77 million resulting from a one-time cash payment from a litigation settlement that occurred in April 2010 and (ii) a $49 million charge recognized in the prior year for the abandonment of the licensed software;</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recognition of charges of $39 million during the first half of 2010 for revisions in the estimated costs of our remedial liabilities at certain closed landfills;</w:t>
      </w:r>
    </w:p>
    <w:p>
      <w:pPr>
        <w:spacing w:after="0" w:line="86" w:lineRule="exact"/>
        <w:rPr>
          <w:rFonts w:ascii="Arial" w:cs="Arial" w:eastAsia="Arial" w:hAnsi="Arial"/>
          <w:sz w:val="13"/>
          <w:szCs w:val="13"/>
          <w:color w:val="auto"/>
        </w:rPr>
      </w:pPr>
    </w:p>
    <w:p>
      <w:pPr>
        <w:ind w:left="1280" w:right="260" w:hanging="190"/>
        <w:spacing w:after="0" w:line="264" w:lineRule="auto"/>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prior year recognition of favorable adjustments of $32 million due to increases in United States Treasury rates, which are used to estimate the present value of our environmental remediation obligations and recovery assets. During the first quarter of 2009, the discount rate used was increased from 2.25% to 2.75% and during the second quarter of 2009, the discount rate used was increased from 2.75% to 3.50%; and</w:t>
      </w:r>
    </w:p>
    <w:p>
      <w:pPr>
        <w:spacing w:after="0" w:line="57" w:lineRule="exact"/>
        <w:rPr>
          <w:rFonts w:ascii="Arial" w:cs="Arial" w:eastAsia="Arial" w:hAnsi="Arial"/>
          <w:sz w:val="13"/>
          <w:szCs w:val="13"/>
          <w:color w:val="auto"/>
        </w:rPr>
      </w:pPr>
    </w:p>
    <w:p>
      <w:pPr>
        <w:ind w:left="1280" w:right="220" w:hanging="190"/>
        <w:spacing w:after="0" w:line="320" w:lineRule="auto"/>
        <w:tabs>
          <w:tab w:leader="none" w:pos="12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current period recognition of an unfavorable adjustment of $10 million due to the decrease in United States Treasury rates. During the second quarter of 2010, the discount rate used to estimate the present value of our environmental remediation obligations and recovery assets was decreased from 3.75% to 3.00%.</w:t>
      </w:r>
    </w:p>
    <w:p>
      <w:pPr>
        <w:spacing w:after="0" w:line="35"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Further impacting the comparison of the first half of 2010 results with the prior year are current year increases related to our equity compensation and salary deferral plans; current year increases in legal and consulting costs; and prior year restructuring charges.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Renewable Energy Operations</w:t>
      </w:r>
    </w:p>
    <w:p>
      <w:pPr>
        <w:spacing w:after="0" w:line="96"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We have extracted value from the waste streams we manage for years, and we are focusing on increasing our ability to do so, particularly in the field of clean and renewable energy. Most significantly, our current operations produce renewable energy through the waste-to-energy facilities that are managed by our Wheelabrator Group and our landfill gas-to-energy operations. We are actively seeking opportunities to enhance our existing renewable energy service offerings to ensure that we can respond to the shifting demands of consumers and to ensure that we are acting as a leader in environmental stewardship.</w:t>
      </w:r>
    </w:p>
    <w:p>
      <w:pPr>
        <w:spacing w:after="0" w:line="70"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We are disclosing the following supplemental information related to the operating results of our renewable energy operations for 2010 (in millions) because we believe that it provides information related to the significance of our current renewable energy operations, the profitability of these operations and the costs we are incurring to develop these operations.</w:t>
      </w:r>
    </w:p>
    <w:p>
      <w:pPr>
        <w:spacing w:after="0" w:line="41"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13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gridSpan w:val="5"/>
          </w:tcPr>
          <w:p>
            <w:pPr>
              <w:jc w:val="right"/>
              <w:ind w:right="332"/>
              <w:spacing w:after="0"/>
              <w:rPr>
                <w:sz w:val="20"/>
                <w:szCs w:val="20"/>
                <w:color w:val="auto"/>
              </w:rPr>
            </w:pPr>
            <w:r>
              <w:rPr>
                <w:rFonts w:ascii="Arial" w:cs="Arial" w:eastAsia="Arial" w:hAnsi="Arial"/>
                <w:sz w:val="9"/>
                <w:szCs w:val="9"/>
                <w:b w:val="1"/>
                <w:bCs w:val="1"/>
                <w:color w:val="auto"/>
                <w:w w:val="97"/>
              </w:rPr>
              <w:t>Three Months Ended June 30, 2010</w:t>
            </w: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9"/>
                <w:szCs w:val="9"/>
                <w:b w:val="1"/>
                <w:bCs w:val="1"/>
                <w:color w:val="auto"/>
                <w:w w:val="92"/>
              </w:rPr>
              <w:t>Six Months Ended June 30, 2010</w:t>
            </w:r>
          </w:p>
        </w:tc>
        <w:tc>
          <w:tcPr>
            <w:tcW w:w="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75"/>
        </w:trPr>
        <w:tc>
          <w:tcPr>
            <w:tcW w:w="13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tcPr>
          <w:p>
            <w:pPr>
              <w:jc w:val="right"/>
              <w:ind w:right="280"/>
              <w:spacing w:after="0" w:line="75" w:lineRule="exact"/>
              <w:rPr>
                <w:sz w:val="20"/>
                <w:szCs w:val="20"/>
                <w:color w:val="auto"/>
              </w:rPr>
            </w:pPr>
            <w:r>
              <w:rPr>
                <w:rFonts w:ascii="Arial" w:cs="Arial" w:eastAsia="Arial" w:hAnsi="Arial"/>
                <w:sz w:val="8"/>
                <w:szCs w:val="8"/>
                <w:b w:val="1"/>
                <w:bCs w:val="1"/>
                <w:color w:val="auto"/>
              </w:rPr>
              <w:t>Landfill Gas-</w:t>
            </w:r>
          </w:p>
        </w:tc>
        <w:tc>
          <w:tcPr>
            <w:tcW w:w="860" w:type="dxa"/>
            <w:vAlign w:val="bottom"/>
          </w:tcPr>
          <w:p>
            <w:pPr>
              <w:jc w:val="right"/>
              <w:ind w:right="152"/>
              <w:spacing w:after="0" w:line="75" w:lineRule="exact"/>
              <w:rPr>
                <w:sz w:val="20"/>
                <w:szCs w:val="20"/>
                <w:color w:val="auto"/>
              </w:rPr>
            </w:pPr>
            <w:r>
              <w:rPr>
                <w:rFonts w:ascii="Arial" w:cs="Arial" w:eastAsia="Arial" w:hAnsi="Arial"/>
                <w:sz w:val="8"/>
                <w:szCs w:val="8"/>
                <w:b w:val="1"/>
                <w:bCs w:val="1"/>
                <w:color w:val="auto"/>
              </w:rPr>
              <w:t>Growth</w:t>
            </w: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tcPr>
          <w:p>
            <w:pPr>
              <w:jc w:val="right"/>
              <w:ind w:right="280"/>
              <w:spacing w:after="0" w:line="75" w:lineRule="exact"/>
              <w:rPr>
                <w:sz w:val="20"/>
                <w:szCs w:val="20"/>
                <w:color w:val="auto"/>
              </w:rPr>
            </w:pPr>
            <w:r>
              <w:rPr>
                <w:rFonts w:ascii="Arial" w:cs="Arial" w:eastAsia="Arial" w:hAnsi="Arial"/>
                <w:sz w:val="8"/>
                <w:szCs w:val="8"/>
                <w:b w:val="1"/>
                <w:bCs w:val="1"/>
                <w:color w:val="auto"/>
              </w:rPr>
              <w:t>Landfill Gas-</w:t>
            </w:r>
          </w:p>
        </w:tc>
        <w:tc>
          <w:tcPr>
            <w:tcW w:w="120" w:type="dxa"/>
            <w:vAlign w:val="bottom"/>
          </w:tcPr>
          <w:p>
            <w:pPr>
              <w:spacing w:after="0"/>
              <w:rPr>
                <w:sz w:val="6"/>
                <w:szCs w:val="6"/>
                <w:color w:val="auto"/>
              </w:rPr>
            </w:pPr>
          </w:p>
        </w:tc>
        <w:tc>
          <w:tcPr>
            <w:tcW w:w="1060" w:type="dxa"/>
            <w:vAlign w:val="bottom"/>
            <w:gridSpan w:val="2"/>
          </w:tcPr>
          <w:p>
            <w:pPr>
              <w:jc w:val="right"/>
              <w:ind w:right="520"/>
              <w:spacing w:after="0" w:line="75" w:lineRule="exact"/>
              <w:rPr>
                <w:sz w:val="20"/>
                <w:szCs w:val="20"/>
                <w:color w:val="auto"/>
              </w:rPr>
            </w:pPr>
            <w:r>
              <w:rPr>
                <w:rFonts w:ascii="Arial" w:cs="Arial" w:eastAsia="Arial" w:hAnsi="Arial"/>
                <w:sz w:val="8"/>
                <w:szCs w:val="8"/>
                <w:b w:val="1"/>
                <w:bCs w:val="1"/>
                <w:color w:val="auto"/>
              </w:rPr>
              <w:t>Growth</w:t>
            </w: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111"/>
        </w:trPr>
        <w:tc>
          <w:tcPr>
            <w:tcW w:w="13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9"/>
                <w:szCs w:val="9"/>
                <w:b w:val="1"/>
                <w:bCs w:val="1"/>
                <w:color w:val="auto"/>
                <w:w w:val="97"/>
              </w:rPr>
              <w:t>Wheelabrator</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w w:val="98"/>
              </w:rPr>
              <w:t>to-Energy(a)</w:t>
            </w:r>
          </w:p>
        </w:tc>
        <w:tc>
          <w:tcPr>
            <w:tcW w:w="860" w:type="dxa"/>
            <w:vAlign w:val="bottom"/>
          </w:tcPr>
          <w:p>
            <w:pPr>
              <w:jc w:val="right"/>
              <w:spacing w:after="0"/>
              <w:rPr>
                <w:sz w:val="20"/>
                <w:szCs w:val="20"/>
                <w:color w:val="auto"/>
              </w:rPr>
            </w:pPr>
            <w:r>
              <w:rPr>
                <w:rFonts w:ascii="Arial" w:cs="Arial" w:eastAsia="Arial" w:hAnsi="Arial"/>
                <w:sz w:val="9"/>
                <w:szCs w:val="9"/>
                <w:b w:val="1"/>
                <w:bCs w:val="1"/>
                <w:color w:val="auto"/>
              </w:rPr>
              <w:t>Opportunities(b)</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9"/>
                <w:szCs w:val="9"/>
                <w:b w:val="1"/>
                <w:bCs w:val="1"/>
                <w:color w:val="auto"/>
                <w:w w:val="92"/>
              </w:rPr>
              <w:t>Total</w:t>
            </w:r>
          </w:p>
        </w:tc>
        <w:tc>
          <w:tcPr>
            <w:tcW w:w="100" w:type="dxa"/>
            <w:vAlign w:val="bottom"/>
          </w:tcPr>
          <w:p>
            <w:pPr>
              <w:spacing w:after="0"/>
              <w:rPr>
                <w:sz w:val="9"/>
                <w:szCs w:val="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9"/>
                <w:szCs w:val="9"/>
                <w:b w:val="1"/>
                <w:bCs w:val="1"/>
                <w:color w:val="auto"/>
                <w:w w:val="97"/>
              </w:rPr>
              <w:t>Wheelabrator</w:t>
            </w:r>
          </w:p>
        </w:tc>
        <w:tc>
          <w:tcPr>
            <w:tcW w:w="60" w:type="dxa"/>
            <w:vAlign w:val="bottom"/>
          </w:tcPr>
          <w:p>
            <w:pPr>
              <w:spacing w:after="0"/>
              <w:rPr>
                <w:sz w:val="9"/>
                <w:szCs w:val="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w w:val="98"/>
              </w:rPr>
              <w:t>to-Energy(a)</w:t>
            </w:r>
          </w:p>
        </w:tc>
        <w:tc>
          <w:tcPr>
            <w:tcW w:w="120" w:type="dxa"/>
            <w:vAlign w:val="bottom"/>
          </w:tcPr>
          <w:p>
            <w:pPr>
              <w:spacing w:after="0"/>
              <w:rPr>
                <w:sz w:val="9"/>
                <w:szCs w:val="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9"/>
                <w:szCs w:val="9"/>
                <w:b w:val="1"/>
                <w:bCs w:val="1"/>
                <w:color w:val="auto"/>
                <w:w w:val="96"/>
              </w:rPr>
              <w:t>Opportunities(b)</w:t>
            </w:r>
          </w:p>
        </w:tc>
        <w:tc>
          <w:tcPr>
            <w:tcW w:w="36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rPr>
              <w:t>Total</w:t>
            </w:r>
          </w:p>
        </w:tc>
      </w:tr>
      <w:tr>
        <w:trPr>
          <w:trHeight w:val="29"/>
        </w:trPr>
        <w:tc>
          <w:tcPr>
            <w:tcW w:w="1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08"/>
        </w:trPr>
        <w:tc>
          <w:tcPr>
            <w:tcW w:w="304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Operating revenues (including intercompany)</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217</w:t>
            </w:r>
          </w:p>
        </w:tc>
        <w:tc>
          <w:tcPr>
            <w:tcW w:w="1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31</w:t>
            </w:r>
          </w:p>
        </w:tc>
        <w:tc>
          <w:tcPr>
            <w:tcW w:w="860" w:type="dxa"/>
            <w:vAlign w:val="bottom"/>
            <w:shd w:val="clear" w:color="auto" w:fill="CCEEFF"/>
          </w:tcPr>
          <w:p>
            <w:pPr>
              <w:jc w:val="right"/>
              <w:ind w:right="752"/>
              <w:spacing w:after="0" w:line="108" w:lineRule="exact"/>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ind w:left="4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95"/>
              </w:rPr>
              <w:t>248</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423</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59</w:t>
            </w:r>
          </w:p>
        </w:tc>
        <w:tc>
          <w:tcPr>
            <w:tcW w:w="120" w:type="dxa"/>
            <w:vAlign w:val="bottom"/>
            <w:shd w:val="clear" w:color="auto" w:fill="CCEEFF"/>
          </w:tcPr>
          <w:p>
            <w:pPr>
              <w:jc w:val="right"/>
              <w:ind w:right="8"/>
              <w:spacing w:after="0" w:line="108" w:lineRule="exact"/>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w w:val="95"/>
              </w:rPr>
              <w:t>$ 482</w:t>
            </w:r>
          </w:p>
        </w:tc>
      </w:tr>
      <w:tr>
        <w:trPr>
          <w:trHeight w:val="108"/>
        </w:trPr>
        <w:tc>
          <w:tcPr>
            <w:tcW w:w="3040" w:type="dxa"/>
            <w:vAlign w:val="bottom"/>
            <w:gridSpan w:val="2"/>
          </w:tcPr>
          <w:p>
            <w:pPr>
              <w:spacing w:after="0" w:line="108" w:lineRule="exact"/>
              <w:rPr>
                <w:sz w:val="20"/>
                <w:szCs w:val="20"/>
                <w:color w:val="auto"/>
              </w:rPr>
            </w:pPr>
            <w:r>
              <w:rPr>
                <w:rFonts w:ascii="Arial" w:cs="Arial" w:eastAsia="Arial" w:hAnsi="Arial"/>
                <w:sz w:val="10"/>
                <w:szCs w:val="10"/>
                <w:color w:val="auto"/>
              </w:rPr>
              <w:t>Costs and expenses:</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304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Operating</w:t>
            </w:r>
          </w:p>
        </w:tc>
        <w:tc>
          <w:tcPr>
            <w:tcW w:w="10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129</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11</w:t>
            </w:r>
          </w:p>
        </w:tc>
        <w:tc>
          <w:tcPr>
            <w:tcW w:w="860" w:type="dxa"/>
            <w:vAlign w:val="bottom"/>
            <w:shd w:val="clear" w:color="auto" w:fill="CCEEFF"/>
          </w:tcPr>
          <w:p>
            <w:pPr>
              <w:spacing w:after="0"/>
              <w:rPr>
                <w:sz w:val="9"/>
                <w:szCs w:val="9"/>
                <w:color w:val="auto"/>
              </w:rPr>
            </w:pPr>
          </w:p>
        </w:tc>
        <w:tc>
          <w:tcPr>
            <w:tcW w:w="340" w:type="dxa"/>
            <w:vAlign w:val="bottom"/>
            <w:gridSpan w:val="2"/>
            <w:shd w:val="clear" w:color="auto" w:fill="CCEEFF"/>
          </w:tcPr>
          <w:p>
            <w:pPr>
              <w:ind w:left="4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95"/>
              </w:rPr>
              <w:t>140</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262</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22</w:t>
            </w:r>
          </w:p>
        </w:tc>
        <w:tc>
          <w:tcPr>
            <w:tcW w:w="12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w:t>
            </w:r>
          </w:p>
        </w:tc>
        <w:tc>
          <w:tcPr>
            <w:tcW w:w="3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285</w:t>
            </w:r>
          </w:p>
        </w:tc>
      </w:tr>
      <w:tr>
        <w:trPr>
          <w:trHeight w:val="108"/>
        </w:trPr>
        <w:tc>
          <w:tcPr>
            <w:tcW w:w="304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Selling, general &amp; administrative</w:t>
            </w:r>
          </w:p>
        </w:tc>
        <w:tc>
          <w:tcPr>
            <w:tcW w:w="100" w:type="dxa"/>
            <w:vAlign w:val="bottom"/>
          </w:tcPr>
          <w:p>
            <w:pPr>
              <w:spacing w:after="0"/>
              <w:rPr>
                <w:sz w:val="9"/>
                <w:szCs w:val="9"/>
                <w:color w:val="auto"/>
              </w:rPr>
            </w:pPr>
          </w:p>
        </w:tc>
        <w:tc>
          <w:tcPr>
            <w:tcW w:w="78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18</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w:t>
            </w:r>
          </w:p>
        </w:tc>
        <w:tc>
          <w:tcPr>
            <w:tcW w:w="860" w:type="dxa"/>
            <w:vAlign w:val="bottom"/>
          </w:tcPr>
          <w:p>
            <w:pPr>
              <w:spacing w:after="0"/>
              <w:rPr>
                <w:sz w:val="9"/>
                <w:szCs w:val="9"/>
                <w:color w:val="auto"/>
              </w:rPr>
            </w:pPr>
          </w:p>
        </w:tc>
        <w:tc>
          <w:tcPr>
            <w:tcW w:w="340" w:type="dxa"/>
            <w:vAlign w:val="bottom"/>
            <w:gridSpan w:val="2"/>
          </w:tcPr>
          <w:p>
            <w:pPr>
              <w:ind w:left="4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3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19</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33</w:t>
            </w:r>
          </w:p>
        </w:tc>
        <w:tc>
          <w:tcPr>
            <w:tcW w:w="6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w:t>
            </w:r>
          </w:p>
        </w:tc>
        <w:tc>
          <w:tcPr>
            <w:tcW w:w="120" w:type="dxa"/>
            <w:vAlign w:val="bottom"/>
          </w:tcPr>
          <w:p>
            <w:pPr>
              <w:spacing w:after="0"/>
              <w:rPr>
                <w:sz w:val="9"/>
                <w:szCs w:val="9"/>
                <w:color w:val="auto"/>
              </w:rPr>
            </w:pPr>
          </w:p>
        </w:tc>
        <w:tc>
          <w:tcPr>
            <w:tcW w:w="10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w:t>
            </w:r>
          </w:p>
        </w:tc>
        <w:tc>
          <w:tcPr>
            <w:tcW w:w="3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36</w:t>
            </w:r>
          </w:p>
        </w:tc>
      </w:tr>
      <w:tr>
        <w:trPr>
          <w:trHeight w:val="108"/>
        </w:trPr>
        <w:tc>
          <w:tcPr>
            <w:tcW w:w="304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Depreciation and amortization</w:t>
            </w:r>
          </w:p>
        </w:tc>
        <w:tc>
          <w:tcPr>
            <w:tcW w:w="10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23</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w:t>
            </w:r>
          </w:p>
        </w:tc>
        <w:tc>
          <w:tcPr>
            <w:tcW w:w="860" w:type="dxa"/>
            <w:vAlign w:val="bottom"/>
            <w:shd w:val="clear" w:color="auto" w:fill="CCEEFF"/>
          </w:tcPr>
          <w:p>
            <w:pPr>
              <w:spacing w:after="0"/>
              <w:rPr>
                <w:sz w:val="9"/>
                <w:szCs w:val="9"/>
                <w:color w:val="auto"/>
              </w:rPr>
            </w:pPr>
          </w:p>
        </w:tc>
        <w:tc>
          <w:tcPr>
            <w:tcW w:w="340" w:type="dxa"/>
            <w:vAlign w:val="bottom"/>
            <w:gridSpan w:val="2"/>
            <w:shd w:val="clear" w:color="auto" w:fill="CCEEFF"/>
          </w:tcPr>
          <w:p>
            <w:pPr>
              <w:ind w:left="4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29</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45</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11</w:t>
            </w:r>
          </w:p>
        </w:tc>
        <w:tc>
          <w:tcPr>
            <w:tcW w:w="12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56</w:t>
            </w:r>
          </w:p>
        </w:tc>
      </w:tr>
      <w:tr>
        <w:trPr>
          <w:trHeight w:val="108"/>
        </w:trPr>
        <w:tc>
          <w:tcPr>
            <w:tcW w:w="13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170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18</w:t>
            </w:r>
          </w:p>
        </w:tc>
        <w:tc>
          <w:tcPr>
            <w:tcW w:w="200" w:type="dxa"/>
            <w:vAlign w:val="bottom"/>
          </w:tcPr>
          <w:p>
            <w:pPr>
              <w:spacing w:after="0"/>
              <w:rPr>
                <w:sz w:val="9"/>
                <w:szCs w:val="9"/>
                <w:color w:val="auto"/>
              </w:rPr>
            </w:pPr>
          </w:p>
        </w:tc>
        <w:tc>
          <w:tcPr>
            <w:tcW w:w="860" w:type="dxa"/>
            <w:vAlign w:val="bottom"/>
            <w:tcBorders>
              <w:top w:val="single" w:sz="8" w:color="auto"/>
              <w:bottom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ind w:left="40"/>
              <w:spacing w:after="0" w:line="108" w:lineRule="exact"/>
              <w:rPr>
                <w:sz w:val="20"/>
                <w:szCs w:val="20"/>
                <w:color w:val="auto"/>
              </w:rPr>
            </w:pPr>
            <w:r>
              <w:rPr>
                <w:rFonts w:ascii="Arial" w:cs="Arial" w:eastAsia="Arial" w:hAnsi="Arial"/>
                <w:sz w:val="10"/>
                <w:szCs w:val="10"/>
                <w:color w:val="auto"/>
                <w:w w:val="79"/>
              </w:rPr>
              <w:t>—</w:t>
            </w:r>
          </w:p>
        </w:tc>
        <w:tc>
          <w:tcPr>
            <w:tcW w:w="2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1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5"/>
              </w:rPr>
              <w:t>188</w:t>
            </w:r>
          </w:p>
        </w:tc>
        <w:tc>
          <w:tcPr>
            <w:tcW w:w="2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340</w:t>
            </w:r>
          </w:p>
        </w:tc>
        <w:tc>
          <w:tcPr>
            <w:tcW w:w="2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35</w:t>
            </w:r>
          </w:p>
        </w:tc>
        <w:tc>
          <w:tcPr>
            <w:tcW w:w="20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8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w:t>
            </w:r>
          </w:p>
        </w:tc>
        <w:tc>
          <w:tcPr>
            <w:tcW w:w="180" w:type="dxa"/>
            <w:vAlign w:val="bottom"/>
          </w:tcPr>
          <w:p>
            <w:pPr>
              <w:spacing w:after="0"/>
              <w:rPr>
                <w:sz w:val="9"/>
                <w:szCs w:val="9"/>
                <w:color w:val="auto"/>
              </w:rPr>
            </w:pPr>
          </w:p>
        </w:tc>
        <w:tc>
          <w:tcPr>
            <w:tcW w:w="2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377</w:t>
            </w:r>
          </w:p>
        </w:tc>
        <w:tc>
          <w:tcPr>
            <w:tcW w:w="100" w:type="dxa"/>
            <w:vAlign w:val="bottom"/>
          </w:tcPr>
          <w:p>
            <w:pPr>
              <w:spacing w:after="0"/>
              <w:rPr>
                <w:sz w:val="9"/>
                <w:szCs w:val="9"/>
                <w:color w:val="auto"/>
              </w:rPr>
            </w:pPr>
          </w:p>
        </w:tc>
      </w:tr>
      <w:tr>
        <w:trPr>
          <w:trHeight w:val="117"/>
        </w:trPr>
        <w:tc>
          <w:tcPr>
            <w:tcW w:w="304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Income (loss) from operations</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47</w:t>
            </w:r>
          </w:p>
        </w:tc>
        <w:tc>
          <w:tcPr>
            <w:tcW w:w="1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13</w:t>
            </w:r>
          </w:p>
        </w:tc>
        <w:tc>
          <w:tcPr>
            <w:tcW w:w="860" w:type="dxa"/>
            <w:vAlign w:val="bottom"/>
            <w:shd w:val="clear" w:color="auto" w:fill="CCEEFF"/>
          </w:tcPr>
          <w:p>
            <w:pPr>
              <w:jc w:val="right"/>
              <w:ind w:right="752"/>
              <w:spacing w:after="0" w:line="108" w:lineRule="exact"/>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ind w:left="4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60</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83</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24</w:t>
            </w:r>
          </w:p>
        </w:tc>
        <w:tc>
          <w:tcPr>
            <w:tcW w:w="120" w:type="dxa"/>
            <w:vAlign w:val="bottom"/>
            <w:shd w:val="clear" w:color="auto" w:fill="CCEEFF"/>
          </w:tcPr>
          <w:p>
            <w:pPr>
              <w:jc w:val="right"/>
              <w:ind w:right="8"/>
              <w:spacing w:after="0" w:line="108" w:lineRule="exact"/>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w:t>
            </w:r>
          </w:p>
        </w:tc>
        <w:tc>
          <w:tcPr>
            <w:tcW w:w="3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w w:val="95"/>
              </w:rPr>
              <w:t>$ 105</w:t>
            </w:r>
          </w:p>
        </w:tc>
      </w:tr>
      <w:tr>
        <w:trPr>
          <w:trHeight w:val="108"/>
        </w:trPr>
        <w:tc>
          <w:tcPr>
            <w:tcW w:w="1300" w:type="dxa"/>
            <w:vAlign w:val="bottom"/>
            <w:tcBorders>
              <w:bottom w:val="single" w:sz="8" w:color="auto"/>
            </w:tcBorders>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080" w:right="380" w:hanging="393"/>
        <w:spacing w:after="0" w:line="276" w:lineRule="auto"/>
        <w:tabs>
          <w:tab w:leader="none" w:pos="10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Our landfill gas-to-energy business focuses on generating a renewable energy source from the methane that is produced as waste decomposes. The operating results include the revenues and expenses of landfill gas-to-energy plants that we own and operate, as well as revenues generated from the sale of landfill gas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to third party owner/operators. The operating results of our landfill gas-to-energy business are included within our geographic reportable segments and “Other.”</w:t>
      </w:r>
    </w:p>
    <w:p>
      <w:pPr>
        <w:spacing w:after="0" w:line="47" w:lineRule="exact"/>
        <w:rPr>
          <w:sz w:val="20"/>
          <w:szCs w:val="20"/>
          <w:color w:val="auto"/>
        </w:rPr>
      </w:pPr>
    </w:p>
    <w:p>
      <w:pPr>
        <w:ind w:left="1080" w:right="220" w:hanging="393"/>
        <w:spacing w:after="0" w:line="264" w:lineRule="auto"/>
        <w:tabs>
          <w:tab w:leader="none" w:pos="10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Includes businesses and entities we have acquired or invested in through our organic growth group’s business development efforts. These businesses include a landfill gas to LNG facility; landfill gas to diesel fuels technologies; organic waste streams to fuels technologies; and other engineered fuels technologies. The operating results of our Growth Opportunities are included within “Other” in our assessment of our income from operations by segment.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interest expense was $116 million and $228 million for the three and six months ended June 30, 2010, respectively, compared to $107 million and $212 million for the three and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six months ended June 30, 2009, respectively. These increases are generally related to an increase in our average debt balances during 2010, primarily associated with our senior notes. In the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fourth quarter of 2009, the Company issued $600 million of senior notes, which mature in 2039 and have a coupon rate of 6.125%. In the second quarter of 2010, the Company issued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$600 million senior notes, which mature in 2020 and have a coupon rate of 4.75%. The increase in interest expense attributable to our higher outstanding debt was offset, in part, by a decline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market interest rates, which has reduced the interest costs of our Canadian credit facility and our tax-exempt borrowings.</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Income</w:t>
      </w:r>
    </w:p>
    <w:p>
      <w:pPr>
        <w:spacing w:after="0" w:line="9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Interest income was $2 million for the three and six months ended June 30, 2010 compared with $3 million and $7 million for the three and six months ended June 30, 2009, respectively. The decrease in interest income is primarily related to a decline in market interest rates. Although our average cash and cash equivalents balances have increased year-over-year, record-low short-term interest rates have resulted in insignificant interest being generated on current balances. The current period increase in our cash and cash equivalents balance is due in large part to our June 2010 issuance of $600 million senior notes, which we expect to use to repay our $600 million of senior notes that mature in August 2010.</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Provision for Income Taxes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recorded a provision for income taxes of $206 million during the second quarter of 2010, representing an effective tax rate of 44.2%, compared with a provision for income taxes of $163 million during the second quarter of 2009, representing a 37.9% effective tax rate. Our effective tax rate for the first half of 2010 was 41.2% compared with 37.6% for the first half of 2009. The year-over-year increase in our reported income taxes was primarily due to (i) a $37 million increase in our current period provision for state deferred income taxes to reflect the impact of refinements in estimates and (ii) the unfavorable impact of state and local taxes. These increases were partially offset by the favorable impact of federal low-income housing tax credits, which reduced our provision by $11 million for the three and six months ended June 30, 2010. Refer to Note 5 to the Condensed Consolidated Financial Statements for more information related to our federal low-income housing investment.</w:t>
      </w:r>
    </w:p>
    <w:p>
      <w:pPr>
        <w:spacing w:after="0" w:line="72"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The Patient Protection and Affordable Care Act, which was signed into law in March 2010, includes a provision that eliminates the tax deductibility of retiree health care costs to the extent that retiree prescription drug benefits are reimbursed under Medicare Part D coverage. Although this provision of the Act does not take effect until 2013, we were required to recognize the full accounting impact of the change in law on our deferred tax assets during the first quarter of 2010, the period in which the law was enacted. The remeasurement of our deferred tax assets did not affect our financial position or results of operations as of or for the three and six months ended June 30, 2010.</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Noncontrolling Interests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Net income attributable to noncontrolling interests was $12 million and $22 million for the three and six months ended June 30, 2010, respectively, compared with $20 million and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$35 million for the three and six months ended June 30, 2009, respectively. The comparison of these amounts for the reported periods has been affected by (i) our January 2010 acquisition of</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 controlling financial interest in a portable self-storage business; and (ii) the</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500"/>
        <w:spacing w:after="0" w:line="276" w:lineRule="auto"/>
        <w:rPr>
          <w:sz w:val="20"/>
          <w:szCs w:val="20"/>
          <w:color w:val="auto"/>
        </w:rPr>
      </w:pPr>
      <w:r>
        <w:rPr>
          <w:rFonts w:ascii="Arial" w:cs="Arial" w:eastAsia="Arial" w:hAnsi="Arial"/>
          <w:sz w:val="13"/>
          <w:szCs w:val="13"/>
          <w:color w:val="auto"/>
        </w:rPr>
        <w:t>deconsolidation of certain capping, closure, post-closure and environmental remediation trusts as a result of our implementation of authoritative guidance, effective January 1, 2010, associated with variable interest entities.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Cash and Cash Equivalents, Restricted Trust and Escrow Accounts and Debt Obligations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is a summary of our cash and cash equivalents, restricted trust and escrow accounts and debt balances as of June 30, 2010 and December 31, 2009 (in millions):</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4"/>
              </w:rPr>
              <w:t>June 30,</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6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8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1,169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1,140</w:t>
            </w:r>
          </w:p>
        </w:tc>
        <w:tc>
          <w:tcPr>
            <w:tcW w:w="0" w:type="dxa"/>
            <w:vAlign w:val="bottom"/>
          </w:tcPr>
          <w:p>
            <w:pPr>
              <w:spacing w:after="0"/>
              <w:rPr>
                <w:sz w:val="1"/>
                <w:szCs w:val="1"/>
                <w:color w:val="auto"/>
              </w:rPr>
            </w:pPr>
          </w:p>
        </w:tc>
      </w:tr>
      <w:tr>
        <w:trPr>
          <w:trHeight w:val="166"/>
        </w:trPr>
        <w:tc>
          <w:tcPr>
            <w:tcW w:w="8000" w:type="dxa"/>
            <w:vAlign w:val="bottom"/>
            <w:gridSpan w:val="2"/>
          </w:tcPr>
          <w:p>
            <w:pPr>
              <w:spacing w:after="0"/>
              <w:rPr>
                <w:sz w:val="20"/>
                <w:szCs w:val="20"/>
                <w:color w:val="auto"/>
              </w:rPr>
            </w:pPr>
            <w:r>
              <w:rPr>
                <w:rFonts w:ascii="Arial" w:cs="Arial" w:eastAsia="Arial" w:hAnsi="Arial"/>
                <w:sz w:val="13"/>
                <w:szCs w:val="13"/>
                <w:color w:val="auto"/>
              </w:rPr>
              <w:t>Restricted trust and escrow accounts:</w:t>
            </w:r>
          </w:p>
        </w:tc>
        <w:tc>
          <w:tcPr>
            <w:tcW w:w="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Tax-exempt bond funds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57"/>
        </w:trPr>
        <w:tc>
          <w:tcPr>
            <w:tcW w:w="8000" w:type="dxa"/>
            <w:vAlign w:val="bottom"/>
            <w:gridSpan w:val="2"/>
          </w:tcPr>
          <w:p>
            <w:pPr>
              <w:ind w:left="140"/>
              <w:spacing w:after="0"/>
              <w:rPr>
                <w:sz w:val="20"/>
                <w:szCs w:val="20"/>
                <w:color w:val="auto"/>
              </w:rPr>
            </w:pPr>
            <w:r>
              <w:rPr>
                <w:rFonts w:ascii="Arial" w:cs="Arial" w:eastAsia="Arial" w:hAnsi="Arial"/>
                <w:sz w:val="13"/>
                <w:szCs w:val="13"/>
                <w:color w:val="auto"/>
              </w:rPr>
              <w:t>Capping, closure, post-closure and environmental remediation funds(a)</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124</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r>
        <w:trPr>
          <w:trHeight w:val="157"/>
        </w:trPr>
        <w:tc>
          <w:tcPr>
            <w:tcW w:w="8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 restricted trust and escrow accounts</w:t>
            </w: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0" w:type="dxa"/>
            <w:vAlign w:val="bottom"/>
            <w:gridSpan w:val="2"/>
            <w:vMerge w:val="continue"/>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171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306</w:t>
            </w:r>
          </w:p>
        </w:tc>
        <w:tc>
          <w:tcPr>
            <w:tcW w:w="0" w:type="dxa"/>
            <w:vAlign w:val="bottom"/>
          </w:tcPr>
          <w:p>
            <w:pPr>
              <w:spacing w:after="0"/>
              <w:rPr>
                <w:sz w:val="1"/>
                <w:szCs w:val="1"/>
                <w:color w:val="auto"/>
              </w:rPr>
            </w:pPr>
          </w:p>
        </w:tc>
      </w:tr>
      <w:tr>
        <w:trPr>
          <w:trHeight w:val="165"/>
        </w:trPr>
        <w:tc>
          <w:tcPr>
            <w:tcW w:w="8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Debt:</w:t>
            </w:r>
          </w:p>
        </w:tc>
        <w:tc>
          <w:tcPr>
            <w:tcW w:w="6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000" w:type="dxa"/>
            <w:vAlign w:val="bottom"/>
            <w:gridSpan w:val="2"/>
          </w:tcPr>
          <w:p>
            <w:pPr>
              <w:ind w:left="140"/>
              <w:spacing w:after="0"/>
              <w:rPr>
                <w:sz w:val="20"/>
                <w:szCs w:val="20"/>
                <w:color w:val="auto"/>
              </w:rPr>
            </w:pPr>
            <w:r>
              <w:rPr>
                <w:rFonts w:ascii="Arial" w:cs="Arial" w:eastAsia="Arial" w:hAnsi="Arial"/>
                <w:sz w:val="13"/>
                <w:szCs w:val="13"/>
                <w:color w:val="auto"/>
              </w:rPr>
              <w:t>Current portion of long-term debt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758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749</w:t>
            </w:r>
          </w:p>
        </w:tc>
        <w:tc>
          <w:tcPr>
            <w:tcW w:w="0" w:type="dxa"/>
            <w:vAlign w:val="bottom"/>
          </w:tcPr>
          <w:p>
            <w:pPr>
              <w:spacing w:after="0"/>
              <w:rPr>
                <w:sz w:val="1"/>
                <w:szCs w:val="1"/>
                <w:color w:val="auto"/>
              </w:rPr>
            </w:pPr>
          </w:p>
        </w:tc>
      </w:tr>
      <w:tr>
        <w:trPr>
          <w:trHeight w:val="157"/>
        </w:trPr>
        <w:tc>
          <w:tcPr>
            <w:tcW w:w="8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Long-term debt, less current portion</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8,827</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8,124</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 long-term debt</w:t>
            </w: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0" w:type="dxa"/>
            <w:vAlign w:val="bottom"/>
            <w:gridSpan w:val="2"/>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9,585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8,873</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67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8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Increase in carrying value of debt due to hedge accounting for interest rate swaps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7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hanging="393"/>
        <w:spacing w:after="0" w:line="258" w:lineRule="auto"/>
        <w:tabs>
          <w:tab w:leader="none" w:pos="10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decrease in restricted trust and escrow accounts from December 31, 2009 is due to our implementation of revised accounting guidance related to the consolidation of variable interest entities. Effective January 1, 2010, we were required to deconsolidate trusts for which power over significant activities is shared, which reduced our restricted trust and escrow accounts by $109 million. Beginning in 2010, our interests in these variable interest entities have been accounted for as investments in unconsolidated entities and receivables. The fair value of our investments in these entities was $107 million as of June 30, 2010. These amounts are recorded in “Other receivables” and as long-term “Other assets” in our Condensed Consolidated Balance Sheet.</w:t>
      </w:r>
    </w:p>
    <w:p>
      <w:pPr>
        <w:spacing w:after="0" w:line="71" w:lineRule="exact"/>
        <w:rPr>
          <w:sz w:val="20"/>
          <w:szCs w:val="20"/>
          <w:color w:val="auto"/>
        </w:rPr>
      </w:pPr>
    </w:p>
    <w:p>
      <w:pPr>
        <w:ind w:left="680" w:right="200" w:firstLine="399"/>
        <w:spacing w:after="0" w:line="296" w:lineRule="auto"/>
        <w:rPr>
          <w:sz w:val="20"/>
          <w:szCs w:val="20"/>
          <w:color w:val="auto"/>
        </w:rPr>
      </w:pPr>
      <w:r>
        <w:rPr>
          <w:rFonts w:ascii="Arial" w:cs="Arial" w:eastAsia="Arial" w:hAnsi="Arial"/>
          <w:sz w:val="12"/>
          <w:szCs w:val="12"/>
          <w:color w:val="auto"/>
        </w:rPr>
        <w:t>As of June 30, 2010, we had $1,100 million of debt maturing within twelve months, including U.S. $243 million under our Canadian credit facility, $600 million of 7.375% senior notes that mature in August 2010 and $147 million of 7.65% senior notes that mature in March 2011. The amount reported as the current portion of long-term debt as of June 30, 2010 excludes $342 million of these scheduled repayments because we have the intent and ability to refinance portions of our current maturities on a long-term basis.</w:t>
      </w:r>
    </w:p>
    <w:p>
      <w:pPr>
        <w:spacing w:after="0" w:line="50"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We have significant financial assurance needs and have established various letter of credit agreements to provide us with sources of credit capacity. In June 2010, we executed a letter of credit facility that provides us with $50 million of credit capacity through June 2013. We expect that similar facilities may continue to serve as a cost efficient source of financial assurance in the future. In June 2010, we entered into a three-year, $2.0 billion revolving credit facility, replacing the $2.4 billion credit facility that would have matured in August 2011. We continue to assess our financial assurance requirements to ensure that we have adequate letter of credit capacity in advance of our business needs.</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Cash Flow Activity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our cash flows for the six-month periods ended June 30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4"/>
          </w:tcPr>
          <w:p>
            <w:pPr>
              <w:jc w:val="center"/>
              <w:ind w:left="220"/>
              <w:spacing w:after="0"/>
              <w:rPr>
                <w:sz w:val="20"/>
                <w:szCs w:val="20"/>
                <w:color w:val="auto"/>
              </w:rPr>
            </w:pPr>
            <w:r>
              <w:rPr>
                <w:rFonts w:ascii="Arial" w:cs="Arial" w:eastAsia="Arial" w:hAnsi="Arial"/>
                <w:sz w:val="10"/>
                <w:szCs w:val="10"/>
                <w:b w:val="1"/>
                <w:bCs w:val="1"/>
                <w:color w:val="auto"/>
                <w:w w:val="97"/>
              </w:rPr>
              <w:t>Six Months</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1"/>
              </w:rPr>
              <w:t>Ended</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86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0"/>
                <w:szCs w:val="10"/>
                <w:b w:val="1"/>
                <w:bCs w:val="1"/>
                <w:color w:val="auto"/>
                <w:w w:val="89"/>
              </w:rPr>
              <w:t>June 30,</w:t>
            </w: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40"/>
              <w:spacing w:after="0" w:line="98" w:lineRule="exact"/>
              <w:rPr>
                <w:sz w:val="20"/>
                <w:szCs w:val="20"/>
                <w:color w:val="auto"/>
              </w:rPr>
            </w:pPr>
            <w:r>
              <w:rPr>
                <w:rFonts w:ascii="Arial" w:cs="Arial" w:eastAsia="Arial" w:hAnsi="Arial"/>
                <w:sz w:val="10"/>
                <w:szCs w:val="10"/>
                <w:b w:val="1"/>
                <w:bCs w:val="1"/>
                <w:color w:val="auto"/>
                <w:w w:val="89"/>
              </w:rPr>
              <w:t>2010</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6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976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1,067</w:t>
            </w:r>
          </w:p>
        </w:tc>
        <w:tc>
          <w:tcPr>
            <w:tcW w:w="0" w:type="dxa"/>
            <w:vAlign w:val="bottom"/>
          </w:tcPr>
          <w:p>
            <w:pPr>
              <w:spacing w:after="0"/>
              <w:rPr>
                <w:sz w:val="1"/>
                <w:szCs w:val="1"/>
                <w:color w:val="auto"/>
              </w:rPr>
            </w:pPr>
          </w:p>
        </w:tc>
      </w:tr>
      <w:tr>
        <w:trPr>
          <w:trHeight w:val="29"/>
        </w:trPr>
        <w:tc>
          <w:tcPr>
            <w:tcW w:w="8600" w:type="dxa"/>
            <w:vAlign w:val="bottom"/>
            <w:vMerge w:val="restart"/>
          </w:tcPr>
          <w:p>
            <w:pPr>
              <w:spacing w:after="0"/>
              <w:rPr>
                <w:sz w:val="20"/>
                <w:szCs w:val="20"/>
                <w:color w:val="auto"/>
              </w:rPr>
            </w:pPr>
            <w:r>
              <w:rPr>
                <w:rFonts w:ascii="Arial" w:cs="Arial" w:eastAsia="Arial" w:hAnsi="Arial"/>
                <w:sz w:val="13"/>
                <w:szCs w:val="13"/>
                <w:color w:val="auto"/>
              </w:rPr>
              <w:t>Net cash used in investing activities</w:t>
            </w: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6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(823)</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(563)</w:t>
            </w:r>
          </w:p>
        </w:tc>
        <w:tc>
          <w:tcPr>
            <w:tcW w:w="0" w:type="dxa"/>
            <w:vAlign w:val="bottom"/>
          </w:tcPr>
          <w:p>
            <w:pPr>
              <w:spacing w:after="0"/>
              <w:rPr>
                <w:sz w:val="1"/>
                <w:szCs w:val="1"/>
                <w:color w:val="auto"/>
              </w:rPr>
            </w:pPr>
          </w:p>
        </w:tc>
      </w:tr>
      <w:tr>
        <w:trPr>
          <w:trHeight w:val="33"/>
        </w:trPr>
        <w:tc>
          <w:tcPr>
            <w:tcW w:w="8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6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(456)</w:t>
            </w:r>
          </w:p>
        </w:tc>
        <w:tc>
          <w:tcPr>
            <w:tcW w:w="0" w:type="dxa"/>
            <w:vAlign w:val="bottom"/>
          </w:tcPr>
          <w:p>
            <w:pPr>
              <w:spacing w:after="0"/>
              <w:rPr>
                <w:sz w:val="1"/>
                <w:szCs w:val="1"/>
                <w:color w:val="auto"/>
              </w:rPr>
            </w:pPr>
          </w:p>
        </w:tc>
      </w:tr>
      <w:tr>
        <w:trPr>
          <w:trHeight w:val="29"/>
        </w:trPr>
        <w:tc>
          <w:tcPr>
            <w:tcW w:w="8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Net Cash Provided by Operating Activities </w:t>
      </w:r>
      <w:r>
        <w:rPr>
          <w:rFonts w:ascii="Arial" w:cs="Arial" w:eastAsia="Arial" w:hAnsi="Arial"/>
          <w:sz w:val="12"/>
          <w:szCs w:val="12"/>
          <w:color w:val="auto"/>
        </w:rPr>
        <w:t>— We generated $976 million of cash flows from operating activities during the six-month period ended June 30, 2010, compared with</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$1,067 million during the six-month period ended June 30, 2009. The $91 million decrease was driven by an increase in income tax payments of $53 million and increases in our receivables</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1"/>
          <w:szCs w:val="11"/>
          <w:color w:val="auto"/>
        </w:rPr>
        <w:t>due to seasonal trends generally experienced during the second quarter, which were not as significant in 2009 due to economic conditions. These current year reductions were partially offset</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by (i) a favorable cash benefit of $77 million resulting from a litigation settlement in April 2010; and (ii) prior year payments of $25 million related to severance and benefit costs associated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with our January 2009 restructuring.</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Net Cash Used in Investing Activities </w:t>
      </w:r>
      <w:r>
        <w:rPr>
          <w:rFonts w:ascii="Arial" w:cs="Arial" w:eastAsia="Arial" w:hAnsi="Arial"/>
          <w:sz w:val="12"/>
          <w:szCs w:val="12"/>
          <w:color w:val="auto"/>
        </w:rPr>
        <w:t>— During the first half of 2010, net cash used in investing activities was $823 million, compared with $563 million during the first half of 2009.</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most significant items affecting the comparison of our investing cash flows for the six-month periods ended June 30, 2010 and 2009 are summarized below:</w:t>
      </w:r>
    </w:p>
    <w:p>
      <w:pPr>
        <w:spacing w:after="0" w:line="89" w:lineRule="exact"/>
        <w:rPr>
          <w:sz w:val="20"/>
          <w:szCs w:val="20"/>
          <w:color w:val="auto"/>
        </w:rPr>
      </w:pPr>
    </w:p>
    <w:p>
      <w:pPr>
        <w:ind w:left="1280" w:right="40" w:hanging="190"/>
        <w:spacing w:after="0" w:line="289" w:lineRule="auto"/>
        <w:tabs>
          <w:tab w:leader="none" w:pos="1280" w:val="left"/>
        </w:tabs>
        <w:numPr>
          <w:ilvl w:val="0"/>
          <w:numId w:val="39"/>
        </w:numPr>
        <w:rPr>
          <w:rFonts w:ascii="Arial" w:cs="Arial" w:eastAsia="Arial" w:hAnsi="Arial"/>
          <w:sz w:val="12"/>
          <w:szCs w:val="12"/>
          <w:color w:val="auto"/>
        </w:rPr>
      </w:pPr>
      <w:r>
        <w:rPr>
          <w:rFonts w:ascii="Arial" w:cs="Arial" w:eastAsia="Arial" w:hAnsi="Arial"/>
          <w:sz w:val="12"/>
          <w:szCs w:val="12"/>
          <w:i w:val="1"/>
          <w:iCs w:val="1"/>
          <w:color w:val="auto"/>
        </w:rPr>
        <w:t xml:space="preserve">Investments in unconsolidated entities </w:t>
      </w:r>
      <w:r>
        <w:rPr>
          <w:rFonts w:ascii="Arial" w:cs="Arial" w:eastAsia="Arial" w:hAnsi="Arial"/>
          <w:sz w:val="12"/>
          <w:szCs w:val="12"/>
          <w:color w:val="auto"/>
        </w:rPr>
        <w:t>— We made $161 million of cash investments in unconsolidated entities during the first half of 2010. These cash investments were</w:t>
      </w:r>
      <w:r>
        <w:rPr>
          <w:rFonts w:ascii="Arial" w:cs="Arial" w:eastAsia="Arial" w:hAnsi="Arial"/>
          <w:sz w:val="12"/>
          <w:szCs w:val="12"/>
          <w:i w:val="1"/>
          <w:iCs w:val="1"/>
          <w:color w:val="auto"/>
        </w:rPr>
        <w:t xml:space="preserve"> </w:t>
      </w:r>
      <w:r>
        <w:rPr>
          <w:rFonts w:ascii="Arial" w:cs="Arial" w:eastAsia="Arial" w:hAnsi="Arial"/>
          <w:sz w:val="12"/>
          <w:szCs w:val="12"/>
          <w:color w:val="auto"/>
        </w:rPr>
        <w:t>primarily related to a $142 million payment made to acquire a 40% equity investment in Shanghai Environment Group (“SEG”), a subsidiary of Shanghai Chengtou Holding Co., Ltd. As a joint venture partner in SEG, we will participate in the operation and management of waste-to-energy and other waste services in the Chinese market. SEG will also focus on building new waste-to-energy facilities in China. We did not make any similar investments during the first half of 2009.</w:t>
      </w:r>
    </w:p>
    <w:p>
      <w:pPr>
        <w:spacing w:after="0" w:line="43" w:lineRule="exact"/>
        <w:rPr>
          <w:rFonts w:ascii="Arial" w:cs="Arial" w:eastAsia="Arial" w:hAnsi="Arial"/>
          <w:sz w:val="12"/>
          <w:szCs w:val="12"/>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i w:val="1"/>
          <w:iCs w:val="1"/>
          <w:color w:val="auto"/>
        </w:rPr>
        <w:t xml:space="preserve">Capital expenditures — </w:t>
      </w:r>
      <w:r>
        <w:rPr>
          <w:rFonts w:ascii="Arial" w:cs="Arial" w:eastAsia="Arial" w:hAnsi="Arial"/>
          <w:sz w:val="13"/>
          <w:szCs w:val="13"/>
          <w:color w:val="auto"/>
        </w:rPr>
        <w:t>We used $475 million during the first half of 2010 for capital expenditures compared with $583 million in the first half of 2009, a decrease of</w:t>
      </w:r>
    </w:p>
    <w:p>
      <w:pPr>
        <w:spacing w:after="0" w:line="15" w:lineRule="exact"/>
        <w:rPr>
          <w:rFonts w:ascii="Arial" w:cs="Arial" w:eastAsia="Arial" w:hAnsi="Arial"/>
          <w:sz w:val="13"/>
          <w:szCs w:val="13"/>
          <w:color w:val="auto"/>
        </w:rPr>
      </w:pPr>
    </w:p>
    <w:p>
      <w:pPr>
        <w:ind w:left="1280" w:right="40"/>
        <w:spacing w:after="0" w:line="258" w:lineRule="auto"/>
        <w:rPr>
          <w:rFonts w:ascii="Arial" w:cs="Arial" w:eastAsia="Arial" w:hAnsi="Arial"/>
          <w:sz w:val="13"/>
          <w:szCs w:val="13"/>
          <w:color w:val="auto"/>
        </w:rPr>
      </w:pPr>
      <w:r>
        <w:rPr>
          <w:rFonts w:ascii="Arial" w:cs="Arial" w:eastAsia="Arial" w:hAnsi="Arial"/>
          <w:sz w:val="13"/>
          <w:szCs w:val="13"/>
          <w:color w:val="auto"/>
        </w:rPr>
        <w:t>$108 million. The decrease can generally be attributed to timing differences associated with cash payments for the previous years’ fourth quarter capital spending. Approximately $145 million of our fourth quarter 2009 spending was paid in cash in 2010 compared with approximately $245 million of our fourth quarter 2008 spending that was paid in the first quarter of 2009.</w:t>
      </w:r>
    </w:p>
    <w:p>
      <w:pPr>
        <w:spacing w:after="0" w:line="60" w:lineRule="exact"/>
        <w:rPr>
          <w:rFonts w:ascii="Arial" w:cs="Arial" w:eastAsia="Arial" w:hAnsi="Arial"/>
          <w:sz w:val="13"/>
          <w:szCs w:val="13"/>
          <w:color w:val="auto"/>
        </w:rPr>
      </w:pPr>
    </w:p>
    <w:p>
      <w:pPr>
        <w:jc w:val="both"/>
        <w:ind w:left="1280" w:right="80" w:hanging="190"/>
        <w:spacing w:after="0" w:line="296" w:lineRule="auto"/>
        <w:tabs>
          <w:tab w:leader="none" w:pos="1280" w:val="left"/>
        </w:tabs>
        <w:numPr>
          <w:ilvl w:val="0"/>
          <w:numId w:val="39"/>
        </w:numPr>
        <w:rPr>
          <w:rFonts w:ascii="Arial" w:cs="Arial" w:eastAsia="Arial" w:hAnsi="Arial"/>
          <w:sz w:val="12"/>
          <w:szCs w:val="12"/>
          <w:color w:val="auto"/>
        </w:rPr>
      </w:pPr>
      <w:r>
        <w:rPr>
          <w:rFonts w:ascii="Arial" w:cs="Arial" w:eastAsia="Arial" w:hAnsi="Arial"/>
          <w:sz w:val="12"/>
          <w:szCs w:val="12"/>
          <w:i w:val="1"/>
          <w:iCs w:val="1"/>
          <w:color w:val="auto"/>
        </w:rPr>
        <w:t xml:space="preserve">Acquisitions </w:t>
      </w:r>
      <w:r>
        <w:rPr>
          <w:rFonts w:ascii="Arial" w:cs="Arial" w:eastAsia="Arial" w:hAnsi="Arial"/>
          <w:sz w:val="12"/>
          <w:szCs w:val="12"/>
          <w:color w:val="auto"/>
        </w:rPr>
        <w:t>— Our spending on acquisitions increased from $59 million for the six months ended June 30, 2009 to $237 million for the six months ended June 30, 2010. During</w:t>
      </w:r>
      <w:r>
        <w:rPr>
          <w:rFonts w:ascii="Arial" w:cs="Arial" w:eastAsia="Arial" w:hAnsi="Arial"/>
          <w:sz w:val="12"/>
          <w:szCs w:val="12"/>
          <w:i w:val="1"/>
          <w:iCs w:val="1"/>
          <w:color w:val="auto"/>
        </w:rPr>
        <w:t xml:space="preserve"> </w:t>
      </w:r>
      <w:r>
        <w:rPr>
          <w:rFonts w:ascii="Arial" w:cs="Arial" w:eastAsia="Arial" w:hAnsi="Arial"/>
          <w:sz w:val="12"/>
          <w:szCs w:val="12"/>
          <w:color w:val="auto"/>
        </w:rPr>
        <w:t>the second quarter of 2010, we paid approximately $150 million to acquire a waste-to-energy facility in Portsmouth, Virginia. We continue to focus on accretive acquisitions and growth opportunities that will contribute to improved future results of operations and enhance and expand our existing service offerings.</w:t>
      </w:r>
    </w:p>
    <w:p>
      <w:pPr>
        <w:spacing w:after="0" w:line="39" w:lineRule="exact"/>
        <w:rPr>
          <w:rFonts w:ascii="Arial" w:cs="Arial" w:eastAsia="Arial" w:hAnsi="Arial"/>
          <w:sz w:val="12"/>
          <w:szCs w:val="12"/>
          <w:color w:val="auto"/>
        </w:rPr>
      </w:pPr>
    </w:p>
    <w:p>
      <w:pPr>
        <w:jc w:val="both"/>
        <w:ind w:left="1280" w:right="180" w:hanging="190"/>
        <w:spacing w:after="0" w:line="264" w:lineRule="auto"/>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i w:val="1"/>
          <w:iCs w:val="1"/>
          <w:color w:val="auto"/>
        </w:rPr>
        <w:t xml:space="preserve">Net receipts from restricted funds — </w:t>
      </w:r>
      <w:r>
        <w:rPr>
          <w:rFonts w:ascii="Arial" w:cs="Arial" w:eastAsia="Arial" w:hAnsi="Arial"/>
          <w:sz w:val="13"/>
          <w:szCs w:val="13"/>
          <w:color w:val="auto"/>
        </w:rPr>
        <w:t>Net funds received from our restricted trust and escrow accounts contributed $26 million to our investing activities in the first half of 2010</w:t>
      </w:r>
      <w:r>
        <w:rPr>
          <w:rFonts w:ascii="Arial" w:cs="Arial" w:eastAsia="Arial" w:hAnsi="Arial"/>
          <w:sz w:val="13"/>
          <w:szCs w:val="13"/>
          <w:i w:val="1"/>
          <w:iCs w:val="1"/>
          <w:color w:val="auto"/>
        </w:rPr>
        <w:t xml:space="preserve"> </w:t>
      </w:r>
      <w:r>
        <w:rPr>
          <w:rFonts w:ascii="Arial" w:cs="Arial" w:eastAsia="Arial" w:hAnsi="Arial"/>
          <w:sz w:val="13"/>
          <w:szCs w:val="13"/>
          <w:color w:val="auto"/>
        </w:rPr>
        <w:t>compared with $71 million in the first half of 2009. The year-over-year decrease in cash received from our restricted trust and escrow accounts is generally due to the timing of requisitions from our tax-exempt bond funds, which are used to support related capital projects.</w:t>
      </w:r>
    </w:p>
    <w:p>
      <w:pPr>
        <w:spacing w:after="0" w:line="67"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i w:val="1"/>
          <w:iCs w:val="1"/>
          <w:color w:val="auto"/>
        </w:rPr>
        <w:t xml:space="preserve">Net Cash Used in Financing Activities </w:t>
      </w:r>
      <w:r>
        <w:rPr>
          <w:rFonts w:ascii="Arial" w:cs="Arial" w:eastAsia="Arial" w:hAnsi="Arial"/>
          <w:sz w:val="13"/>
          <w:szCs w:val="13"/>
          <w:color w:val="auto"/>
        </w:rPr>
        <w:t>— Net cash used in financing activities was $123 million for the six months ended June 30, 2010, compared with $456 million during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comparable prior year period. The most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significant items affecting the comparison of our financing cash flows for the six-month periods ended June 30, 2010 and 2009 are summarized below:</w:t>
      </w:r>
    </w:p>
    <w:p>
      <w:pPr>
        <w:spacing w:after="0" w:line="96" w:lineRule="exact"/>
        <w:rPr>
          <w:sz w:val="20"/>
          <w:szCs w:val="20"/>
          <w:color w:val="auto"/>
        </w:rPr>
      </w:pPr>
    </w:p>
    <w:p>
      <w:pPr>
        <w:jc w:val="both"/>
        <w:ind w:left="1280" w:hanging="190"/>
        <w:spacing w:after="0" w:line="296" w:lineRule="auto"/>
        <w:tabs>
          <w:tab w:leader="none" w:pos="1280" w:val="left"/>
        </w:tabs>
        <w:numPr>
          <w:ilvl w:val="0"/>
          <w:numId w:val="40"/>
        </w:numPr>
        <w:rPr>
          <w:rFonts w:ascii="Arial" w:cs="Arial" w:eastAsia="Arial" w:hAnsi="Arial"/>
          <w:sz w:val="12"/>
          <w:szCs w:val="12"/>
          <w:color w:val="auto"/>
        </w:rPr>
      </w:pPr>
      <w:r>
        <w:rPr>
          <w:rFonts w:ascii="Arial" w:cs="Arial" w:eastAsia="Arial" w:hAnsi="Arial"/>
          <w:sz w:val="12"/>
          <w:szCs w:val="12"/>
          <w:i w:val="1"/>
          <w:iCs w:val="1"/>
          <w:color w:val="auto"/>
        </w:rPr>
        <w:t xml:space="preserve">Share repurchases and dividend payments </w:t>
      </w:r>
      <w:r>
        <w:rPr>
          <w:rFonts w:ascii="Arial" w:cs="Arial" w:eastAsia="Arial" w:hAnsi="Arial"/>
          <w:sz w:val="12"/>
          <w:szCs w:val="12"/>
          <w:color w:val="auto"/>
        </w:rPr>
        <w:t>— We repurchased 9.0 million shares of our common stock for $298 million during the first half of 2010. Approximately $12 million of</w:t>
      </w:r>
      <w:r>
        <w:rPr>
          <w:rFonts w:ascii="Arial" w:cs="Arial" w:eastAsia="Arial" w:hAnsi="Arial"/>
          <w:sz w:val="12"/>
          <w:szCs w:val="12"/>
          <w:i w:val="1"/>
          <w:iCs w:val="1"/>
          <w:color w:val="auto"/>
        </w:rPr>
        <w:t xml:space="preserve"> </w:t>
      </w:r>
      <w:r>
        <w:rPr>
          <w:rFonts w:ascii="Arial" w:cs="Arial" w:eastAsia="Arial" w:hAnsi="Arial"/>
          <w:sz w:val="12"/>
          <w:szCs w:val="12"/>
          <w:color w:val="auto"/>
        </w:rPr>
        <w:t>our second quarter 2010 share repurchases was paid in July 2010. In the latter part of 2008, we determined that, given the state of the financial markets and the economy, it would be prudent to temporarily suspend our share repurchases. Accordingly, we did not repurchase any shares of our common stock during the first half of 2009.</w:t>
      </w:r>
    </w:p>
    <w:p>
      <w:pPr>
        <w:spacing w:after="0" w:line="49" w:lineRule="exact"/>
        <w:rPr>
          <w:rFonts w:ascii="Arial" w:cs="Arial" w:eastAsia="Arial" w:hAnsi="Arial"/>
          <w:sz w:val="12"/>
          <w:szCs w:val="12"/>
          <w:color w:val="auto"/>
        </w:rPr>
      </w:pPr>
    </w:p>
    <w:p>
      <w:pPr>
        <w:ind w:left="1280" w:right="20"/>
        <w:spacing w:after="0" w:line="264" w:lineRule="auto"/>
        <w:rPr>
          <w:rFonts w:ascii="Arial" w:cs="Arial" w:eastAsia="Arial" w:hAnsi="Arial"/>
          <w:sz w:val="12"/>
          <w:szCs w:val="12"/>
          <w:color w:val="auto"/>
        </w:rPr>
      </w:pPr>
      <w:r>
        <w:rPr>
          <w:rFonts w:ascii="Arial" w:cs="Arial" w:eastAsia="Arial" w:hAnsi="Arial"/>
          <w:sz w:val="13"/>
          <w:szCs w:val="13"/>
          <w:color w:val="auto"/>
        </w:rPr>
        <w:t>We paid $305 million in cash dividends in the first and second quarters of 2010, compared with $285 million in the first and second quarters of 2009. The increase in dividend payments is due to our quarterly per share dividend increasing from $0.29 in 2009 to $0.315 in 2010, offset partially by a reduction in our common stock outstanding as a result of our share repurchase program.</w:t>
      </w:r>
    </w:p>
    <w:p>
      <w:pPr>
        <w:spacing w:after="0" w:line="66" w:lineRule="exact"/>
        <w:rPr>
          <w:rFonts w:ascii="Arial" w:cs="Arial" w:eastAsia="Arial" w:hAnsi="Arial"/>
          <w:sz w:val="12"/>
          <w:szCs w:val="12"/>
          <w:color w:val="auto"/>
        </w:rPr>
      </w:pPr>
    </w:p>
    <w:p>
      <w:pPr>
        <w:ind w:left="1280" w:right="320"/>
        <w:spacing w:after="0" w:line="371" w:lineRule="auto"/>
        <w:rPr>
          <w:rFonts w:ascii="Arial" w:cs="Arial" w:eastAsia="Arial" w:hAnsi="Arial"/>
          <w:sz w:val="12"/>
          <w:szCs w:val="12"/>
          <w:color w:val="auto"/>
        </w:rPr>
      </w:pPr>
      <w:r>
        <w:rPr>
          <w:rFonts w:ascii="Arial" w:cs="Arial" w:eastAsia="Arial" w:hAnsi="Arial"/>
          <w:sz w:val="11"/>
          <w:szCs w:val="11"/>
          <w:color w:val="auto"/>
        </w:rPr>
        <w:t>Share repurchases during the remainder of 2010 will be made at the discretion of management, and the Board of Directors will declare dividends at their discretion, with any decisions dependent on various factors, including our net earnings, financial condition, cash required for future acquisitions and other factors the Board may deem relevant.</w:t>
      </w:r>
    </w:p>
    <w:p>
      <w:pPr>
        <w:spacing w:after="0" w:line="11" w:lineRule="exact"/>
        <w:rPr>
          <w:rFonts w:ascii="Arial" w:cs="Arial" w:eastAsia="Arial" w:hAnsi="Arial"/>
          <w:sz w:val="12"/>
          <w:szCs w:val="12"/>
          <w:color w:val="auto"/>
        </w:rPr>
      </w:pPr>
    </w:p>
    <w:p>
      <w:pPr>
        <w:ind w:left="1280" w:hanging="190"/>
        <w:spacing w:after="0"/>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i w:val="1"/>
          <w:iCs w:val="1"/>
          <w:color w:val="auto"/>
        </w:rPr>
        <w:t xml:space="preserve">Debt borrowings and repayments — </w:t>
      </w:r>
      <w:r>
        <w:rPr>
          <w:rFonts w:ascii="Arial" w:cs="Arial" w:eastAsia="Arial" w:hAnsi="Arial"/>
          <w:sz w:val="13"/>
          <w:szCs w:val="13"/>
          <w:color w:val="auto"/>
        </w:rPr>
        <w:t>The following summarizes our most significant cash borrowings and debt repayments made during each period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gridSpan w:val="3"/>
          </w:tcPr>
          <w:p>
            <w:pPr>
              <w:jc w:val="center"/>
              <w:spacing w:after="0"/>
              <w:rPr>
                <w:sz w:val="20"/>
                <w:szCs w:val="20"/>
                <w:color w:val="auto"/>
              </w:rPr>
            </w:pPr>
            <w:r>
              <w:rPr>
                <w:rFonts w:ascii="Arial" w:cs="Arial" w:eastAsia="Arial" w:hAnsi="Arial"/>
                <w:sz w:val="10"/>
                <w:szCs w:val="10"/>
                <w:b w:val="1"/>
                <w:bCs w:val="1"/>
                <w:color w:val="auto"/>
                <w:w w:val="93"/>
              </w:rPr>
              <w:t>Six Months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tcPr>
          <w:p>
            <w:pPr>
              <w:jc w:val="center"/>
              <w:ind w:right="60"/>
              <w:spacing w:after="0" w:line="108" w:lineRule="exact"/>
              <w:rPr>
                <w:sz w:val="20"/>
                <w:szCs w:val="20"/>
                <w:color w:val="auto"/>
              </w:rPr>
            </w:pPr>
            <w:r>
              <w:rPr>
                <w:rFonts w:ascii="Arial" w:cs="Arial" w:eastAsia="Arial" w:hAnsi="Arial"/>
                <w:sz w:val="10"/>
                <w:szCs w:val="10"/>
                <w:b w:val="1"/>
                <w:bCs w:val="1"/>
                <w:color w:val="auto"/>
                <w:w w:val="98"/>
              </w:rPr>
              <w:t>Ended</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85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0"/>
                <w:szCs w:val="10"/>
                <w:b w:val="1"/>
                <w:bCs w:val="1"/>
                <w:color w:val="auto"/>
                <w:w w:val="94"/>
              </w:rPr>
              <w:t>June 30,</w:t>
            </w: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2010</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Borrowings</w:t>
            </w: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Canadian credit facility</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114</w:t>
            </w:r>
          </w:p>
        </w:tc>
        <w:tc>
          <w:tcPr>
            <w:tcW w:w="8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Senior Notes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793</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706</w:t>
            </w:r>
          </w:p>
        </w:tc>
        <w:tc>
          <w:tcPr>
            <w:tcW w:w="8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908</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Repayments</w:t>
            </w:r>
            <w:r>
              <w:rPr>
                <w:rFonts w:ascii="Arial" w:cs="Arial" w:eastAsia="Arial" w:hAnsi="Arial"/>
                <w:sz w:val="13"/>
                <w:szCs w:val="13"/>
                <w:color w:val="auto"/>
              </w:rPr>
              <w:t>:</w:t>
            </w: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Revolving credit facility</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(310)</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Canadian credit facility</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Senior Notes</w:t>
            </w:r>
          </w:p>
        </w:tc>
        <w:tc>
          <w:tcPr>
            <w:tcW w:w="80" w:type="dxa"/>
            <w:vAlign w:val="bottom"/>
          </w:tcPr>
          <w:p>
            <w:pPr>
              <w:spacing w:after="0"/>
              <w:rPr>
                <w:sz w:val="13"/>
                <w:szCs w:val="13"/>
                <w:color w:val="auto"/>
              </w:rPr>
            </w:pPr>
          </w:p>
        </w:tc>
        <w:tc>
          <w:tcPr>
            <w:tcW w:w="40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Tax exempt bonds</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Capital leases and other debt</w:t>
            </w:r>
          </w:p>
        </w:tc>
        <w:tc>
          <w:tcPr>
            <w:tcW w:w="8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(38)</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(1,014)</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3"/>
                <w:szCs w:val="13"/>
                <w:i w:val="1"/>
                <w:iCs w:val="1"/>
                <w:color w:val="auto"/>
              </w:rPr>
              <w:t>Net borrowings (repayments)</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493</w:t>
            </w:r>
          </w:p>
        </w:tc>
        <w:tc>
          <w:tcPr>
            <w:tcW w:w="8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30"/>
        </w:trPr>
        <w:tc>
          <w:tcPr>
            <w:tcW w:w="8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280" w:right="20" w:hanging="190"/>
        <w:spacing w:after="0" w:line="296" w:lineRule="auto"/>
        <w:tabs>
          <w:tab w:leader="none" w:pos="1280" w:val="left"/>
        </w:tabs>
        <w:numPr>
          <w:ilvl w:val="0"/>
          <w:numId w:val="41"/>
        </w:numPr>
        <w:rPr>
          <w:rFonts w:ascii="Arial" w:cs="Arial" w:eastAsia="Arial" w:hAnsi="Arial"/>
          <w:sz w:val="12"/>
          <w:szCs w:val="12"/>
          <w:color w:val="auto"/>
        </w:rPr>
      </w:pPr>
      <w:r>
        <w:rPr>
          <w:rFonts w:ascii="Arial" w:cs="Arial" w:eastAsia="Arial" w:hAnsi="Arial"/>
          <w:sz w:val="12"/>
          <w:szCs w:val="12"/>
          <w:i w:val="1"/>
          <w:iCs w:val="1"/>
          <w:color w:val="auto"/>
        </w:rPr>
        <w:t xml:space="preserve">Other — </w:t>
      </w:r>
      <w:r>
        <w:rPr>
          <w:rFonts w:ascii="Arial" w:cs="Arial" w:eastAsia="Arial" w:hAnsi="Arial"/>
          <w:sz w:val="12"/>
          <w:szCs w:val="12"/>
          <w:color w:val="auto"/>
        </w:rPr>
        <w:t>Net cash used for our other financing activities was $17 million during the first six months of 2010 compared with $51 million in the comparable prior year period. In</w:t>
      </w:r>
      <w:r>
        <w:rPr>
          <w:rFonts w:ascii="Arial" w:cs="Arial" w:eastAsia="Arial" w:hAnsi="Arial"/>
          <w:sz w:val="12"/>
          <w:szCs w:val="12"/>
          <w:i w:val="1"/>
          <w:iCs w:val="1"/>
          <w:color w:val="auto"/>
        </w:rPr>
        <w:t xml:space="preserve"> </w:t>
      </w:r>
      <w:r>
        <w:rPr>
          <w:rFonts w:ascii="Arial" w:cs="Arial" w:eastAsia="Arial" w:hAnsi="Arial"/>
          <w:sz w:val="12"/>
          <w:szCs w:val="12"/>
          <w:color w:val="auto"/>
        </w:rPr>
        <w:t>2010, these activities were primarily related to $13 million of financing costs paid to execute our new $2.0 billion revolving credit facility. In 2009, the significant use of cash was driven by changes in our accrued liabilities for checks written in excess of cash balances due to the timing of cash deposits or payments.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 xml:space="preserve">We are party to guarantee arrangements with unconsolidated entities as discussed in the </w:t>
      </w:r>
      <w:r>
        <w:rPr>
          <w:rFonts w:ascii="Arial" w:cs="Arial" w:eastAsia="Arial" w:hAnsi="Arial"/>
          <w:sz w:val="13"/>
          <w:szCs w:val="13"/>
          <w:i w:val="1"/>
          <w:iCs w:val="1"/>
          <w:color w:val="auto"/>
        </w:rPr>
        <w:t>Guarantees</w:t>
      </w:r>
      <w:r>
        <w:rPr>
          <w:rFonts w:ascii="Arial" w:cs="Arial" w:eastAsia="Arial" w:hAnsi="Arial"/>
          <w:sz w:val="13"/>
          <w:szCs w:val="13"/>
          <w:color w:val="auto"/>
        </w:rPr>
        <w:t xml:space="preserve"> section of Note 8 to the Condensed Consolidated Financial Statements. These arrangements have not materially affected our financial position, results of operations or liquidity during the six months ended June 30, 2010 nor are they expected to have a material impact on our future financial position, results of operations or liquidity.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Seasonal Trends and Inflation</w:t>
      </w:r>
    </w:p>
    <w:p>
      <w:pPr>
        <w:spacing w:after="0" w:line="10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Our operating revenues normally tend to be somewhat higher in the summer months, primarily due to the traditional seasonal increase in the volume of construction and demolition waste. The volumes of industrial and residential waste in certain regions where we operate also tend to increase during the summer months. Our second and third quarter revenues and results of operations typically reflect these seasonal trends.</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Additionally, certain destructive weather conditions that tend to occur during the second half of the year, such as hurricanes typically experienced by our Southern Group, can actually increase our revenues in the areas affected. However, for several reasons, including significant mobilization costs, such revenue often generates earnings at comparatively lower margins. Certain weather conditions, including severe winter storms,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71" w:lineRule="exact"/>
        <w:rPr>
          <w:sz w:val="20"/>
          <w:szCs w:val="20"/>
          <w:color w:val="auto"/>
        </w:rPr>
      </w:pPr>
    </w:p>
    <w:p>
      <w:pPr>
        <w:jc w:val="both"/>
        <w:ind w:left="680" w:right="20" w:firstLine="399"/>
        <w:spacing w:after="0" w:line="322" w:lineRule="auto"/>
        <w:rPr>
          <w:sz w:val="20"/>
          <w:szCs w:val="20"/>
          <w:color w:val="auto"/>
        </w:rPr>
      </w:pPr>
      <w:r>
        <w:rPr>
          <w:rFonts w:ascii="Arial" w:cs="Arial" w:eastAsia="Arial" w:hAnsi="Arial"/>
          <w:sz w:val="11"/>
          <w:szCs w:val="11"/>
          <w:color w:val="auto"/>
        </w:rPr>
        <w:t>While inflationary increases in costs, including the cost of diesel fuel, have affected our operating margins in recent periods, we believe that inflation generally has not had, and in the near future is not expected to have, any material adverse effect on our results of operations. However, a significant portion of our collection revenues are generated under long-term franchise agreements with municipalities or similar local or regional authorities. These agreements generally provide for price adjustments based on various indicies intended to measure inflation. Additionally, management’s estimates associated with inflation have had, and will continue to have, an impact on our accounting for landfill and environmental remediation liabilities.</w:t>
      </w:r>
    </w:p>
    <w:p>
      <w:pPr>
        <w:spacing w:after="0" w:line="11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0" w:lineRule="exact"/>
        <w:rPr>
          <w:sz w:val="20"/>
          <w:szCs w:val="20"/>
          <w:color w:val="auto"/>
        </w:rPr>
      </w:pPr>
    </w:p>
    <w:p>
      <w:pPr>
        <w:ind w:left="680" w:right="740" w:firstLine="399"/>
        <w:spacing w:after="0" w:line="276" w:lineRule="auto"/>
        <w:rPr>
          <w:sz w:val="20"/>
          <w:szCs w:val="20"/>
          <w:color w:val="auto"/>
        </w:rPr>
      </w:pPr>
      <w:r>
        <w:rPr>
          <w:rFonts w:ascii="Arial" w:cs="Arial" w:eastAsia="Arial" w:hAnsi="Arial"/>
          <w:sz w:val="13"/>
          <w:szCs w:val="13"/>
          <w:color w:val="auto"/>
        </w:rPr>
        <w:t>Information about market risks as of June 30, 2010, does not differ materially from that discussed under Item 7A in our Annual Report on Form 10-K for the year ended December 31, 2009.</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Effectiveness of Controls and Procedures</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June 30, 2010 (the end of the period covered by this Quarterly Report on Form 10-Q).</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96"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Management, together with our CEO and CFO, evaluated the changes in our internal control over financial reporting during the quarter ended June 30, 2010. We determined that there were no changes in our internal control over financial reporting during the quarter ended June 30, 2010 that have materially affected, or are reasonably likely to materially affect, our internal control over financial reporting.</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 xml:space="preserve">Information regarding our legal proceedings can be found under the “Litigation” section of Note 8, </w:t>
      </w:r>
      <w:r>
        <w:rPr>
          <w:rFonts w:ascii="Arial" w:cs="Arial" w:eastAsia="Arial" w:hAnsi="Arial"/>
          <w:sz w:val="13"/>
          <w:szCs w:val="13"/>
          <w:i w:val="1"/>
          <w:iCs w:val="1"/>
          <w:color w:val="auto"/>
        </w:rPr>
        <w:t>Commitments and Contingencies</w:t>
      </w:r>
      <w:r>
        <w:rPr>
          <w:rFonts w:ascii="Arial" w:cs="Arial" w:eastAsia="Arial" w:hAnsi="Arial"/>
          <w:sz w:val="13"/>
          <w:szCs w:val="13"/>
          <w:color w:val="auto"/>
        </w:rPr>
        <w:t>, to the Condensed Consolidated Financial Statements.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There have been no material changes from risk factors previously disclosed in our Form 10-K for the year ended December 31, 2009 in response to Item 1A to Part I of Form 10-K.</w:t>
      </w:r>
    </w:p>
    <w:p>
      <w:pPr>
        <w:spacing w:after="0" w:line="18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Unregistered Sales of Equity Securities and Use of Proceeds.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Board of Directors has approved a capital allocation program that provides for a maximum of $1.3 billion in combined cash dividends and common stock repurchases in 2010.</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 of the common stock repurchases made in 2010 have been pursuant to this capital allocation program.</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common stock repurchases made during the second quarter of 2010:</w:t>
      </w:r>
    </w:p>
    <w:p>
      <w:pPr>
        <w:spacing w:after="0" w:line="250"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3"/>
            <w:vMerge w:val="restart"/>
          </w:tcPr>
          <w:p>
            <w:pPr>
              <w:ind w:left="280"/>
              <w:spacing w:after="0"/>
              <w:rPr>
                <w:sz w:val="20"/>
                <w:szCs w:val="20"/>
                <w:color w:val="auto"/>
              </w:rPr>
            </w:pPr>
            <w:r>
              <w:rPr>
                <w:rFonts w:ascii="Arial" w:cs="Arial" w:eastAsia="Arial" w:hAnsi="Arial"/>
                <w:sz w:val="10"/>
                <w:szCs w:val="10"/>
                <w:b w:val="1"/>
                <w:bCs w:val="1"/>
                <w:color w:val="auto"/>
              </w:rPr>
              <w:t>Total</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6"/>
              </w:rPr>
              <w:t>Total Number of</w:t>
            </w:r>
          </w:p>
        </w:tc>
        <w:tc>
          <w:tcPr>
            <w:tcW w:w="280" w:type="dxa"/>
            <w:vAlign w:val="bottom"/>
          </w:tcPr>
          <w:p>
            <w:pPr>
              <w:spacing w:after="0"/>
              <w:rPr>
                <w:sz w:val="10"/>
                <w:szCs w:val="10"/>
                <w:color w:val="auto"/>
              </w:rPr>
            </w:pPr>
          </w:p>
        </w:tc>
        <w:tc>
          <w:tcPr>
            <w:tcW w:w="21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8"/>
              </w:rPr>
              <w:t>Approximate Maximum</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6"/>
              </w:rPr>
              <w:t>Average</w:t>
            </w:r>
          </w:p>
        </w:tc>
        <w:tc>
          <w:tcPr>
            <w:tcW w:w="20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0"/>
              </w:rPr>
              <w:t>Shares Purchased as</w:t>
            </w:r>
          </w:p>
        </w:tc>
        <w:tc>
          <w:tcPr>
            <w:tcW w:w="280" w:type="dxa"/>
            <w:vAlign w:val="bottom"/>
          </w:tcPr>
          <w:p>
            <w:pPr>
              <w:spacing w:after="0"/>
              <w:rPr>
                <w:sz w:val="9"/>
                <w:szCs w:val="9"/>
                <w:color w:val="auto"/>
              </w:rPr>
            </w:pPr>
          </w:p>
        </w:tc>
        <w:tc>
          <w:tcPr>
            <w:tcW w:w="2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3"/>
          </w:tcPr>
          <w:p>
            <w:pPr>
              <w:jc w:val="center"/>
              <w:ind w:right="400"/>
              <w:spacing w:after="0" w:line="108" w:lineRule="exact"/>
              <w:rPr>
                <w:sz w:val="20"/>
                <w:szCs w:val="20"/>
                <w:color w:val="auto"/>
              </w:rPr>
            </w:pPr>
            <w:r>
              <w:rPr>
                <w:rFonts w:ascii="Arial" w:cs="Arial" w:eastAsia="Arial" w:hAnsi="Arial"/>
                <w:sz w:val="10"/>
                <w:szCs w:val="10"/>
                <w:b w:val="1"/>
                <w:bCs w:val="1"/>
                <w:color w:val="auto"/>
                <w:w w:val="95"/>
              </w:rPr>
              <w:t>Number of</w:t>
            </w:r>
          </w:p>
        </w:tc>
        <w:tc>
          <w:tcPr>
            <w:tcW w:w="1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0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6"/>
              </w:rPr>
              <w:t>Part of Publicly</w:t>
            </w:r>
          </w:p>
        </w:tc>
        <w:tc>
          <w:tcPr>
            <w:tcW w:w="280" w:type="dxa"/>
            <w:vAlign w:val="bottom"/>
          </w:tcPr>
          <w:p>
            <w:pPr>
              <w:spacing w:after="0"/>
              <w:rPr>
                <w:sz w:val="9"/>
                <w:szCs w:val="9"/>
                <w:color w:val="auto"/>
              </w:rPr>
            </w:pPr>
          </w:p>
        </w:tc>
        <w:tc>
          <w:tcPr>
            <w:tcW w:w="21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4"/>
              </w:rPr>
              <w:t>Dollar Value of Shares that</w:t>
            </w:r>
          </w:p>
        </w:tc>
        <w:tc>
          <w:tcPr>
            <w:tcW w:w="0" w:type="dxa"/>
            <w:vAlign w:val="bottom"/>
          </w:tcPr>
          <w:p>
            <w:pPr>
              <w:spacing w:after="0"/>
              <w:rPr>
                <w:sz w:val="1"/>
                <w:szCs w:val="1"/>
                <w:color w:val="auto"/>
              </w:rPr>
            </w:pPr>
          </w:p>
        </w:tc>
      </w:tr>
      <w:tr>
        <w:trPr>
          <w:trHeight w:val="108"/>
        </w:trPr>
        <w:tc>
          <w:tcPr>
            <w:tcW w:w="29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Period</w:t>
            </w:r>
          </w:p>
        </w:tc>
        <w:tc>
          <w:tcPr>
            <w:tcW w:w="220" w:type="dxa"/>
            <w:vAlign w:val="bottom"/>
          </w:tcPr>
          <w:p>
            <w:pPr>
              <w:spacing w:after="0"/>
              <w:rPr>
                <w:sz w:val="9"/>
                <w:szCs w:val="9"/>
                <w:color w:val="auto"/>
              </w:rPr>
            </w:pPr>
          </w:p>
        </w:tc>
        <w:tc>
          <w:tcPr>
            <w:tcW w:w="1200" w:type="dxa"/>
            <w:vAlign w:val="bottom"/>
            <w:gridSpan w:val="3"/>
          </w:tcPr>
          <w:p>
            <w:pPr>
              <w:jc w:val="center"/>
              <w:ind w:right="380"/>
              <w:spacing w:after="0" w:line="108" w:lineRule="exact"/>
              <w:rPr>
                <w:sz w:val="20"/>
                <w:szCs w:val="20"/>
                <w:color w:val="auto"/>
              </w:rPr>
            </w:pPr>
            <w:r>
              <w:rPr>
                <w:rFonts w:ascii="Arial" w:cs="Arial" w:eastAsia="Arial" w:hAnsi="Arial"/>
                <w:sz w:val="10"/>
                <w:szCs w:val="10"/>
                <w:b w:val="1"/>
                <w:bCs w:val="1"/>
                <w:color w:val="auto"/>
                <w:w w:val="89"/>
              </w:rPr>
              <w:t>Shares</w:t>
            </w:r>
          </w:p>
        </w:tc>
        <w:tc>
          <w:tcPr>
            <w:tcW w:w="120" w:type="dxa"/>
            <w:vAlign w:val="bottom"/>
          </w:tcPr>
          <w:p>
            <w:pPr>
              <w:spacing w:after="0"/>
              <w:rPr>
                <w:sz w:val="9"/>
                <w:szCs w:val="9"/>
                <w:color w:val="auto"/>
              </w:rPr>
            </w:pPr>
          </w:p>
        </w:tc>
        <w:tc>
          <w:tcPr>
            <w:tcW w:w="116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5"/>
              </w:rPr>
              <w:t>Price Paid</w:t>
            </w:r>
          </w:p>
        </w:tc>
        <w:tc>
          <w:tcPr>
            <w:tcW w:w="20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2"/>
              </w:rPr>
              <w:t>Announced Plans or</w:t>
            </w:r>
          </w:p>
        </w:tc>
        <w:tc>
          <w:tcPr>
            <w:tcW w:w="280" w:type="dxa"/>
            <w:vAlign w:val="bottom"/>
          </w:tcPr>
          <w:p>
            <w:pPr>
              <w:spacing w:after="0"/>
              <w:rPr>
                <w:sz w:val="9"/>
                <w:szCs w:val="9"/>
                <w:color w:val="auto"/>
              </w:rPr>
            </w:pPr>
          </w:p>
        </w:tc>
        <w:tc>
          <w:tcPr>
            <w:tcW w:w="21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5"/>
              </w:rPr>
              <w:t>May Yet be Purchased Under</w:t>
            </w:r>
          </w:p>
        </w:tc>
        <w:tc>
          <w:tcPr>
            <w:tcW w:w="0" w:type="dxa"/>
            <w:vAlign w:val="bottom"/>
          </w:tcPr>
          <w:p>
            <w:pPr>
              <w:spacing w:after="0"/>
              <w:rPr>
                <w:sz w:val="1"/>
                <w:szCs w:val="1"/>
                <w:color w:val="auto"/>
              </w:rPr>
            </w:pPr>
          </w:p>
        </w:tc>
      </w:tr>
      <w:tr>
        <w:trPr>
          <w:trHeight w:val="125"/>
        </w:trPr>
        <w:tc>
          <w:tcPr>
            <w:tcW w:w="29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0"/>
                <w:szCs w:val="10"/>
                <w:b w:val="1"/>
                <w:bCs w:val="1"/>
                <w:color w:val="auto"/>
                <w:w w:val="93"/>
              </w:rPr>
              <w:t>Purchased</w:t>
            </w:r>
          </w:p>
        </w:tc>
        <w:tc>
          <w:tcPr>
            <w:tcW w:w="120" w:type="dxa"/>
            <w:vAlign w:val="bottom"/>
          </w:tcPr>
          <w:p>
            <w:pPr>
              <w:spacing w:after="0"/>
              <w:rPr>
                <w:sz w:val="10"/>
                <w:szCs w:val="10"/>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5"/>
              </w:rPr>
              <w:t>per Share(a)</w:t>
            </w:r>
          </w:p>
        </w:tc>
        <w:tc>
          <w:tcPr>
            <w:tcW w:w="20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4"/>
              </w:rPr>
              <w:t>Programs</w:t>
            </w:r>
          </w:p>
        </w:tc>
        <w:tc>
          <w:tcPr>
            <w:tcW w:w="280" w:type="dxa"/>
            <w:vAlign w:val="bottom"/>
          </w:tcPr>
          <w:p>
            <w:pPr>
              <w:spacing w:after="0"/>
              <w:rPr>
                <w:sz w:val="10"/>
                <w:szCs w:val="10"/>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the Plans or Programs(b)</w:t>
            </w:r>
          </w:p>
        </w:tc>
        <w:tc>
          <w:tcPr>
            <w:tcW w:w="0" w:type="dxa"/>
            <w:vAlign w:val="bottom"/>
          </w:tcPr>
          <w:p>
            <w:pPr>
              <w:spacing w:after="0"/>
              <w:rPr>
                <w:sz w:val="1"/>
                <w:szCs w:val="1"/>
                <w:color w:val="auto"/>
              </w:rPr>
            </w:pPr>
          </w:p>
        </w:tc>
      </w:tr>
      <w:tr>
        <w:trPr>
          <w:trHeight w:val="29"/>
        </w:trPr>
        <w:tc>
          <w:tcPr>
            <w:tcW w:w="1300" w:type="dxa"/>
            <w:vAlign w:val="bottom"/>
            <w:tcBorders>
              <w:top w:val="single" w:sz="8" w:color="auto"/>
            </w:tcBorders>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April 1 — 30</w:t>
            </w:r>
          </w:p>
        </w:tc>
        <w:tc>
          <w:tcPr>
            <w:tcW w:w="1040" w:type="dxa"/>
            <w:vAlign w:val="bottom"/>
            <w:gridSpan w:val="3"/>
            <w:shd w:val="clear" w:color="auto" w:fill="CCEEFF"/>
          </w:tcPr>
          <w:p>
            <w:pPr>
              <w:ind w:left="500"/>
              <w:spacing w:after="0"/>
              <w:rPr>
                <w:sz w:val="20"/>
                <w:szCs w:val="20"/>
                <w:color w:val="auto"/>
              </w:rPr>
            </w:pPr>
            <w:r>
              <w:rPr>
                <w:rFonts w:ascii="Arial" w:cs="Arial" w:eastAsia="Arial" w:hAnsi="Arial"/>
                <w:sz w:val="13"/>
                <w:szCs w:val="13"/>
                <w:color w:val="auto"/>
                <w:w w:val="89"/>
              </w:rPr>
              <w:t>1,199,400</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35.01</w:t>
            </w:r>
          </w:p>
        </w:tc>
        <w:tc>
          <w:tcPr>
            <w:tcW w:w="2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1,199,400</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2100" w:type="dxa"/>
            <w:vAlign w:val="bottom"/>
            <w:gridSpan w:val="2"/>
            <w:shd w:val="clear" w:color="auto" w:fill="CCEEFF"/>
          </w:tcPr>
          <w:p>
            <w:pPr>
              <w:ind w:left="1380"/>
              <w:spacing w:after="0"/>
              <w:rPr>
                <w:sz w:val="20"/>
                <w:szCs w:val="20"/>
                <w:color w:val="auto"/>
              </w:rPr>
            </w:pPr>
            <w:r>
              <w:rPr>
                <w:rFonts w:ascii="Arial" w:cs="Arial" w:eastAsia="Arial" w:hAnsi="Arial"/>
                <w:sz w:val="13"/>
                <w:szCs w:val="13"/>
                <w:color w:val="auto"/>
              </w:rPr>
              <w:t>828 Million</w:t>
            </w:r>
          </w:p>
        </w:tc>
        <w:tc>
          <w:tcPr>
            <w:tcW w:w="0" w:type="dxa"/>
            <w:vAlign w:val="bottom"/>
          </w:tcPr>
          <w:p>
            <w:pPr>
              <w:spacing w:after="0"/>
              <w:rPr>
                <w:sz w:val="1"/>
                <w:szCs w:val="1"/>
                <w:color w:val="auto"/>
              </w:rPr>
            </w:pPr>
          </w:p>
        </w:tc>
      </w:tr>
      <w:tr>
        <w:trPr>
          <w:trHeight w:val="157"/>
        </w:trPr>
        <w:tc>
          <w:tcPr>
            <w:tcW w:w="2900" w:type="dxa"/>
            <w:vAlign w:val="bottom"/>
            <w:gridSpan w:val="2"/>
          </w:tcPr>
          <w:p>
            <w:pPr>
              <w:spacing w:after="0"/>
              <w:rPr>
                <w:sz w:val="20"/>
                <w:szCs w:val="20"/>
                <w:color w:val="auto"/>
              </w:rPr>
            </w:pPr>
            <w:r>
              <w:rPr>
                <w:rFonts w:ascii="Arial" w:cs="Arial" w:eastAsia="Arial" w:hAnsi="Arial"/>
                <w:sz w:val="13"/>
                <w:szCs w:val="13"/>
                <w:color w:val="auto"/>
              </w:rPr>
              <w:t>May 1 — 31</w:t>
            </w:r>
          </w:p>
        </w:tc>
        <w:tc>
          <w:tcPr>
            <w:tcW w:w="1040" w:type="dxa"/>
            <w:vAlign w:val="bottom"/>
            <w:gridSpan w:val="3"/>
          </w:tcPr>
          <w:p>
            <w:pPr>
              <w:ind w:left="500"/>
              <w:spacing w:after="0"/>
              <w:rPr>
                <w:sz w:val="20"/>
                <w:szCs w:val="20"/>
                <w:color w:val="auto"/>
              </w:rPr>
            </w:pPr>
            <w:r>
              <w:rPr>
                <w:rFonts w:ascii="Arial" w:cs="Arial" w:eastAsia="Arial" w:hAnsi="Arial"/>
                <w:sz w:val="13"/>
                <w:szCs w:val="13"/>
                <w:color w:val="auto"/>
                <w:w w:val="89"/>
              </w:rPr>
              <w:t>1,695,200</w:t>
            </w:r>
          </w:p>
        </w:tc>
        <w:tc>
          <w:tcPr>
            <w:tcW w:w="38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33.03</w:t>
            </w:r>
          </w:p>
        </w:tc>
        <w:tc>
          <w:tcPr>
            <w:tcW w:w="2000" w:type="dxa"/>
            <w:vAlign w:val="bottom"/>
            <w:gridSpan w:val="2"/>
          </w:tcPr>
          <w:p>
            <w:pPr>
              <w:jc w:val="right"/>
              <w:ind w:right="400"/>
              <w:spacing w:after="0"/>
              <w:rPr>
                <w:sz w:val="20"/>
                <w:szCs w:val="20"/>
                <w:color w:val="auto"/>
              </w:rPr>
            </w:pPr>
            <w:r>
              <w:rPr>
                <w:rFonts w:ascii="Arial" w:cs="Arial" w:eastAsia="Arial" w:hAnsi="Arial"/>
                <w:sz w:val="13"/>
                <w:szCs w:val="13"/>
                <w:color w:val="auto"/>
              </w:rPr>
              <w:t>1,695,200</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2100" w:type="dxa"/>
            <w:vAlign w:val="bottom"/>
            <w:gridSpan w:val="2"/>
          </w:tcPr>
          <w:p>
            <w:pPr>
              <w:ind w:left="1380"/>
              <w:spacing w:after="0"/>
              <w:rPr>
                <w:sz w:val="20"/>
                <w:szCs w:val="20"/>
                <w:color w:val="auto"/>
              </w:rPr>
            </w:pPr>
            <w:r>
              <w:rPr>
                <w:rFonts w:ascii="Arial" w:cs="Arial" w:eastAsia="Arial" w:hAnsi="Arial"/>
                <w:sz w:val="13"/>
                <w:szCs w:val="13"/>
                <w:color w:val="auto"/>
              </w:rPr>
              <w:t>772 Million</w:t>
            </w:r>
          </w:p>
        </w:tc>
        <w:tc>
          <w:tcPr>
            <w:tcW w:w="0" w:type="dxa"/>
            <w:vAlign w:val="bottom"/>
          </w:tcPr>
          <w:p>
            <w:pPr>
              <w:spacing w:after="0"/>
              <w:rPr>
                <w:sz w:val="1"/>
                <w:szCs w:val="1"/>
                <w:color w:val="auto"/>
              </w:rPr>
            </w:pPr>
          </w:p>
        </w:tc>
      </w:tr>
      <w:tr>
        <w:trPr>
          <w:trHeight w:val="157"/>
        </w:trPr>
        <w:tc>
          <w:tcPr>
            <w:tcW w:w="2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June 1 — 30</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w w:val="89"/>
              </w:rPr>
              <w:t>2,282,400</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32.44</w:t>
            </w:r>
          </w:p>
        </w:tc>
        <w:tc>
          <w:tcPr>
            <w:tcW w:w="2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2,282,400</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2100" w:type="dxa"/>
            <w:vAlign w:val="bottom"/>
            <w:gridSpan w:val="2"/>
            <w:shd w:val="clear" w:color="auto" w:fill="CCEEFF"/>
          </w:tcPr>
          <w:p>
            <w:pPr>
              <w:ind w:left="1380"/>
              <w:spacing w:after="0"/>
              <w:rPr>
                <w:sz w:val="20"/>
                <w:szCs w:val="20"/>
                <w:color w:val="auto"/>
              </w:rPr>
            </w:pPr>
            <w:r>
              <w:rPr>
                <w:rFonts w:ascii="Arial" w:cs="Arial" w:eastAsia="Arial" w:hAnsi="Arial"/>
                <w:sz w:val="13"/>
                <w:szCs w:val="13"/>
                <w:color w:val="auto"/>
              </w:rPr>
              <w:t>697 Million</w:t>
            </w:r>
          </w:p>
        </w:tc>
        <w:tc>
          <w:tcPr>
            <w:tcW w:w="0" w:type="dxa"/>
            <w:vAlign w:val="bottom"/>
          </w:tcPr>
          <w:p>
            <w:pPr>
              <w:spacing w:after="0"/>
              <w:rPr>
                <w:sz w:val="1"/>
                <w:szCs w:val="1"/>
                <w:color w:val="auto"/>
              </w:rPr>
            </w:pPr>
          </w:p>
        </w:tc>
      </w:tr>
      <w:tr>
        <w:trPr>
          <w:trHeight w:val="20"/>
        </w:trPr>
        <w:tc>
          <w:tcPr>
            <w:tcW w:w="29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w:t>
            </w: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33.23</w:t>
            </w:r>
          </w:p>
        </w:tc>
        <w:tc>
          <w:tcPr>
            <w:tcW w:w="1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9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ind w:left="280"/>
              <w:spacing w:after="0"/>
              <w:rPr>
                <w:sz w:val="20"/>
                <w:szCs w:val="20"/>
                <w:color w:val="auto"/>
              </w:rPr>
            </w:pPr>
            <w:r>
              <w:rPr>
                <w:rFonts w:ascii="Arial" w:cs="Arial" w:eastAsia="Arial" w:hAnsi="Arial"/>
                <w:sz w:val="13"/>
                <w:szCs w:val="13"/>
                <w:color w:val="auto"/>
                <w:w w:val="89"/>
              </w:rPr>
              <w:t>5,177,000</w:t>
            </w:r>
          </w:p>
        </w:tc>
        <w:tc>
          <w:tcPr>
            <w:tcW w:w="3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00" w:type="dxa"/>
            <w:vAlign w:val="bottom"/>
            <w:gridSpan w:val="2"/>
          </w:tcPr>
          <w:p>
            <w:pPr>
              <w:jc w:val="right"/>
              <w:ind w:right="400"/>
              <w:spacing w:after="0"/>
              <w:rPr>
                <w:sz w:val="20"/>
                <w:szCs w:val="20"/>
                <w:color w:val="auto"/>
              </w:rPr>
            </w:pPr>
            <w:r>
              <w:rPr>
                <w:rFonts w:ascii="Arial" w:cs="Arial" w:eastAsia="Arial" w:hAnsi="Arial"/>
                <w:sz w:val="13"/>
                <w:szCs w:val="13"/>
                <w:color w:val="auto"/>
              </w:rPr>
              <w:t>5,177,000</w:t>
            </w: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hanging="393"/>
        <w:spacing w:after="0"/>
        <w:tabs>
          <w:tab w:leader="none" w:pos="10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This amount represents the weighted average price paid per share and includes a per share commission paid for all repurchases.</w:t>
      </w:r>
    </w:p>
    <w:p>
      <w:pPr>
        <w:spacing w:after="0" w:line="47" w:lineRule="exact"/>
        <w:rPr>
          <w:rFonts w:ascii="Arial" w:cs="Arial" w:eastAsia="Arial" w:hAnsi="Arial"/>
          <w:sz w:val="13"/>
          <w:szCs w:val="13"/>
          <w:color w:val="auto"/>
        </w:rPr>
      </w:pPr>
    </w:p>
    <w:p>
      <w:pPr>
        <w:ind w:left="1080" w:hanging="393"/>
        <w:spacing w:after="0" w:line="260" w:lineRule="auto"/>
        <w:tabs>
          <w:tab w:leader="none" w:pos="10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For each period presented, the maximum dollar value of shares that may yet be purchased under the program has been provided net of the $305 million of dividends declared and paid in 2010. However, this amount does not include the impact of dividend payments we expect to make throughout the remainder of 2010 as a result of future dividend declarations. The approximate maximum dollar value of shares that may yet be purchased under the program is not necessarily an indication of the amount we intend to repurchase during the remainder of the year.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740" w:type="dxa"/>
            <w:vAlign w:val="bottom"/>
          </w:tcPr>
          <w:p>
            <w:pPr>
              <w:jc w:val="right"/>
              <w:ind w:right="276"/>
              <w:spacing w:after="0"/>
              <w:rPr>
                <w:sz w:val="20"/>
                <w:szCs w:val="20"/>
                <w:color w:val="auto"/>
              </w:rPr>
            </w:pPr>
            <w:r>
              <w:rPr>
                <w:rFonts w:ascii="Arial" w:cs="Arial" w:eastAsia="Arial" w:hAnsi="Arial"/>
                <w:sz w:val="13"/>
                <w:szCs w:val="13"/>
                <w:b w:val="1"/>
                <w:bCs w:val="1"/>
                <w:color w:val="auto"/>
                <w:w w:val="92"/>
              </w:rPr>
              <w:t>Item 6.</w:t>
            </w:r>
          </w:p>
        </w:tc>
        <w:tc>
          <w:tcPr>
            <w:tcW w:w="9240" w:type="dxa"/>
            <w:vAlign w:val="bottom"/>
            <w:gridSpan w:val="3"/>
          </w:tcPr>
          <w:p>
            <w:pPr>
              <w:ind w:left="80"/>
              <w:spacing w:after="0"/>
              <w:rPr>
                <w:sz w:val="20"/>
                <w:szCs w:val="20"/>
                <w:color w:val="auto"/>
              </w:rPr>
            </w:pPr>
            <w:r>
              <w:rPr>
                <w:rFonts w:ascii="Arial" w:cs="Arial" w:eastAsia="Arial" w:hAnsi="Arial"/>
                <w:sz w:val="13"/>
                <w:szCs w:val="13"/>
                <w:b w:val="1"/>
                <w:bCs w:val="1"/>
                <w:i w:val="1"/>
                <w:iCs w:val="1"/>
                <w:color w:val="auto"/>
              </w:rPr>
              <w:t>Exhibits.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Arial" w:cs="Arial" w:eastAsia="Arial" w:hAnsi="Arial"/>
                <w:sz w:val="10"/>
                <w:szCs w:val="10"/>
                <w:b w:val="1"/>
                <w:bCs w:val="1"/>
                <w:color w:val="auto"/>
              </w:rPr>
              <w:t>Exhibit</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0" w:type="dxa"/>
            <w:vAlign w:val="bottom"/>
            <w:vMerge w:val="restart"/>
          </w:tcPr>
          <w:p>
            <w:pPr>
              <w:ind w:left="4040"/>
              <w:spacing w:after="0"/>
              <w:rPr>
                <w:sz w:val="20"/>
                <w:szCs w:val="20"/>
                <w:color w:val="auto"/>
              </w:rPr>
            </w:pPr>
            <w:r>
              <w:rPr>
                <w:rFonts w:ascii="Arial" w:cs="Arial" w:eastAsia="Arial" w:hAnsi="Arial"/>
                <w:sz w:val="10"/>
                <w:szCs w:val="10"/>
                <w:b w:val="1"/>
                <w:bCs w:val="1"/>
                <w:color w:val="auto"/>
              </w:rPr>
              <w:t>Description</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10"/>
                <w:szCs w:val="10"/>
                <w:b w:val="1"/>
                <w:bCs w:val="1"/>
                <w:color w:val="auto"/>
              </w:rPr>
              <w:t>No.</w:t>
            </w:r>
          </w:p>
        </w:tc>
        <w:tc>
          <w:tcPr>
            <w:tcW w:w="2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600" w:type="dxa"/>
            <w:vAlign w:val="bottom"/>
            <w:tcBorders>
              <w:bottom w:val="single" w:sz="8" w:color="auto"/>
            </w:tcBorders>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6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3.1</w:t>
            </w:r>
          </w:p>
        </w:tc>
        <w:tc>
          <w:tcPr>
            <w:tcW w:w="240" w:type="dxa"/>
            <w:vAlign w:val="bottom"/>
          </w:tcPr>
          <w:p>
            <w:pPr>
              <w:spacing w:after="0"/>
              <w:rPr>
                <w:sz w:val="15"/>
                <w:szCs w:val="15"/>
                <w:color w:val="auto"/>
              </w:rPr>
            </w:pPr>
          </w:p>
        </w:tc>
        <w:tc>
          <w:tcPr>
            <w:tcW w:w="9000" w:type="dxa"/>
            <w:vAlign w:val="bottom"/>
            <w:gridSpan w:val="2"/>
          </w:tcPr>
          <w:p>
            <w:pPr>
              <w:ind w:left="160"/>
              <w:spacing w:after="0"/>
              <w:rPr>
                <w:sz w:val="20"/>
                <w:szCs w:val="20"/>
                <w:color w:val="auto"/>
              </w:rPr>
            </w:pPr>
            <w:r>
              <w:rPr>
                <w:rFonts w:ascii="Arial" w:cs="Arial" w:eastAsia="Arial" w:hAnsi="Arial"/>
                <w:sz w:val="13"/>
                <w:szCs w:val="13"/>
                <w:color w:val="auto"/>
              </w:rPr>
              <w:t>—  Third Restated Certificate of Incorporation of Waste Management, Inc.</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w:t>
            </w:r>
          </w:p>
        </w:tc>
        <w:tc>
          <w:tcPr>
            <w:tcW w:w="240" w:type="dxa"/>
            <w:vAlign w:val="bottom"/>
          </w:tcPr>
          <w:p>
            <w:pPr>
              <w:spacing w:after="0"/>
              <w:rPr>
                <w:sz w:val="13"/>
                <w:szCs w:val="13"/>
                <w:color w:val="auto"/>
              </w:rPr>
            </w:pPr>
          </w:p>
        </w:tc>
        <w:tc>
          <w:tcPr>
            <w:tcW w:w="9000" w:type="dxa"/>
            <w:vAlign w:val="bottom"/>
            <w:gridSpan w:val="2"/>
          </w:tcPr>
          <w:p>
            <w:pPr>
              <w:ind w:left="160"/>
              <w:spacing w:after="0"/>
              <w:rPr>
                <w:sz w:val="20"/>
                <w:szCs w:val="20"/>
                <w:color w:val="auto"/>
              </w:rPr>
            </w:pPr>
            <w:r>
              <w:rPr>
                <w:rFonts w:ascii="Arial" w:cs="Arial" w:eastAsia="Arial" w:hAnsi="Arial"/>
                <w:sz w:val="13"/>
                <w:szCs w:val="13"/>
                <w:color w:val="auto"/>
              </w:rPr>
              <w:t>—  Amended and Restated Bylaws [Incorporated by reference to Exhibit 3.2 to Form 8-K dated May 11, 2010].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4.1</w:t>
            </w:r>
          </w:p>
        </w:tc>
        <w:tc>
          <w:tcPr>
            <w:tcW w:w="240" w:type="dxa"/>
            <w:vAlign w:val="bottom"/>
          </w:tcPr>
          <w:p>
            <w:pPr>
              <w:spacing w:after="0"/>
              <w:rPr>
                <w:sz w:val="13"/>
                <w:szCs w:val="13"/>
                <w:color w:val="auto"/>
              </w:rPr>
            </w:pPr>
          </w:p>
        </w:tc>
        <w:tc>
          <w:tcPr>
            <w:tcW w:w="9000" w:type="dxa"/>
            <w:vAlign w:val="bottom"/>
            <w:gridSpan w:val="2"/>
          </w:tcPr>
          <w:p>
            <w:pPr>
              <w:ind w:left="160"/>
              <w:spacing w:after="0"/>
              <w:rPr>
                <w:sz w:val="20"/>
                <w:szCs w:val="20"/>
                <w:color w:val="auto"/>
              </w:rPr>
            </w:pPr>
            <w:r>
              <w:rPr>
                <w:rFonts w:ascii="Arial" w:cs="Arial" w:eastAsia="Arial" w:hAnsi="Arial"/>
                <w:sz w:val="13"/>
                <w:szCs w:val="13"/>
                <w:color w:val="auto"/>
                <w:w w:val="92"/>
              </w:rPr>
              <w:t>—  Officers’ Certificate delivered pursuant to Section 301 of the Indenture dated September 10, 1997 by and between Waste Management, Inc. and The Bank of New</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York Mellon Trust Company, N.A., as Trustee, establishing the terms and form of Waste Management, Inc.’s 4.75% Senior Notes due 2020.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4.2</w:t>
            </w:r>
          </w:p>
        </w:tc>
        <w:tc>
          <w:tcPr>
            <w:tcW w:w="240" w:type="dxa"/>
            <w:vAlign w:val="bottom"/>
          </w:tcPr>
          <w:p>
            <w:pPr>
              <w:spacing w:after="0"/>
              <w:rPr>
                <w:sz w:val="13"/>
                <w:szCs w:val="13"/>
                <w:color w:val="auto"/>
              </w:rPr>
            </w:pPr>
          </w:p>
        </w:tc>
        <w:tc>
          <w:tcPr>
            <w:tcW w:w="9000" w:type="dxa"/>
            <w:vAlign w:val="bottom"/>
            <w:gridSpan w:val="2"/>
          </w:tcPr>
          <w:p>
            <w:pPr>
              <w:ind w:left="160"/>
              <w:spacing w:after="0"/>
              <w:rPr>
                <w:sz w:val="20"/>
                <w:szCs w:val="20"/>
                <w:color w:val="auto"/>
              </w:rPr>
            </w:pPr>
            <w:r>
              <w:rPr>
                <w:rFonts w:ascii="Arial" w:cs="Arial" w:eastAsia="Arial" w:hAnsi="Arial"/>
                <w:sz w:val="13"/>
                <w:szCs w:val="13"/>
                <w:color w:val="auto"/>
                <w:w w:val="93"/>
              </w:rPr>
              <w:t>—  Guarantee Agreement by Waste Management Holdings, Inc. in favor of The Bank of New York Mellon Trust Company, N.A., as Trustee for the holders of Waste</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Management, Inc.’s 4.75% Senior Notes due 2020.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10.1</w:t>
            </w:r>
          </w:p>
        </w:tc>
        <w:tc>
          <w:tcPr>
            <w:tcW w:w="240" w:type="dxa"/>
            <w:vAlign w:val="bottom"/>
          </w:tcPr>
          <w:p>
            <w:pPr>
              <w:spacing w:after="0"/>
              <w:rPr>
                <w:sz w:val="13"/>
                <w:szCs w:val="13"/>
                <w:color w:val="auto"/>
              </w:rPr>
            </w:pPr>
          </w:p>
        </w:tc>
        <w:tc>
          <w:tcPr>
            <w:tcW w:w="9000" w:type="dxa"/>
            <w:vAlign w:val="bottom"/>
            <w:gridSpan w:val="2"/>
          </w:tcPr>
          <w:p>
            <w:pPr>
              <w:ind w:left="160"/>
              <w:spacing w:after="0"/>
              <w:rPr>
                <w:sz w:val="20"/>
                <w:szCs w:val="20"/>
                <w:color w:val="auto"/>
              </w:rPr>
            </w:pPr>
            <w:r>
              <w:rPr>
                <w:rFonts w:ascii="Arial" w:cs="Arial" w:eastAsia="Arial" w:hAnsi="Arial"/>
                <w:sz w:val="13"/>
                <w:szCs w:val="13"/>
                <w:color w:val="auto"/>
                <w:w w:val="91"/>
              </w:rPr>
              <w:t>—  $2 Billion Revolving Credit Agreement dated as of June 22, 2010 by and among Waste Management, Inc. and Waste Management Holdings, Inc. and certain banks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7"/>
              </w:rPr>
              <w:t>party thereto, Bank of America, N.A., as Administrative Agent, JPMorgan Chase Bank, N.A. and Barclays Capital, as Syndication Agents, Deutsche Bank</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2"/>
              </w:rPr>
              <w:t>Securities Inc. and The Royal Bank of Scotland PLC, as Documentation Agents, BNP Paribas and Citibank, N.A., as Co-Documentation Agents and J.P. Morgan</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Securities Inc., Banc of America Securities LLC and Barclays Capital, as Lead Arrangers and Joint Bookrunners.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10.2</w:t>
            </w:r>
          </w:p>
        </w:tc>
        <w:tc>
          <w:tcPr>
            <w:tcW w:w="240" w:type="dxa"/>
            <w:vAlign w:val="bottom"/>
          </w:tcPr>
          <w:p>
            <w:pPr>
              <w:spacing w:after="0"/>
              <w:rPr>
                <w:sz w:val="13"/>
                <w:szCs w:val="13"/>
                <w:color w:val="auto"/>
              </w:rPr>
            </w:pPr>
          </w:p>
        </w:tc>
        <w:tc>
          <w:tcPr>
            <w:tcW w:w="9000" w:type="dxa"/>
            <w:vAlign w:val="bottom"/>
            <w:gridSpan w:val="2"/>
          </w:tcPr>
          <w:p>
            <w:pPr>
              <w:ind w:left="160"/>
              <w:spacing w:after="0"/>
              <w:rPr>
                <w:sz w:val="20"/>
                <w:szCs w:val="20"/>
                <w:color w:val="auto"/>
              </w:rPr>
            </w:pPr>
            <w:r>
              <w:rPr>
                <w:rFonts w:ascii="Arial" w:cs="Arial" w:eastAsia="Arial" w:hAnsi="Arial"/>
                <w:sz w:val="13"/>
                <w:szCs w:val="13"/>
                <w:color w:val="auto"/>
                <w:w w:val="96"/>
              </w:rPr>
              <w:t>—  Agreement for Termination of Employment dated June 1, 2010 between Waste Management, Inc. and Lawrence O’Donnell, III [Incorporated by reference to</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Exhibit 10.1 to Form 8-K dated June 1, 2010.]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31.1</w:t>
            </w:r>
          </w:p>
        </w:tc>
        <w:tc>
          <w:tcPr>
            <w:tcW w:w="240" w:type="dxa"/>
            <w:vAlign w:val="bottom"/>
          </w:tcPr>
          <w:p>
            <w:pPr>
              <w:spacing w:after="0"/>
              <w:rPr>
                <w:sz w:val="13"/>
                <w:szCs w:val="13"/>
                <w:color w:val="auto"/>
              </w:rPr>
            </w:pPr>
          </w:p>
        </w:tc>
        <w:tc>
          <w:tcPr>
            <w:tcW w:w="9000" w:type="dxa"/>
            <w:vAlign w:val="bottom"/>
            <w:gridSpan w:val="2"/>
          </w:tcPr>
          <w:p>
            <w:pPr>
              <w:ind w:left="160"/>
              <w:spacing w:after="0"/>
              <w:rPr>
                <w:sz w:val="20"/>
                <w:szCs w:val="20"/>
                <w:color w:val="auto"/>
              </w:rPr>
            </w:pPr>
            <w:r>
              <w:rPr>
                <w:rFonts w:ascii="Arial" w:cs="Arial" w:eastAsia="Arial" w:hAnsi="Arial"/>
                <w:sz w:val="13"/>
                <w:szCs w:val="13"/>
                <w:color w:val="auto"/>
                <w:w w:val="94"/>
              </w:rPr>
              <w:t>—  Certification Pursuant to Rule 13a — 14(a) and 15d — 14(a) under the Securities Exchange Act of 1934, as amended, of David P. Steiner, President and Chief</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Executive Officer.</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31.2</w:t>
            </w:r>
          </w:p>
        </w:tc>
        <w:tc>
          <w:tcPr>
            <w:tcW w:w="240" w:type="dxa"/>
            <w:vAlign w:val="bottom"/>
          </w:tcPr>
          <w:p>
            <w:pPr>
              <w:spacing w:after="0"/>
              <w:rPr>
                <w:sz w:val="13"/>
                <w:szCs w:val="13"/>
                <w:color w:val="auto"/>
              </w:rPr>
            </w:pPr>
          </w:p>
        </w:tc>
        <w:tc>
          <w:tcPr>
            <w:tcW w:w="9000" w:type="dxa"/>
            <w:vAlign w:val="bottom"/>
            <w:gridSpan w:val="2"/>
          </w:tcPr>
          <w:p>
            <w:pPr>
              <w:ind w:left="160"/>
              <w:spacing w:after="0"/>
              <w:rPr>
                <w:sz w:val="20"/>
                <w:szCs w:val="20"/>
                <w:color w:val="auto"/>
              </w:rPr>
            </w:pPr>
            <w:r>
              <w:rPr>
                <w:rFonts w:ascii="Arial" w:cs="Arial" w:eastAsia="Arial" w:hAnsi="Arial"/>
                <w:sz w:val="13"/>
                <w:szCs w:val="13"/>
                <w:color w:val="auto"/>
                <w:w w:val="91"/>
              </w:rPr>
              <w:t>—  Certification Pursuant to Rule 13a — 14(a) and 15d — 14(a) under the Securities Exchange Act of 1934, as amended, of Robert G. Simpson, Senior Vice President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and Chief Financial Officer.</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32.1</w:t>
            </w:r>
          </w:p>
        </w:tc>
        <w:tc>
          <w:tcPr>
            <w:tcW w:w="240" w:type="dxa"/>
            <w:vAlign w:val="bottom"/>
          </w:tcPr>
          <w:p>
            <w:pPr>
              <w:spacing w:after="0"/>
              <w:rPr>
                <w:sz w:val="13"/>
                <w:szCs w:val="13"/>
                <w:color w:val="auto"/>
              </w:rPr>
            </w:pPr>
          </w:p>
        </w:tc>
        <w:tc>
          <w:tcPr>
            <w:tcW w:w="9000" w:type="dxa"/>
            <w:vAlign w:val="bottom"/>
            <w:gridSpan w:val="2"/>
          </w:tcPr>
          <w:p>
            <w:pPr>
              <w:ind w:left="160"/>
              <w:spacing w:after="0"/>
              <w:rPr>
                <w:sz w:val="20"/>
                <w:szCs w:val="20"/>
                <w:color w:val="auto"/>
              </w:rPr>
            </w:pPr>
            <w:r>
              <w:rPr>
                <w:rFonts w:ascii="Arial" w:cs="Arial" w:eastAsia="Arial" w:hAnsi="Arial"/>
                <w:sz w:val="13"/>
                <w:szCs w:val="13"/>
                <w:color w:val="auto"/>
              </w:rPr>
              <w:t>—  Certification Pursuant to 18 U.S.C. §1350 of David P. Steiner, President and Chief Executive Officer.</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32.2</w:t>
            </w:r>
          </w:p>
        </w:tc>
        <w:tc>
          <w:tcPr>
            <w:tcW w:w="240" w:type="dxa"/>
            <w:vAlign w:val="bottom"/>
          </w:tcPr>
          <w:p>
            <w:pPr>
              <w:spacing w:after="0"/>
              <w:rPr>
                <w:sz w:val="13"/>
                <w:szCs w:val="13"/>
                <w:color w:val="auto"/>
              </w:rPr>
            </w:pPr>
          </w:p>
        </w:tc>
        <w:tc>
          <w:tcPr>
            <w:tcW w:w="9000" w:type="dxa"/>
            <w:vAlign w:val="bottom"/>
            <w:gridSpan w:val="2"/>
          </w:tcPr>
          <w:p>
            <w:pPr>
              <w:ind w:left="160"/>
              <w:spacing w:after="0"/>
              <w:rPr>
                <w:sz w:val="20"/>
                <w:szCs w:val="20"/>
                <w:color w:val="auto"/>
              </w:rPr>
            </w:pPr>
            <w:r>
              <w:rPr>
                <w:rFonts w:ascii="Arial" w:cs="Arial" w:eastAsia="Arial" w:hAnsi="Arial"/>
                <w:sz w:val="13"/>
                <w:szCs w:val="13"/>
                <w:color w:val="auto"/>
              </w:rPr>
              <w:t>—  Certification Pursuant to 18 U.S.C. §1350 of Robert G. Simpson, Senior Vice President and Chief Financial Officer.</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101.INS</w:t>
            </w:r>
          </w:p>
        </w:tc>
        <w:tc>
          <w:tcPr>
            <w:tcW w:w="9000" w:type="dxa"/>
            <w:vAlign w:val="bottom"/>
            <w:gridSpan w:val="2"/>
          </w:tcPr>
          <w:p>
            <w:pPr>
              <w:ind w:left="160"/>
              <w:spacing w:after="0"/>
              <w:rPr>
                <w:sz w:val="20"/>
                <w:szCs w:val="20"/>
                <w:color w:val="auto"/>
              </w:rPr>
            </w:pPr>
            <w:r>
              <w:rPr>
                <w:rFonts w:ascii="Arial" w:cs="Arial" w:eastAsia="Arial" w:hAnsi="Arial"/>
                <w:sz w:val="13"/>
                <w:szCs w:val="13"/>
                <w:color w:val="auto"/>
              </w:rPr>
              <w:t>—  XBRL Instance Document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101.SCH</w:t>
            </w:r>
          </w:p>
        </w:tc>
        <w:tc>
          <w:tcPr>
            <w:tcW w:w="9000" w:type="dxa"/>
            <w:vAlign w:val="bottom"/>
            <w:gridSpan w:val="2"/>
          </w:tcPr>
          <w:p>
            <w:pPr>
              <w:ind w:left="160"/>
              <w:spacing w:after="0"/>
              <w:rPr>
                <w:sz w:val="20"/>
                <w:szCs w:val="20"/>
                <w:color w:val="auto"/>
              </w:rPr>
            </w:pPr>
            <w:r>
              <w:rPr>
                <w:rFonts w:ascii="Arial" w:cs="Arial" w:eastAsia="Arial" w:hAnsi="Arial"/>
                <w:sz w:val="13"/>
                <w:szCs w:val="13"/>
                <w:color w:val="auto"/>
              </w:rPr>
              <w:t>—  XBRL Taxonomy Extension Schema Document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101.CAL</w:t>
            </w:r>
          </w:p>
        </w:tc>
        <w:tc>
          <w:tcPr>
            <w:tcW w:w="9000" w:type="dxa"/>
            <w:vAlign w:val="bottom"/>
            <w:gridSpan w:val="2"/>
          </w:tcPr>
          <w:p>
            <w:pPr>
              <w:ind w:left="160"/>
              <w:spacing w:after="0"/>
              <w:rPr>
                <w:sz w:val="20"/>
                <w:szCs w:val="20"/>
                <w:color w:val="auto"/>
              </w:rPr>
            </w:pPr>
            <w:r>
              <w:rPr>
                <w:rFonts w:ascii="Arial" w:cs="Arial" w:eastAsia="Arial" w:hAnsi="Arial"/>
                <w:sz w:val="13"/>
                <w:szCs w:val="13"/>
                <w:color w:val="auto"/>
              </w:rPr>
              <w:t>—  XBRL Taxonomy Extension Calculation Linkbase Document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101.DEF</w:t>
            </w:r>
          </w:p>
        </w:tc>
        <w:tc>
          <w:tcPr>
            <w:tcW w:w="9000" w:type="dxa"/>
            <w:vAlign w:val="bottom"/>
            <w:gridSpan w:val="2"/>
          </w:tcPr>
          <w:p>
            <w:pPr>
              <w:ind w:left="160"/>
              <w:spacing w:after="0"/>
              <w:rPr>
                <w:sz w:val="20"/>
                <w:szCs w:val="20"/>
                <w:color w:val="auto"/>
              </w:rPr>
            </w:pPr>
            <w:r>
              <w:rPr>
                <w:rFonts w:ascii="Arial" w:cs="Arial" w:eastAsia="Arial" w:hAnsi="Arial"/>
                <w:sz w:val="13"/>
                <w:szCs w:val="13"/>
                <w:color w:val="auto"/>
              </w:rPr>
              <w:t>—  XBRL Taxonomy Extension Definition Linkbase Document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101.LAB</w:t>
            </w:r>
          </w:p>
        </w:tc>
        <w:tc>
          <w:tcPr>
            <w:tcW w:w="9000" w:type="dxa"/>
            <w:vAlign w:val="bottom"/>
            <w:gridSpan w:val="2"/>
          </w:tcPr>
          <w:p>
            <w:pPr>
              <w:ind w:left="160"/>
              <w:spacing w:after="0"/>
              <w:rPr>
                <w:sz w:val="20"/>
                <w:szCs w:val="20"/>
                <w:color w:val="auto"/>
              </w:rPr>
            </w:pPr>
            <w:r>
              <w:rPr>
                <w:rFonts w:ascii="Arial" w:cs="Arial" w:eastAsia="Arial" w:hAnsi="Arial"/>
                <w:sz w:val="13"/>
                <w:szCs w:val="13"/>
                <w:color w:val="auto"/>
              </w:rPr>
              <w:t>—  XBRL Taxonomy Extension Label Linkbase Document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101.PRE</w:t>
            </w:r>
          </w:p>
        </w:tc>
        <w:tc>
          <w:tcPr>
            <w:tcW w:w="9000" w:type="dxa"/>
            <w:vAlign w:val="bottom"/>
            <w:gridSpan w:val="2"/>
          </w:tcPr>
          <w:p>
            <w:pPr>
              <w:ind w:left="160"/>
              <w:spacing w:after="0"/>
              <w:rPr>
                <w:sz w:val="20"/>
                <w:szCs w:val="20"/>
                <w:color w:val="auto"/>
              </w:rPr>
            </w:pPr>
            <w:r>
              <w:rPr>
                <w:rFonts w:ascii="Arial" w:cs="Arial" w:eastAsia="Arial" w:hAnsi="Arial"/>
                <w:sz w:val="13"/>
                <w:szCs w:val="13"/>
                <w:color w:val="auto"/>
              </w:rPr>
              <w:t>—  XBRL Taxonomy Extension Presentation Linkbase Document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0" w:type="dxa"/>
            <w:vAlign w:val="bottom"/>
            <w:gridSpan w:val="2"/>
          </w:tcPr>
          <w:p>
            <w:pPr>
              <w:ind w:left="3960"/>
              <w:spacing w:after="0"/>
              <w:rPr>
                <w:sz w:val="20"/>
                <w:szCs w:val="20"/>
                <w:color w:val="auto"/>
              </w:rPr>
            </w:pPr>
            <w:r>
              <w:rPr>
                <w:rFonts w:ascii="Arial" w:cs="Arial" w:eastAsia="Arial" w:hAnsi="Arial"/>
                <w:sz w:val="13"/>
                <w:szCs w:val="13"/>
                <w:color w:val="auto"/>
              </w:rPr>
              <w:t>52</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6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44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95"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6720" w:type="dxa"/>
            <w:vAlign w:val="bottom"/>
            <w:gridSpan w:val="2"/>
          </w:tcPr>
          <w:p>
            <w:pPr>
              <w:ind w:left="4900"/>
              <w:spacing w:after="0"/>
              <w:rPr>
                <w:sz w:val="20"/>
                <w:szCs w:val="20"/>
                <w:color w:val="auto"/>
              </w:rPr>
            </w:pPr>
            <w:r>
              <w:rPr>
                <w:rFonts w:ascii="Arial" w:cs="Arial" w:eastAsia="Arial" w:hAnsi="Arial"/>
                <w:sz w:val="13"/>
                <w:szCs w:val="13"/>
                <w:color w:val="auto"/>
              </w:rPr>
              <w:t>WASTE MANAGEMENT, INC.</w:t>
            </w:r>
          </w:p>
        </w:tc>
        <w:tc>
          <w:tcPr>
            <w:tcW w:w="4140" w:type="dxa"/>
            <w:vAlign w:val="bottom"/>
          </w:tcPr>
          <w:p>
            <w:pPr>
              <w:spacing w:after="0"/>
              <w:rPr>
                <w:sz w:val="14"/>
                <w:szCs w:val="14"/>
                <w:color w:val="auto"/>
              </w:rPr>
            </w:pPr>
          </w:p>
        </w:tc>
      </w:tr>
      <w:tr>
        <w:trPr>
          <w:trHeight w:val="802"/>
        </w:trPr>
        <w:tc>
          <w:tcPr>
            <w:tcW w:w="6720" w:type="dxa"/>
            <w:vAlign w:val="bottom"/>
            <w:gridSpan w:val="2"/>
          </w:tcPr>
          <w:p>
            <w:pPr>
              <w:ind w:left="4900"/>
              <w:spacing w:after="0"/>
              <w:rPr>
                <w:sz w:val="20"/>
                <w:szCs w:val="20"/>
                <w:color w:val="auto"/>
              </w:rPr>
            </w:pPr>
            <w:r>
              <w:rPr>
                <w:rFonts w:ascii="Arial" w:cs="Arial" w:eastAsia="Arial" w:hAnsi="Arial"/>
                <w:sz w:val="13"/>
                <w:szCs w:val="13"/>
                <w:color w:val="auto"/>
              </w:rPr>
              <w:t>By:</w:t>
            </w:r>
          </w:p>
        </w:tc>
        <w:tc>
          <w:tcPr>
            <w:tcW w:w="4140" w:type="dxa"/>
            <w:vAlign w:val="bottom"/>
          </w:tcPr>
          <w:p>
            <w:pPr>
              <w:jc w:val="center"/>
              <w:ind w:right="2254"/>
              <w:spacing w:after="0"/>
              <w:rPr>
                <w:sz w:val="20"/>
                <w:szCs w:val="20"/>
                <w:color w:val="auto"/>
              </w:rPr>
            </w:pPr>
            <w:r>
              <w:rPr>
                <w:rFonts w:ascii="Arial" w:cs="Arial" w:eastAsia="Arial" w:hAnsi="Arial"/>
                <w:sz w:val="13"/>
                <w:szCs w:val="13"/>
                <w:color w:val="auto"/>
                <w:w w:val="95"/>
              </w:rPr>
              <w:t>/s/ ROBERT G. SIMPSON</w:t>
            </w:r>
          </w:p>
        </w:tc>
      </w:tr>
      <w:tr>
        <w:trPr>
          <w:trHeight w:val="144"/>
        </w:trPr>
        <w:tc>
          <w:tcPr>
            <w:tcW w:w="530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4140" w:type="dxa"/>
            <w:vAlign w:val="bottom"/>
            <w:tcBorders>
              <w:top w:val="single" w:sz="8" w:color="auto"/>
            </w:tcBorders>
          </w:tcPr>
          <w:p>
            <w:pPr>
              <w:jc w:val="center"/>
              <w:ind w:right="2234"/>
              <w:spacing w:after="0" w:line="144" w:lineRule="exact"/>
              <w:rPr>
                <w:sz w:val="20"/>
                <w:szCs w:val="20"/>
                <w:color w:val="auto"/>
              </w:rPr>
            </w:pPr>
            <w:r>
              <w:rPr>
                <w:rFonts w:ascii="Arial" w:cs="Arial" w:eastAsia="Arial" w:hAnsi="Arial"/>
                <w:sz w:val="13"/>
                <w:szCs w:val="13"/>
                <w:color w:val="auto"/>
                <w:w w:val="90"/>
              </w:rPr>
              <w:t>Robert G. Simpson</w:t>
            </w:r>
          </w:p>
        </w:tc>
      </w:tr>
      <w:tr>
        <w:trPr>
          <w:trHeight w:val="157"/>
        </w:trPr>
        <w:tc>
          <w:tcPr>
            <w:tcW w:w="5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140" w:type="dxa"/>
            <w:vAlign w:val="bottom"/>
          </w:tcPr>
          <w:p>
            <w:pPr>
              <w:jc w:val="center"/>
              <w:ind w:right="2234"/>
              <w:spacing w:after="0"/>
              <w:rPr>
                <w:sz w:val="20"/>
                <w:szCs w:val="20"/>
                <w:color w:val="auto"/>
              </w:rPr>
            </w:pPr>
            <w:r>
              <w:rPr>
                <w:rFonts w:ascii="Arial" w:cs="Arial" w:eastAsia="Arial" w:hAnsi="Arial"/>
                <w:sz w:val="13"/>
                <w:szCs w:val="13"/>
                <w:i w:val="1"/>
                <w:iCs w:val="1"/>
                <w:color w:val="auto"/>
                <w:w w:val="90"/>
              </w:rPr>
              <w:t>Senior Vice President and</w:t>
            </w:r>
          </w:p>
        </w:tc>
      </w:tr>
      <w:tr>
        <w:trPr>
          <w:trHeight w:val="157"/>
        </w:trPr>
        <w:tc>
          <w:tcPr>
            <w:tcW w:w="5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140" w:type="dxa"/>
            <w:vAlign w:val="bottom"/>
          </w:tcPr>
          <w:p>
            <w:pPr>
              <w:jc w:val="center"/>
              <w:ind w:right="2234"/>
              <w:spacing w:after="0"/>
              <w:rPr>
                <w:sz w:val="20"/>
                <w:szCs w:val="20"/>
                <w:color w:val="auto"/>
              </w:rPr>
            </w:pPr>
            <w:r>
              <w:rPr>
                <w:rFonts w:ascii="Arial" w:cs="Arial" w:eastAsia="Arial" w:hAnsi="Arial"/>
                <w:sz w:val="13"/>
                <w:szCs w:val="13"/>
                <w:i w:val="1"/>
                <w:iCs w:val="1"/>
                <w:color w:val="auto"/>
                <w:w w:val="96"/>
              </w:rPr>
              <w:t>Chief Financial Officer</w:t>
            </w:r>
          </w:p>
        </w:tc>
      </w:tr>
      <w:tr>
        <w:trPr>
          <w:trHeight w:val="165"/>
        </w:trPr>
        <w:tc>
          <w:tcPr>
            <w:tcW w:w="5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140" w:type="dxa"/>
            <w:vAlign w:val="bottom"/>
          </w:tcPr>
          <w:p>
            <w:pPr>
              <w:jc w:val="center"/>
              <w:ind w:right="2234"/>
              <w:spacing w:after="0"/>
              <w:rPr>
                <w:sz w:val="20"/>
                <w:szCs w:val="20"/>
                <w:color w:val="auto"/>
              </w:rPr>
            </w:pPr>
            <w:r>
              <w:rPr>
                <w:rFonts w:ascii="Arial" w:cs="Arial" w:eastAsia="Arial" w:hAnsi="Arial"/>
                <w:sz w:val="13"/>
                <w:szCs w:val="13"/>
                <w:i w:val="1"/>
                <w:iCs w:val="1"/>
                <w:color w:val="auto"/>
                <w:w w:val="97"/>
              </w:rPr>
              <w:t>(Principal Financial Officer)</w:t>
            </w:r>
          </w:p>
        </w:tc>
      </w:tr>
      <w:tr>
        <w:trPr>
          <w:trHeight w:val="482"/>
        </w:trPr>
        <w:tc>
          <w:tcPr>
            <w:tcW w:w="6720" w:type="dxa"/>
            <w:vAlign w:val="bottom"/>
            <w:gridSpan w:val="2"/>
          </w:tcPr>
          <w:p>
            <w:pPr>
              <w:ind w:left="4900"/>
              <w:spacing w:after="0"/>
              <w:rPr>
                <w:sz w:val="20"/>
                <w:szCs w:val="20"/>
                <w:color w:val="auto"/>
              </w:rPr>
            </w:pPr>
            <w:r>
              <w:rPr>
                <w:rFonts w:ascii="Arial" w:cs="Arial" w:eastAsia="Arial" w:hAnsi="Arial"/>
                <w:sz w:val="13"/>
                <w:szCs w:val="13"/>
                <w:color w:val="auto"/>
              </w:rPr>
              <w:t>WASTE MANAGEMENT, INC.</w:t>
            </w:r>
          </w:p>
        </w:tc>
        <w:tc>
          <w:tcPr>
            <w:tcW w:w="4140" w:type="dxa"/>
            <w:vAlign w:val="bottom"/>
          </w:tcPr>
          <w:p>
            <w:pPr>
              <w:spacing w:after="0"/>
              <w:rPr>
                <w:sz w:val="24"/>
                <w:szCs w:val="24"/>
                <w:color w:val="auto"/>
              </w:rPr>
            </w:pPr>
          </w:p>
        </w:tc>
      </w:tr>
      <w:tr>
        <w:trPr>
          <w:trHeight w:val="797"/>
        </w:trPr>
        <w:tc>
          <w:tcPr>
            <w:tcW w:w="6720" w:type="dxa"/>
            <w:vAlign w:val="bottom"/>
            <w:gridSpan w:val="2"/>
          </w:tcPr>
          <w:p>
            <w:pPr>
              <w:ind w:left="4900"/>
              <w:spacing w:after="0"/>
              <w:rPr>
                <w:sz w:val="20"/>
                <w:szCs w:val="20"/>
                <w:color w:val="auto"/>
              </w:rPr>
            </w:pPr>
            <w:r>
              <w:rPr>
                <w:rFonts w:ascii="Arial" w:cs="Arial" w:eastAsia="Arial" w:hAnsi="Arial"/>
                <w:sz w:val="13"/>
                <w:szCs w:val="13"/>
                <w:color w:val="auto"/>
              </w:rPr>
              <w:t>By:</w:t>
            </w:r>
          </w:p>
        </w:tc>
        <w:tc>
          <w:tcPr>
            <w:tcW w:w="4140" w:type="dxa"/>
            <w:vAlign w:val="bottom"/>
          </w:tcPr>
          <w:p>
            <w:pPr>
              <w:jc w:val="center"/>
              <w:ind w:right="2234"/>
              <w:spacing w:after="0"/>
              <w:rPr>
                <w:sz w:val="20"/>
                <w:szCs w:val="20"/>
                <w:color w:val="auto"/>
              </w:rPr>
            </w:pPr>
            <w:r>
              <w:rPr>
                <w:rFonts w:ascii="Arial" w:cs="Arial" w:eastAsia="Arial" w:hAnsi="Arial"/>
                <w:sz w:val="13"/>
                <w:szCs w:val="13"/>
                <w:color w:val="auto"/>
                <w:w w:val="96"/>
              </w:rPr>
              <w:t>/s/ GREG A. ROBERTSON</w:t>
            </w:r>
          </w:p>
        </w:tc>
      </w:tr>
      <w:tr>
        <w:trPr>
          <w:trHeight w:val="139"/>
        </w:trPr>
        <w:tc>
          <w:tcPr>
            <w:tcW w:w="530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4140" w:type="dxa"/>
            <w:vAlign w:val="bottom"/>
            <w:tcBorders>
              <w:top w:val="single" w:sz="8" w:color="auto"/>
            </w:tcBorders>
          </w:tcPr>
          <w:p>
            <w:pPr>
              <w:jc w:val="center"/>
              <w:ind w:right="2234"/>
              <w:spacing w:after="0" w:line="139" w:lineRule="exact"/>
              <w:rPr>
                <w:sz w:val="20"/>
                <w:szCs w:val="20"/>
                <w:color w:val="auto"/>
              </w:rPr>
            </w:pPr>
            <w:r>
              <w:rPr>
                <w:rFonts w:ascii="Arial" w:cs="Arial" w:eastAsia="Arial" w:hAnsi="Arial"/>
                <w:sz w:val="13"/>
                <w:szCs w:val="13"/>
                <w:color w:val="auto"/>
                <w:w w:val="92"/>
              </w:rPr>
              <w:t>Greg A. Robertson</w:t>
            </w:r>
          </w:p>
        </w:tc>
      </w:tr>
      <w:tr>
        <w:trPr>
          <w:trHeight w:val="157"/>
        </w:trPr>
        <w:tc>
          <w:tcPr>
            <w:tcW w:w="5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140" w:type="dxa"/>
            <w:vAlign w:val="bottom"/>
          </w:tcPr>
          <w:p>
            <w:pPr>
              <w:jc w:val="center"/>
              <w:ind w:right="2214"/>
              <w:spacing w:after="0"/>
              <w:rPr>
                <w:sz w:val="20"/>
                <w:szCs w:val="20"/>
                <w:color w:val="auto"/>
              </w:rPr>
            </w:pPr>
            <w:r>
              <w:rPr>
                <w:rFonts w:ascii="Arial" w:cs="Arial" w:eastAsia="Arial" w:hAnsi="Arial"/>
                <w:sz w:val="13"/>
                <w:szCs w:val="13"/>
                <w:i w:val="1"/>
                <w:iCs w:val="1"/>
                <w:color w:val="auto"/>
                <w:w w:val="89"/>
              </w:rPr>
              <w:t>Vice President and</w:t>
            </w:r>
          </w:p>
        </w:tc>
      </w:tr>
      <w:tr>
        <w:trPr>
          <w:trHeight w:val="157"/>
        </w:trPr>
        <w:tc>
          <w:tcPr>
            <w:tcW w:w="5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140" w:type="dxa"/>
            <w:vAlign w:val="bottom"/>
          </w:tcPr>
          <w:p>
            <w:pPr>
              <w:jc w:val="center"/>
              <w:ind w:right="2234"/>
              <w:spacing w:after="0"/>
              <w:rPr>
                <w:sz w:val="20"/>
                <w:szCs w:val="20"/>
                <w:color w:val="auto"/>
              </w:rPr>
            </w:pPr>
            <w:r>
              <w:rPr>
                <w:rFonts w:ascii="Arial" w:cs="Arial" w:eastAsia="Arial" w:hAnsi="Arial"/>
                <w:sz w:val="13"/>
                <w:szCs w:val="13"/>
                <w:i w:val="1"/>
                <w:iCs w:val="1"/>
                <w:color w:val="auto"/>
                <w:w w:val="94"/>
              </w:rPr>
              <w:t>Chief Accounting Officer</w:t>
            </w:r>
          </w:p>
        </w:tc>
      </w:tr>
      <w:tr>
        <w:trPr>
          <w:trHeight w:val="165"/>
        </w:trPr>
        <w:tc>
          <w:tcPr>
            <w:tcW w:w="5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140" w:type="dxa"/>
            <w:vAlign w:val="bottom"/>
          </w:tcPr>
          <w:p>
            <w:pPr>
              <w:jc w:val="center"/>
              <w:ind w:right="2234"/>
              <w:spacing w:after="0"/>
              <w:rPr>
                <w:sz w:val="20"/>
                <w:szCs w:val="20"/>
                <w:color w:val="auto"/>
              </w:rPr>
            </w:pPr>
            <w:r>
              <w:rPr>
                <w:rFonts w:ascii="Arial" w:cs="Arial" w:eastAsia="Arial" w:hAnsi="Arial"/>
                <w:sz w:val="13"/>
                <w:szCs w:val="13"/>
                <w:i w:val="1"/>
                <w:iCs w:val="1"/>
                <w:color w:val="auto"/>
                <w:w w:val="95"/>
              </w:rPr>
              <w:t>(Principal Accounting Officer)</w:t>
            </w:r>
          </w:p>
        </w:tc>
      </w:tr>
      <w:tr>
        <w:trPr>
          <w:trHeight w:val="324"/>
        </w:trPr>
        <w:tc>
          <w:tcPr>
            <w:tcW w:w="6720" w:type="dxa"/>
            <w:vAlign w:val="bottom"/>
            <w:gridSpan w:val="2"/>
          </w:tcPr>
          <w:p>
            <w:pPr>
              <w:spacing w:after="0"/>
              <w:rPr>
                <w:sz w:val="20"/>
                <w:szCs w:val="20"/>
                <w:color w:val="auto"/>
              </w:rPr>
            </w:pPr>
            <w:r>
              <w:rPr>
                <w:rFonts w:ascii="Arial" w:cs="Arial" w:eastAsia="Arial" w:hAnsi="Arial"/>
                <w:sz w:val="13"/>
                <w:szCs w:val="13"/>
                <w:color w:val="auto"/>
              </w:rPr>
              <w:t>Date: August 2, 2010</w:t>
            </w:r>
          </w:p>
        </w:tc>
        <w:tc>
          <w:tcPr>
            <w:tcW w:w="4140" w:type="dxa"/>
            <w:vAlign w:val="bottom"/>
          </w:tcPr>
          <w:p>
            <w:pPr>
              <w:spacing w:after="0"/>
              <w:rPr>
                <w:sz w:val="24"/>
                <w:szCs w:val="24"/>
                <w:color w:val="auto"/>
              </w:rPr>
            </w:pPr>
          </w:p>
        </w:tc>
      </w:tr>
      <w:tr>
        <w:trPr>
          <w:trHeight w:val="442"/>
        </w:trPr>
        <w:tc>
          <w:tcPr>
            <w:tcW w:w="5300" w:type="dxa"/>
            <w:vAlign w:val="bottom"/>
          </w:tcPr>
          <w:p>
            <w:pPr>
              <w:ind w:left="4940"/>
              <w:spacing w:after="0"/>
              <w:rPr>
                <w:sz w:val="20"/>
                <w:szCs w:val="20"/>
                <w:color w:val="auto"/>
              </w:rPr>
            </w:pPr>
            <w:r>
              <w:rPr>
                <w:rFonts w:ascii="Arial" w:cs="Arial" w:eastAsia="Arial" w:hAnsi="Arial"/>
                <w:sz w:val="13"/>
                <w:szCs w:val="13"/>
                <w:color w:val="auto"/>
              </w:rPr>
              <w:t>53</w:t>
            </w:r>
          </w:p>
        </w:tc>
        <w:tc>
          <w:tcPr>
            <w:tcW w:w="1420" w:type="dxa"/>
            <w:vAlign w:val="bottom"/>
          </w:tcPr>
          <w:p>
            <w:pPr>
              <w:spacing w:after="0"/>
              <w:rPr>
                <w:sz w:val="24"/>
                <w:szCs w:val="24"/>
                <w:color w:val="auto"/>
              </w:rPr>
            </w:pPr>
          </w:p>
        </w:tc>
        <w:tc>
          <w:tcPr>
            <w:tcW w:w="4140" w:type="dxa"/>
            <w:vAlign w:val="bottom"/>
          </w:tcPr>
          <w:p>
            <w:pPr>
              <w:spacing w:after="0"/>
              <w:rPr>
                <w:sz w:val="24"/>
                <w:szCs w:val="24"/>
                <w:color w:val="auto"/>
              </w:rPr>
            </w:pPr>
          </w:p>
        </w:tc>
      </w:tr>
    </w:tbl>
    <w:p>
      <w:pPr>
        <w:sectPr>
          <w:pgSz w:w="11900" w:h="16838" w:orient="portrait"/>
          <w:cols w:equalWidth="0" w:num="1">
            <w:col w:w="11540"/>
          </w:cols>
          <w:pgMar w:left="220" w:top="343" w:right="139" w:bottom="1440" w:gutter="0" w:footer="0" w:header="0"/>
        </w:sectPr>
      </w:pPr>
    </w:p>
    <w:bookmarkStart w:id="56" w:name="page57"/>
    <w:bookmarkEnd w:id="56"/>
    <w:p>
      <w:pPr>
        <w:jc w:val="right"/>
        <w:spacing w:after="0"/>
        <w:rPr>
          <w:sz w:val="20"/>
          <w:szCs w:val="20"/>
          <w:color w:val="auto"/>
        </w:rPr>
      </w:pPr>
      <w:r>
        <w:rPr>
          <w:rFonts w:ascii="Arial" w:cs="Arial" w:eastAsia="Arial" w:hAnsi="Arial"/>
          <w:sz w:val="13"/>
          <w:szCs w:val="13"/>
          <w:b w:val="1"/>
          <w:bCs w:val="1"/>
          <w:color w:val="auto"/>
        </w:rPr>
        <w:t>EXHIBIT 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THIRD RESTATED CERTIFICATE OF INCORPORATION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79"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Waste Management, Inc., a corporation organized and existing under the laws of the State of Delaware (the “Corporation”), hereby certifies as follows:</w:t>
      </w:r>
    </w:p>
    <w:p>
      <w:pPr>
        <w:spacing w:after="0" w:line="86" w:lineRule="exact"/>
        <w:rPr>
          <w:sz w:val="20"/>
          <w:szCs w:val="20"/>
          <w:color w:val="auto"/>
        </w:rPr>
      </w:pPr>
    </w:p>
    <w:p>
      <w:pPr>
        <w:ind w:left="1" w:right="660" w:hanging="1"/>
        <w:spacing w:after="0" w:line="276" w:lineRule="auto"/>
        <w:tabs>
          <w:tab w:leader="none" w:pos="132"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name of the Corporation is Waste Management, Inc., and the name under which the Corporation was originally incorporated is USA Waste Services, Inc. The date of filing of its original Certificate of Incorporation with the Secretary of State of the State of Delaware was April 28, 1995.</w:t>
      </w:r>
    </w:p>
    <w:p>
      <w:pPr>
        <w:spacing w:after="0" w:line="49" w:lineRule="exact"/>
        <w:rPr>
          <w:rFonts w:ascii="Arial" w:cs="Arial" w:eastAsia="Arial" w:hAnsi="Arial"/>
          <w:sz w:val="13"/>
          <w:szCs w:val="13"/>
          <w:color w:val="auto"/>
        </w:rPr>
      </w:pPr>
    </w:p>
    <w:p>
      <w:pPr>
        <w:ind w:left="121" w:hanging="121"/>
        <w:spacing w:after="0"/>
        <w:tabs>
          <w:tab w:leader="none" w:pos="121"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This Third Restated Certificate of Incorporation (the “Restated Certificate of Incorporation”) restates and integrates and further amends the Second Restated Certificate of Incorporation of this Corporation.</w:t>
      </w:r>
    </w:p>
    <w:p>
      <w:pPr>
        <w:spacing w:after="0" w:line="97" w:lineRule="exact"/>
        <w:rPr>
          <w:rFonts w:ascii="Arial" w:cs="Arial" w:eastAsia="Arial" w:hAnsi="Arial"/>
          <w:sz w:val="12"/>
          <w:szCs w:val="12"/>
          <w:color w:val="auto"/>
        </w:rPr>
      </w:pPr>
    </w:p>
    <w:p>
      <w:pPr>
        <w:ind w:left="121" w:hanging="121"/>
        <w:spacing w:after="0"/>
        <w:tabs>
          <w:tab w:leader="none" w:pos="121"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text of the Second Restated Certificate of Incorporation as amended or supplemented heretofore is further amended hereby to read as herein set forth in full.</w:t>
      </w:r>
    </w:p>
    <w:p>
      <w:pPr>
        <w:spacing w:after="0" w:line="86" w:lineRule="exact"/>
        <w:rPr>
          <w:sz w:val="20"/>
          <w:szCs w:val="20"/>
          <w:color w:val="auto"/>
        </w:rPr>
      </w:pPr>
    </w:p>
    <w:p>
      <w:pPr>
        <w:ind w:left="221"/>
        <w:spacing w:after="0"/>
        <w:rPr>
          <w:sz w:val="20"/>
          <w:szCs w:val="20"/>
          <w:color w:val="auto"/>
        </w:rPr>
      </w:pPr>
      <w:r>
        <w:rPr>
          <w:rFonts w:ascii="Arial" w:cs="Arial" w:eastAsia="Arial" w:hAnsi="Arial"/>
          <w:sz w:val="13"/>
          <w:szCs w:val="13"/>
          <w:u w:val="single" w:color="auto"/>
          <w:color w:val="auto"/>
        </w:rPr>
        <w:t>First:</w:t>
      </w:r>
      <w:r>
        <w:rPr>
          <w:rFonts w:ascii="Arial" w:cs="Arial" w:eastAsia="Arial" w:hAnsi="Arial"/>
          <w:sz w:val="13"/>
          <w:szCs w:val="13"/>
          <w:color w:val="auto"/>
        </w:rPr>
        <w:t xml:space="preserve"> The name of the Corporation is “Waste Management, Inc.”</w:t>
      </w:r>
    </w:p>
    <w:p>
      <w:pPr>
        <w:spacing w:after="0" w:line="86" w:lineRule="exact"/>
        <w:rPr>
          <w:sz w:val="20"/>
          <w:szCs w:val="20"/>
          <w:color w:val="auto"/>
        </w:rPr>
      </w:pPr>
    </w:p>
    <w:p>
      <w:pPr>
        <w:ind w:left="221" w:right="140"/>
        <w:spacing w:after="0" w:line="276" w:lineRule="auto"/>
        <w:rPr>
          <w:sz w:val="20"/>
          <w:szCs w:val="20"/>
          <w:color w:val="auto"/>
        </w:rPr>
      </w:pPr>
      <w:r>
        <w:rPr>
          <w:rFonts w:ascii="Arial" w:cs="Arial" w:eastAsia="Arial" w:hAnsi="Arial"/>
          <w:sz w:val="13"/>
          <w:szCs w:val="13"/>
          <w:u w:val="single" w:color="auto"/>
          <w:color w:val="auto"/>
        </w:rPr>
        <w:t>Second:</w:t>
      </w:r>
      <w:r>
        <w:rPr>
          <w:rFonts w:ascii="Arial" w:cs="Arial" w:eastAsia="Arial" w:hAnsi="Arial"/>
          <w:sz w:val="13"/>
          <w:szCs w:val="13"/>
          <w:color w:val="auto"/>
        </w:rPr>
        <w:t xml:space="preserve"> The registered office of the Corporation in the State of Delaware is located at Corporation Trust Center, 1209 Orange Street in the City of Wilmington, County of New Castle. The name and address of its registered agent is The Corporation Trust Company, Corporation Trust Center, 1209 Orange Street, Wilmington, Delaware 19801.</w:t>
      </w:r>
    </w:p>
    <w:p>
      <w:pPr>
        <w:spacing w:after="0" w:line="49" w:lineRule="exact"/>
        <w:rPr>
          <w:sz w:val="20"/>
          <w:szCs w:val="20"/>
          <w:color w:val="auto"/>
        </w:rPr>
      </w:pPr>
    </w:p>
    <w:p>
      <w:pPr>
        <w:ind w:left="221"/>
        <w:spacing w:after="0"/>
        <w:rPr>
          <w:sz w:val="20"/>
          <w:szCs w:val="20"/>
          <w:color w:val="auto"/>
        </w:rPr>
      </w:pPr>
      <w:r>
        <w:rPr>
          <w:rFonts w:ascii="Arial" w:cs="Arial" w:eastAsia="Arial" w:hAnsi="Arial"/>
          <w:sz w:val="13"/>
          <w:szCs w:val="13"/>
          <w:u w:val="single" w:color="auto"/>
          <w:color w:val="auto"/>
        </w:rPr>
        <w:t>Third:</w:t>
      </w:r>
      <w:r>
        <w:rPr>
          <w:rFonts w:ascii="Arial" w:cs="Arial" w:eastAsia="Arial" w:hAnsi="Arial"/>
          <w:sz w:val="13"/>
          <w:szCs w:val="13"/>
          <w:color w:val="auto"/>
        </w:rPr>
        <w:t xml:space="preserve"> The nature of the business, objects and purposes to be transacted, promoted or carried on by the Corporation is:</w:t>
      </w:r>
    </w:p>
    <w:p>
      <w:pPr>
        <w:spacing w:after="0" w:line="86" w:lineRule="exact"/>
        <w:rPr>
          <w:sz w:val="20"/>
          <w:szCs w:val="20"/>
          <w:color w:val="auto"/>
        </w:rPr>
      </w:pPr>
    </w:p>
    <w:p>
      <w:pPr>
        <w:ind w:left="381"/>
        <w:spacing w:after="0"/>
        <w:rPr>
          <w:sz w:val="20"/>
          <w:szCs w:val="20"/>
          <w:color w:val="auto"/>
        </w:rPr>
      </w:pPr>
      <w:r>
        <w:rPr>
          <w:rFonts w:ascii="Arial" w:cs="Arial" w:eastAsia="Arial" w:hAnsi="Arial"/>
          <w:sz w:val="13"/>
          <w:szCs w:val="13"/>
          <w:color w:val="auto"/>
        </w:rPr>
        <w:t>To engage in any lawful activity for which corporations may be organized under the General Corporation Law of Delaware.</w:t>
      </w:r>
    </w:p>
    <w:p>
      <w:pPr>
        <w:spacing w:after="0" w:line="86" w:lineRule="exact"/>
        <w:rPr>
          <w:sz w:val="20"/>
          <w:szCs w:val="20"/>
          <w:color w:val="auto"/>
        </w:rPr>
      </w:pPr>
    </w:p>
    <w:p>
      <w:pPr>
        <w:ind w:left="221" w:right="320"/>
        <w:spacing w:after="0" w:line="320" w:lineRule="auto"/>
        <w:rPr>
          <w:sz w:val="20"/>
          <w:szCs w:val="20"/>
          <w:color w:val="auto"/>
        </w:rPr>
      </w:pPr>
      <w:r>
        <w:rPr>
          <w:rFonts w:ascii="Arial" w:cs="Arial" w:eastAsia="Arial" w:hAnsi="Arial"/>
          <w:sz w:val="12"/>
          <w:szCs w:val="12"/>
          <w:u w:val="single" w:color="auto"/>
          <w:color w:val="auto"/>
        </w:rPr>
        <w:t>Fourth:</w:t>
      </w:r>
      <w:r>
        <w:rPr>
          <w:rFonts w:ascii="Arial" w:cs="Arial" w:eastAsia="Arial" w:hAnsi="Arial"/>
          <w:sz w:val="12"/>
          <w:szCs w:val="12"/>
          <w:color w:val="auto"/>
        </w:rPr>
        <w:t xml:space="preserve"> The total number of shares of capital stock which the Corporation shall have authority to issue is one billion, five hundred and ten million (1,510,000,000), divided into one billion five hundred million (1,500,000,000) shares of Common Stock of the par value of one cent ($0.01) per share and ten million (10,000,000) shares of Preferred Stock of the par value of one cent ($0.01) per share.</w:t>
      </w:r>
    </w:p>
    <w:p>
      <w:pPr>
        <w:spacing w:after="0" w:line="25" w:lineRule="exact"/>
        <w:rPr>
          <w:sz w:val="20"/>
          <w:szCs w:val="20"/>
          <w:color w:val="auto"/>
        </w:rPr>
      </w:pPr>
    </w:p>
    <w:p>
      <w:pPr>
        <w:ind w:left="461" w:right="100"/>
        <w:spacing w:after="0" w:line="264" w:lineRule="auto"/>
        <w:rPr>
          <w:sz w:val="20"/>
          <w:szCs w:val="20"/>
          <w:color w:val="auto"/>
        </w:rPr>
      </w:pPr>
      <w:r>
        <w:rPr>
          <w:rFonts w:ascii="Arial" w:cs="Arial" w:eastAsia="Arial" w:hAnsi="Arial"/>
          <w:sz w:val="13"/>
          <w:szCs w:val="13"/>
          <w:color w:val="auto"/>
        </w:rPr>
        <w:t>A. No holder of Common Stock or Preferred Stock of the Corporation shall have any pre-emptive, preferential, or other right to purchase or subscribe for any shares of the unissued stock of the Corporation or of any stock of the Corporation to be issued by reason of any increase of the authorized capital stock of the Corporation or of the number of its shares, or of any warrants, options, or bonds, certificates of indebtedness, debentures, or other securities convertible into or carrying options or warrants to purchase stock of the Corporation or of any stock</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127" w:right="219" w:bottom="1440" w:gutter="0" w:footer="0" w:header="0"/>
        </w:sectPr>
      </w:pPr>
    </w:p>
    <w:bookmarkStart w:id="57" w:name="page58"/>
    <w:bookmarkEnd w:id="57"/>
    <w:p>
      <w:pPr>
        <w:spacing w:after="0" w:line="320" w:lineRule="auto"/>
        <w:rPr>
          <w:sz w:val="20"/>
          <w:szCs w:val="20"/>
          <w:color w:val="auto"/>
        </w:rPr>
      </w:pPr>
      <w:r>
        <w:rPr>
          <w:rFonts w:ascii="Arial" w:cs="Arial" w:eastAsia="Arial" w:hAnsi="Arial"/>
          <w:sz w:val="12"/>
          <w:szCs w:val="12"/>
          <w:color w:val="auto"/>
        </w:rPr>
        <w:t>of the Corporation purchased by it or its nominee or nominees or other securities held in the treasury of the Corporation, whether issued or sold for cash or other consideration or as a dividend or otherwise other than, with respect to Preferred Stock, such rights, if any, as the Board of Directors in its discretion from time to time may grant and at such price as the Board of Directors in its discretion may fix.</w:t>
      </w:r>
    </w:p>
    <w:p>
      <w:pPr>
        <w:spacing w:after="0" w:line="25" w:lineRule="exact"/>
        <w:rPr>
          <w:sz w:val="20"/>
          <w:szCs w:val="20"/>
          <w:color w:val="auto"/>
        </w:rPr>
      </w:pPr>
    </w:p>
    <w:p>
      <w:pPr>
        <w:ind w:right="340"/>
        <w:spacing w:after="0" w:line="276" w:lineRule="auto"/>
        <w:rPr>
          <w:sz w:val="20"/>
          <w:szCs w:val="20"/>
          <w:color w:val="auto"/>
        </w:rPr>
      </w:pPr>
      <w:r>
        <w:rPr>
          <w:rFonts w:ascii="Arial" w:cs="Arial" w:eastAsia="Arial" w:hAnsi="Arial"/>
          <w:sz w:val="13"/>
          <w:szCs w:val="13"/>
          <w:color w:val="auto"/>
        </w:rPr>
        <w:t>B. The holders of Common Stock shall have the right to one vote per share on all questions to the exclusion of all other classes of stock, except as by law expressly provided, as otherwise herein expressly provided or as contained within a certificate of designation, with respect to the holders of any other class or classes of stock.</w:t>
      </w:r>
    </w:p>
    <w:p>
      <w:pPr>
        <w:spacing w:after="0" w:line="49" w:lineRule="exact"/>
        <w:rPr>
          <w:sz w:val="20"/>
          <w:szCs w:val="20"/>
          <w:color w:val="auto"/>
        </w:rPr>
      </w:pPr>
    </w:p>
    <w:p>
      <w:pPr>
        <w:ind w:right="60"/>
        <w:spacing w:after="0" w:line="296" w:lineRule="auto"/>
        <w:rPr>
          <w:sz w:val="20"/>
          <w:szCs w:val="20"/>
          <w:color w:val="auto"/>
        </w:rPr>
      </w:pPr>
      <w:r>
        <w:rPr>
          <w:rFonts w:ascii="Arial" w:cs="Arial" w:eastAsia="Arial" w:hAnsi="Arial"/>
          <w:sz w:val="12"/>
          <w:szCs w:val="12"/>
          <w:color w:val="auto"/>
        </w:rPr>
        <w:t>C. The Board of Directors is authorized, subject to limitations prescribed by law, by resolution or resolutions to provide for the issuance of shares of 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the qualifications, limitations or restrictions thereof. The authority of the Board with respect to each series shall include, but not be limited to, determination of the following:</w:t>
      </w:r>
    </w:p>
    <w:p>
      <w:pPr>
        <w:spacing w:after="0" w:line="40" w:lineRule="exact"/>
        <w:rPr>
          <w:sz w:val="20"/>
          <w:szCs w:val="20"/>
          <w:color w:val="auto"/>
        </w:rPr>
      </w:pPr>
    </w:p>
    <w:p>
      <w:pPr>
        <w:ind w:left="340" w:hanging="179"/>
        <w:spacing w:after="0"/>
        <w:tabs>
          <w:tab w:leader="none" w:pos="3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number of shares constituting that series and the distinctive designation of that series;</w:t>
      </w:r>
    </w:p>
    <w:p>
      <w:pPr>
        <w:spacing w:after="0" w:line="86" w:lineRule="exact"/>
        <w:rPr>
          <w:rFonts w:ascii="Arial" w:cs="Arial" w:eastAsia="Arial" w:hAnsi="Arial"/>
          <w:sz w:val="13"/>
          <w:szCs w:val="13"/>
          <w:color w:val="auto"/>
        </w:rPr>
      </w:pPr>
    </w:p>
    <w:p>
      <w:pPr>
        <w:ind w:right="340" w:firstLine="161"/>
        <w:spacing w:after="0" w:line="276" w:lineRule="auto"/>
        <w:tabs>
          <w:tab w:leader="none" w:pos="349"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dividend rights and dividend rate on the shares of that series, whether dividends shall be cumulative, and, if so, from which date or dates, and the relative rights of priority, if any, of payment of dividends on shares of that series;</w:t>
      </w:r>
    </w:p>
    <w:p>
      <w:pPr>
        <w:spacing w:after="0" w:line="49" w:lineRule="exact"/>
        <w:rPr>
          <w:rFonts w:ascii="Arial" w:cs="Arial" w:eastAsia="Arial" w:hAnsi="Arial"/>
          <w:sz w:val="13"/>
          <w:szCs w:val="13"/>
          <w:color w:val="auto"/>
        </w:rPr>
      </w:pPr>
    </w:p>
    <w:p>
      <w:pPr>
        <w:ind w:left="340" w:hanging="179"/>
        <w:spacing w:after="0"/>
        <w:tabs>
          <w:tab w:leader="none" w:pos="3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Whether that series shall have voting rights, in addition to the voting rights provided by law, and, if so, the terms of such voting rights;</w:t>
      </w:r>
    </w:p>
    <w:p>
      <w:pPr>
        <w:spacing w:after="0" w:line="86" w:lineRule="exact"/>
        <w:rPr>
          <w:rFonts w:ascii="Arial" w:cs="Arial" w:eastAsia="Arial" w:hAnsi="Arial"/>
          <w:sz w:val="13"/>
          <w:szCs w:val="13"/>
          <w:color w:val="auto"/>
        </w:rPr>
      </w:pPr>
    </w:p>
    <w:p>
      <w:pPr>
        <w:ind w:right="200" w:firstLine="161"/>
        <w:spacing w:after="0" w:line="276" w:lineRule="auto"/>
        <w:tabs>
          <w:tab w:leader="none" w:pos="349" w:val="left"/>
        </w:tabs>
        <w:numPr>
          <w:ilvl w:val="0"/>
          <w:numId w:val="44"/>
        </w:numPr>
        <w:rPr>
          <w:rFonts w:ascii="Arial" w:cs="Arial" w:eastAsia="Arial" w:hAnsi="Arial"/>
          <w:sz w:val="13"/>
          <w:szCs w:val="13"/>
          <w:color w:val="auto"/>
        </w:rPr>
      </w:pPr>
      <w:r>
        <w:rPr>
          <w:rFonts w:ascii="Arial" w:cs="Arial" w:eastAsia="Arial" w:hAnsi="Arial"/>
          <w:sz w:val="13"/>
          <w:szCs w:val="13"/>
          <w:color w:val="auto"/>
        </w:rPr>
        <w:t>Whether that series shall have conversion or exchange privileges, and, if so, the terms and conditions of such conversion or exchange including provision for adjustment of the conversion or exchange rate in such events as the Board of Directors shall determine;</w:t>
      </w:r>
    </w:p>
    <w:p>
      <w:pPr>
        <w:spacing w:after="0" w:line="49" w:lineRule="exact"/>
        <w:rPr>
          <w:rFonts w:ascii="Arial" w:cs="Arial" w:eastAsia="Arial" w:hAnsi="Arial"/>
          <w:sz w:val="13"/>
          <w:szCs w:val="13"/>
          <w:color w:val="auto"/>
        </w:rPr>
      </w:pPr>
    </w:p>
    <w:p>
      <w:pPr>
        <w:ind w:right="300" w:firstLine="161"/>
        <w:spacing w:after="0" w:line="276" w:lineRule="auto"/>
        <w:tabs>
          <w:tab w:leader="none" w:pos="349" w:val="left"/>
        </w:tabs>
        <w:numPr>
          <w:ilvl w:val="0"/>
          <w:numId w:val="44"/>
        </w:numPr>
        <w:rPr>
          <w:rFonts w:ascii="Arial" w:cs="Arial" w:eastAsia="Arial" w:hAnsi="Arial"/>
          <w:sz w:val="13"/>
          <w:szCs w:val="13"/>
          <w:color w:val="auto"/>
        </w:rPr>
      </w:pPr>
      <w:r>
        <w:rPr>
          <w:rFonts w:ascii="Arial" w:cs="Arial" w:eastAsia="Arial" w:hAnsi="Arial"/>
          <w:sz w:val="13"/>
          <w:szCs w:val="13"/>
          <w:color w:val="auto"/>
        </w:rPr>
        <w:t>Whether or not the shares of that series shall be redeemable, and, if so, the terms and conditions of such redemption, including the date or dates upon or after which they shall be redeemable, and the amount per share payable in cash on redemption, which amount may vary under different conditions and at different redemption dates;</w:t>
      </w:r>
    </w:p>
    <w:p>
      <w:pPr>
        <w:spacing w:after="0" w:line="49" w:lineRule="exact"/>
        <w:rPr>
          <w:rFonts w:ascii="Arial" w:cs="Arial" w:eastAsia="Arial" w:hAnsi="Arial"/>
          <w:sz w:val="13"/>
          <w:szCs w:val="13"/>
          <w:color w:val="auto"/>
        </w:rPr>
      </w:pPr>
    </w:p>
    <w:p>
      <w:pPr>
        <w:ind w:left="340" w:hanging="179"/>
        <w:spacing w:after="0"/>
        <w:tabs>
          <w:tab w:leader="none" w:pos="3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Whether that series shall have a sinking fund for the redemption or purchase of shares of that series, and, if so, the terms and amount of such sinking fund;</w:t>
      </w:r>
    </w:p>
    <w:p>
      <w:pPr>
        <w:spacing w:after="0" w:line="145"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00"/>
          </w:cols>
          <w:pgMar w:left="680" w:top="720" w:right="219" w:bottom="1440" w:gutter="0" w:footer="0" w:header="0"/>
        </w:sectPr>
      </w:pPr>
    </w:p>
    <w:bookmarkStart w:id="58" w:name="page59"/>
    <w:bookmarkEnd w:id="58"/>
    <w:p>
      <w:pPr>
        <w:ind w:left="240" w:right="160" w:firstLine="161"/>
        <w:spacing w:after="0" w:line="276" w:lineRule="auto"/>
        <w:tabs>
          <w:tab w:leader="none" w:pos="589" w:val="left"/>
        </w:tabs>
        <w:numPr>
          <w:ilvl w:val="1"/>
          <w:numId w:val="45"/>
        </w:numPr>
        <w:rPr>
          <w:rFonts w:ascii="Arial" w:cs="Arial" w:eastAsia="Arial" w:hAnsi="Arial"/>
          <w:sz w:val="13"/>
          <w:szCs w:val="13"/>
          <w:color w:val="auto"/>
        </w:rPr>
      </w:pPr>
      <w:r>
        <w:rPr>
          <w:rFonts w:ascii="Arial" w:cs="Arial" w:eastAsia="Arial" w:hAnsi="Arial"/>
          <w:sz w:val="13"/>
          <w:szCs w:val="13"/>
          <w:color w:val="auto"/>
        </w:rPr>
        <w:t>The rights of the shares of that series in the event of voluntary or involuntary liquidation, dissolution or winding up of the Corporation, and the relative rights of priority, if any, of payment of shares of that series;</w:t>
      </w:r>
    </w:p>
    <w:p>
      <w:pPr>
        <w:spacing w:after="0" w:line="49" w:lineRule="exact"/>
        <w:rPr>
          <w:rFonts w:ascii="Arial" w:cs="Arial" w:eastAsia="Arial" w:hAnsi="Arial"/>
          <w:sz w:val="13"/>
          <w:szCs w:val="13"/>
          <w:color w:val="auto"/>
        </w:rPr>
      </w:pPr>
    </w:p>
    <w:p>
      <w:pPr>
        <w:ind w:left="580" w:hanging="179"/>
        <w:spacing w:after="0"/>
        <w:tabs>
          <w:tab w:leader="none" w:pos="580" w:val="left"/>
        </w:tabs>
        <w:numPr>
          <w:ilvl w:val="1"/>
          <w:numId w:val="45"/>
        </w:numPr>
        <w:rPr>
          <w:rFonts w:ascii="Arial" w:cs="Arial" w:eastAsia="Arial" w:hAnsi="Arial"/>
          <w:sz w:val="13"/>
          <w:szCs w:val="13"/>
          <w:color w:val="auto"/>
        </w:rPr>
      </w:pPr>
      <w:r>
        <w:rPr>
          <w:rFonts w:ascii="Arial" w:cs="Arial" w:eastAsia="Arial" w:hAnsi="Arial"/>
          <w:sz w:val="13"/>
          <w:szCs w:val="13"/>
          <w:color w:val="auto"/>
        </w:rPr>
        <w:t>Any other relative rights, preferences and limitations of that series; or</w:t>
      </w:r>
    </w:p>
    <w:p>
      <w:pPr>
        <w:spacing w:after="0" w:line="86" w:lineRule="exact"/>
        <w:rPr>
          <w:rFonts w:ascii="Arial" w:cs="Arial" w:eastAsia="Arial" w:hAnsi="Arial"/>
          <w:sz w:val="13"/>
          <w:szCs w:val="13"/>
          <w:color w:val="auto"/>
        </w:rPr>
      </w:pPr>
    </w:p>
    <w:p>
      <w:pPr>
        <w:ind w:left="580" w:hanging="179"/>
        <w:spacing w:after="0"/>
        <w:tabs>
          <w:tab w:leader="none" w:pos="580" w:val="left"/>
        </w:tabs>
        <w:numPr>
          <w:ilvl w:val="1"/>
          <w:numId w:val="45"/>
        </w:numPr>
        <w:rPr>
          <w:rFonts w:ascii="Arial" w:cs="Arial" w:eastAsia="Arial" w:hAnsi="Arial"/>
          <w:sz w:val="13"/>
          <w:szCs w:val="13"/>
          <w:color w:val="auto"/>
        </w:rPr>
      </w:pPr>
      <w:r>
        <w:rPr>
          <w:rFonts w:ascii="Arial" w:cs="Arial" w:eastAsia="Arial" w:hAnsi="Arial"/>
          <w:sz w:val="13"/>
          <w:szCs w:val="13"/>
          <w:color w:val="auto"/>
        </w:rPr>
        <w:t>Any or all of the foregoing terms.</w:t>
      </w:r>
    </w:p>
    <w:p>
      <w:pPr>
        <w:spacing w:after="0" w:line="86" w:lineRule="exact"/>
        <w:rPr>
          <w:rFonts w:ascii="Arial" w:cs="Arial" w:eastAsia="Arial" w:hAnsi="Arial"/>
          <w:sz w:val="13"/>
          <w:szCs w:val="13"/>
          <w:color w:val="auto"/>
        </w:rPr>
      </w:pPr>
    </w:p>
    <w:p>
      <w:pPr>
        <w:ind w:left="240" w:right="120" w:hanging="3"/>
        <w:spacing w:after="0" w:line="260" w:lineRule="auto"/>
        <w:tabs>
          <w:tab w:leader="none" w:pos="4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Except where otherwise set forth in the resolution or resolutions adopted by the Board of Directors of the Corporation providing for the issue of any series of Preferred Stock created thereby, the number of shares comprising such series may be increased or decreased (but not below the number of shares then outstanding) from time to time by like action of the Board of Directors of the Corporation. Should the number of shares of any series be so decreased, the shares constituting such decrease shall resume the status which they had prior to adoption of the resolution originally fixing the number of shares of such series.</w:t>
      </w:r>
    </w:p>
    <w:p>
      <w:pPr>
        <w:spacing w:after="0" w:line="59" w:lineRule="exact"/>
        <w:rPr>
          <w:rFonts w:ascii="Arial" w:cs="Arial" w:eastAsia="Arial" w:hAnsi="Arial"/>
          <w:sz w:val="13"/>
          <w:szCs w:val="13"/>
          <w:color w:val="auto"/>
        </w:rPr>
      </w:pPr>
    </w:p>
    <w:p>
      <w:pPr>
        <w:ind w:left="240" w:right="20" w:hanging="3"/>
        <w:spacing w:after="0" w:line="258" w:lineRule="auto"/>
        <w:tabs>
          <w:tab w:leader="none" w:pos="386" w:val="left"/>
        </w:tabs>
        <w:numPr>
          <w:ilvl w:val="0"/>
          <w:numId w:val="46"/>
        </w:numPr>
        <w:rPr>
          <w:rFonts w:ascii="Arial" w:cs="Arial" w:eastAsia="Arial" w:hAnsi="Arial"/>
          <w:sz w:val="13"/>
          <w:szCs w:val="13"/>
          <w:color w:val="auto"/>
        </w:rPr>
      </w:pPr>
      <w:r>
        <w:rPr>
          <w:rFonts w:ascii="Arial" w:cs="Arial" w:eastAsia="Arial" w:hAnsi="Arial"/>
          <w:sz w:val="13"/>
          <w:szCs w:val="13"/>
          <w:color w:val="auto"/>
        </w:rPr>
        <w:t>Shares of any series of Preferred Stock which have been redeemed (whether through the operation of a sinking fund or otherwise), purchased or otherwise acquired by the Corporation, or which, if convertible or exchangeable, have been converted into or exchanged for shares of stock of any other class or classes, shall have the status of authorized and unissued shares of Preferred Stock and may be reissued as a part of the series of which they were originally a part or may be reclassified or reissued as part of a new series of Preferred Stock to be created by resolution or resolutions of the Board of Directors or as part of any other series of Preferred Stock, all subject to the conditions or restrictions adopted by the Board of Directors of the Corporation providing for the issue of any series of Preferred Stock and to any filing required by law.</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Fifth:</w:t>
      </w:r>
      <w:r>
        <w:rPr>
          <w:rFonts w:ascii="Arial" w:cs="Arial" w:eastAsia="Arial" w:hAnsi="Arial"/>
          <w:sz w:val="13"/>
          <w:szCs w:val="13"/>
          <w:color w:val="auto"/>
        </w:rPr>
        <w:t xml:space="preserve"> The Corporation is to have perpetual existence.</w:t>
      </w:r>
    </w:p>
    <w:p>
      <w:pPr>
        <w:spacing w:after="0" w:line="86" w:lineRule="exact"/>
        <w:rPr>
          <w:sz w:val="20"/>
          <w:szCs w:val="20"/>
          <w:color w:val="auto"/>
        </w:rPr>
      </w:pPr>
    </w:p>
    <w:p>
      <w:pPr>
        <w:ind w:right="80"/>
        <w:spacing w:after="0" w:line="264" w:lineRule="auto"/>
        <w:rPr>
          <w:sz w:val="20"/>
          <w:szCs w:val="20"/>
          <w:color w:val="auto"/>
        </w:rPr>
      </w:pPr>
      <w:r>
        <w:rPr>
          <w:rFonts w:ascii="Arial" w:cs="Arial" w:eastAsia="Arial" w:hAnsi="Arial"/>
          <w:sz w:val="13"/>
          <w:szCs w:val="13"/>
          <w:u w:val="single" w:color="auto"/>
          <w:color w:val="auto"/>
        </w:rPr>
        <w:t>Sixth:</w:t>
      </w:r>
      <w:r>
        <w:rPr>
          <w:rFonts w:ascii="Arial" w:cs="Arial" w:eastAsia="Arial" w:hAnsi="Arial"/>
          <w:sz w:val="13"/>
          <w:szCs w:val="13"/>
          <w:color w:val="auto"/>
        </w:rPr>
        <w:t xml:space="preserve"> Elections of directors need not be by written ballot unless the bylaws of the Corporation shall so provide. Meetings of stockholders may be held within or without the State of Delaware, as the bylaws may provide. The books of the Corporation may be kept (subject to any provision contained in the statutes of the State of Delaware) outside the State of Delaware at such place or places as may be designated from time to time by the Board of Directors or in the bylaws of the Corporation.</w:t>
      </w:r>
    </w:p>
    <w:p>
      <w:pPr>
        <w:spacing w:after="0" w:line="57" w:lineRule="exact"/>
        <w:rPr>
          <w:sz w:val="20"/>
          <w:szCs w:val="20"/>
          <w:color w:val="auto"/>
        </w:rPr>
      </w:pPr>
    </w:p>
    <w:p>
      <w:pPr>
        <w:spacing w:after="0" w:line="260" w:lineRule="auto"/>
        <w:rPr>
          <w:sz w:val="20"/>
          <w:szCs w:val="20"/>
          <w:color w:val="auto"/>
        </w:rPr>
      </w:pPr>
      <w:r>
        <w:rPr>
          <w:rFonts w:ascii="Arial" w:cs="Arial" w:eastAsia="Arial" w:hAnsi="Arial"/>
          <w:sz w:val="13"/>
          <w:szCs w:val="13"/>
          <w:u w:val="single" w:color="auto"/>
          <w:color w:val="auto"/>
        </w:rPr>
        <w:t>Seventh:</w:t>
      </w:r>
      <w:r>
        <w:rPr>
          <w:rFonts w:ascii="Arial" w:cs="Arial" w:eastAsia="Arial" w:hAnsi="Arial"/>
          <w:sz w:val="13"/>
          <w:szCs w:val="13"/>
          <w:color w:val="auto"/>
        </w:rPr>
        <w:t xml:space="preserve"> No director of the Corporation shall be personally liable to the Corporation or its stockholders for monetary damages for breach of fiduciary duty as a director, provided that this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Delaware or any amendment thereto or successor provision thereto, or (iv) for any transaction from which the director derived an improper personal benefit. If the General Corporation Law</w:t>
      </w:r>
    </w:p>
    <w:p>
      <w:pPr>
        <w:spacing w:after="0" w:line="119"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59" w:name="page60"/>
    <w:bookmarkEnd w:id="59"/>
    <w:p>
      <w:pPr>
        <w:ind w:right="20"/>
        <w:spacing w:after="0" w:line="256" w:lineRule="auto"/>
        <w:rPr>
          <w:sz w:val="20"/>
          <w:szCs w:val="20"/>
          <w:color w:val="auto"/>
        </w:rPr>
      </w:pPr>
      <w:r>
        <w:rPr>
          <w:rFonts w:ascii="Arial" w:cs="Arial" w:eastAsia="Arial" w:hAnsi="Arial"/>
          <w:sz w:val="13"/>
          <w:szCs w:val="13"/>
          <w:color w:val="auto"/>
        </w:rPr>
        <w:t>of Delaware hereafter is amended to authorize the further elimination or limitation of the liability of directors, then the liability of a director of the Corporation, in addition to the limitation on personal liability provided herein, shall be limited to the fullest extent permitted by the amended General Corporation Law of Delaware. Neither this Restated Certificate of Incorporation nor any amendment, alteration, or repeal of this Article, nor the adoption of any provision of the Restated Certificate of Incorporation inconsistent with this Article, shall adversely affect, eliminate, or reduce any right or protection of a director of the Corporation hereunder with respect to any act, omission or matter occurring, or any action, suit, or claim that, but for this Article, would accrue or arise, prior to the time of such amendment, modification, repeal, or adoption of an inconsistent provision. All references in this Article to a “director” shall also be deemed to refer to such person or persons, if any, who pursuant to a provision of the Restated Certificate of Incorporation in accordance with subsection (a) of Section 141 of the Delaware General Corporation Law, exercise or perform any of the powers or duties otherwise conferred or imposed upon the Board of Directors by the Delaware General Corporation Law.</w:t>
      </w:r>
    </w:p>
    <w:p>
      <w:pPr>
        <w:spacing w:after="0" w:line="63" w:lineRule="exact"/>
        <w:rPr>
          <w:sz w:val="20"/>
          <w:szCs w:val="20"/>
          <w:color w:val="auto"/>
        </w:rPr>
      </w:pPr>
    </w:p>
    <w:p>
      <w:pPr>
        <w:spacing w:after="0" w:line="308" w:lineRule="auto"/>
        <w:rPr>
          <w:sz w:val="20"/>
          <w:szCs w:val="20"/>
          <w:color w:val="auto"/>
        </w:rPr>
      </w:pPr>
      <w:r>
        <w:rPr>
          <w:rFonts w:ascii="Arial" w:cs="Arial" w:eastAsia="Arial" w:hAnsi="Arial"/>
          <w:sz w:val="11"/>
          <w:szCs w:val="11"/>
          <w:u w:val="single" w:color="auto"/>
          <w:color w:val="auto"/>
        </w:rPr>
        <w:t>Eighth:</w:t>
      </w:r>
      <w:r>
        <w:rPr>
          <w:rFonts w:ascii="Arial" w:cs="Arial" w:eastAsia="Arial" w:hAnsi="Arial"/>
          <w:sz w:val="11"/>
          <w:szCs w:val="11"/>
          <w:color w:val="auto"/>
        </w:rPr>
        <w:t xml:space="preserve"> This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this Corporation or any of its direct or indirect subsidiaries or while such a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Article shall be deemed to have met the standard of conduct required for such indemnification unless the contrary shall be established.</w:t>
      </w:r>
    </w:p>
    <w:p>
      <w:pPr>
        <w:spacing w:after="0" w:line="38" w:lineRule="exact"/>
        <w:rPr>
          <w:sz w:val="20"/>
          <w:szCs w:val="20"/>
          <w:color w:val="auto"/>
        </w:rPr>
      </w:pPr>
    </w:p>
    <w:p>
      <w:pPr>
        <w:ind w:left="460" w:hanging="459"/>
        <w:spacing w:after="0" w:line="260" w:lineRule="auto"/>
        <w:tabs>
          <w:tab w:leader="none" w:pos="440" w:val="left"/>
        </w:tabs>
        <w:rPr>
          <w:sz w:val="20"/>
          <w:szCs w:val="20"/>
          <w:color w:val="auto"/>
        </w:rPr>
      </w:pPr>
      <w:r>
        <w:rPr>
          <w:rFonts w:ascii="Arial" w:cs="Arial" w:eastAsia="Arial" w:hAnsi="Arial"/>
          <w:sz w:val="13"/>
          <w:szCs w:val="13"/>
          <w:u w:val="single" w:color="auto"/>
          <w:color w:val="auto"/>
        </w:rPr>
        <w:t>Ninth:</w:t>
      </w:r>
      <w:r>
        <w:rPr>
          <w:sz w:val="20"/>
          <w:szCs w:val="20"/>
          <w:color w:val="auto"/>
        </w:rPr>
        <w:tab/>
      </w:r>
      <w:r>
        <w:rPr>
          <w:rFonts w:ascii="Arial" w:cs="Arial" w:eastAsia="Arial" w:hAnsi="Arial"/>
          <w:sz w:val="13"/>
          <w:szCs w:val="13"/>
          <w:color w:val="auto"/>
        </w:rPr>
        <w:t>A. Except as otherwise provided in this Restated Certificate of Incorporation or the bylaws of the Corporation relating to the rights of the holders of any class or series of Preferred Stock, voting separately by class or series, to elect additional directors under specified circumstances, the number of directors of the Corporation shall be as fixed from time to time by, or in the manner provided in, the bylaws of the Corporation. Unless approved by at least two-thirds of the incumbent directors, the number of directors which shall constitute the whole Board of Directors shall be no fewer than three and no more than nine.</w:t>
      </w:r>
    </w:p>
    <w:p>
      <w:pPr>
        <w:spacing w:after="0" w:line="119"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60" w:name="page61"/>
    <w:bookmarkEnd w:id="60"/>
    <w:p>
      <w:pPr>
        <w:ind w:right="80"/>
        <w:spacing w:after="0" w:line="264" w:lineRule="auto"/>
        <w:rPr>
          <w:sz w:val="20"/>
          <w:szCs w:val="20"/>
          <w:color w:val="auto"/>
        </w:rPr>
      </w:pPr>
      <w:r>
        <w:rPr>
          <w:rFonts w:ascii="Arial" w:cs="Arial" w:eastAsia="Arial" w:hAnsi="Arial"/>
          <w:sz w:val="13"/>
          <w:szCs w:val="13"/>
          <w:color w:val="auto"/>
        </w:rPr>
        <w:t>B. Commencing with the election of directors at the 2003 Annual Meeting of Stockholders, all directors, other than those who may be elected by the holders of any class or series of Preferred Stock voting separately by class or series, shall be elected annually. Notwithstanding the foregoing provision of this Article, each director shall serve until his successor is duly elected and qualified or until his earlier death, resignation or removal.</w:t>
      </w:r>
    </w:p>
    <w:p>
      <w:pPr>
        <w:spacing w:after="0" w:line="57" w:lineRule="exact"/>
        <w:rPr>
          <w:sz w:val="20"/>
          <w:szCs w:val="20"/>
          <w:color w:val="auto"/>
        </w:rPr>
      </w:pPr>
    </w:p>
    <w:p>
      <w:pPr>
        <w:ind w:right="100"/>
        <w:spacing w:after="0" w:line="289" w:lineRule="auto"/>
        <w:rPr>
          <w:sz w:val="20"/>
          <w:szCs w:val="20"/>
          <w:color w:val="auto"/>
        </w:rPr>
      </w:pPr>
      <w:r>
        <w:rPr>
          <w:rFonts w:ascii="Arial" w:cs="Arial" w:eastAsia="Arial" w:hAnsi="Arial"/>
          <w:sz w:val="12"/>
          <w:szCs w:val="12"/>
          <w:color w:val="auto"/>
        </w:rPr>
        <w:t>C. Except as otherwise provided pursuant to the provisions of this Restated Certificate of Incorporation or the bylaws of the 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annual meeting or special meeting (as the case may be) of the stockholders, of not less than a majority of the total number of votes of the then outstanding shares of capital stock of the Corporation entitled to vote generally in the election of directors, voting together as a single class, but only if notice of such proposal was contained in the notice of such meeting.</w:t>
      </w:r>
    </w:p>
    <w:p>
      <w:pPr>
        <w:spacing w:after="0" w:line="43" w:lineRule="exact"/>
        <w:rPr>
          <w:sz w:val="20"/>
          <w:szCs w:val="20"/>
          <w:color w:val="auto"/>
        </w:rPr>
      </w:pPr>
    </w:p>
    <w:p>
      <w:pPr>
        <w:ind w:right="120"/>
        <w:spacing w:after="0" w:line="276" w:lineRule="auto"/>
        <w:rPr>
          <w:sz w:val="20"/>
          <w:szCs w:val="20"/>
          <w:color w:val="auto"/>
        </w:rPr>
      </w:pPr>
      <w:r>
        <w:rPr>
          <w:rFonts w:ascii="Arial" w:cs="Arial" w:eastAsia="Arial" w:hAnsi="Arial"/>
          <w:sz w:val="13"/>
          <w:szCs w:val="13"/>
          <w:color w:val="auto"/>
        </w:rPr>
        <w:t>D. In the event of any increase or decrease in the authorized number of directors, the newly created or eliminated directorships resulting from such increase or decrease shall be appointed or determined by the Board of Directors. No decrease in the authorized number of directors constituting the Board of Directors shall shorten the term of any incumbent director.</w:t>
      </w:r>
    </w:p>
    <w:p>
      <w:pPr>
        <w:spacing w:after="0" w:line="49" w:lineRule="exact"/>
        <w:rPr>
          <w:sz w:val="20"/>
          <w:szCs w:val="20"/>
          <w:color w:val="auto"/>
        </w:rPr>
      </w:pPr>
    </w:p>
    <w:p>
      <w:pPr>
        <w:ind w:right="280"/>
        <w:spacing w:after="0" w:line="276" w:lineRule="auto"/>
        <w:rPr>
          <w:sz w:val="20"/>
          <w:szCs w:val="20"/>
          <w:color w:val="auto"/>
        </w:rPr>
      </w:pPr>
      <w:r>
        <w:rPr>
          <w:rFonts w:ascii="Arial" w:cs="Arial" w:eastAsia="Arial" w:hAnsi="Arial"/>
          <w:sz w:val="13"/>
          <w:szCs w:val="13"/>
          <w:color w:val="auto"/>
        </w:rPr>
        <w:t>E. Vacancies in the Board of Directors, however caused, and newly-created directorships shall be filled solely by a majority vote of the directors then in office, whether or not a quorum, and any director so chosen shall hold office until his successor is duly elected and qualified or until his earlier death, resignation or removal.</w:t>
      </w:r>
    </w:p>
    <w:p>
      <w:pPr>
        <w:spacing w:after="0" w:line="49" w:lineRule="exact"/>
        <w:rPr>
          <w:sz w:val="20"/>
          <w:szCs w:val="20"/>
          <w:color w:val="auto"/>
        </w:rPr>
      </w:pPr>
    </w:p>
    <w:p>
      <w:pPr>
        <w:ind w:right="180"/>
        <w:spacing w:after="0" w:line="296" w:lineRule="auto"/>
        <w:rPr>
          <w:sz w:val="20"/>
          <w:szCs w:val="20"/>
          <w:color w:val="auto"/>
        </w:rPr>
      </w:pPr>
      <w:r>
        <w:rPr>
          <w:rFonts w:ascii="Arial" w:cs="Arial" w:eastAsia="Arial" w:hAnsi="Arial"/>
          <w:sz w:val="12"/>
          <w:szCs w:val="12"/>
          <w:color w:val="auto"/>
        </w:rPr>
        <w:t>F. Notwithstanding the foregoing, whenever the holders of any one or more classes or series of Preferred Stock issued by the Corporation shall have the right, voting separately by class or series, to elect directors at an annual or special meeting of stockholders, the election, term of office, filling of vacancies, and other features of such directorships shall be governed by the terms of this Restated Certificate of Incorporation applicable thereto, and such directors so elected shall not be divided into classes pursuant to this Article unless expressly provided by such terms.</w:t>
      </w:r>
    </w:p>
    <w:p>
      <w:pPr>
        <w:spacing w:after="0" w:line="40" w:lineRule="exact"/>
        <w:rPr>
          <w:sz w:val="20"/>
          <w:szCs w:val="20"/>
          <w:color w:val="auto"/>
        </w:rPr>
      </w:pPr>
    </w:p>
    <w:p>
      <w:pPr>
        <w:spacing w:after="0" w:line="334" w:lineRule="auto"/>
        <w:rPr>
          <w:sz w:val="20"/>
          <w:szCs w:val="20"/>
          <w:color w:val="auto"/>
        </w:rPr>
      </w:pPr>
      <w:r>
        <w:rPr>
          <w:rFonts w:ascii="Arial" w:cs="Arial" w:eastAsia="Arial" w:hAnsi="Arial"/>
          <w:sz w:val="11"/>
          <w:szCs w:val="11"/>
          <w:color w:val="auto"/>
        </w:rPr>
        <w:t>G. Notwithstanding any other provision of this Restated Certificate of Incorporation or the bylaws of the Corporation (and notwithstanding the fact that a lesser percentage may be specified by law, this Restated Certificate of Incorporation or the bylaws of the Corporation), the affirmative vote, at any regular meeting or special meeting of the stockholders, of not less than a majority of the total number of votes of the then outstanding shares of capital stock of the Corporation entitled to vote generally in the election of directors, voting together as a single class, shall be required to amend or repeal, or to adopt any provision</w:t>
      </w:r>
    </w:p>
    <w:p>
      <w:pPr>
        <w:spacing w:after="0" w:line="81"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00"/>
          </w:cols>
          <w:pgMar w:left="680" w:top="799" w:right="219" w:bottom="1440" w:gutter="0" w:footer="0" w:header="0"/>
        </w:sectPr>
      </w:pPr>
    </w:p>
    <w:bookmarkStart w:id="61" w:name="page62"/>
    <w:bookmarkEnd w:id="61"/>
    <w:p>
      <w:pPr>
        <w:ind w:left="460"/>
        <w:spacing w:after="0"/>
        <w:rPr>
          <w:sz w:val="20"/>
          <w:szCs w:val="20"/>
          <w:color w:val="auto"/>
        </w:rPr>
      </w:pPr>
      <w:r>
        <w:rPr>
          <w:rFonts w:ascii="Arial" w:cs="Arial" w:eastAsia="Arial" w:hAnsi="Arial"/>
          <w:sz w:val="13"/>
          <w:szCs w:val="13"/>
          <w:color w:val="auto"/>
        </w:rPr>
        <w:t>inconsistent with the purpose or intent of, this Article, but only if notice of the proposed alteration or amendment was contained in the notice of such meeting.</w:t>
      </w:r>
    </w:p>
    <w:p>
      <w:pPr>
        <w:spacing w:after="0" w:line="86" w:lineRule="exact"/>
        <w:rPr>
          <w:sz w:val="20"/>
          <w:szCs w:val="20"/>
          <w:color w:val="auto"/>
        </w:rPr>
      </w:pPr>
    </w:p>
    <w:p>
      <w:pPr>
        <w:ind w:left="220"/>
        <w:spacing w:after="0" w:line="296" w:lineRule="auto"/>
        <w:rPr>
          <w:sz w:val="20"/>
          <w:szCs w:val="20"/>
          <w:color w:val="auto"/>
        </w:rPr>
      </w:pPr>
      <w:r>
        <w:rPr>
          <w:rFonts w:ascii="Arial" w:cs="Arial" w:eastAsia="Arial" w:hAnsi="Arial"/>
          <w:sz w:val="12"/>
          <w:szCs w:val="12"/>
          <w:u w:val="single" w:color="auto"/>
          <w:color w:val="auto"/>
        </w:rPr>
        <w:t>Tenth:</w:t>
      </w:r>
      <w:r>
        <w:rPr>
          <w:rFonts w:ascii="Arial" w:cs="Arial" w:eastAsia="Arial" w:hAnsi="Arial"/>
          <w:sz w:val="12"/>
          <w:szCs w:val="12"/>
          <w:color w:val="auto"/>
        </w:rPr>
        <w:t xml:space="preserve"> In furtherance of, and not in limitation of, the powers conferred by statute, the Board of Directors is expressly authorized to adopt, amend or repeal the bylaws of the Corporation, or adopt new bylaws, without any action on the part of the stockholders; provided, however, that no such adoption, amendment or repeal shall be valid with respect to bylaw provisions which have been adopted, amended or repealed by the stockholders; and further provided, that bylaws adopted or amended by the Directors and any powers thereby conferred may be amended, altered or repealed by the stockholders.</w:t>
      </w:r>
    </w:p>
    <w:p>
      <w:pPr>
        <w:spacing w:after="0" w:line="40" w:lineRule="exact"/>
        <w:rPr>
          <w:sz w:val="20"/>
          <w:szCs w:val="20"/>
          <w:color w:val="auto"/>
        </w:rPr>
      </w:pPr>
    </w:p>
    <w:p>
      <w:pPr>
        <w:ind w:left="220" w:right="160"/>
        <w:spacing w:after="0" w:line="289" w:lineRule="auto"/>
        <w:rPr>
          <w:sz w:val="20"/>
          <w:szCs w:val="20"/>
          <w:color w:val="auto"/>
        </w:rPr>
      </w:pPr>
      <w:r>
        <w:rPr>
          <w:rFonts w:ascii="Arial" w:cs="Arial" w:eastAsia="Arial" w:hAnsi="Arial"/>
          <w:sz w:val="12"/>
          <w:szCs w:val="12"/>
          <w:u w:val="single" w:color="auto"/>
          <w:color w:val="auto"/>
        </w:rPr>
        <w:t>Eleventh:</w:t>
      </w:r>
      <w:r>
        <w:rPr>
          <w:rFonts w:ascii="Arial" w:cs="Arial" w:eastAsia="Arial" w:hAnsi="Arial"/>
          <w:sz w:val="12"/>
          <w:szCs w:val="12"/>
          <w:color w:val="auto"/>
        </w:rPr>
        <w:t xml:space="preserve"> The Corporation reserves the right at any time, and from time to time, to amend, alter, change, or repeal any provision contained in this Restated Certificate of Incorporation, and other provisions authorized by the laws of the State of Delaware at the time in force may be added or inserted, in the manner now or hereafter prescribed by law; and all rights, preferences, and privileges of whatsoever nature conferred upon stockholders, directors, or any other persons whomsoever by and pursuant to this Restated Certificate of Incorporation in its present form or as hereafter amended are granted subject to the rights reserved in this Article; provided, however, that the Corporation shall not amend Article Ninth to be effective on a date other than a date on which directors are elected.</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4. This Restated Certificate of Incorporation was duly adopted by vote of the stockholders in accordance with Section 242 and 245 of the General Corporation Law of the State of Delaware.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IN WITNESS WHEREOF, WASTE MANAGEMENT, INC. has caused this Third Restated Certificate of Incorporation to be signed by Linda J. Smith, its Corporate Secretary, this 12th day of May, 2010.</w:t>
      </w:r>
    </w:p>
    <w:p>
      <w:pPr>
        <w:spacing w:after="0" w:line="177"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WASTE MANAGEMENT, INC.</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Linda J.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Linda J. Smith</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Corporate Secretary</w:t>
      </w: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360"/>
          </w:cols>
          <w:pgMar w:left="220" w:top="721" w:right="319" w:bottom="1440" w:gutter="0" w:footer="0" w:header="0"/>
        </w:sectPr>
      </w:pPr>
    </w:p>
    <w:bookmarkStart w:id="62" w:name="page63"/>
    <w:bookmarkEnd w:id="62"/>
    <w:p>
      <w:pPr>
        <w:jc w:val="right"/>
        <w:spacing w:after="0"/>
        <w:rPr>
          <w:sz w:val="20"/>
          <w:szCs w:val="20"/>
          <w:color w:val="auto"/>
        </w:rPr>
      </w:pPr>
      <w:r>
        <w:rPr>
          <w:rFonts w:ascii="Arial" w:cs="Arial" w:eastAsia="Arial" w:hAnsi="Arial"/>
          <w:sz w:val="13"/>
          <w:szCs w:val="13"/>
          <w:b w:val="1"/>
          <w:bCs w:val="1"/>
          <w:color w:val="auto"/>
        </w:rPr>
        <w:t>EXHIBIT 4.1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Officers’ Certificate Delivered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301 of the Indenture dated as of September 10, 1997</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undersigned, the Vice President – Finance and Treasurer, and the Corporate Secretary of Waste Management, Inc. (the “Company”), hereby certify that:</w:t>
      </w:r>
    </w:p>
    <w:p>
      <w:pPr>
        <w:spacing w:after="0" w:line="86" w:lineRule="exact"/>
        <w:rPr>
          <w:sz w:val="20"/>
          <w:szCs w:val="20"/>
          <w:color w:val="auto"/>
        </w:rPr>
      </w:pPr>
    </w:p>
    <w:p>
      <w:pPr>
        <w:ind w:firstLine="162"/>
        <w:spacing w:after="0" w:line="264" w:lineRule="auto"/>
        <w:tabs>
          <w:tab w:leader="none" w:pos="292"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June 8, 2010 (the “Order”) for the authentication and delivery by the Trustee of $600,000,000 aggregate principal amount of 4.75% Notes due 2020 (the “Notes”).</w:t>
      </w:r>
    </w:p>
    <w:p>
      <w:pPr>
        <w:spacing w:after="0" w:line="57" w:lineRule="exact"/>
        <w:rPr>
          <w:rFonts w:ascii="Arial" w:cs="Arial" w:eastAsia="Arial" w:hAnsi="Arial"/>
          <w:sz w:val="13"/>
          <w:szCs w:val="13"/>
          <w:color w:val="auto"/>
        </w:rPr>
      </w:pPr>
    </w:p>
    <w:p>
      <w:pPr>
        <w:ind w:left="300" w:hanging="138"/>
        <w:spacing w:after="0"/>
        <w:tabs>
          <w:tab w:leader="none" w:pos="3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undersigned have read Sections 102, 103, 301 and 303 of the Indenture and the definitions in the Indenture relating thereto.</w:t>
      </w:r>
    </w:p>
    <w:p>
      <w:pPr>
        <w:spacing w:after="0" w:line="86" w:lineRule="exact"/>
        <w:rPr>
          <w:rFonts w:ascii="Arial" w:cs="Arial" w:eastAsia="Arial" w:hAnsi="Arial"/>
          <w:sz w:val="13"/>
          <w:szCs w:val="13"/>
          <w:color w:val="auto"/>
        </w:rPr>
      </w:pPr>
    </w:p>
    <w:p>
      <w:pPr>
        <w:ind w:right="140" w:firstLine="162"/>
        <w:spacing w:after="0" w:line="276" w:lineRule="auto"/>
        <w:tabs>
          <w:tab w:leader="none" w:pos="292"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49" w:lineRule="exact"/>
        <w:rPr>
          <w:rFonts w:ascii="Arial" w:cs="Arial" w:eastAsia="Arial" w:hAnsi="Arial"/>
          <w:sz w:val="13"/>
          <w:szCs w:val="13"/>
          <w:color w:val="auto"/>
        </w:rPr>
      </w:pPr>
    </w:p>
    <w:p>
      <w:pPr>
        <w:ind w:left="300" w:hanging="138"/>
        <w:spacing w:after="0"/>
        <w:tabs>
          <w:tab w:leader="none" w:pos="3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undersigned have examined the Order, and they have examined the covenants, conditions and provisions of the Indenture relating thereto.</w:t>
      </w:r>
    </w:p>
    <w:p>
      <w:pPr>
        <w:spacing w:after="0" w:line="86" w:lineRule="exact"/>
        <w:rPr>
          <w:rFonts w:ascii="Arial" w:cs="Arial" w:eastAsia="Arial" w:hAnsi="Arial"/>
          <w:sz w:val="13"/>
          <w:szCs w:val="13"/>
          <w:color w:val="auto"/>
        </w:rPr>
      </w:pPr>
    </w:p>
    <w:p>
      <w:pPr>
        <w:ind w:right="160" w:firstLine="162"/>
        <w:spacing w:after="0" w:line="276" w:lineRule="auto"/>
        <w:tabs>
          <w:tab w:leader="none" w:pos="295"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 the opinion of the persons making this Certificate, they have made such examination or investigation as is necessary to enable them to express an informed opinion as to whether or not all conditions provided for in the Indenture with respect to the Order have been complied with.</w:t>
      </w:r>
    </w:p>
    <w:p>
      <w:pPr>
        <w:spacing w:after="0" w:line="49" w:lineRule="exact"/>
        <w:rPr>
          <w:rFonts w:ascii="Arial" w:cs="Arial" w:eastAsia="Arial" w:hAnsi="Arial"/>
          <w:sz w:val="13"/>
          <w:szCs w:val="13"/>
          <w:color w:val="auto"/>
        </w:rPr>
      </w:pPr>
    </w:p>
    <w:p>
      <w:pPr>
        <w:ind w:right="320" w:firstLine="162"/>
        <w:spacing w:after="0" w:line="276" w:lineRule="auto"/>
        <w:tabs>
          <w:tab w:leader="none" w:pos="288" w:val="left"/>
        </w:tabs>
        <w:numPr>
          <w:ilvl w:val="0"/>
          <w:numId w:val="47"/>
        </w:numPr>
        <w:rPr>
          <w:rFonts w:ascii="Arial" w:cs="Arial" w:eastAsia="Arial" w:hAnsi="Arial"/>
          <w:sz w:val="13"/>
          <w:szCs w:val="13"/>
          <w:color w:val="auto"/>
        </w:rPr>
      </w:pPr>
      <w:r>
        <w:rPr>
          <w:rFonts w:ascii="Arial" w:cs="Arial" w:eastAsia="Arial" w:hAnsi="Arial"/>
          <w:sz w:val="13"/>
          <w:szCs w:val="13"/>
          <w:color w:val="auto"/>
        </w:rPr>
        <w:t>All conditions precedent provided in the Indenture to the authentication by the Trustee of $600,000,000 aggregate principal amount of the Notes have been complied with, and such Notes may be delivered in accordance with the Order as provided in the Indenture.</w:t>
      </w:r>
    </w:p>
    <w:p>
      <w:pPr>
        <w:spacing w:after="0" w:line="49" w:lineRule="exact"/>
        <w:rPr>
          <w:rFonts w:ascii="Arial" w:cs="Arial" w:eastAsia="Arial" w:hAnsi="Arial"/>
          <w:sz w:val="13"/>
          <w:szCs w:val="13"/>
          <w:color w:val="auto"/>
        </w:rPr>
      </w:pPr>
    </w:p>
    <w:p>
      <w:pPr>
        <w:ind w:right="60" w:firstLine="162"/>
        <w:spacing w:after="0" w:line="276" w:lineRule="auto"/>
        <w:tabs>
          <w:tab w:leader="none" w:pos="292" w:val="left"/>
        </w:tabs>
        <w:numPr>
          <w:ilvl w:val="0"/>
          <w:numId w:val="47"/>
        </w:numPr>
        <w:rPr>
          <w:rFonts w:ascii="Arial" w:cs="Arial" w:eastAsia="Arial" w:hAnsi="Arial"/>
          <w:sz w:val="13"/>
          <w:szCs w:val="13"/>
          <w:color w:val="auto"/>
        </w:rPr>
      </w:pPr>
      <w:r>
        <w:rPr>
          <w:rFonts w:ascii="Arial" w:cs="Arial" w:eastAsia="Arial" w:hAnsi="Arial"/>
          <w:sz w:val="13"/>
          <w:szCs w:val="13"/>
          <w:color w:val="auto"/>
        </w:rPr>
        <w:t xml:space="preserve">The terms of the Notes (including the Form of Note) as set forth in </w:t>
      </w:r>
      <w:r>
        <w:rPr>
          <w:rFonts w:ascii="Arial" w:cs="Arial" w:eastAsia="Arial" w:hAnsi="Arial"/>
          <w:sz w:val="13"/>
          <w:szCs w:val="13"/>
          <w:u w:val="single" w:color="auto"/>
          <w:color w:val="auto"/>
        </w:rPr>
        <w:t>Annex A</w:t>
      </w:r>
      <w:r>
        <w:rPr>
          <w:rFonts w:ascii="Arial" w:cs="Arial" w:eastAsia="Arial" w:hAnsi="Arial"/>
          <w:sz w:val="13"/>
          <w:szCs w:val="13"/>
          <w:color w:val="auto"/>
        </w:rPr>
        <w:t xml:space="preserve"> to this Officers’ Certificate have been approved by officers of the Company as duly authorized by resolutions of the Board of Directors of the Company as of August 20, 2009 and such resolutions, copies of which are attached hereto as </w:t>
      </w:r>
      <w:r>
        <w:rPr>
          <w:rFonts w:ascii="Arial" w:cs="Arial" w:eastAsia="Arial" w:hAnsi="Arial"/>
          <w:sz w:val="13"/>
          <w:szCs w:val="13"/>
          <w:u w:val="single" w:color="auto"/>
          <w:color w:val="auto"/>
        </w:rPr>
        <w:t>Annex B</w:t>
      </w:r>
      <w:r>
        <w:rPr>
          <w:rFonts w:ascii="Arial" w:cs="Arial" w:eastAsia="Arial" w:hAnsi="Arial"/>
          <w:sz w:val="13"/>
          <w:szCs w:val="13"/>
          <w:color w:val="auto"/>
        </w:rPr>
        <w:t>, are in full force and effect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63" w:name="page64"/>
    <w:bookmarkEnd w:id="63"/>
    <w:p>
      <w:pPr>
        <w:spacing w:after="0"/>
        <w:rPr>
          <w:sz w:val="20"/>
          <w:szCs w:val="20"/>
          <w:color w:val="auto"/>
        </w:rPr>
      </w:pPr>
      <w:r>
        <w:rPr>
          <w:rFonts w:ascii="Arial" w:cs="Arial" w:eastAsia="Arial" w:hAnsi="Arial"/>
          <w:sz w:val="13"/>
          <w:szCs w:val="13"/>
          <w:color w:val="auto"/>
        </w:rPr>
        <w:t>IN WITNESS WHEREOF, the undersigned has hereunto executed as of the date first written above.</w:t>
      </w:r>
    </w:p>
    <w:p>
      <w:pPr>
        <w:spacing w:after="0" w:line="165"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/s/ 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10795</wp:posOffset>
            </wp:positionV>
            <wp:extent cx="268986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Cherie C. Rice</w:t>
      </w:r>
    </w:p>
    <w:p>
      <w:pPr>
        <w:spacing w:after="0" w:line="15" w:lineRule="exact"/>
        <w:rPr>
          <w:sz w:val="20"/>
          <w:szCs w:val="20"/>
          <w:color w:val="auto"/>
        </w:rPr>
      </w:pPr>
    </w:p>
    <w:p>
      <w:pPr>
        <w:ind w:left="5360"/>
        <w:spacing w:after="0"/>
        <w:rPr>
          <w:sz w:val="20"/>
          <w:szCs w:val="20"/>
          <w:color w:val="auto"/>
        </w:rPr>
      </w:pPr>
      <w:r>
        <w:rPr>
          <w:rFonts w:ascii="Arial" w:cs="Arial" w:eastAsia="Arial" w:hAnsi="Arial"/>
          <w:sz w:val="11"/>
          <w:szCs w:val="11"/>
          <w:color w:val="auto"/>
        </w:rPr>
        <w:t>Vice President – Finance and Treasurer</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/s/ Linda J.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10795</wp:posOffset>
            </wp:positionV>
            <wp:extent cx="268986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Linda J. Smith</w:t>
      </w:r>
    </w:p>
    <w:p>
      <w:pPr>
        <w:spacing w:after="0" w:line="15"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Corporate Secretary</w:t>
      </w:r>
    </w:p>
    <w:p>
      <w:pPr>
        <w:spacing w:after="0" w:line="236" w:lineRule="exact"/>
        <w:rPr>
          <w:sz w:val="20"/>
          <w:szCs w:val="20"/>
          <w:color w:val="auto"/>
        </w:rPr>
      </w:pPr>
    </w:p>
    <w:p>
      <w:pPr>
        <w:jc w:val="center"/>
        <w:ind w:right="-1080"/>
        <w:spacing w:after="0"/>
        <w:rPr>
          <w:sz w:val="20"/>
          <w:szCs w:val="20"/>
          <w:color w:val="auto"/>
        </w:rPr>
      </w:pPr>
      <w:r>
        <w:rPr>
          <w:rFonts w:ascii="Arial" w:cs="Arial" w:eastAsia="Arial" w:hAnsi="Arial"/>
          <w:sz w:val="13"/>
          <w:szCs w:val="13"/>
          <w:color w:val="auto"/>
        </w:rPr>
        <w:t>WASTE MANAGEMENT, INC.</w:t>
      </w:r>
    </w:p>
    <w:p>
      <w:pPr>
        <w:spacing w:after="0" w:line="15" w:lineRule="exact"/>
        <w:rPr>
          <w:sz w:val="20"/>
          <w:szCs w:val="20"/>
          <w:color w:val="auto"/>
        </w:rPr>
      </w:pPr>
    </w:p>
    <w:p>
      <w:pPr>
        <w:jc w:val="center"/>
        <w:ind w:right="-1080"/>
        <w:spacing w:after="0"/>
        <w:rPr>
          <w:sz w:val="20"/>
          <w:szCs w:val="20"/>
          <w:color w:val="auto"/>
        </w:rPr>
      </w:pPr>
      <w:r>
        <w:rPr>
          <w:rFonts w:ascii="Arial" w:cs="Arial" w:eastAsia="Arial" w:hAnsi="Arial"/>
          <w:sz w:val="13"/>
          <w:szCs w:val="13"/>
          <w:color w:val="auto"/>
        </w:rPr>
        <w:t>Officers’ Certificate Delivered Pursuant to</w:t>
      </w:r>
    </w:p>
    <w:p>
      <w:pPr>
        <w:spacing w:after="0" w:line="8" w:lineRule="exact"/>
        <w:rPr>
          <w:sz w:val="20"/>
          <w:szCs w:val="20"/>
          <w:color w:val="auto"/>
        </w:rPr>
      </w:pPr>
    </w:p>
    <w:p>
      <w:pPr>
        <w:jc w:val="center"/>
        <w:ind w:right="-1080"/>
        <w:spacing w:after="0"/>
        <w:rPr>
          <w:sz w:val="20"/>
          <w:szCs w:val="20"/>
          <w:color w:val="auto"/>
        </w:rPr>
      </w:pPr>
      <w:r>
        <w:rPr>
          <w:rFonts w:ascii="Arial" w:cs="Arial" w:eastAsia="Arial" w:hAnsi="Arial"/>
          <w:sz w:val="13"/>
          <w:szCs w:val="13"/>
          <w:color w:val="auto"/>
        </w:rPr>
        <w:t>Section 301 of the Indenture dated as of September 10,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289560</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079"/>
          </w:cols>
          <w:pgMar w:left="380" w:top="720" w:right="1440" w:bottom="1440" w:gutter="0" w:footer="0" w:header="0"/>
        </w:sectPr>
      </w:pPr>
    </w:p>
    <w:bookmarkStart w:id="64" w:name="page65"/>
    <w:bookmarkEnd w:id="64"/>
    <w:p>
      <w:pPr>
        <w:jc w:val="center"/>
        <w:ind w:right="-20"/>
        <w:spacing w:after="0"/>
        <w:rPr>
          <w:sz w:val="20"/>
          <w:szCs w:val="20"/>
          <w:color w:val="auto"/>
        </w:rPr>
      </w:pPr>
      <w:r>
        <w:rPr>
          <w:rFonts w:ascii="Arial" w:cs="Arial" w:eastAsia="Arial" w:hAnsi="Arial"/>
          <w:sz w:val="13"/>
          <w:szCs w:val="13"/>
          <w:b w:val="1"/>
          <w:bCs w:val="1"/>
          <w:i w:val="1"/>
          <w:iCs w:val="1"/>
          <w:color w:val="auto"/>
        </w:rPr>
        <w:t>Annex A</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Terms of the Notes</w:t>
      </w:r>
    </w:p>
    <w:p>
      <w:pPr>
        <w:spacing w:after="0" w:line="79" w:lineRule="exact"/>
        <w:rPr>
          <w:sz w:val="20"/>
          <w:szCs w:val="20"/>
          <w:color w:val="auto"/>
        </w:rPr>
      </w:pPr>
    </w:p>
    <w:p>
      <w:pPr>
        <w:ind w:left="1" w:right="200" w:firstLine="164"/>
        <w:spacing w:after="0" w:line="260" w:lineRule="auto"/>
        <w:rPr>
          <w:sz w:val="20"/>
          <w:szCs w:val="20"/>
          <w:color w:val="auto"/>
        </w:rPr>
      </w:pPr>
      <w:r>
        <w:rPr>
          <w:rFonts w:ascii="Arial" w:cs="Arial" w:eastAsia="Arial" w:hAnsi="Arial"/>
          <w:sz w:val="13"/>
          <w:szCs w:val="13"/>
          <w:color w:val="auto"/>
        </w:rPr>
        <w:t>Pursuant to authority granted by the Board of Directors of the Company on August 20, 2009 and the Sole Director of Waste Management Holdings, Inc. on May 27, 2010,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60" w:lineRule="exact"/>
        <w:rPr>
          <w:sz w:val="20"/>
          <w:szCs w:val="20"/>
          <w:color w:val="auto"/>
        </w:rPr>
      </w:pPr>
    </w:p>
    <w:p>
      <w:pPr>
        <w:ind w:left="261" w:hanging="261"/>
        <w:spacing w:after="0"/>
        <w:tabs>
          <w:tab w:leader="none" w:pos="261"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title of the series of Securities shall be “4.75% Senior Notes due 2020” (the “Notes”).</w:t>
      </w:r>
    </w:p>
    <w:p>
      <w:pPr>
        <w:spacing w:after="0" w:line="86" w:lineRule="exact"/>
        <w:rPr>
          <w:rFonts w:ascii="Arial" w:cs="Arial" w:eastAsia="Arial" w:hAnsi="Arial"/>
          <w:sz w:val="13"/>
          <w:szCs w:val="13"/>
          <w:color w:val="auto"/>
        </w:rPr>
      </w:pPr>
    </w:p>
    <w:p>
      <w:pPr>
        <w:ind w:left="261" w:hanging="261"/>
        <w:spacing w:after="0"/>
        <w:tabs>
          <w:tab w:leader="none" w:pos="261"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Notes shall be general unsecured, senior obligations of the Company.</w:t>
      </w:r>
    </w:p>
    <w:p>
      <w:pPr>
        <w:spacing w:after="0" w:line="86" w:lineRule="exact"/>
        <w:rPr>
          <w:rFonts w:ascii="Arial" w:cs="Arial" w:eastAsia="Arial" w:hAnsi="Arial"/>
          <w:sz w:val="13"/>
          <w:szCs w:val="13"/>
          <w:color w:val="auto"/>
        </w:rPr>
      </w:pPr>
    </w:p>
    <w:p>
      <w:pPr>
        <w:ind w:left="261" w:right="60" w:hanging="261"/>
        <w:spacing w:after="0" w:line="264" w:lineRule="auto"/>
        <w:tabs>
          <w:tab w:leader="none" w:pos="261"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initial aggregate principal amount of the Notes that may be authenticated and delivered under the Indenture shall be $600,000,000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57" w:lineRule="exact"/>
        <w:rPr>
          <w:rFonts w:ascii="Arial" w:cs="Arial" w:eastAsia="Arial" w:hAnsi="Arial"/>
          <w:sz w:val="13"/>
          <w:szCs w:val="13"/>
          <w:color w:val="auto"/>
        </w:rPr>
      </w:pPr>
    </w:p>
    <w:p>
      <w:pPr>
        <w:ind w:left="261" w:hanging="261"/>
        <w:spacing w:after="0"/>
        <w:tabs>
          <w:tab w:leader="none" w:pos="261"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principal amount of each Note shall be payable on June 30, 2020.</w:t>
      </w:r>
    </w:p>
    <w:p>
      <w:pPr>
        <w:spacing w:after="0" w:line="86" w:lineRule="exact"/>
        <w:rPr>
          <w:rFonts w:ascii="Arial" w:cs="Arial" w:eastAsia="Arial" w:hAnsi="Arial"/>
          <w:sz w:val="13"/>
          <w:szCs w:val="13"/>
          <w:color w:val="auto"/>
        </w:rPr>
      </w:pPr>
    </w:p>
    <w:p>
      <w:pPr>
        <w:ind w:left="261" w:right="200" w:hanging="261"/>
        <w:spacing w:after="0" w:line="296" w:lineRule="auto"/>
        <w:tabs>
          <w:tab w:leader="none" w:pos="261" w:val="left"/>
        </w:tabs>
        <w:numPr>
          <w:ilvl w:val="0"/>
          <w:numId w:val="48"/>
        </w:numPr>
        <w:rPr>
          <w:rFonts w:ascii="Arial" w:cs="Arial" w:eastAsia="Arial" w:hAnsi="Arial"/>
          <w:sz w:val="12"/>
          <w:szCs w:val="12"/>
          <w:color w:val="auto"/>
        </w:rPr>
      </w:pPr>
      <w:r>
        <w:rPr>
          <w:rFonts w:ascii="Arial" w:cs="Arial" w:eastAsia="Arial" w:hAnsi="Arial"/>
          <w:sz w:val="12"/>
          <w:szCs w:val="12"/>
          <w:color w:val="auto"/>
        </w:rPr>
        <w:t>Each Note shall bear interest from June 8, 2010 at the fixed rate of 4.75% per annum; the Interest Payment Dates on which such interest shall be payable shall be June 30 and December 30, of each year, commencing December 30, 2010, until maturity unless such date falls on a day that is not a Business Day, in which case, such payment shall be made on the next day that is a Business Day. The Regular Record Date for the determination of Holders to whom interest is payable shall be June 15 or December 15, respectively, immediately preceding such date, as the case may be.</w:t>
      </w:r>
    </w:p>
    <w:p>
      <w:pPr>
        <w:spacing w:after="0" w:line="39" w:lineRule="exact"/>
        <w:rPr>
          <w:rFonts w:ascii="Arial" w:cs="Arial" w:eastAsia="Arial" w:hAnsi="Arial"/>
          <w:sz w:val="12"/>
          <w:szCs w:val="12"/>
          <w:color w:val="auto"/>
        </w:rPr>
      </w:pPr>
    </w:p>
    <w:p>
      <w:pPr>
        <w:ind w:left="261" w:right="180" w:hanging="261"/>
        <w:spacing w:after="0" w:line="276" w:lineRule="auto"/>
        <w:tabs>
          <w:tab w:leader="none" w:pos="261" w:val="left"/>
        </w:tabs>
        <w:numPr>
          <w:ilvl w:val="0"/>
          <w:numId w:val="48"/>
        </w:numPr>
        <w:rPr>
          <w:rFonts w:ascii="Arial" w:cs="Arial" w:eastAsia="Arial" w:hAnsi="Arial"/>
          <w:sz w:val="13"/>
          <w:szCs w:val="13"/>
          <w:color w:val="auto"/>
        </w:rPr>
      </w:pPr>
      <w:r>
        <w:rPr>
          <w:rFonts w:ascii="Arial" w:cs="Arial" w:eastAsia="Arial" w:hAnsi="Arial"/>
          <w:sz w:val="13"/>
          <w:szCs w:val="13"/>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49" w:lineRule="exact"/>
        <w:rPr>
          <w:rFonts w:ascii="Arial" w:cs="Arial" w:eastAsia="Arial" w:hAnsi="Arial"/>
          <w:sz w:val="13"/>
          <w:szCs w:val="13"/>
          <w:color w:val="auto"/>
        </w:rPr>
      </w:pPr>
    </w:p>
    <w:p>
      <w:pPr>
        <w:ind w:left="261" w:hanging="261"/>
        <w:spacing w:after="0" w:line="264" w:lineRule="auto"/>
        <w:tabs>
          <w:tab w:leader="none" w:pos="261"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275590</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40" w:right="219" w:bottom="1440" w:gutter="0" w:footer="0" w:header="0"/>
        </w:sectPr>
      </w:pPr>
    </w:p>
    <w:bookmarkStart w:id="65" w:name="page66"/>
    <w:bookmarkEnd w:id="65"/>
    <w:p>
      <w:pPr>
        <w:ind w:left="341" w:right="40" w:hanging="341"/>
        <w:spacing w:after="0" w:line="264" w:lineRule="auto"/>
        <w:tabs>
          <w:tab w:leader="none" w:pos="341" w:val="left"/>
        </w:tabs>
        <w:numPr>
          <w:ilvl w:val="0"/>
          <w:numId w:val="49"/>
        </w:numPr>
        <w:rPr>
          <w:rFonts w:ascii="Arial" w:cs="Arial" w:eastAsia="Arial" w:hAnsi="Arial"/>
          <w:sz w:val="13"/>
          <w:szCs w:val="13"/>
          <w:color w:val="auto"/>
        </w:rPr>
      </w:pPr>
      <w:r>
        <w:rPr>
          <w:rFonts w:ascii="Arial" w:cs="Arial" w:eastAsia="Arial" w:hAnsi="Arial"/>
          <w:sz w:val="13"/>
          <w:szCs w:val="13"/>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66" w:lineRule="exact"/>
        <w:rPr>
          <w:rFonts w:ascii="Arial" w:cs="Arial" w:eastAsia="Arial" w:hAnsi="Arial"/>
          <w:sz w:val="13"/>
          <w:szCs w:val="13"/>
          <w:color w:val="auto"/>
        </w:rPr>
      </w:pPr>
    </w:p>
    <w:p>
      <w:pPr>
        <w:ind w:left="341" w:hanging="341"/>
        <w:spacing w:after="0" w:line="260" w:lineRule="auto"/>
        <w:tabs>
          <w:tab w:leader="none" w:pos="341"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Notes will be redeemable, at the option of the Company, at any time in whole, or from time to time in part, at a Redemption Price equal to the greater of (i) 100% of the principal amount of the Notes to be redeemed or (ii) the sum of the present value of the remaining scheduled payments of principal and interest (at the rate in effect on the date of calculation of the Redemption Price) thereon (exclusive of interest accrued to the Redemption Date (as defined in the Notes)) discounted to the Redemption Date on a semiannual basis (assuming a 360 day year consisting of twelve 30-day months) at the applicable Treasury Yield (as defined in the Notes) plus 25 basis points; plus, in either case, accrued interest to the Redemption Date.</w:t>
      </w:r>
    </w:p>
    <w:p>
      <w:pPr>
        <w:spacing w:after="0" w:line="69" w:lineRule="exact"/>
        <w:rPr>
          <w:rFonts w:ascii="Arial" w:cs="Arial" w:eastAsia="Arial" w:hAnsi="Arial"/>
          <w:sz w:val="13"/>
          <w:szCs w:val="13"/>
          <w:color w:val="auto"/>
        </w:rPr>
      </w:pPr>
    </w:p>
    <w:p>
      <w:pPr>
        <w:ind w:left="341" w:hanging="341"/>
        <w:spacing w:after="0"/>
        <w:tabs>
          <w:tab w:leader="none" w:pos="341"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Company shall have no obligation to redeem, purchase or repay the Notes pursuant to any mandatory redemption, sinking fund or analogous provisions or at the option of a Holder thereof.</w:t>
      </w:r>
    </w:p>
    <w:p>
      <w:pPr>
        <w:spacing w:after="0" w:line="96" w:lineRule="exact"/>
        <w:rPr>
          <w:rFonts w:ascii="Arial" w:cs="Arial" w:eastAsia="Arial" w:hAnsi="Arial"/>
          <w:sz w:val="13"/>
          <w:szCs w:val="13"/>
          <w:color w:val="auto"/>
        </w:rPr>
      </w:pPr>
    </w:p>
    <w:p>
      <w:pPr>
        <w:ind w:left="341" w:hanging="341"/>
        <w:spacing w:after="0"/>
        <w:tabs>
          <w:tab w:leader="none" w:pos="341"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Notes will be subject to defeasance and discharge as contemplated by Section 1302 of the Indenture and to covenant defeasance under Section 1303 of the Indenture.</w:t>
      </w:r>
    </w:p>
    <w:p>
      <w:pPr>
        <w:spacing w:after="0" w:line="96" w:lineRule="exact"/>
        <w:rPr>
          <w:rFonts w:ascii="Arial" w:cs="Arial" w:eastAsia="Arial" w:hAnsi="Arial"/>
          <w:sz w:val="13"/>
          <w:szCs w:val="13"/>
          <w:color w:val="auto"/>
        </w:rPr>
      </w:pPr>
    </w:p>
    <w:p>
      <w:pPr>
        <w:ind w:left="341" w:hanging="341"/>
        <w:spacing w:after="0"/>
        <w:tabs>
          <w:tab w:leader="none" w:pos="341"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Notes shall be entitled to the benefit of the covenants contained in Sections 1008 and 1009 of the Indenture.</w:t>
      </w:r>
    </w:p>
    <w:p>
      <w:pPr>
        <w:spacing w:after="0" w:line="96" w:lineRule="exact"/>
        <w:rPr>
          <w:rFonts w:ascii="Arial" w:cs="Arial" w:eastAsia="Arial" w:hAnsi="Arial"/>
          <w:sz w:val="13"/>
          <w:szCs w:val="13"/>
          <w:color w:val="auto"/>
        </w:rPr>
      </w:pPr>
    </w:p>
    <w:p>
      <w:pPr>
        <w:ind w:left="341" w:hanging="341"/>
        <w:spacing w:after="0"/>
        <w:tabs>
          <w:tab w:leader="none" w:pos="341"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Bank of New York Mellon shall serve initially as Security Registrar for the Notes.</w:t>
      </w:r>
    </w:p>
    <w:p>
      <w:pPr>
        <w:spacing w:after="0" w:line="96" w:lineRule="exact"/>
        <w:rPr>
          <w:rFonts w:ascii="Arial" w:cs="Arial" w:eastAsia="Arial" w:hAnsi="Arial"/>
          <w:sz w:val="13"/>
          <w:szCs w:val="13"/>
          <w:color w:val="auto"/>
        </w:rPr>
      </w:pPr>
    </w:p>
    <w:p>
      <w:pPr>
        <w:ind w:left="341" w:hanging="341"/>
        <w:spacing w:after="0"/>
        <w:tabs>
          <w:tab w:leader="none" w:pos="341"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Notes shall be substantially in the form of Exhibit A hereto.</w:t>
      </w:r>
    </w:p>
    <w:p>
      <w:pPr>
        <w:spacing w:after="0" w:line="96" w:lineRule="exact"/>
        <w:rPr>
          <w:rFonts w:ascii="Arial" w:cs="Arial" w:eastAsia="Arial" w:hAnsi="Arial"/>
          <w:sz w:val="13"/>
          <w:szCs w:val="13"/>
          <w:color w:val="auto"/>
        </w:rPr>
      </w:pPr>
    </w:p>
    <w:p>
      <w:pPr>
        <w:ind w:left="341" w:right="200" w:hanging="341"/>
        <w:spacing w:after="0" w:line="296" w:lineRule="auto"/>
        <w:tabs>
          <w:tab w:leader="none" w:pos="341"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Notes will be fully and unconditionally guaranteed on a senior basis by the Company’s wholly-owned subsidiary, Waste Management Holdings, Inc., pursuant to the terms and conditions of a Guarantee Agreement dated June 8, 2010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264795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99" w:right="219" w:bottom="1440" w:gutter="0" w:footer="0" w:header="0"/>
        </w:sectPr>
      </w:pPr>
    </w:p>
    <w:bookmarkStart w:id="66" w:name="page67"/>
    <w:bookmarkEnd w:id="66"/>
    <w:p>
      <w:pPr>
        <w:jc w:val="center"/>
        <w:spacing w:after="0"/>
        <w:rPr>
          <w:sz w:val="20"/>
          <w:szCs w:val="20"/>
          <w:color w:val="auto"/>
        </w:rPr>
      </w:pPr>
      <w:r>
        <w:rPr>
          <w:rFonts w:ascii="Arial" w:cs="Arial" w:eastAsia="Arial" w:hAnsi="Arial"/>
          <w:sz w:val="13"/>
          <w:szCs w:val="13"/>
          <w:b w:val="1"/>
          <w:bCs w:val="1"/>
          <w:color w:val="auto"/>
        </w:rPr>
        <w:t>EXHIBIT 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TERMS OF NOTES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Note)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BOOK-ENTRY SECURITY</w:t>
      </w:r>
    </w:p>
    <w:p>
      <w:pPr>
        <w:spacing w:after="0" w:line="86" w:lineRule="exact"/>
        <w:rPr>
          <w:sz w:val="20"/>
          <w:szCs w:val="20"/>
          <w:color w:val="auto"/>
        </w:rPr>
      </w:pPr>
    </w:p>
    <w:p>
      <w:pPr>
        <w:ind w:right="180" w:firstLine="161"/>
        <w:spacing w:after="0" w:line="258" w:lineRule="auto"/>
        <w:rPr>
          <w:sz w:val="20"/>
          <w:szCs w:val="20"/>
          <w:color w:val="auto"/>
        </w:rPr>
      </w:pPr>
      <w:r>
        <w:rPr>
          <w:rFonts w:ascii="Arial" w:cs="Arial" w:eastAsia="Arial" w:hAnsi="Arial"/>
          <w:sz w:val="13"/>
          <w:szCs w:val="13"/>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61" w:lineRule="exact"/>
        <w:rPr>
          <w:sz w:val="20"/>
          <w:szCs w:val="20"/>
          <w:color w:val="auto"/>
        </w:rPr>
      </w:pPr>
    </w:p>
    <w:p>
      <w:pPr>
        <w:ind w:right="40" w:firstLine="164"/>
        <w:spacing w:after="0" w:line="258" w:lineRule="auto"/>
        <w:rPr>
          <w:sz w:val="20"/>
          <w:szCs w:val="20"/>
          <w:color w:val="auto"/>
        </w:rPr>
      </w:pPr>
      <w:r>
        <w:rPr>
          <w:rFonts w:ascii="Arial" w:cs="Arial" w:eastAsia="Arial" w:hAnsi="Arial"/>
          <w:sz w:val="13"/>
          <w:szCs w:val="13"/>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40" w:lineRule="exact"/>
        <w:rPr>
          <w:sz w:val="20"/>
          <w:szCs w:val="20"/>
          <w:color w:val="auto"/>
        </w:rPr>
      </w:pPr>
    </w:p>
    <w:p>
      <w:pPr>
        <w:spacing w:after="0"/>
        <w:tabs>
          <w:tab w:leader="none" w:pos="10520" w:val="left"/>
        </w:tabs>
        <w:rPr>
          <w:sz w:val="20"/>
          <w:szCs w:val="20"/>
          <w:color w:val="auto"/>
        </w:rPr>
      </w:pPr>
      <w:r>
        <w:rPr>
          <w:rFonts w:ascii="Arial" w:cs="Arial" w:eastAsia="Arial" w:hAnsi="Arial"/>
          <w:sz w:val="12"/>
          <w:szCs w:val="12"/>
          <w:color w:val="auto"/>
        </w:rPr>
        <w:t>RGN</w:t>
      </w:r>
      <w:r>
        <w:rPr>
          <w:sz w:val="20"/>
          <w:szCs w:val="20"/>
          <w:color w:val="auto"/>
        </w:rPr>
        <w:tab/>
      </w:r>
      <w:r>
        <w:rPr>
          <w:rFonts w:ascii="Arial" w:cs="Arial" w:eastAsia="Arial" w:hAnsi="Arial"/>
          <w:sz w:val="12"/>
          <w:szCs w:val="12"/>
          <w:color w:val="auto"/>
        </w:rPr>
        <w:t>Principal Amount</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U.S. $  ,</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which may be</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decreased by the</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Schedule of Exchanges</w:t>
      </w:r>
    </w:p>
    <w:p>
      <w:pPr>
        <w:spacing w:after="0" w:line="8" w:lineRule="exact"/>
        <w:rPr>
          <w:sz w:val="20"/>
          <w:szCs w:val="20"/>
          <w:color w:val="auto"/>
        </w:rPr>
      </w:pPr>
    </w:p>
    <w:p>
      <w:pPr>
        <w:jc w:val="both"/>
        <w:ind w:left="10320" w:hanging="5798"/>
        <w:spacing w:after="0" w:line="273" w:lineRule="auto"/>
        <w:tabs>
          <w:tab w:leader="none" w:pos="10300" w:val="left"/>
        </w:tabs>
        <w:rPr>
          <w:sz w:val="20"/>
          <w:szCs w:val="20"/>
          <w:color w:val="auto"/>
        </w:rPr>
      </w:pPr>
      <w:r>
        <w:rPr>
          <w:rFonts w:ascii="Arial" w:cs="Arial" w:eastAsia="Arial" w:hAnsi="Arial"/>
          <w:sz w:val="13"/>
          <w:szCs w:val="13"/>
          <w:color w:val="auto"/>
        </w:rPr>
        <w:t>WASTE MANAGEMENT, INC.</w:t>
      </w:r>
      <w:r>
        <w:rPr>
          <w:sz w:val="20"/>
          <w:szCs w:val="20"/>
          <w:color w:val="auto"/>
        </w:rPr>
        <w:tab/>
      </w:r>
      <w:r>
        <w:rPr>
          <w:rFonts w:ascii="Arial" w:cs="Arial" w:eastAsia="Arial" w:hAnsi="Arial"/>
          <w:sz w:val="12"/>
          <w:szCs w:val="12"/>
          <w:color w:val="auto"/>
        </w:rPr>
        <w:t>of Definitive Security attached hereto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4.75% SENIOR NOTES DUE 2020</w:t>
      </w:r>
    </w:p>
    <w:p>
      <w:pPr>
        <w:spacing w:after="0" w:line="158" w:lineRule="exact"/>
        <w:rPr>
          <w:sz w:val="20"/>
          <w:szCs w:val="20"/>
          <w:color w:val="auto"/>
        </w:rPr>
      </w:pPr>
    </w:p>
    <w:p>
      <w:pPr>
        <w:ind w:left="10380"/>
        <w:spacing w:after="0"/>
        <w:rPr>
          <w:sz w:val="20"/>
          <w:szCs w:val="20"/>
          <w:color w:val="auto"/>
        </w:rPr>
      </w:pPr>
      <w:r>
        <w:rPr>
          <w:rFonts w:ascii="Arial" w:cs="Arial" w:eastAsia="Arial" w:hAnsi="Arial"/>
          <w:sz w:val="12"/>
          <w:szCs w:val="12"/>
          <w:color w:val="auto"/>
        </w:rPr>
        <w:t>CUSIP 94106LAW9</w:t>
      </w:r>
    </w:p>
    <w:p>
      <w:pPr>
        <w:spacing w:after="0" w:line="98" w:lineRule="exact"/>
        <w:rPr>
          <w:sz w:val="20"/>
          <w:szCs w:val="20"/>
          <w:color w:val="auto"/>
        </w:rPr>
      </w:pPr>
    </w:p>
    <w:p>
      <w:pPr>
        <w:ind w:right="240" w:firstLine="161"/>
        <w:spacing w:after="0" w:line="264" w:lineRule="auto"/>
        <w:rPr>
          <w:sz w:val="20"/>
          <w:szCs w:val="20"/>
          <w:color w:val="auto"/>
        </w:rPr>
      </w:pPr>
      <w:r>
        <w:rPr>
          <w:rFonts w:ascii="Arial" w:cs="Arial" w:eastAsia="Arial" w:hAnsi="Arial"/>
          <w:sz w:val="13"/>
          <w:szCs w:val="13"/>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 Million ($ ) U.S. dollars, or such lesser principal sum as is shown on the attached Schedule of Exchanges of Definitive Security, on June 30, 2020 in such coin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952" w:right="219" w:bottom="1440" w:gutter="0" w:footer="0" w:header="0"/>
        </w:sectPr>
      </w:pPr>
    </w:p>
    <w:bookmarkStart w:id="67" w:name="page68"/>
    <w:bookmarkEnd w:id="67"/>
    <w:p>
      <w:pPr>
        <w:spacing w:after="0" w:line="264" w:lineRule="auto"/>
        <w:rPr>
          <w:sz w:val="20"/>
          <w:szCs w:val="20"/>
          <w:color w:val="auto"/>
        </w:rPr>
      </w:pPr>
      <w:r>
        <w:rPr>
          <w:rFonts w:ascii="Arial" w:cs="Arial" w:eastAsia="Arial" w:hAnsi="Arial"/>
          <w:sz w:val="13"/>
          <w:szCs w:val="13"/>
          <w:color w:val="auto"/>
        </w:rPr>
        <w:t>currency of the United States of America as at the time of payment shall be legal tender for the payment of public and private debts, and to pay interest at an annual rate of 4.75% payable on June 30 and December 30 of each year, to the person in whose name this Security is registered at the close of business on the record date for such interest, which shall be the preceding June 15 or December 15, respectively, payable commencing December 30, 2010, with interest consisting of interest accrued from June 8, 2010.</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Reference is made to the further provisions of this Security set forth on the reverse hereof. Such further provisions shall for all purposes have the same effect as though fully set forth at this place.</w:t>
      </w:r>
    </w:p>
    <w:p>
      <w:pPr>
        <w:spacing w:after="0" w:line="86" w:lineRule="exact"/>
        <w:rPr>
          <w:sz w:val="20"/>
          <w:szCs w:val="20"/>
          <w:color w:val="auto"/>
        </w:rPr>
      </w:pPr>
    </w:p>
    <w:p>
      <w:pPr>
        <w:ind w:right="160" w:firstLine="161"/>
        <w:spacing w:after="0" w:line="276" w:lineRule="auto"/>
        <w:rPr>
          <w:sz w:val="20"/>
          <w:szCs w:val="20"/>
          <w:color w:val="auto"/>
        </w:rPr>
      </w:pPr>
      <w:r>
        <w:rPr>
          <w:rFonts w:ascii="Arial" w:cs="Arial" w:eastAsia="Arial" w:hAnsi="Arial"/>
          <w:sz w:val="13"/>
          <w:szCs w:val="13"/>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49" w:lineRule="exact"/>
        <w:rPr>
          <w:sz w:val="20"/>
          <w:szCs w:val="20"/>
          <w:color w:val="auto"/>
        </w:rPr>
      </w:pPr>
    </w:p>
    <w:p>
      <w:pPr>
        <w:ind w:right="120" w:firstLine="161"/>
        <w:spacing w:after="0" w:line="289" w:lineRule="auto"/>
        <w:rPr>
          <w:sz w:val="20"/>
          <w:szCs w:val="20"/>
          <w:color w:val="auto"/>
        </w:rPr>
      </w:pPr>
      <w:r>
        <w:rPr>
          <w:rFonts w:ascii="Arial" w:cs="Arial" w:eastAsia="Arial" w:hAnsi="Arial"/>
          <w:sz w:val="12"/>
          <w:szCs w:val="12"/>
          <w:color w:val="auto"/>
        </w:rPr>
        <w:t>This Security is issued in respect of a series of Securities of an initial aggregate of U.S. $600,000,000 in principal amount designated as the 4.75% Senior Notes due 2020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43"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hereby irrevocably undertakes to the Holder hereof to exchange this Security in accordance with the terms of the Indenture without charge.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68" w:name="page69"/>
    <w:bookmarkEnd w:id="68"/>
    <w:p>
      <w:pPr>
        <w:ind w:left="160"/>
        <w:spacing w:after="0"/>
        <w:rPr>
          <w:sz w:val="20"/>
          <w:szCs w:val="20"/>
          <w:color w:val="auto"/>
        </w:rPr>
      </w:pPr>
      <w:r>
        <w:rPr>
          <w:rFonts w:ascii="Arial" w:cs="Arial" w:eastAsia="Arial" w:hAnsi="Arial"/>
          <w:sz w:val="13"/>
          <w:szCs w:val="13"/>
          <w:color w:val="auto"/>
        </w:rPr>
        <w:t>This Security shall not be valid or become obligatory for any purpose until the Certificate of Authentication hereon shall have been manually signed by the Trustee under the Indenture.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Company has caused this instrument to be duly executed under its corporate seal.</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240" w:type="dxa"/>
            <w:vAlign w:val="bottom"/>
          </w:tcPr>
          <w:p>
            <w:pPr>
              <w:spacing w:after="0"/>
              <w:rPr>
                <w:sz w:val="20"/>
                <w:szCs w:val="20"/>
                <w:color w:val="auto"/>
              </w:rPr>
            </w:pPr>
            <w:r>
              <w:rPr>
                <w:rFonts w:ascii="Arial" w:cs="Arial" w:eastAsia="Arial" w:hAnsi="Arial"/>
                <w:sz w:val="13"/>
                <w:szCs w:val="13"/>
                <w:color w:val="auto"/>
              </w:rPr>
              <w:t>Dated: June 8, 2010</w:t>
            </w:r>
          </w:p>
        </w:tc>
        <w:tc>
          <w:tcPr>
            <w:tcW w:w="6520" w:type="dxa"/>
            <w:vAlign w:val="bottom"/>
            <w:gridSpan w:val="2"/>
          </w:tcPr>
          <w:p>
            <w:pPr>
              <w:ind w:left="2200"/>
              <w:spacing w:after="0"/>
              <w:rPr>
                <w:sz w:val="20"/>
                <w:szCs w:val="20"/>
                <w:color w:val="auto"/>
              </w:rPr>
            </w:pPr>
            <w:r>
              <w:rPr>
                <w:rFonts w:ascii="Arial" w:cs="Arial" w:eastAsia="Arial" w:hAnsi="Arial"/>
                <w:sz w:val="13"/>
                <w:szCs w:val="13"/>
                <w:color w:val="auto"/>
              </w:rPr>
              <w:t>WASTE MANAGEMENT, INC.,</w:t>
            </w:r>
          </w:p>
        </w:tc>
      </w:tr>
      <w:tr>
        <w:trPr>
          <w:trHeight w:val="165"/>
        </w:trPr>
        <w:tc>
          <w:tcPr>
            <w:tcW w:w="3240" w:type="dxa"/>
            <w:vAlign w:val="bottom"/>
          </w:tcPr>
          <w:p>
            <w:pPr>
              <w:spacing w:after="0"/>
              <w:rPr>
                <w:sz w:val="14"/>
                <w:szCs w:val="14"/>
                <w:color w:val="auto"/>
              </w:rPr>
            </w:pPr>
          </w:p>
        </w:tc>
        <w:tc>
          <w:tcPr>
            <w:tcW w:w="6520" w:type="dxa"/>
            <w:vAlign w:val="bottom"/>
            <w:gridSpan w:val="2"/>
          </w:tcPr>
          <w:p>
            <w:pPr>
              <w:ind w:left="2200"/>
              <w:spacing w:after="0"/>
              <w:rPr>
                <w:sz w:val="20"/>
                <w:szCs w:val="20"/>
                <w:color w:val="auto"/>
              </w:rPr>
            </w:pPr>
            <w:r>
              <w:rPr>
                <w:rFonts w:ascii="Arial" w:cs="Arial" w:eastAsia="Arial" w:hAnsi="Arial"/>
                <w:sz w:val="13"/>
                <w:szCs w:val="13"/>
                <w:color w:val="auto"/>
              </w:rPr>
              <w:t>a Delaware corporation</w:t>
            </w:r>
          </w:p>
        </w:tc>
      </w:tr>
      <w:tr>
        <w:trPr>
          <w:trHeight w:val="315"/>
        </w:trPr>
        <w:tc>
          <w:tcPr>
            <w:tcW w:w="3240" w:type="dxa"/>
            <w:vAlign w:val="bottom"/>
          </w:tcPr>
          <w:p>
            <w:pPr>
              <w:spacing w:after="0"/>
              <w:rPr>
                <w:sz w:val="24"/>
                <w:szCs w:val="24"/>
                <w:color w:val="auto"/>
              </w:rPr>
            </w:pPr>
          </w:p>
        </w:tc>
        <w:tc>
          <w:tcPr>
            <w:tcW w:w="6520" w:type="dxa"/>
            <w:vAlign w:val="bottom"/>
            <w:gridSpan w:val="2"/>
          </w:tcPr>
          <w:p>
            <w:pPr>
              <w:ind w:left="2200"/>
              <w:spacing w:after="0"/>
              <w:rPr>
                <w:sz w:val="20"/>
                <w:szCs w:val="20"/>
                <w:color w:val="auto"/>
              </w:rPr>
            </w:pPr>
            <w:r>
              <w:rPr>
                <w:rFonts w:ascii="Arial" w:cs="Arial" w:eastAsia="Arial" w:hAnsi="Arial"/>
                <w:sz w:val="13"/>
                <w:szCs w:val="13"/>
                <w:color w:val="auto"/>
              </w:rPr>
              <w:t>By:</w:t>
            </w:r>
          </w:p>
        </w:tc>
      </w:tr>
      <w:tr>
        <w:trPr>
          <w:trHeight w:val="139"/>
        </w:trPr>
        <w:tc>
          <w:tcPr>
            <w:tcW w:w="32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Cherie C. Rice</w:t>
            </w:r>
          </w:p>
        </w:tc>
      </w:tr>
      <w:tr>
        <w:trPr>
          <w:trHeight w:val="165"/>
        </w:trPr>
        <w:tc>
          <w:tcPr>
            <w:tcW w:w="32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Vice President-Finance and Treasurer</w:t>
            </w:r>
          </w:p>
        </w:tc>
      </w:tr>
      <w:tr>
        <w:trPr>
          <w:trHeight w:val="315"/>
        </w:trPr>
        <w:tc>
          <w:tcPr>
            <w:tcW w:w="3240" w:type="dxa"/>
            <w:vAlign w:val="bottom"/>
          </w:tcPr>
          <w:p>
            <w:pPr>
              <w:spacing w:after="0"/>
              <w:rPr>
                <w:sz w:val="24"/>
                <w:szCs w:val="24"/>
                <w:color w:val="auto"/>
              </w:rPr>
            </w:pPr>
          </w:p>
        </w:tc>
        <w:tc>
          <w:tcPr>
            <w:tcW w:w="6520" w:type="dxa"/>
            <w:vAlign w:val="bottom"/>
            <w:gridSpan w:val="2"/>
          </w:tcPr>
          <w:p>
            <w:pPr>
              <w:ind w:left="2200"/>
              <w:spacing w:after="0"/>
              <w:rPr>
                <w:sz w:val="20"/>
                <w:szCs w:val="20"/>
                <w:color w:val="auto"/>
              </w:rPr>
            </w:pPr>
            <w:r>
              <w:rPr>
                <w:rFonts w:ascii="Arial" w:cs="Arial" w:eastAsia="Arial" w:hAnsi="Arial"/>
                <w:sz w:val="13"/>
                <w:szCs w:val="13"/>
                <w:color w:val="auto"/>
              </w:rPr>
              <w:t>Attest:</w:t>
            </w:r>
          </w:p>
        </w:tc>
      </w:tr>
      <w:tr>
        <w:trPr>
          <w:trHeight w:val="315"/>
        </w:trPr>
        <w:tc>
          <w:tcPr>
            <w:tcW w:w="3240" w:type="dxa"/>
            <w:vAlign w:val="bottom"/>
          </w:tcPr>
          <w:p>
            <w:pPr>
              <w:spacing w:after="0"/>
              <w:rPr>
                <w:sz w:val="24"/>
                <w:szCs w:val="24"/>
                <w:color w:val="auto"/>
              </w:rPr>
            </w:pPr>
          </w:p>
        </w:tc>
        <w:tc>
          <w:tcPr>
            <w:tcW w:w="6520" w:type="dxa"/>
            <w:vAlign w:val="bottom"/>
            <w:gridSpan w:val="2"/>
          </w:tcPr>
          <w:p>
            <w:pPr>
              <w:ind w:left="2200"/>
              <w:spacing w:after="0"/>
              <w:rPr>
                <w:sz w:val="20"/>
                <w:szCs w:val="20"/>
                <w:color w:val="auto"/>
              </w:rPr>
            </w:pPr>
            <w:r>
              <w:rPr>
                <w:rFonts w:ascii="Arial" w:cs="Arial" w:eastAsia="Arial" w:hAnsi="Arial"/>
                <w:sz w:val="13"/>
                <w:szCs w:val="13"/>
                <w:color w:val="auto"/>
              </w:rPr>
              <w:t>By:</w:t>
            </w:r>
          </w:p>
        </w:tc>
      </w:tr>
      <w:tr>
        <w:trPr>
          <w:trHeight w:val="139"/>
        </w:trPr>
        <w:tc>
          <w:tcPr>
            <w:tcW w:w="32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Linda J. Smith</w:t>
            </w:r>
          </w:p>
        </w:tc>
      </w:tr>
      <w:tr>
        <w:trPr>
          <w:trHeight w:val="165"/>
        </w:trPr>
        <w:tc>
          <w:tcPr>
            <w:tcW w:w="32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Secretary</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CERTIFICATE OF AUTHENTICATION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This is one of the Securities of the series designated therein referred to in the within-mentioned Indenture.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Date of Authentication: June 8, 2010</w:t>
            </w:r>
          </w:p>
        </w:tc>
        <w:tc>
          <w:tcPr>
            <w:tcW w:w="6080" w:type="dxa"/>
            <w:vAlign w:val="bottom"/>
            <w:gridSpan w:val="2"/>
          </w:tcPr>
          <w:p>
            <w:pPr>
              <w:ind w:left="1760"/>
              <w:spacing w:after="0"/>
              <w:rPr>
                <w:sz w:val="20"/>
                <w:szCs w:val="20"/>
                <w:color w:val="auto"/>
              </w:rPr>
            </w:pPr>
            <w:r>
              <w:rPr>
                <w:rFonts w:ascii="Arial" w:cs="Arial" w:eastAsia="Arial" w:hAnsi="Arial"/>
                <w:sz w:val="13"/>
                <w:szCs w:val="13"/>
                <w:color w:val="auto"/>
              </w:rPr>
              <w:t>The Bank of New York Mellon Trust</w:t>
            </w:r>
          </w:p>
        </w:tc>
        <w:tc>
          <w:tcPr>
            <w:tcW w:w="1700" w:type="dxa"/>
            <w:vAlign w:val="bottom"/>
          </w:tcPr>
          <w:p>
            <w:pPr>
              <w:spacing w:after="0"/>
              <w:rPr>
                <w:sz w:val="13"/>
                <w:szCs w:val="13"/>
                <w:color w:val="auto"/>
              </w:rPr>
            </w:pPr>
          </w:p>
        </w:tc>
      </w:tr>
      <w:tr>
        <w:trPr>
          <w:trHeight w:val="165"/>
        </w:trPr>
        <w:tc>
          <w:tcPr>
            <w:tcW w:w="3680" w:type="dxa"/>
            <w:vAlign w:val="bottom"/>
          </w:tcPr>
          <w:p>
            <w:pPr>
              <w:spacing w:after="0"/>
              <w:rPr>
                <w:sz w:val="14"/>
                <w:szCs w:val="14"/>
                <w:color w:val="auto"/>
              </w:rPr>
            </w:pPr>
          </w:p>
        </w:tc>
        <w:tc>
          <w:tcPr>
            <w:tcW w:w="6080" w:type="dxa"/>
            <w:vAlign w:val="bottom"/>
            <w:gridSpan w:val="2"/>
          </w:tcPr>
          <w:p>
            <w:pPr>
              <w:ind w:left="1760"/>
              <w:spacing w:after="0"/>
              <w:rPr>
                <w:sz w:val="20"/>
                <w:szCs w:val="20"/>
                <w:color w:val="auto"/>
              </w:rPr>
            </w:pPr>
            <w:r>
              <w:rPr>
                <w:rFonts w:ascii="Arial" w:cs="Arial" w:eastAsia="Arial" w:hAnsi="Arial"/>
                <w:sz w:val="13"/>
                <w:szCs w:val="13"/>
                <w:color w:val="auto"/>
              </w:rPr>
              <w:t>Company N.A., as Trustee</w:t>
            </w:r>
          </w:p>
        </w:tc>
        <w:tc>
          <w:tcPr>
            <w:tcW w:w="1700" w:type="dxa"/>
            <w:vAlign w:val="bottom"/>
          </w:tcPr>
          <w:p>
            <w:pPr>
              <w:spacing w:after="0"/>
              <w:rPr>
                <w:sz w:val="14"/>
                <w:szCs w:val="14"/>
                <w:color w:val="auto"/>
              </w:rPr>
            </w:pPr>
          </w:p>
        </w:tc>
      </w:tr>
      <w:tr>
        <w:trPr>
          <w:trHeight w:val="315"/>
        </w:trPr>
        <w:tc>
          <w:tcPr>
            <w:tcW w:w="3680" w:type="dxa"/>
            <w:vAlign w:val="bottom"/>
          </w:tcPr>
          <w:p>
            <w:pPr>
              <w:spacing w:after="0"/>
              <w:rPr>
                <w:sz w:val="24"/>
                <w:szCs w:val="24"/>
                <w:color w:val="auto"/>
              </w:rPr>
            </w:pPr>
          </w:p>
        </w:tc>
        <w:tc>
          <w:tcPr>
            <w:tcW w:w="6080" w:type="dxa"/>
            <w:vAlign w:val="bottom"/>
            <w:gridSpan w:val="2"/>
          </w:tcPr>
          <w:p>
            <w:pPr>
              <w:ind w:left="1760"/>
              <w:spacing w:after="0"/>
              <w:rPr>
                <w:sz w:val="20"/>
                <w:szCs w:val="20"/>
                <w:color w:val="auto"/>
              </w:rPr>
            </w:pPr>
            <w:r>
              <w:rPr>
                <w:rFonts w:ascii="Arial" w:cs="Arial" w:eastAsia="Arial" w:hAnsi="Arial"/>
                <w:sz w:val="13"/>
                <w:szCs w:val="13"/>
                <w:color w:val="auto"/>
              </w:rPr>
              <w:t>By:</w:t>
            </w:r>
          </w:p>
        </w:tc>
        <w:tc>
          <w:tcPr>
            <w:tcW w:w="1700" w:type="dxa"/>
            <w:vAlign w:val="bottom"/>
          </w:tcPr>
          <w:p>
            <w:pPr>
              <w:spacing w:after="0"/>
              <w:rPr>
                <w:sz w:val="24"/>
                <w:szCs w:val="24"/>
                <w:color w:val="auto"/>
              </w:rPr>
            </w:pPr>
          </w:p>
        </w:tc>
      </w:tr>
      <w:tr>
        <w:trPr>
          <w:trHeight w:val="139"/>
        </w:trPr>
        <w:tc>
          <w:tcPr>
            <w:tcW w:w="36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Marcella Burgess</w:t>
            </w:r>
          </w:p>
        </w:tc>
        <w:tc>
          <w:tcPr>
            <w:tcW w:w="1700" w:type="dxa"/>
            <w:vAlign w:val="bottom"/>
          </w:tcPr>
          <w:p>
            <w:pPr>
              <w:spacing w:after="0"/>
              <w:rPr>
                <w:sz w:val="12"/>
                <w:szCs w:val="12"/>
                <w:color w:val="auto"/>
              </w:rPr>
            </w:pPr>
          </w:p>
        </w:tc>
      </w:tr>
      <w:tr>
        <w:trPr>
          <w:trHeight w:val="165"/>
        </w:trPr>
        <w:tc>
          <w:tcPr>
            <w:tcW w:w="36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Vice President</w:t>
            </w:r>
          </w:p>
        </w:tc>
        <w:tc>
          <w:tcPr>
            <w:tcW w:w="1700" w:type="dxa"/>
            <w:vAlign w:val="bottom"/>
          </w:tcPr>
          <w:p>
            <w:pPr>
              <w:spacing w:after="0"/>
              <w:rPr>
                <w:sz w:val="14"/>
                <w:szCs w:val="14"/>
                <w:color w:val="auto"/>
              </w:rPr>
            </w:pPr>
          </w:p>
        </w:tc>
      </w:tr>
      <w:tr>
        <w:trPr>
          <w:trHeight w:val="452"/>
        </w:trPr>
        <w:tc>
          <w:tcPr>
            <w:tcW w:w="3680" w:type="dxa"/>
            <w:vAlign w:val="bottom"/>
          </w:tcPr>
          <w:p>
            <w:pPr>
              <w:spacing w:after="0"/>
              <w:rPr>
                <w:sz w:val="24"/>
                <w:szCs w:val="24"/>
                <w:color w:val="auto"/>
              </w:rPr>
            </w:pPr>
          </w:p>
        </w:tc>
        <w:tc>
          <w:tcPr>
            <w:tcW w:w="6080" w:type="dxa"/>
            <w:vAlign w:val="bottom"/>
            <w:gridSpan w:val="2"/>
          </w:tcPr>
          <w:p>
            <w:pPr>
              <w:ind w:left="2020"/>
              <w:spacing w:after="0"/>
              <w:rPr>
                <w:sz w:val="20"/>
                <w:szCs w:val="20"/>
                <w:color w:val="auto"/>
              </w:rPr>
            </w:pPr>
            <w:r>
              <w:rPr>
                <w:rFonts w:ascii="Arial" w:cs="Arial" w:eastAsia="Arial" w:hAnsi="Arial"/>
                <w:sz w:val="13"/>
                <w:szCs w:val="13"/>
                <w:color w:val="auto"/>
              </w:rPr>
              <w:t>7</w:t>
            </w:r>
          </w:p>
        </w:tc>
        <w:tc>
          <w:tcPr>
            <w:tcW w:w="1700" w:type="dxa"/>
            <w:vAlign w:val="bottom"/>
          </w:tcPr>
          <w:p>
            <w:pPr>
              <w:spacing w:after="0"/>
              <w:rPr>
                <w:sz w:val="24"/>
                <w:szCs w:val="24"/>
                <w:color w:val="auto"/>
              </w:rPr>
            </w:pPr>
          </w:p>
        </w:tc>
      </w:tr>
      <w:tr>
        <w:trPr>
          <w:trHeight w:val="163"/>
        </w:trPr>
        <w:tc>
          <w:tcPr>
            <w:tcW w:w="3680" w:type="dxa"/>
            <w:vAlign w:val="bottom"/>
            <w:tcBorders>
              <w:bottom w:val="single" w:sz="8" w:color="808080"/>
            </w:tcBorders>
          </w:tcPr>
          <w:p>
            <w:pPr>
              <w:spacing w:after="0"/>
              <w:rPr>
                <w:sz w:val="14"/>
                <w:szCs w:val="14"/>
                <w:color w:val="auto"/>
              </w:rPr>
            </w:pPr>
          </w:p>
        </w:tc>
        <w:tc>
          <w:tcPr>
            <w:tcW w:w="2000" w:type="dxa"/>
            <w:vAlign w:val="bottom"/>
            <w:tcBorders>
              <w:bottom w:val="single" w:sz="8" w:color="808080"/>
            </w:tcBorders>
          </w:tcPr>
          <w:p>
            <w:pPr>
              <w:spacing w:after="0"/>
              <w:rPr>
                <w:sz w:val="14"/>
                <w:szCs w:val="14"/>
                <w:color w:val="auto"/>
              </w:rPr>
            </w:pPr>
          </w:p>
        </w:tc>
        <w:tc>
          <w:tcPr>
            <w:tcW w:w="4080" w:type="dxa"/>
            <w:vAlign w:val="bottom"/>
            <w:tcBorders>
              <w:bottom w:val="single" w:sz="8" w:color="808080"/>
            </w:tcBorders>
          </w:tcPr>
          <w:p>
            <w:pPr>
              <w:spacing w:after="0"/>
              <w:rPr>
                <w:sz w:val="14"/>
                <w:szCs w:val="14"/>
                <w:color w:val="auto"/>
              </w:rPr>
            </w:pPr>
          </w:p>
        </w:tc>
        <w:tc>
          <w:tcPr>
            <w:tcW w:w="17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69" w:name="page70"/>
    <w:bookmarkEnd w:id="69"/>
    <w:p>
      <w:pPr>
        <w:jc w:val="center"/>
        <w:spacing w:after="0"/>
        <w:rPr>
          <w:sz w:val="20"/>
          <w:szCs w:val="20"/>
          <w:color w:val="auto"/>
        </w:rPr>
      </w:pPr>
      <w:r>
        <w:rPr>
          <w:rFonts w:ascii="Arial" w:cs="Arial" w:eastAsia="Arial" w:hAnsi="Arial"/>
          <w:sz w:val="13"/>
          <w:szCs w:val="13"/>
          <w:color w:val="auto"/>
        </w:rPr>
        <w:t>REVERSE OF BOOK-ENTRY SECURITY</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WASTE MANAGEMENT, INC.</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4.75% SENIOR NOTES DUE 2020</w:t>
      </w:r>
    </w:p>
    <w:p>
      <w:pPr>
        <w:spacing w:after="0" w:line="86" w:lineRule="exact"/>
        <w:rPr>
          <w:sz w:val="20"/>
          <w:szCs w:val="20"/>
          <w:color w:val="auto"/>
        </w:rPr>
      </w:pPr>
    </w:p>
    <w:p>
      <w:pPr>
        <w:ind w:firstLine="161"/>
        <w:spacing w:after="0" w:line="258" w:lineRule="auto"/>
        <w:rPr>
          <w:sz w:val="20"/>
          <w:szCs w:val="20"/>
          <w:color w:val="auto"/>
        </w:rPr>
      </w:pPr>
      <w:r>
        <w:rPr>
          <w:rFonts w:ascii="Arial" w:cs="Arial" w:eastAsia="Arial" w:hAnsi="Arial"/>
          <w:sz w:val="13"/>
          <w:szCs w:val="13"/>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4.75% Senior Notes due 2020 of the Company, in initial aggregate principal amount of $600,000,000 (the “Securities”).</w:t>
      </w:r>
    </w:p>
    <w:p>
      <w:pPr>
        <w:spacing w:after="0" w:line="61" w:lineRule="exact"/>
        <w:rPr>
          <w:sz w:val="20"/>
          <w:szCs w:val="20"/>
          <w:color w:val="auto"/>
        </w:rPr>
      </w:pPr>
    </w:p>
    <w:p>
      <w:pPr>
        <w:ind w:left="300" w:hanging="138"/>
        <w:spacing w:after="0"/>
        <w:tabs>
          <w:tab w:leader="none" w:pos="300" w:val="left"/>
        </w:tabs>
        <w:numPr>
          <w:ilvl w:val="0"/>
          <w:numId w:val="50"/>
        </w:numPr>
        <w:rPr>
          <w:rFonts w:ascii="Arial" w:cs="Arial" w:eastAsia="Arial" w:hAnsi="Arial"/>
          <w:sz w:val="13"/>
          <w:szCs w:val="13"/>
          <w:color w:val="auto"/>
        </w:rPr>
      </w:pPr>
      <w:r>
        <w:rPr>
          <w:rFonts w:ascii="Arial" w:cs="Arial" w:eastAsia="Arial" w:hAnsi="Arial"/>
          <w:sz w:val="13"/>
          <w:szCs w:val="13"/>
          <w:i w:val="1"/>
          <w:iCs w:val="1"/>
          <w:color w:val="auto"/>
        </w:rPr>
        <w:t>Interest.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promises to pay interest on the principal amount of this Security at the rate of 4.75% per annum.</w:t>
      </w:r>
    </w:p>
    <w:p>
      <w:pPr>
        <w:spacing w:after="0" w:line="86" w:lineRule="exact"/>
        <w:rPr>
          <w:sz w:val="20"/>
          <w:szCs w:val="20"/>
          <w:color w:val="auto"/>
        </w:rPr>
      </w:pPr>
    </w:p>
    <w:p>
      <w:pPr>
        <w:ind w:right="120" w:firstLine="161"/>
        <w:spacing w:after="0" w:line="260" w:lineRule="auto"/>
        <w:rPr>
          <w:sz w:val="20"/>
          <w:szCs w:val="20"/>
          <w:color w:val="auto"/>
        </w:rPr>
      </w:pPr>
      <w:r>
        <w:rPr>
          <w:rFonts w:ascii="Arial" w:cs="Arial" w:eastAsia="Arial" w:hAnsi="Arial"/>
          <w:sz w:val="13"/>
          <w:szCs w:val="13"/>
          <w:color w:val="auto"/>
        </w:rPr>
        <w:t>The Company will pay interest semi-annually on June 30 and December 30 of each year (each an “Interest Payment Date”), commencing December 30, 2010. Interest on the Securities will accrue from the most recent date to which interest has been paid or, if no interest has been paid on the Securities, from June 8, 2010.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4.75% per annum, in each case to the extent lawful.</w:t>
      </w:r>
    </w:p>
    <w:p>
      <w:pPr>
        <w:spacing w:after="0" w:line="60" w:lineRule="exact"/>
        <w:rPr>
          <w:sz w:val="20"/>
          <w:szCs w:val="20"/>
          <w:color w:val="auto"/>
        </w:rPr>
      </w:pPr>
    </w:p>
    <w:p>
      <w:pPr>
        <w:ind w:left="300" w:hanging="138"/>
        <w:spacing w:after="0"/>
        <w:tabs>
          <w:tab w:leader="none" w:pos="300" w:val="left"/>
        </w:tabs>
        <w:numPr>
          <w:ilvl w:val="0"/>
          <w:numId w:val="51"/>
        </w:numPr>
        <w:rPr>
          <w:rFonts w:ascii="Arial" w:cs="Arial" w:eastAsia="Arial" w:hAnsi="Arial"/>
          <w:sz w:val="13"/>
          <w:szCs w:val="13"/>
          <w:color w:val="auto"/>
        </w:rPr>
      </w:pPr>
      <w:r>
        <w:rPr>
          <w:rFonts w:ascii="Arial" w:cs="Arial" w:eastAsia="Arial" w:hAnsi="Arial"/>
          <w:sz w:val="13"/>
          <w:szCs w:val="13"/>
          <w:i w:val="1"/>
          <w:iCs w:val="1"/>
          <w:color w:val="auto"/>
        </w:rPr>
        <w:t>Method of Payment.</w:t>
      </w:r>
    </w:p>
    <w:p>
      <w:pPr>
        <w:spacing w:after="0" w:line="86" w:lineRule="exact"/>
        <w:rPr>
          <w:sz w:val="20"/>
          <w:szCs w:val="20"/>
          <w:color w:val="auto"/>
        </w:rPr>
      </w:pPr>
    </w:p>
    <w:p>
      <w:pPr>
        <w:ind w:firstLine="161"/>
        <w:spacing w:after="0" w:line="257" w:lineRule="auto"/>
        <w:rPr>
          <w:sz w:val="20"/>
          <w:szCs w:val="20"/>
          <w:color w:val="auto"/>
        </w:rPr>
      </w:pPr>
      <w:r>
        <w:rPr>
          <w:rFonts w:ascii="Arial" w:cs="Arial" w:eastAsia="Arial" w:hAnsi="Arial"/>
          <w:sz w:val="13"/>
          <w:szCs w:val="13"/>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70" w:name="page71"/>
    <w:bookmarkEnd w:id="70"/>
    <w:p>
      <w:pPr>
        <w:ind w:right="40"/>
        <w:spacing w:after="0" w:line="334" w:lineRule="auto"/>
        <w:rPr>
          <w:sz w:val="20"/>
          <w:szCs w:val="20"/>
          <w:color w:val="auto"/>
        </w:rPr>
      </w:pPr>
      <w:r>
        <w:rPr>
          <w:rFonts w:ascii="Arial" w:cs="Arial" w:eastAsia="Arial" w:hAnsi="Arial"/>
          <w:sz w:val="11"/>
          <w:szCs w:val="11"/>
          <w:color w:val="auto"/>
        </w:rPr>
        <w:t>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101 Barclay Street, Floor 21W,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2" w:lineRule="exact"/>
        <w:rPr>
          <w:sz w:val="20"/>
          <w:szCs w:val="20"/>
          <w:color w:val="auto"/>
        </w:rPr>
      </w:pPr>
    </w:p>
    <w:p>
      <w:pPr>
        <w:ind w:left="300" w:hanging="138"/>
        <w:spacing w:after="0"/>
        <w:tabs>
          <w:tab w:leader="none" w:pos="300" w:val="left"/>
        </w:tabs>
        <w:numPr>
          <w:ilvl w:val="0"/>
          <w:numId w:val="52"/>
        </w:numPr>
        <w:rPr>
          <w:rFonts w:ascii="Arial" w:cs="Arial" w:eastAsia="Arial" w:hAnsi="Arial"/>
          <w:sz w:val="13"/>
          <w:szCs w:val="13"/>
          <w:color w:val="auto"/>
        </w:rPr>
      </w:pPr>
      <w:r>
        <w:rPr>
          <w:rFonts w:ascii="Arial" w:cs="Arial" w:eastAsia="Arial" w:hAnsi="Arial"/>
          <w:sz w:val="13"/>
          <w:szCs w:val="13"/>
          <w:i w:val="1"/>
          <w:iCs w:val="1"/>
          <w:color w:val="auto"/>
        </w:rPr>
        <w:t>Paying Agent and Registrar.</w:t>
      </w:r>
    </w:p>
    <w:p>
      <w:pPr>
        <w:spacing w:after="0" w:line="86" w:lineRule="exact"/>
        <w:rPr>
          <w:sz w:val="20"/>
          <w:szCs w:val="20"/>
          <w:color w:val="auto"/>
        </w:rPr>
      </w:pPr>
    </w:p>
    <w:p>
      <w:pPr>
        <w:ind w:right="160" w:firstLine="164"/>
        <w:spacing w:after="0" w:line="276" w:lineRule="auto"/>
        <w:rPr>
          <w:sz w:val="20"/>
          <w:szCs w:val="20"/>
          <w:color w:val="auto"/>
        </w:rPr>
      </w:pPr>
      <w:r>
        <w:rPr>
          <w:rFonts w:ascii="Arial" w:cs="Arial" w:eastAsia="Arial" w:hAnsi="Arial"/>
          <w:sz w:val="13"/>
          <w:szCs w:val="13"/>
          <w:color w:val="auto"/>
        </w:rPr>
        <w:t>Initially, The Bank of New York Mellon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49" w:lineRule="exact"/>
        <w:rPr>
          <w:sz w:val="20"/>
          <w:szCs w:val="20"/>
          <w:color w:val="auto"/>
        </w:rPr>
      </w:pPr>
    </w:p>
    <w:p>
      <w:pPr>
        <w:ind w:left="300" w:hanging="138"/>
        <w:spacing w:after="0"/>
        <w:tabs>
          <w:tab w:leader="none" w:pos="300" w:val="left"/>
        </w:tabs>
        <w:numPr>
          <w:ilvl w:val="0"/>
          <w:numId w:val="53"/>
        </w:numPr>
        <w:rPr>
          <w:rFonts w:ascii="Arial" w:cs="Arial" w:eastAsia="Arial" w:hAnsi="Arial"/>
          <w:sz w:val="13"/>
          <w:szCs w:val="13"/>
          <w:color w:val="auto"/>
        </w:rPr>
      </w:pPr>
      <w:r>
        <w:rPr>
          <w:rFonts w:ascii="Arial" w:cs="Arial" w:eastAsia="Arial" w:hAnsi="Arial"/>
          <w:sz w:val="13"/>
          <w:szCs w:val="13"/>
          <w:i w:val="1"/>
          <w:iCs w:val="1"/>
          <w:color w:val="auto"/>
        </w:rPr>
        <w:t>Indenture.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This Security is one of a duly authorized issue of Debt Securities of the Company issued and to be issued in one or more series under the Indenture.</w:t>
      </w:r>
    </w:p>
    <w:p>
      <w:pPr>
        <w:spacing w:after="0" w:line="86" w:lineRule="exact"/>
        <w:rPr>
          <w:sz w:val="20"/>
          <w:szCs w:val="20"/>
          <w:color w:val="auto"/>
        </w:rPr>
      </w:pPr>
    </w:p>
    <w:p>
      <w:pPr>
        <w:ind w:firstLine="164"/>
        <w:spacing w:after="0" w:line="285" w:lineRule="auto"/>
        <w:rPr>
          <w:sz w:val="20"/>
          <w:szCs w:val="20"/>
          <w:color w:val="auto"/>
        </w:rPr>
      </w:pPr>
      <w:r>
        <w:rPr>
          <w:rFonts w:ascii="Arial" w:cs="Arial" w:eastAsia="Arial" w:hAnsi="Arial"/>
          <w:sz w:val="12"/>
          <w:szCs w:val="12"/>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August 20, 2009 (the “Resolutions”) and the written consent of the sole Director of Waste Management Holdings, Inc. on May 27, 2010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$600,000,000.</w:t>
      </w:r>
    </w:p>
    <w:p>
      <w:pPr>
        <w:spacing w:after="0" w:line="46" w:lineRule="exact"/>
        <w:rPr>
          <w:sz w:val="20"/>
          <w:szCs w:val="20"/>
          <w:color w:val="auto"/>
        </w:rPr>
      </w:pPr>
    </w:p>
    <w:p>
      <w:pPr>
        <w:ind w:left="300" w:hanging="138"/>
        <w:spacing w:after="0"/>
        <w:tabs>
          <w:tab w:leader="none" w:pos="300" w:val="left"/>
        </w:tabs>
        <w:numPr>
          <w:ilvl w:val="0"/>
          <w:numId w:val="54"/>
        </w:numPr>
        <w:rPr>
          <w:rFonts w:ascii="Arial" w:cs="Arial" w:eastAsia="Arial" w:hAnsi="Arial"/>
          <w:sz w:val="13"/>
          <w:szCs w:val="13"/>
          <w:color w:val="auto"/>
        </w:rPr>
      </w:pPr>
      <w:r>
        <w:rPr>
          <w:rFonts w:ascii="Arial" w:cs="Arial" w:eastAsia="Arial" w:hAnsi="Arial"/>
          <w:sz w:val="13"/>
          <w:szCs w:val="13"/>
          <w:i w:val="1"/>
          <w:iCs w:val="1"/>
          <w:color w:val="auto"/>
        </w:rPr>
        <w:t>Redemption.</w:t>
      </w:r>
    </w:p>
    <w:p>
      <w:pPr>
        <w:spacing w:after="0" w:line="86" w:lineRule="exact"/>
        <w:rPr>
          <w:sz w:val="20"/>
          <w:szCs w:val="20"/>
          <w:color w:val="auto"/>
        </w:rPr>
      </w:pPr>
    </w:p>
    <w:p>
      <w:pPr>
        <w:ind w:firstLine="161"/>
        <w:spacing w:after="0" w:line="260" w:lineRule="auto"/>
        <w:rPr>
          <w:sz w:val="20"/>
          <w:szCs w:val="20"/>
          <w:color w:val="auto"/>
        </w:rPr>
      </w:pPr>
      <w:r>
        <w:rPr>
          <w:rFonts w:ascii="Arial" w:cs="Arial" w:eastAsia="Arial" w:hAnsi="Arial"/>
          <w:sz w:val="13"/>
          <w:szCs w:val="13"/>
          <w:color w:val="auto"/>
        </w:rPr>
        <w:t>The Securities will be redeemable, at the option of the Company, at any time in whole, or from time to time in part, at a Redemption Price (the “Make-Whole Price”) equal to the greater of: (i) 100% of the principal amount of the Securities to be redeemed; or (ii) the sum of the present values of the remaining scheduled payments of principal and interest (at the rate in effect on the date of calculation of the Redemption Price) on the Securities (exclusive of interest accrued to the Redemption Date) discounted to the Redemption Date on a semi-annual basis (assuming a 360-day year consisting of twelve 30-day months) at the applicable Treasury Yield plus 25 basis points; plus, in either case, accrued interest to the Redemption Date.</w:t>
      </w:r>
    </w:p>
    <w:p>
      <w:pPr>
        <w:spacing w:after="0" w:line="60" w:lineRule="exact"/>
        <w:rPr>
          <w:sz w:val="20"/>
          <w:szCs w:val="20"/>
          <w:color w:val="auto"/>
        </w:rPr>
      </w:pPr>
    </w:p>
    <w:p>
      <w:pPr>
        <w:ind w:right="500" w:firstLine="164"/>
        <w:spacing w:after="0" w:line="276" w:lineRule="auto"/>
        <w:rPr>
          <w:sz w:val="20"/>
          <w:szCs w:val="20"/>
          <w:color w:val="auto"/>
        </w:rPr>
      </w:pPr>
      <w:r>
        <w:rPr>
          <w:rFonts w:ascii="Arial" w:cs="Arial" w:eastAsia="Arial" w:hAnsi="Arial"/>
          <w:sz w:val="13"/>
          <w:szCs w:val="13"/>
          <w:color w:val="auto"/>
        </w:rPr>
        <w:t>Securities called for redemption become due on the Redemption Date. Notices of redemption will be mailed at least 30 but not more than 60 days before the Redemption Date to each holder of record of the Securities to be redeemed at its registered address. The notice of redemption for the Securities will state, among other things, the amount of Securities to be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71" w:name="page72"/>
    <w:bookmarkEnd w:id="71"/>
    <w:p>
      <w:pPr>
        <w:ind w:right="280"/>
        <w:spacing w:after="0" w:line="264" w:lineRule="auto"/>
        <w:rPr>
          <w:sz w:val="20"/>
          <w:szCs w:val="20"/>
          <w:color w:val="auto"/>
        </w:rPr>
      </w:pPr>
      <w:r>
        <w:rPr>
          <w:rFonts w:ascii="Arial" w:cs="Arial" w:eastAsia="Arial" w:hAnsi="Arial"/>
          <w:sz w:val="13"/>
          <w:szCs w:val="13"/>
          <w:color w:val="auto"/>
        </w:rPr>
        <w:t>redeemed, the Redemption Date,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For purposes of determining the Make-Whole Price, the following definitions are applicable:</w:t>
      </w:r>
    </w:p>
    <w:p>
      <w:pPr>
        <w:spacing w:after="0" w:line="86" w:lineRule="exact"/>
        <w:rPr>
          <w:sz w:val="20"/>
          <w:szCs w:val="20"/>
          <w:color w:val="auto"/>
        </w:rPr>
      </w:pPr>
    </w:p>
    <w:p>
      <w:pPr>
        <w:ind w:right="480" w:firstLine="164"/>
        <w:spacing w:after="0" w:line="264" w:lineRule="auto"/>
        <w:rPr>
          <w:sz w:val="20"/>
          <w:szCs w:val="20"/>
          <w:color w:val="auto"/>
        </w:rPr>
      </w:pPr>
      <w:r>
        <w:rPr>
          <w:rFonts w:ascii="Arial" w:cs="Arial" w:eastAsia="Arial" w:hAnsi="Arial"/>
          <w:sz w:val="13"/>
          <w:szCs w:val="13"/>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57" w:lineRule="exact"/>
        <w:rPr>
          <w:sz w:val="20"/>
          <w:szCs w:val="20"/>
          <w:color w:val="auto"/>
        </w:rPr>
      </w:pPr>
    </w:p>
    <w:p>
      <w:pPr>
        <w:ind w:right="40" w:firstLine="164"/>
        <w:spacing w:after="0" w:line="320" w:lineRule="auto"/>
        <w:rPr>
          <w:sz w:val="20"/>
          <w:szCs w:val="20"/>
          <w:color w:val="auto"/>
        </w:rPr>
      </w:pPr>
      <w:r>
        <w:rPr>
          <w:rFonts w:ascii="Arial" w:cs="Arial" w:eastAsia="Arial" w:hAnsi="Arial"/>
          <w:sz w:val="12"/>
          <w:szCs w:val="12"/>
          <w:color w:val="auto"/>
        </w:rPr>
        <w:t>“Comparable Treasury Issue” means the United States Treasury security selected by an Independent Investment Banker as having a maturity comparable to the remaining term of the Securities that would be utilized, at the time of selection and in accordance with customary financial practice, in pricing new issues of corporate debt securities of comparable maturity to the remaining term of the Securities.</w:t>
      </w:r>
    </w:p>
    <w:p>
      <w:pPr>
        <w:spacing w:after="0" w:line="25" w:lineRule="exact"/>
        <w:rPr>
          <w:sz w:val="20"/>
          <w:szCs w:val="20"/>
          <w:color w:val="auto"/>
        </w:rPr>
      </w:pPr>
    </w:p>
    <w:p>
      <w:pPr>
        <w:ind w:right="40" w:firstLine="164"/>
        <w:spacing w:after="0" w:line="371" w:lineRule="auto"/>
        <w:rPr>
          <w:sz w:val="20"/>
          <w:szCs w:val="20"/>
          <w:color w:val="auto"/>
        </w:rPr>
      </w:pPr>
      <w:r>
        <w:rPr>
          <w:rFonts w:ascii="Arial" w:cs="Arial" w:eastAsia="Arial" w:hAnsi="Arial"/>
          <w:sz w:val="11"/>
          <w:szCs w:val="11"/>
          <w:color w:val="auto"/>
        </w:rPr>
        <w:t>“Independent Investment Banker” means any of Banc of America Securities LLC, Barclays Capital Inc., Citigroup Global Markets Inc. and Goldman, Sachs &amp; Co. (and their respective successors), or, if all of such firms are unwilling or unable to select the applicable Comparable Treasury Issue, an independent investment banking institution of national standing appointed by the Trustee and reasonably acceptable to the Company.</w:t>
      </w:r>
    </w:p>
    <w:p>
      <w:pPr>
        <w:spacing w:after="0" w:line="2" w:lineRule="exact"/>
        <w:rPr>
          <w:sz w:val="20"/>
          <w:szCs w:val="20"/>
          <w:color w:val="auto"/>
        </w:rPr>
      </w:pPr>
    </w:p>
    <w:p>
      <w:pPr>
        <w:ind w:firstLine="164"/>
        <w:spacing w:after="0" w:line="289" w:lineRule="auto"/>
        <w:rPr>
          <w:sz w:val="20"/>
          <w:szCs w:val="20"/>
          <w:color w:val="auto"/>
        </w:rPr>
      </w:pPr>
      <w:r>
        <w:rPr>
          <w:rFonts w:ascii="Arial" w:cs="Arial" w:eastAsia="Arial" w:hAnsi="Arial"/>
          <w:sz w:val="12"/>
          <w:szCs w:val="12"/>
          <w:color w:val="auto"/>
        </w:rPr>
        <w:t>“Comparable Treasury Price” means, with respect to any Redemption Date, (i) the bid price for the Comparable Treasury Issue (expressed as a percentage of its principal amount) at 4:00 p.m., New York City time, on the third Business Day preceding such Redemption Date, as set forth on “Telerate Page 500” (or such other page as may replace Telerate Page 500), or (ii) if such page (or any successor page) is not displayed or does not contain such bid prices at such time (a) the average of the Reference Treasury Dealer Quotations obtained by the Trustee for such Redemption Date, after excluding the highest and lowest of all Reference Treasury Dealer Quotations obtained, or (b) if the Trustee obtains fewer than four such Reference Treasury Dealer Quotations, the average of all Reference Treasury Dealer Quotations obtained by the Trustee.</w:t>
      </w:r>
    </w:p>
    <w:p>
      <w:pPr>
        <w:spacing w:after="0" w:line="43" w:lineRule="exact"/>
        <w:rPr>
          <w:sz w:val="20"/>
          <w:szCs w:val="20"/>
          <w:color w:val="auto"/>
        </w:rPr>
      </w:pPr>
    </w:p>
    <w:p>
      <w:pPr>
        <w:ind w:right="160" w:firstLine="164"/>
        <w:spacing w:after="0" w:line="264" w:lineRule="auto"/>
        <w:rPr>
          <w:sz w:val="20"/>
          <w:szCs w:val="20"/>
          <w:color w:val="auto"/>
        </w:rPr>
      </w:pPr>
      <w:r>
        <w:rPr>
          <w:rFonts w:ascii="Arial" w:cs="Arial" w:eastAsia="Arial" w:hAnsi="Arial"/>
          <w:sz w:val="13"/>
          <w:szCs w:val="13"/>
          <w:color w:val="auto"/>
        </w:rPr>
        <w:t>“Reference Treasury Dealer” means (i) each Banc of America Securities LLC, Barclays Capital Inc., Citigroup Global Markets Inc. and Goldman, Sachs &amp; Co. (and their respective successors),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72" w:name="page73"/>
    <w:bookmarkEnd w:id="72"/>
    <w:p>
      <w:pPr>
        <w:jc w:val="both"/>
        <w:ind w:firstLine="164"/>
        <w:spacing w:after="0" w:line="264" w:lineRule="auto"/>
        <w:rPr>
          <w:sz w:val="20"/>
          <w:szCs w:val="20"/>
          <w:color w:val="auto"/>
        </w:rPr>
      </w:pPr>
      <w:r>
        <w:rPr>
          <w:rFonts w:ascii="Arial" w:cs="Arial" w:eastAsia="Arial" w:hAnsi="Arial"/>
          <w:sz w:val="13"/>
          <w:szCs w:val="13"/>
          <w:color w:val="auto"/>
        </w:rPr>
        <w:t>“Reference Treasury Dealer Quotations” means, with respect to each Reference Treasury Dealer and any Redemption Date for the Securities, an average, as determined by the Trustee, of the bid and asked prices for the Comparable Treasury Issue for the Securities (expressed in each case as a percentage of its principal amount) quoted in writing to the Trustee by such Reference Treasury Dealer at 5:00 p.m., New York City time, on the third Business Day preceding such Redemption Date.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Except as set forth above, the Securities will not be redeemable prior to their Stated Maturity and will not be entitled to the benefit of any sinking fund.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Securities may be redeemed in part in a minimum principal amount of $2,000, or any integral multiple of $1,000 in excess thereof.</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Any such redemption will also comply with Article Eleven of the Indenture.</w:t>
      </w:r>
    </w:p>
    <w:p>
      <w:pPr>
        <w:spacing w:after="0" w:line="86" w:lineRule="exact"/>
        <w:rPr>
          <w:sz w:val="20"/>
          <w:szCs w:val="20"/>
          <w:color w:val="auto"/>
        </w:rPr>
      </w:pPr>
    </w:p>
    <w:p>
      <w:pPr>
        <w:ind w:left="300" w:hanging="138"/>
        <w:spacing w:after="0"/>
        <w:tabs>
          <w:tab w:leader="none" w:pos="300" w:val="left"/>
        </w:tabs>
        <w:numPr>
          <w:ilvl w:val="0"/>
          <w:numId w:val="55"/>
        </w:numPr>
        <w:rPr>
          <w:rFonts w:ascii="Arial" w:cs="Arial" w:eastAsia="Arial" w:hAnsi="Arial"/>
          <w:sz w:val="13"/>
          <w:szCs w:val="13"/>
          <w:color w:val="auto"/>
        </w:rPr>
      </w:pPr>
      <w:r>
        <w:rPr>
          <w:rFonts w:ascii="Arial" w:cs="Arial" w:eastAsia="Arial" w:hAnsi="Arial"/>
          <w:sz w:val="13"/>
          <w:szCs w:val="13"/>
          <w:i w:val="1"/>
          <w:iCs w:val="1"/>
          <w:color w:val="auto"/>
        </w:rPr>
        <w:t>Change of Control Offer.</w:t>
      </w:r>
    </w:p>
    <w:p>
      <w:pPr>
        <w:spacing w:after="0" w:line="86" w:lineRule="exact"/>
        <w:rPr>
          <w:sz w:val="20"/>
          <w:szCs w:val="20"/>
          <w:color w:val="auto"/>
        </w:rPr>
      </w:pPr>
    </w:p>
    <w:p>
      <w:pPr>
        <w:ind w:right="40" w:firstLine="164"/>
        <w:spacing w:after="0" w:line="289" w:lineRule="auto"/>
        <w:rPr>
          <w:sz w:val="20"/>
          <w:szCs w:val="20"/>
          <w:color w:val="auto"/>
        </w:rPr>
      </w:pPr>
      <w:r>
        <w:rPr>
          <w:rFonts w:ascii="Arial" w:cs="Arial" w:eastAsia="Arial" w:hAnsi="Arial"/>
          <w:sz w:val="12"/>
          <w:szCs w:val="12"/>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43" w:lineRule="exact"/>
        <w:rPr>
          <w:sz w:val="20"/>
          <w:szCs w:val="20"/>
          <w:color w:val="auto"/>
        </w:rPr>
      </w:pPr>
    </w:p>
    <w:p>
      <w:pPr>
        <w:ind w:right="80" w:firstLine="161"/>
        <w:spacing w:after="0" w:line="258" w:lineRule="auto"/>
        <w:rPr>
          <w:sz w:val="20"/>
          <w:szCs w:val="20"/>
          <w:color w:val="auto"/>
        </w:rPr>
      </w:pPr>
      <w:r>
        <w:rPr>
          <w:rFonts w:ascii="Arial" w:cs="Arial" w:eastAsia="Arial" w:hAnsi="Arial"/>
          <w:sz w:val="13"/>
          <w:szCs w:val="13"/>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Upon the Change of Control Payment Date, the Company shall, to the extent lawful:</w:t>
      </w:r>
    </w:p>
    <w:p>
      <w:pPr>
        <w:spacing w:after="0" w:line="86" w:lineRule="exact"/>
        <w:rPr>
          <w:sz w:val="20"/>
          <w:szCs w:val="20"/>
          <w:color w:val="auto"/>
        </w:rPr>
      </w:pPr>
    </w:p>
    <w:p>
      <w:pPr>
        <w:ind w:left="680" w:hanging="455"/>
        <w:spacing w:after="0"/>
        <w:tabs>
          <w:tab w:leader="none" w:pos="680" w:val="left"/>
        </w:tabs>
        <w:numPr>
          <w:ilvl w:val="0"/>
          <w:numId w:val="56"/>
        </w:numPr>
        <w:rPr>
          <w:rFonts w:ascii="Arial" w:cs="Arial" w:eastAsia="Arial" w:hAnsi="Arial"/>
          <w:sz w:val="13"/>
          <w:szCs w:val="13"/>
          <w:b w:val="1"/>
          <w:bCs w:val="1"/>
          <w:color w:val="auto"/>
        </w:rPr>
      </w:pPr>
      <w:r>
        <w:rPr>
          <w:rFonts w:ascii="Arial" w:cs="Arial" w:eastAsia="Arial" w:hAnsi="Arial"/>
          <w:sz w:val="13"/>
          <w:szCs w:val="13"/>
          <w:color w:val="auto"/>
        </w:rPr>
        <w:t>accept for payment all Securities or portions of Securities properly tendered and not withdrawn pursuant to the Change of Control Offer;</w:t>
      </w:r>
    </w:p>
    <w:p>
      <w:pPr>
        <w:spacing w:after="0" w:line="96" w:lineRule="exact"/>
        <w:rPr>
          <w:rFonts w:ascii="Arial" w:cs="Arial" w:eastAsia="Arial" w:hAnsi="Arial"/>
          <w:sz w:val="13"/>
          <w:szCs w:val="13"/>
          <w:b w:val="1"/>
          <w:bCs w:val="1"/>
          <w:color w:val="auto"/>
        </w:rPr>
      </w:pPr>
    </w:p>
    <w:p>
      <w:pPr>
        <w:ind w:left="680" w:hanging="455"/>
        <w:spacing w:after="0"/>
        <w:tabs>
          <w:tab w:leader="none" w:pos="680" w:val="left"/>
        </w:tabs>
        <w:numPr>
          <w:ilvl w:val="0"/>
          <w:numId w:val="56"/>
        </w:numPr>
        <w:rPr>
          <w:rFonts w:ascii="Arial" w:cs="Arial" w:eastAsia="Arial" w:hAnsi="Arial"/>
          <w:sz w:val="13"/>
          <w:szCs w:val="13"/>
          <w:b w:val="1"/>
          <w:bCs w:val="1"/>
          <w:color w:val="auto"/>
        </w:rPr>
      </w:pPr>
      <w:r>
        <w:rPr>
          <w:rFonts w:ascii="Arial" w:cs="Arial" w:eastAsia="Arial" w:hAnsi="Arial"/>
          <w:sz w:val="13"/>
          <w:szCs w:val="13"/>
          <w:color w:val="auto"/>
        </w:rPr>
        <w:t>deposit with the Paying Agent an amount equal to the Change of Control Payment in respect of all Securities or portions of Securities properly tendered; and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73" w:name="page74"/>
    <w:bookmarkEnd w:id="73"/>
    <w:p>
      <w:pPr>
        <w:ind w:left="680" w:right="360" w:hanging="455"/>
        <w:spacing w:after="0" w:line="276" w:lineRule="auto"/>
        <w:tabs>
          <w:tab w:leader="none" w:pos="680" w:val="left"/>
        </w:tabs>
        <w:numPr>
          <w:ilvl w:val="0"/>
          <w:numId w:val="57"/>
        </w:numPr>
        <w:rPr>
          <w:rFonts w:ascii="Arial" w:cs="Arial" w:eastAsia="Arial" w:hAnsi="Arial"/>
          <w:sz w:val="13"/>
          <w:szCs w:val="13"/>
          <w:b w:val="1"/>
          <w:bCs w:val="1"/>
          <w:color w:val="auto"/>
        </w:rPr>
      </w:pPr>
      <w:r>
        <w:rPr>
          <w:rFonts w:ascii="Arial" w:cs="Arial" w:eastAsia="Arial" w:hAnsi="Arial"/>
          <w:sz w:val="13"/>
          <w:szCs w:val="13"/>
          <w:color w:val="auto"/>
        </w:rPr>
        <w:t>deliver or cause to be delivered to the Trustee the Securities properly accepted together with an Officers’ Certificate stating the aggregate principal amount of Securities or portions of Securities being repurchased.</w:t>
      </w:r>
    </w:p>
    <w:p>
      <w:pPr>
        <w:spacing w:after="0" w:line="49" w:lineRule="exact"/>
        <w:rPr>
          <w:sz w:val="20"/>
          <w:szCs w:val="20"/>
          <w:color w:val="auto"/>
        </w:rPr>
      </w:pPr>
    </w:p>
    <w:p>
      <w:pPr>
        <w:ind w:firstLine="161"/>
        <w:spacing w:after="0" w:line="260" w:lineRule="auto"/>
        <w:rPr>
          <w:sz w:val="20"/>
          <w:szCs w:val="20"/>
          <w:color w:val="auto"/>
        </w:rPr>
      </w:pPr>
      <w:r>
        <w:rPr>
          <w:rFonts w:ascii="Arial" w:cs="Arial" w:eastAsia="Arial" w:hAnsi="Arial"/>
          <w:sz w:val="13"/>
          <w:szCs w:val="13"/>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60" w:lineRule="exact"/>
        <w:rPr>
          <w:sz w:val="20"/>
          <w:szCs w:val="20"/>
          <w:color w:val="auto"/>
        </w:rPr>
      </w:pPr>
    </w:p>
    <w:p>
      <w:pPr>
        <w:ind w:firstLine="161"/>
        <w:spacing w:after="0" w:line="260" w:lineRule="auto"/>
        <w:rPr>
          <w:sz w:val="20"/>
          <w:szCs w:val="20"/>
          <w:color w:val="auto"/>
        </w:rPr>
      </w:pPr>
      <w:r>
        <w:rPr>
          <w:rFonts w:ascii="Arial" w:cs="Arial" w:eastAsia="Arial" w:hAnsi="Arial"/>
          <w:sz w:val="13"/>
          <w:szCs w:val="13"/>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may comply with those securities laws and regulations and, if so, will not be deemed to have breached its obligations under the Change of Control Offer provisions of this Security by virtue of any such conflict.</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For purposes of the Change of Control Offer provisions of the Securities, the following terms are applicable:</w:t>
      </w:r>
    </w:p>
    <w:p>
      <w:pPr>
        <w:spacing w:after="0" w:line="86" w:lineRule="exact"/>
        <w:rPr>
          <w:sz w:val="20"/>
          <w:szCs w:val="20"/>
          <w:color w:val="auto"/>
        </w:rPr>
      </w:pPr>
    </w:p>
    <w:p>
      <w:pPr>
        <w:ind w:right="20" w:firstLine="164"/>
        <w:spacing w:after="0" w:line="279" w:lineRule="auto"/>
        <w:rPr>
          <w:sz w:val="20"/>
          <w:szCs w:val="20"/>
          <w:color w:val="auto"/>
        </w:rPr>
      </w:pPr>
      <w:r>
        <w:rPr>
          <w:rFonts w:ascii="Arial" w:cs="Arial" w:eastAsia="Arial" w:hAnsi="Arial"/>
          <w:sz w:val="12"/>
          <w:szCs w:val="12"/>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(4) the first day on which a majority of the members of the Board of Directors of the Company are not Continuing Directors; or (5) the adoption of a plan relating to the liquidation or dissolution of the Company.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74" w:name="page75"/>
    <w:bookmarkEnd w:id="74"/>
    <w:p>
      <w:pPr>
        <w:ind w:left="1" w:firstLine="164"/>
        <w:spacing w:after="0" w:line="289" w:lineRule="auto"/>
        <w:rPr>
          <w:sz w:val="20"/>
          <w:szCs w:val="20"/>
          <w:color w:val="auto"/>
        </w:rPr>
      </w:pPr>
      <w:r>
        <w:rPr>
          <w:rFonts w:ascii="Arial" w:cs="Arial" w:eastAsia="Arial" w:hAnsi="Arial"/>
          <w:sz w:val="12"/>
          <w:szCs w:val="12"/>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43" w:lineRule="exact"/>
        <w:rPr>
          <w:sz w:val="20"/>
          <w:szCs w:val="20"/>
          <w:color w:val="auto"/>
        </w:rPr>
      </w:pPr>
    </w:p>
    <w:p>
      <w:pPr>
        <w:ind w:left="161"/>
        <w:spacing w:after="0"/>
        <w:rPr>
          <w:sz w:val="20"/>
          <w:szCs w:val="20"/>
          <w:color w:val="auto"/>
        </w:rPr>
      </w:pPr>
      <w:r>
        <w:rPr>
          <w:rFonts w:ascii="Arial" w:cs="Arial" w:eastAsia="Arial" w:hAnsi="Arial"/>
          <w:sz w:val="13"/>
          <w:szCs w:val="13"/>
          <w:color w:val="auto"/>
        </w:rPr>
        <w:t>“Change of Control Triggering Event” means the occurrence of both a Change of Control and a Rating Event.</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2"/>
          <w:szCs w:val="12"/>
          <w:color w:val="auto"/>
        </w:rPr>
        <w:t>“Continuing Directors” means, as of any date of determination, any member of the Board of Directors of the Company who (1) was a member of such Board of Directors on the date the Securities were issued or</w:t>
      </w:r>
    </w:p>
    <w:p>
      <w:pPr>
        <w:spacing w:after="0" w:line="27" w:lineRule="exact"/>
        <w:rPr>
          <w:sz w:val="20"/>
          <w:szCs w:val="20"/>
          <w:color w:val="auto"/>
        </w:rPr>
      </w:pPr>
    </w:p>
    <w:p>
      <w:pPr>
        <w:ind w:left="1" w:right="20" w:hanging="1"/>
        <w:spacing w:after="0" w:line="307" w:lineRule="auto"/>
        <w:tabs>
          <w:tab w:leader="none" w:pos="187" w:val="left"/>
        </w:tabs>
        <w:numPr>
          <w:ilvl w:val="0"/>
          <w:numId w:val="58"/>
        </w:numPr>
        <w:rPr>
          <w:rFonts w:ascii="Arial" w:cs="Arial" w:eastAsia="Arial" w:hAnsi="Arial"/>
          <w:sz w:val="12"/>
          <w:szCs w:val="12"/>
          <w:color w:val="auto"/>
        </w:rPr>
      </w:pPr>
      <w:r>
        <w:rPr>
          <w:rFonts w:ascii="Arial" w:cs="Arial" w:eastAsia="Arial" w:hAnsi="Arial"/>
          <w:sz w:val="12"/>
          <w:szCs w:val="12"/>
          <w:color w:val="auto"/>
        </w:rPr>
        <w:t>was nominated for election, elected or appointed to such Board of Directors with the approval of a majority of the Continuing Directors who were members of such Board of Directors at the time of such nomination, election or appointment (either by a specific vote or by approval of the Company’s proxy statement in which such member was named as a nominee for election as a director, without objection to such nomination).</w:t>
      </w:r>
    </w:p>
    <w:p>
      <w:pPr>
        <w:spacing w:after="0" w:line="33" w:lineRule="exact"/>
        <w:rPr>
          <w:sz w:val="20"/>
          <w:szCs w:val="20"/>
          <w:color w:val="auto"/>
        </w:rPr>
      </w:pPr>
    </w:p>
    <w:p>
      <w:pPr>
        <w:ind w:left="161"/>
        <w:spacing w:after="0"/>
        <w:rPr>
          <w:sz w:val="20"/>
          <w:szCs w:val="20"/>
          <w:color w:val="auto"/>
        </w:rPr>
      </w:pPr>
      <w:r>
        <w:rPr>
          <w:rFonts w:ascii="Arial" w:cs="Arial" w:eastAsia="Arial" w:hAnsi="Arial"/>
          <w:sz w:val="13"/>
          <w:szCs w:val="13"/>
          <w:color w:val="auto"/>
        </w:rPr>
        <w:t>“Fitch” means Fitch Inc. and its successors.</w:t>
      </w:r>
    </w:p>
    <w:p>
      <w:pPr>
        <w:spacing w:after="0" w:line="86" w:lineRule="exact"/>
        <w:rPr>
          <w:sz w:val="20"/>
          <w:szCs w:val="20"/>
          <w:color w:val="auto"/>
        </w:rPr>
      </w:pPr>
    </w:p>
    <w:p>
      <w:pPr>
        <w:ind w:left="1" w:right="100" w:firstLine="164"/>
        <w:spacing w:after="0" w:line="276" w:lineRule="auto"/>
        <w:rPr>
          <w:sz w:val="20"/>
          <w:szCs w:val="20"/>
          <w:color w:val="auto"/>
        </w:rPr>
      </w:pPr>
      <w:r>
        <w:rPr>
          <w:rFonts w:ascii="Arial" w:cs="Arial" w:eastAsia="Arial" w:hAnsi="Arial"/>
          <w:sz w:val="13"/>
          <w:szCs w:val="13"/>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3"/>
          <w:szCs w:val="13"/>
          <w:color w:val="auto"/>
        </w:rPr>
        <w:t>“Moody’s” means Moody’s Investors Service, Inc. and its successors.</w:t>
      </w:r>
    </w:p>
    <w:p>
      <w:pPr>
        <w:spacing w:after="0" w:line="86" w:lineRule="exact"/>
        <w:rPr>
          <w:sz w:val="20"/>
          <w:szCs w:val="20"/>
          <w:color w:val="auto"/>
        </w:rPr>
      </w:pPr>
    </w:p>
    <w:p>
      <w:pPr>
        <w:ind w:left="1" w:right="100" w:firstLine="164"/>
        <w:spacing w:after="0" w:line="264" w:lineRule="auto"/>
        <w:rPr>
          <w:sz w:val="20"/>
          <w:szCs w:val="20"/>
          <w:color w:val="auto"/>
        </w:rPr>
      </w:pPr>
      <w:r>
        <w:rPr>
          <w:rFonts w:ascii="Arial" w:cs="Arial" w:eastAsia="Arial" w:hAnsi="Arial"/>
          <w:sz w:val="13"/>
          <w:szCs w:val="13"/>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Rule 15c3-1(c)(2)(vi)(F) under the Exchange Act selected by the Company (as certified by a resolution of our Board of Directors) as a replacement agency for Fitch, Moody’s or S&amp;P, or all of them, as the case may be.</w:t>
      </w:r>
    </w:p>
    <w:p>
      <w:pPr>
        <w:spacing w:after="0" w:line="57" w:lineRule="exact"/>
        <w:rPr>
          <w:sz w:val="20"/>
          <w:szCs w:val="20"/>
          <w:color w:val="auto"/>
        </w:rPr>
      </w:pPr>
    </w:p>
    <w:p>
      <w:pPr>
        <w:ind w:left="1" w:right="120" w:firstLine="164"/>
        <w:spacing w:after="0" w:line="260" w:lineRule="auto"/>
        <w:rPr>
          <w:sz w:val="20"/>
          <w:szCs w:val="20"/>
          <w:color w:val="auto"/>
        </w:rPr>
      </w:pPr>
      <w:r>
        <w:rPr>
          <w:rFonts w:ascii="Arial" w:cs="Arial" w:eastAsia="Arial" w:hAnsi="Arial"/>
          <w:sz w:val="13"/>
          <w:szCs w:val="13"/>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60" w:lineRule="exact"/>
        <w:rPr>
          <w:sz w:val="20"/>
          <w:szCs w:val="20"/>
          <w:color w:val="auto"/>
        </w:rPr>
      </w:pPr>
    </w:p>
    <w:p>
      <w:pPr>
        <w:ind w:left="161"/>
        <w:spacing w:after="0"/>
        <w:rPr>
          <w:sz w:val="20"/>
          <w:szCs w:val="20"/>
          <w:color w:val="auto"/>
        </w:rPr>
      </w:pPr>
      <w:r>
        <w:rPr>
          <w:rFonts w:ascii="Arial" w:cs="Arial" w:eastAsia="Arial" w:hAnsi="Arial"/>
          <w:sz w:val="13"/>
          <w:szCs w:val="13"/>
          <w:color w:val="auto"/>
        </w:rPr>
        <w:t>“S&amp;P” means Standard &amp; Poor’s Ratings Services, a division of The McGraw-Hill Companies, Inc., and its successors.</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75" w:name="page76"/>
    <w:bookmarkEnd w:id="75"/>
    <w:p>
      <w:pPr>
        <w:ind w:right="40" w:firstLine="164"/>
        <w:spacing w:after="0" w:line="276" w:lineRule="auto"/>
        <w:rPr>
          <w:sz w:val="20"/>
          <w:szCs w:val="20"/>
          <w:color w:val="auto"/>
        </w:rPr>
      </w:pPr>
      <w:r>
        <w:rPr>
          <w:rFonts w:ascii="Arial" w:cs="Arial" w:eastAsia="Arial" w:hAnsi="Arial"/>
          <w:sz w:val="13"/>
          <w:szCs w:val="13"/>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49" w:lineRule="exact"/>
        <w:rPr>
          <w:sz w:val="20"/>
          <w:szCs w:val="20"/>
          <w:color w:val="auto"/>
        </w:rPr>
      </w:pPr>
    </w:p>
    <w:p>
      <w:pPr>
        <w:ind w:left="300" w:hanging="138"/>
        <w:spacing w:after="0"/>
        <w:tabs>
          <w:tab w:leader="none" w:pos="300" w:val="left"/>
        </w:tabs>
        <w:numPr>
          <w:ilvl w:val="0"/>
          <w:numId w:val="59"/>
        </w:numPr>
        <w:rPr>
          <w:rFonts w:ascii="Arial" w:cs="Arial" w:eastAsia="Arial" w:hAnsi="Arial"/>
          <w:sz w:val="13"/>
          <w:szCs w:val="13"/>
          <w:color w:val="auto"/>
        </w:rPr>
      </w:pPr>
      <w:r>
        <w:rPr>
          <w:rFonts w:ascii="Arial" w:cs="Arial" w:eastAsia="Arial" w:hAnsi="Arial"/>
          <w:sz w:val="13"/>
          <w:szCs w:val="13"/>
          <w:i w:val="1"/>
          <w:iCs w:val="1"/>
          <w:color w:val="auto"/>
        </w:rPr>
        <w:t>Denominations; Transfer; Exchange.</w:t>
      </w:r>
    </w:p>
    <w:p>
      <w:pPr>
        <w:spacing w:after="0" w:line="86" w:lineRule="exact"/>
        <w:rPr>
          <w:sz w:val="20"/>
          <w:szCs w:val="20"/>
          <w:color w:val="auto"/>
        </w:rPr>
      </w:pPr>
    </w:p>
    <w:p>
      <w:pPr>
        <w:ind w:right="80" w:firstLine="161"/>
        <w:spacing w:after="0" w:line="264" w:lineRule="auto"/>
        <w:rPr>
          <w:sz w:val="20"/>
          <w:szCs w:val="20"/>
          <w:color w:val="auto"/>
        </w:rPr>
      </w:pPr>
      <w:r>
        <w:rPr>
          <w:rFonts w:ascii="Arial" w:cs="Arial" w:eastAsia="Arial" w:hAnsi="Arial"/>
          <w:sz w:val="13"/>
          <w:szCs w:val="13"/>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57" w:lineRule="exact"/>
        <w:rPr>
          <w:sz w:val="20"/>
          <w:szCs w:val="20"/>
          <w:color w:val="auto"/>
        </w:rPr>
      </w:pPr>
    </w:p>
    <w:p>
      <w:pPr>
        <w:ind w:left="300" w:hanging="138"/>
        <w:spacing w:after="0"/>
        <w:tabs>
          <w:tab w:leader="none" w:pos="300" w:val="left"/>
        </w:tabs>
        <w:numPr>
          <w:ilvl w:val="0"/>
          <w:numId w:val="60"/>
        </w:numPr>
        <w:rPr>
          <w:rFonts w:ascii="Arial" w:cs="Arial" w:eastAsia="Arial" w:hAnsi="Arial"/>
          <w:sz w:val="13"/>
          <w:szCs w:val="13"/>
          <w:color w:val="auto"/>
        </w:rPr>
      </w:pPr>
      <w:r>
        <w:rPr>
          <w:rFonts w:ascii="Arial" w:cs="Arial" w:eastAsia="Arial" w:hAnsi="Arial"/>
          <w:sz w:val="13"/>
          <w:szCs w:val="13"/>
          <w:i w:val="1"/>
          <w:iCs w:val="1"/>
          <w:color w:val="auto"/>
        </w:rPr>
        <w:t>Person Deemed Owners.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registered Holder of a Security may be treated as the owner of it for all purposes.</w:t>
      </w:r>
    </w:p>
    <w:p>
      <w:pPr>
        <w:spacing w:after="0" w:line="86" w:lineRule="exact"/>
        <w:rPr>
          <w:sz w:val="20"/>
          <w:szCs w:val="20"/>
          <w:color w:val="auto"/>
        </w:rPr>
      </w:pPr>
    </w:p>
    <w:p>
      <w:pPr>
        <w:ind w:left="300" w:hanging="138"/>
        <w:spacing w:after="0"/>
        <w:tabs>
          <w:tab w:leader="none" w:pos="300" w:val="left"/>
        </w:tabs>
        <w:numPr>
          <w:ilvl w:val="0"/>
          <w:numId w:val="61"/>
        </w:numPr>
        <w:rPr>
          <w:rFonts w:ascii="Arial" w:cs="Arial" w:eastAsia="Arial" w:hAnsi="Arial"/>
          <w:sz w:val="13"/>
          <w:szCs w:val="13"/>
          <w:color w:val="auto"/>
        </w:rPr>
      </w:pPr>
      <w:r>
        <w:rPr>
          <w:rFonts w:ascii="Arial" w:cs="Arial" w:eastAsia="Arial" w:hAnsi="Arial"/>
          <w:sz w:val="13"/>
          <w:szCs w:val="13"/>
          <w:i w:val="1"/>
          <w:iCs w:val="1"/>
          <w:color w:val="auto"/>
        </w:rPr>
        <w:t>Amendment; Supplement; Waiver.</w:t>
      </w:r>
    </w:p>
    <w:p>
      <w:pPr>
        <w:spacing w:after="0" w:line="86" w:lineRule="exact"/>
        <w:rPr>
          <w:sz w:val="20"/>
          <w:szCs w:val="20"/>
          <w:color w:val="auto"/>
        </w:rPr>
      </w:pPr>
    </w:p>
    <w:p>
      <w:pPr>
        <w:ind w:right="200" w:firstLine="164"/>
        <w:spacing w:after="0" w:line="258" w:lineRule="auto"/>
        <w:rPr>
          <w:sz w:val="20"/>
          <w:szCs w:val="20"/>
          <w:color w:val="auto"/>
        </w:rPr>
      </w:pPr>
      <w:r>
        <w:rPr>
          <w:rFonts w:ascii="Arial" w:cs="Arial" w:eastAsia="Arial" w:hAnsi="Arial"/>
          <w:sz w:val="13"/>
          <w:szCs w:val="13"/>
          <w:color w:val="auto"/>
        </w:rPr>
        <w:t>Subject to certain exceptions, the Indenture may be amended or supplemented, and any existing Event of Default or compliance with any provision may be waived, with the consent of the Holders of a majority in principal amount of the Outstanding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61" w:lineRule="exact"/>
        <w:rPr>
          <w:sz w:val="20"/>
          <w:szCs w:val="20"/>
          <w:color w:val="auto"/>
        </w:rPr>
      </w:pPr>
    </w:p>
    <w:p>
      <w:pPr>
        <w:ind w:left="360" w:hanging="198"/>
        <w:spacing w:after="0"/>
        <w:tabs>
          <w:tab w:leader="none" w:pos="360" w:val="left"/>
        </w:tabs>
        <w:numPr>
          <w:ilvl w:val="0"/>
          <w:numId w:val="62"/>
        </w:numPr>
        <w:rPr>
          <w:rFonts w:ascii="Arial" w:cs="Arial" w:eastAsia="Arial" w:hAnsi="Arial"/>
          <w:sz w:val="13"/>
          <w:szCs w:val="13"/>
          <w:color w:val="auto"/>
        </w:rPr>
      </w:pPr>
      <w:r>
        <w:rPr>
          <w:rFonts w:ascii="Arial" w:cs="Arial" w:eastAsia="Arial" w:hAnsi="Arial"/>
          <w:sz w:val="13"/>
          <w:szCs w:val="13"/>
          <w:i w:val="1"/>
          <w:iCs w:val="1"/>
          <w:color w:val="auto"/>
        </w:rPr>
        <w:t>Defaults and Remedies.</w:t>
      </w:r>
    </w:p>
    <w:p>
      <w:pPr>
        <w:spacing w:after="0" w:line="86" w:lineRule="exact"/>
        <w:rPr>
          <w:sz w:val="20"/>
          <w:szCs w:val="20"/>
          <w:color w:val="auto"/>
        </w:rPr>
      </w:pPr>
    </w:p>
    <w:p>
      <w:pPr>
        <w:ind w:firstLine="164"/>
        <w:spacing w:after="0" w:line="281" w:lineRule="auto"/>
        <w:rPr>
          <w:sz w:val="20"/>
          <w:szCs w:val="20"/>
          <w:color w:val="auto"/>
        </w:rPr>
      </w:pPr>
      <w:r>
        <w:rPr>
          <w:rFonts w:ascii="Arial" w:cs="Arial" w:eastAsia="Arial" w:hAnsi="Arial"/>
          <w:sz w:val="12"/>
          <w:szCs w:val="12"/>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76" w:name="page77"/>
    <w:bookmarkEnd w:id="76"/>
    <w:p>
      <w:pPr>
        <w:ind w:left="1" w:right="20" w:hanging="1"/>
        <w:spacing w:after="0" w:line="260" w:lineRule="auto"/>
        <w:tabs>
          <w:tab w:leader="none" w:pos="187" w:val="left"/>
        </w:tabs>
        <w:numPr>
          <w:ilvl w:val="0"/>
          <w:numId w:val="63"/>
        </w:numPr>
        <w:rPr>
          <w:rFonts w:ascii="Arial" w:cs="Arial" w:eastAsia="Arial" w:hAnsi="Arial"/>
          <w:sz w:val="13"/>
          <w:szCs w:val="13"/>
          <w:color w:val="auto"/>
        </w:rPr>
      </w:pPr>
      <w:r>
        <w:rPr>
          <w:rFonts w:ascii="Arial" w:cs="Arial" w:eastAsia="Arial" w:hAnsi="Arial"/>
          <w:sz w:val="13"/>
          <w:szCs w:val="13"/>
          <w:color w:val="auto"/>
        </w:rPr>
        <w:t>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59" w:lineRule="exact"/>
        <w:rPr>
          <w:rFonts w:ascii="Arial" w:cs="Arial" w:eastAsia="Arial" w:hAnsi="Arial"/>
          <w:sz w:val="13"/>
          <w:szCs w:val="13"/>
          <w:color w:val="auto"/>
        </w:rPr>
      </w:pPr>
    </w:p>
    <w:p>
      <w:pPr>
        <w:ind w:left="361" w:hanging="198"/>
        <w:spacing w:after="0"/>
        <w:tabs>
          <w:tab w:leader="none" w:pos="361" w:val="left"/>
        </w:tabs>
        <w:numPr>
          <w:ilvl w:val="1"/>
          <w:numId w:val="63"/>
        </w:numPr>
        <w:rPr>
          <w:rFonts w:ascii="Arial" w:cs="Arial" w:eastAsia="Arial" w:hAnsi="Arial"/>
          <w:sz w:val="13"/>
          <w:szCs w:val="13"/>
          <w:color w:val="auto"/>
        </w:rPr>
      </w:pPr>
      <w:r>
        <w:rPr>
          <w:rFonts w:ascii="Arial" w:cs="Arial" w:eastAsia="Arial" w:hAnsi="Arial"/>
          <w:sz w:val="13"/>
          <w:szCs w:val="13"/>
          <w:i w:val="1"/>
          <w:iCs w:val="1"/>
          <w:color w:val="auto"/>
        </w:rPr>
        <w:t>Trustee Dealings with Company.</w:t>
      </w:r>
    </w:p>
    <w:p>
      <w:pPr>
        <w:spacing w:after="0" w:line="86" w:lineRule="exact"/>
        <w:rPr>
          <w:sz w:val="20"/>
          <w:szCs w:val="20"/>
          <w:color w:val="auto"/>
        </w:rPr>
      </w:pPr>
    </w:p>
    <w:p>
      <w:pPr>
        <w:ind w:left="1" w:right="380" w:firstLine="161"/>
        <w:spacing w:after="0" w:line="276" w:lineRule="auto"/>
        <w:rPr>
          <w:sz w:val="20"/>
          <w:szCs w:val="20"/>
          <w:color w:val="auto"/>
        </w:rPr>
      </w:pPr>
      <w:r>
        <w:rPr>
          <w:rFonts w:ascii="Arial" w:cs="Arial" w:eastAsia="Arial" w:hAnsi="Arial"/>
          <w:sz w:val="13"/>
          <w:szCs w:val="13"/>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49" w:lineRule="exact"/>
        <w:rPr>
          <w:sz w:val="20"/>
          <w:szCs w:val="20"/>
          <w:color w:val="auto"/>
        </w:rPr>
      </w:pPr>
    </w:p>
    <w:p>
      <w:pPr>
        <w:ind w:left="361" w:hanging="198"/>
        <w:spacing w:after="0"/>
        <w:tabs>
          <w:tab w:leader="none" w:pos="361" w:val="left"/>
        </w:tabs>
        <w:numPr>
          <w:ilvl w:val="0"/>
          <w:numId w:val="64"/>
        </w:numPr>
        <w:rPr>
          <w:rFonts w:ascii="Arial" w:cs="Arial" w:eastAsia="Arial" w:hAnsi="Arial"/>
          <w:sz w:val="13"/>
          <w:szCs w:val="13"/>
          <w:color w:val="auto"/>
        </w:rPr>
      </w:pPr>
      <w:r>
        <w:rPr>
          <w:rFonts w:ascii="Arial" w:cs="Arial" w:eastAsia="Arial" w:hAnsi="Arial"/>
          <w:sz w:val="13"/>
          <w:szCs w:val="13"/>
          <w:i w:val="1"/>
          <w:iCs w:val="1"/>
          <w:color w:val="auto"/>
        </w:rPr>
        <w:t>Authentication.</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This Security shall not be valid until the Trustee or authenticating agent signs the certificate of authentication on the other side of this Security.</w:t>
      </w:r>
    </w:p>
    <w:p>
      <w:pPr>
        <w:spacing w:after="0" w:line="86" w:lineRule="exact"/>
        <w:rPr>
          <w:sz w:val="20"/>
          <w:szCs w:val="20"/>
          <w:color w:val="auto"/>
        </w:rPr>
      </w:pPr>
    </w:p>
    <w:p>
      <w:pPr>
        <w:ind w:left="361" w:hanging="198"/>
        <w:spacing w:after="0"/>
        <w:tabs>
          <w:tab w:leader="none" w:pos="361" w:val="left"/>
        </w:tabs>
        <w:numPr>
          <w:ilvl w:val="0"/>
          <w:numId w:val="65"/>
        </w:numPr>
        <w:rPr>
          <w:rFonts w:ascii="Arial" w:cs="Arial" w:eastAsia="Arial" w:hAnsi="Arial"/>
          <w:sz w:val="13"/>
          <w:szCs w:val="13"/>
          <w:color w:val="auto"/>
        </w:rPr>
      </w:pPr>
      <w:r>
        <w:rPr>
          <w:rFonts w:ascii="Arial" w:cs="Arial" w:eastAsia="Arial" w:hAnsi="Arial"/>
          <w:sz w:val="13"/>
          <w:szCs w:val="13"/>
          <w:i w:val="1"/>
          <w:iCs w:val="1"/>
          <w:color w:val="auto"/>
        </w:rPr>
        <w:t>Abbreviations and Defined Terms.</w:t>
      </w:r>
    </w:p>
    <w:p>
      <w:pPr>
        <w:spacing w:after="0" w:line="86" w:lineRule="exact"/>
        <w:rPr>
          <w:sz w:val="20"/>
          <w:szCs w:val="20"/>
          <w:color w:val="auto"/>
        </w:rPr>
      </w:pPr>
    </w:p>
    <w:p>
      <w:pPr>
        <w:ind w:left="1" w:right="460" w:firstLine="164"/>
        <w:spacing w:after="0" w:line="276" w:lineRule="auto"/>
        <w:rPr>
          <w:sz w:val="20"/>
          <w:szCs w:val="20"/>
          <w:color w:val="auto"/>
        </w:rPr>
      </w:pPr>
      <w:r>
        <w:rPr>
          <w:rFonts w:ascii="Arial" w:cs="Arial" w:eastAsia="Arial" w:hAnsi="Arial"/>
          <w:sz w:val="13"/>
          <w:szCs w:val="13"/>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49" w:lineRule="exact"/>
        <w:rPr>
          <w:sz w:val="20"/>
          <w:szCs w:val="20"/>
          <w:color w:val="auto"/>
        </w:rPr>
      </w:pPr>
    </w:p>
    <w:p>
      <w:pPr>
        <w:ind w:left="361" w:hanging="198"/>
        <w:spacing w:after="0"/>
        <w:tabs>
          <w:tab w:leader="none" w:pos="361" w:val="left"/>
        </w:tabs>
        <w:numPr>
          <w:ilvl w:val="0"/>
          <w:numId w:val="66"/>
        </w:numPr>
        <w:rPr>
          <w:rFonts w:ascii="Arial" w:cs="Arial" w:eastAsia="Arial" w:hAnsi="Arial"/>
          <w:sz w:val="13"/>
          <w:szCs w:val="13"/>
          <w:color w:val="auto"/>
        </w:rPr>
      </w:pPr>
      <w:r>
        <w:rPr>
          <w:rFonts w:ascii="Arial" w:cs="Arial" w:eastAsia="Arial" w:hAnsi="Arial"/>
          <w:sz w:val="13"/>
          <w:szCs w:val="13"/>
          <w:i w:val="1"/>
          <w:iCs w:val="1"/>
          <w:color w:val="auto"/>
        </w:rPr>
        <w:t>CUSIP Numbers.</w:t>
      </w:r>
    </w:p>
    <w:p>
      <w:pPr>
        <w:spacing w:after="0" w:line="86" w:lineRule="exact"/>
        <w:rPr>
          <w:sz w:val="20"/>
          <w:szCs w:val="20"/>
          <w:color w:val="auto"/>
        </w:rPr>
      </w:pPr>
    </w:p>
    <w:p>
      <w:pPr>
        <w:ind w:left="1" w:firstLine="164"/>
        <w:spacing w:after="0" w:line="320" w:lineRule="auto"/>
        <w:rPr>
          <w:sz w:val="20"/>
          <w:szCs w:val="20"/>
          <w:color w:val="auto"/>
        </w:rPr>
      </w:pPr>
      <w:r>
        <w:rPr>
          <w:rFonts w:ascii="Arial" w:cs="Arial" w:eastAsia="Arial" w:hAnsi="Arial"/>
          <w:sz w:val="12"/>
          <w:szCs w:val="12"/>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25" w:lineRule="exact"/>
        <w:rPr>
          <w:sz w:val="20"/>
          <w:szCs w:val="20"/>
          <w:color w:val="auto"/>
        </w:rPr>
      </w:pPr>
    </w:p>
    <w:p>
      <w:pPr>
        <w:ind w:left="361" w:hanging="198"/>
        <w:spacing w:after="0"/>
        <w:tabs>
          <w:tab w:leader="none" w:pos="361" w:val="left"/>
        </w:tabs>
        <w:numPr>
          <w:ilvl w:val="0"/>
          <w:numId w:val="67"/>
        </w:numPr>
        <w:rPr>
          <w:rFonts w:ascii="Arial" w:cs="Arial" w:eastAsia="Arial" w:hAnsi="Arial"/>
          <w:sz w:val="13"/>
          <w:szCs w:val="13"/>
          <w:color w:val="auto"/>
        </w:rPr>
      </w:pPr>
      <w:r>
        <w:rPr>
          <w:rFonts w:ascii="Arial" w:cs="Arial" w:eastAsia="Arial" w:hAnsi="Arial"/>
          <w:sz w:val="13"/>
          <w:szCs w:val="13"/>
          <w:i w:val="1"/>
          <w:iCs w:val="1"/>
          <w:color w:val="auto"/>
        </w:rPr>
        <w:t>Absolute Obligation.</w:t>
      </w:r>
    </w:p>
    <w:p>
      <w:pPr>
        <w:spacing w:after="0" w:line="86" w:lineRule="exact"/>
        <w:rPr>
          <w:sz w:val="20"/>
          <w:szCs w:val="20"/>
          <w:color w:val="auto"/>
        </w:rPr>
      </w:pPr>
    </w:p>
    <w:p>
      <w:pPr>
        <w:ind w:left="1" w:right="180" w:firstLine="164"/>
        <w:spacing w:after="0" w:line="276" w:lineRule="auto"/>
        <w:rPr>
          <w:sz w:val="20"/>
          <w:szCs w:val="20"/>
          <w:color w:val="auto"/>
        </w:rPr>
      </w:pPr>
      <w:r>
        <w:rPr>
          <w:rFonts w:ascii="Arial" w:cs="Arial" w:eastAsia="Arial" w:hAnsi="Arial"/>
          <w:sz w:val="13"/>
          <w:szCs w:val="13"/>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49" w:lineRule="exact"/>
        <w:rPr>
          <w:sz w:val="20"/>
          <w:szCs w:val="20"/>
          <w:color w:val="auto"/>
        </w:rPr>
      </w:pPr>
    </w:p>
    <w:p>
      <w:pPr>
        <w:ind w:left="361" w:hanging="198"/>
        <w:spacing w:after="0"/>
        <w:tabs>
          <w:tab w:leader="none" w:pos="361" w:val="left"/>
        </w:tabs>
        <w:numPr>
          <w:ilvl w:val="0"/>
          <w:numId w:val="68"/>
        </w:numPr>
        <w:rPr>
          <w:rFonts w:ascii="Arial" w:cs="Arial" w:eastAsia="Arial" w:hAnsi="Arial"/>
          <w:sz w:val="13"/>
          <w:szCs w:val="13"/>
          <w:color w:val="auto"/>
        </w:rPr>
      </w:pPr>
      <w:r>
        <w:rPr>
          <w:rFonts w:ascii="Arial" w:cs="Arial" w:eastAsia="Arial" w:hAnsi="Arial"/>
          <w:sz w:val="13"/>
          <w:szCs w:val="13"/>
          <w:i w:val="1"/>
          <w:iCs w:val="1"/>
          <w:color w:val="auto"/>
        </w:rPr>
        <w:t>No Recourse.</w:t>
      </w:r>
    </w:p>
    <w:p>
      <w:pPr>
        <w:spacing w:after="0" w:line="86" w:lineRule="exact"/>
        <w:rPr>
          <w:sz w:val="20"/>
          <w:szCs w:val="20"/>
          <w:color w:val="auto"/>
        </w:rPr>
      </w:pPr>
    </w:p>
    <w:p>
      <w:pPr>
        <w:ind w:left="1" w:right="40" w:firstLine="164"/>
        <w:spacing w:after="0" w:line="276" w:lineRule="auto"/>
        <w:rPr>
          <w:sz w:val="20"/>
          <w:szCs w:val="20"/>
          <w:color w:val="auto"/>
        </w:rPr>
      </w:pPr>
      <w:r>
        <w:rPr>
          <w:rFonts w:ascii="Arial" w:cs="Arial" w:eastAsia="Arial" w:hAnsi="Arial"/>
          <w:sz w:val="13"/>
          <w:szCs w:val="13"/>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w:t>
      </w:r>
    </w:p>
    <w:p>
      <w:pPr>
        <w:spacing w:after="0" w:line="108"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1"/>
          </w:cols>
          <w:pgMar w:left="219" w:top="720" w:right="279" w:bottom="1440" w:gutter="0" w:footer="0" w:header="0"/>
        </w:sectPr>
      </w:pPr>
    </w:p>
    <w:bookmarkStart w:id="77" w:name="page78"/>
    <w:bookmarkEnd w:id="77"/>
    <w:p>
      <w:pPr>
        <w:spacing w:after="0" w:line="264" w:lineRule="auto"/>
        <w:rPr>
          <w:sz w:val="20"/>
          <w:szCs w:val="20"/>
          <w:color w:val="auto"/>
        </w:rPr>
      </w:pPr>
      <w:r>
        <w:rPr>
          <w:rFonts w:ascii="Arial" w:cs="Arial" w:eastAsia="Arial" w:hAnsi="Arial"/>
          <w:sz w:val="13"/>
          <w:szCs w:val="13"/>
          <w:color w:val="auto"/>
        </w:rPr>
        <w:t>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57" w:lineRule="exact"/>
        <w:rPr>
          <w:sz w:val="20"/>
          <w:szCs w:val="20"/>
          <w:color w:val="auto"/>
        </w:rPr>
      </w:pPr>
    </w:p>
    <w:p>
      <w:pPr>
        <w:ind w:left="360" w:hanging="198"/>
        <w:spacing w:after="0"/>
        <w:tabs>
          <w:tab w:leader="none" w:pos="360" w:val="left"/>
        </w:tabs>
        <w:numPr>
          <w:ilvl w:val="0"/>
          <w:numId w:val="69"/>
        </w:numPr>
        <w:rPr>
          <w:rFonts w:ascii="Arial" w:cs="Arial" w:eastAsia="Arial" w:hAnsi="Arial"/>
          <w:sz w:val="13"/>
          <w:szCs w:val="13"/>
          <w:color w:val="auto"/>
        </w:rPr>
      </w:pPr>
      <w:r>
        <w:rPr>
          <w:rFonts w:ascii="Arial" w:cs="Arial" w:eastAsia="Arial" w:hAnsi="Arial"/>
          <w:sz w:val="13"/>
          <w:szCs w:val="13"/>
          <w:i w:val="1"/>
          <w:iCs w:val="1"/>
          <w:color w:val="auto"/>
        </w:rPr>
        <w:t>Governing Law.</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This Security shall be construed in accordance with and governed by the laws of the State of New York.</w:t>
      </w:r>
    </w:p>
    <w:p>
      <w:pPr>
        <w:spacing w:after="0" w:line="86" w:lineRule="exact"/>
        <w:rPr>
          <w:sz w:val="20"/>
          <w:szCs w:val="20"/>
          <w:color w:val="auto"/>
        </w:rPr>
      </w:pPr>
    </w:p>
    <w:p>
      <w:pPr>
        <w:ind w:left="360" w:hanging="198"/>
        <w:spacing w:after="0"/>
        <w:tabs>
          <w:tab w:leader="none" w:pos="360" w:val="left"/>
        </w:tabs>
        <w:numPr>
          <w:ilvl w:val="0"/>
          <w:numId w:val="70"/>
        </w:numPr>
        <w:rPr>
          <w:rFonts w:ascii="Arial" w:cs="Arial" w:eastAsia="Arial" w:hAnsi="Arial"/>
          <w:sz w:val="13"/>
          <w:szCs w:val="13"/>
          <w:color w:val="auto"/>
        </w:rPr>
      </w:pPr>
      <w:r>
        <w:rPr>
          <w:rFonts w:ascii="Arial" w:cs="Arial" w:eastAsia="Arial" w:hAnsi="Arial"/>
          <w:sz w:val="13"/>
          <w:szCs w:val="13"/>
          <w:i w:val="1"/>
          <w:iCs w:val="1"/>
          <w:color w:val="auto"/>
        </w:rPr>
        <w:t>Guarantee.</w:t>
      </w:r>
    </w:p>
    <w:p>
      <w:pPr>
        <w:spacing w:after="0" w:line="86" w:lineRule="exact"/>
        <w:rPr>
          <w:sz w:val="20"/>
          <w:szCs w:val="20"/>
          <w:color w:val="auto"/>
        </w:rPr>
      </w:pPr>
    </w:p>
    <w:p>
      <w:pPr>
        <w:ind w:right="200" w:firstLine="161"/>
        <w:spacing w:after="0" w:line="296" w:lineRule="auto"/>
        <w:rPr>
          <w:sz w:val="20"/>
          <w:szCs w:val="20"/>
          <w:color w:val="auto"/>
        </w:rPr>
      </w:pPr>
      <w:r>
        <w:rPr>
          <w:rFonts w:ascii="Arial" w:cs="Arial" w:eastAsia="Arial" w:hAnsi="Arial"/>
          <w:sz w:val="12"/>
          <w:szCs w:val="12"/>
          <w:color w:val="auto"/>
        </w:rPr>
        <w:t>The Securities will be fully and unconditionally guaranteed on a senior basis by the Company’s wholly-owned subsidiary, Waste Management Holdings, Inc., pursuant to the terms and conditions of a Guarantee Agreement dated June 8, 2010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78" w:name="page79"/>
    <w:bookmarkEnd w:id="78"/>
    <w:p>
      <w:pPr>
        <w:ind w:left="4060"/>
        <w:spacing w:after="0"/>
        <w:rPr>
          <w:sz w:val="20"/>
          <w:szCs w:val="20"/>
          <w:color w:val="auto"/>
        </w:rPr>
      </w:pPr>
      <w:r>
        <w:rPr>
          <w:rFonts w:ascii="Arial" w:cs="Arial" w:eastAsia="Arial" w:hAnsi="Arial"/>
          <w:sz w:val="13"/>
          <w:szCs w:val="13"/>
          <w:color w:val="auto"/>
        </w:rPr>
        <w:t>SCHEDULE OF EXCHANGES OF DEFINITIVE SECURITY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following exchanges of a part of this Book-Entry Security for definitive Securities have been made: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80" w:type="dxa"/>
            <w:vAlign w:val="bottom"/>
          </w:tcPr>
          <w:p>
            <w:pPr>
              <w:jc w:val="center"/>
              <w:spacing w:after="0"/>
              <w:rPr>
                <w:sz w:val="20"/>
                <w:szCs w:val="20"/>
                <w:color w:val="auto"/>
              </w:rPr>
            </w:pPr>
            <w:r>
              <w:rPr>
                <w:rFonts w:ascii="Arial" w:cs="Arial" w:eastAsia="Arial" w:hAnsi="Arial"/>
                <w:sz w:val="10"/>
                <w:szCs w:val="10"/>
                <w:b w:val="1"/>
                <w:bCs w:val="1"/>
                <w:color w:val="auto"/>
                <w:w w:val="95"/>
              </w:rPr>
              <w:t>Amount of</w:t>
            </w:r>
          </w:p>
        </w:tc>
        <w:tc>
          <w:tcPr>
            <w:tcW w:w="104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Arial" w:cs="Arial" w:eastAsia="Arial" w:hAnsi="Arial"/>
                <w:sz w:val="10"/>
                <w:szCs w:val="10"/>
                <w:b w:val="1"/>
                <w:bCs w:val="1"/>
                <w:color w:val="auto"/>
                <w:w w:val="94"/>
              </w:rPr>
              <w:t>Amount of increase</w:t>
            </w:r>
          </w:p>
        </w:tc>
        <w:tc>
          <w:tcPr>
            <w:tcW w:w="1020" w:type="dxa"/>
            <w:vAlign w:val="bottom"/>
          </w:tcPr>
          <w:p>
            <w:pPr>
              <w:spacing w:after="0"/>
              <w:rPr>
                <w:sz w:val="10"/>
                <w:szCs w:val="10"/>
                <w:color w:val="auto"/>
              </w:rPr>
            </w:pPr>
          </w:p>
        </w:tc>
        <w:tc>
          <w:tcPr>
            <w:tcW w:w="1500" w:type="dxa"/>
            <w:vAlign w:val="bottom"/>
          </w:tcPr>
          <w:p>
            <w:pPr>
              <w:jc w:val="center"/>
              <w:spacing w:after="0"/>
              <w:rPr>
                <w:sz w:val="20"/>
                <w:szCs w:val="20"/>
                <w:color w:val="auto"/>
              </w:rPr>
            </w:pPr>
            <w:r>
              <w:rPr>
                <w:rFonts w:ascii="Arial" w:cs="Arial" w:eastAsia="Arial" w:hAnsi="Arial"/>
                <w:sz w:val="10"/>
                <w:szCs w:val="10"/>
                <w:b w:val="1"/>
                <w:bCs w:val="1"/>
                <w:color w:val="auto"/>
                <w:w w:val="98"/>
              </w:rPr>
              <w:t>Principal Amount</w:t>
            </w:r>
          </w:p>
        </w:tc>
        <w:tc>
          <w:tcPr>
            <w:tcW w:w="1020" w:type="dxa"/>
            <w:vAlign w:val="bottom"/>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2"/>
              </w:rPr>
              <w:t>Signature of</w:t>
            </w: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0"/>
              </w:rPr>
              <w:t>decrease in</w:t>
            </w:r>
          </w:p>
        </w:tc>
        <w:tc>
          <w:tcPr>
            <w:tcW w:w="1040" w:type="dxa"/>
            <w:vAlign w:val="bottom"/>
          </w:tcPr>
          <w:p>
            <w:pPr>
              <w:spacing w:after="0"/>
              <w:rPr>
                <w:sz w:val="9"/>
                <w:szCs w:val="9"/>
                <w:color w:val="auto"/>
              </w:rPr>
            </w:pPr>
          </w:p>
        </w:tc>
        <w:tc>
          <w:tcPr>
            <w:tcW w:w="15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in Principal</w:t>
            </w:r>
          </w:p>
        </w:tc>
        <w:tc>
          <w:tcPr>
            <w:tcW w:w="1020" w:type="dxa"/>
            <w:vAlign w:val="bottom"/>
          </w:tcPr>
          <w:p>
            <w:pPr>
              <w:spacing w:after="0"/>
              <w:rPr>
                <w:sz w:val="9"/>
                <w:szCs w:val="9"/>
                <w:color w:val="auto"/>
              </w:rPr>
            </w:pPr>
          </w:p>
        </w:tc>
        <w:tc>
          <w:tcPr>
            <w:tcW w:w="15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of this Book-Entry</w:t>
            </w:r>
          </w:p>
        </w:tc>
        <w:tc>
          <w:tcPr>
            <w:tcW w:w="102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Principal Amount</w:t>
            </w:r>
          </w:p>
        </w:tc>
        <w:tc>
          <w:tcPr>
            <w:tcW w:w="1040" w:type="dxa"/>
            <w:vAlign w:val="bottom"/>
          </w:tcPr>
          <w:p>
            <w:pPr>
              <w:spacing w:after="0"/>
              <w:rPr>
                <w:sz w:val="9"/>
                <w:szCs w:val="9"/>
                <w:color w:val="auto"/>
              </w:rPr>
            </w:pPr>
          </w:p>
        </w:tc>
        <w:tc>
          <w:tcPr>
            <w:tcW w:w="15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Amount of this</w:t>
            </w:r>
          </w:p>
        </w:tc>
        <w:tc>
          <w:tcPr>
            <w:tcW w:w="1020" w:type="dxa"/>
            <w:vAlign w:val="bottom"/>
          </w:tcPr>
          <w:p>
            <w:pPr>
              <w:spacing w:after="0"/>
              <w:rPr>
                <w:sz w:val="9"/>
                <w:szCs w:val="9"/>
                <w:color w:val="auto"/>
              </w:rPr>
            </w:pPr>
          </w:p>
        </w:tc>
        <w:tc>
          <w:tcPr>
            <w:tcW w:w="15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Security following</w:t>
            </w:r>
          </w:p>
        </w:tc>
        <w:tc>
          <w:tcPr>
            <w:tcW w:w="1020" w:type="dxa"/>
            <w:vAlign w:val="bottom"/>
          </w:tcPr>
          <w:p>
            <w:pPr>
              <w:spacing w:after="0"/>
              <w:rPr>
                <w:sz w:val="9"/>
                <w:szCs w:val="9"/>
                <w:color w:val="auto"/>
              </w:rPr>
            </w:pPr>
          </w:p>
        </w:tc>
        <w:tc>
          <w:tcPr>
            <w:tcW w:w="15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authorized officer</w:t>
            </w:r>
          </w:p>
        </w:tc>
        <w:tc>
          <w:tcPr>
            <w:tcW w:w="0" w:type="dxa"/>
            <w:vAlign w:val="bottom"/>
          </w:tcPr>
          <w:p>
            <w:pPr>
              <w:spacing w:after="0"/>
              <w:rPr>
                <w:sz w:val="1"/>
                <w:szCs w:val="1"/>
                <w:color w:val="auto"/>
              </w:rPr>
            </w:pPr>
          </w:p>
        </w:tc>
      </w:tr>
      <w:tr>
        <w:trPr>
          <w:trHeight w:val="108"/>
        </w:trPr>
        <w:tc>
          <w:tcPr>
            <w:tcW w:w="1340" w:type="dxa"/>
            <w:vAlign w:val="bottom"/>
            <w:vMerge w:val="restart"/>
          </w:tcPr>
          <w:p>
            <w:pPr>
              <w:ind w:left="280"/>
              <w:spacing w:after="0"/>
              <w:rPr>
                <w:sz w:val="20"/>
                <w:szCs w:val="20"/>
                <w:color w:val="auto"/>
              </w:rPr>
            </w:pPr>
            <w:r>
              <w:rPr>
                <w:rFonts w:ascii="Arial" w:cs="Arial" w:eastAsia="Arial" w:hAnsi="Arial"/>
                <w:sz w:val="10"/>
                <w:szCs w:val="10"/>
                <w:b w:val="1"/>
                <w:bCs w:val="1"/>
                <w:color w:val="auto"/>
              </w:rPr>
              <w:t>Date of Exchange</w:t>
            </w:r>
          </w:p>
        </w:tc>
        <w:tc>
          <w:tcPr>
            <w:tcW w:w="1020" w:type="dxa"/>
            <w:vAlign w:val="bottom"/>
          </w:tcPr>
          <w:p>
            <w:pPr>
              <w:spacing w:after="0"/>
              <w:rPr>
                <w:sz w:val="9"/>
                <w:szCs w:val="9"/>
                <w:color w:val="auto"/>
              </w:rPr>
            </w:pPr>
          </w:p>
        </w:tc>
        <w:tc>
          <w:tcPr>
            <w:tcW w:w="14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of this Book-Entry</w:t>
            </w:r>
          </w:p>
        </w:tc>
        <w:tc>
          <w:tcPr>
            <w:tcW w:w="1040" w:type="dxa"/>
            <w:vAlign w:val="bottom"/>
          </w:tcPr>
          <w:p>
            <w:pPr>
              <w:spacing w:after="0"/>
              <w:rPr>
                <w:sz w:val="9"/>
                <w:szCs w:val="9"/>
                <w:color w:val="auto"/>
              </w:rPr>
            </w:pPr>
          </w:p>
        </w:tc>
        <w:tc>
          <w:tcPr>
            <w:tcW w:w="15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Book-Entry</w:t>
            </w:r>
          </w:p>
        </w:tc>
        <w:tc>
          <w:tcPr>
            <w:tcW w:w="1020" w:type="dxa"/>
            <w:vAlign w:val="bottom"/>
          </w:tcPr>
          <w:p>
            <w:pPr>
              <w:spacing w:after="0"/>
              <w:rPr>
                <w:sz w:val="9"/>
                <w:szCs w:val="9"/>
                <w:color w:val="auto"/>
              </w:rPr>
            </w:pPr>
          </w:p>
        </w:tc>
        <w:tc>
          <w:tcPr>
            <w:tcW w:w="15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such decrease (or</w:t>
            </w:r>
          </w:p>
        </w:tc>
        <w:tc>
          <w:tcPr>
            <w:tcW w:w="1020" w:type="dxa"/>
            <w:vAlign w:val="bottom"/>
          </w:tcPr>
          <w:p>
            <w:pPr>
              <w:spacing w:after="0"/>
              <w:rPr>
                <w:sz w:val="9"/>
                <w:szCs w:val="9"/>
                <w:color w:val="auto"/>
              </w:rPr>
            </w:pPr>
          </w:p>
        </w:tc>
        <w:tc>
          <w:tcPr>
            <w:tcW w:w="15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of Trustee or</w:t>
            </w:r>
          </w:p>
        </w:tc>
        <w:tc>
          <w:tcPr>
            <w:tcW w:w="0" w:type="dxa"/>
            <w:vAlign w:val="bottom"/>
          </w:tcPr>
          <w:p>
            <w:pPr>
              <w:spacing w:after="0"/>
              <w:rPr>
                <w:sz w:val="1"/>
                <w:szCs w:val="1"/>
                <w:color w:val="auto"/>
              </w:rPr>
            </w:pPr>
          </w:p>
        </w:tc>
      </w:tr>
      <w:tr>
        <w:trPr>
          <w:trHeight w:val="125"/>
        </w:trPr>
        <w:tc>
          <w:tcPr>
            <w:tcW w:w="1340" w:type="dxa"/>
            <w:vAlign w:val="bottom"/>
            <w:tcBorders>
              <w:bottom w:val="single" w:sz="8" w:color="auto"/>
            </w:tcBorders>
            <w:vMerge w:val="continue"/>
          </w:tcPr>
          <w:p>
            <w:pPr>
              <w:spacing w:after="0"/>
              <w:rPr>
                <w:sz w:val="10"/>
                <w:szCs w:val="10"/>
                <w:color w:val="auto"/>
              </w:rPr>
            </w:pPr>
          </w:p>
        </w:tc>
        <w:tc>
          <w:tcPr>
            <w:tcW w:w="1020" w:type="dxa"/>
            <w:vAlign w:val="bottom"/>
          </w:tcPr>
          <w:p>
            <w:pPr>
              <w:spacing w:after="0"/>
              <w:rPr>
                <w:sz w:val="10"/>
                <w:szCs w:val="1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Security</w:t>
            </w:r>
          </w:p>
        </w:tc>
        <w:tc>
          <w:tcPr>
            <w:tcW w:w="1040" w:type="dxa"/>
            <w:vAlign w:val="bottom"/>
          </w:tcPr>
          <w:p>
            <w:pPr>
              <w:spacing w:after="0"/>
              <w:rPr>
                <w:sz w:val="10"/>
                <w:szCs w:val="1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Security</w:t>
            </w:r>
          </w:p>
        </w:tc>
        <w:tc>
          <w:tcPr>
            <w:tcW w:w="1020" w:type="dxa"/>
            <w:vAlign w:val="bottom"/>
          </w:tcPr>
          <w:p>
            <w:pPr>
              <w:spacing w:after="0"/>
              <w:rPr>
                <w:sz w:val="10"/>
                <w:szCs w:val="1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increase)</w:t>
            </w:r>
          </w:p>
        </w:tc>
        <w:tc>
          <w:tcPr>
            <w:tcW w:w="1020" w:type="dxa"/>
            <w:vAlign w:val="bottom"/>
          </w:tcPr>
          <w:p>
            <w:pPr>
              <w:spacing w:after="0"/>
              <w:rPr>
                <w:sz w:val="10"/>
                <w:szCs w:val="1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Security Custodian</w:t>
            </w:r>
          </w:p>
        </w:tc>
        <w:tc>
          <w:tcPr>
            <w:tcW w:w="0" w:type="dxa"/>
            <w:vAlign w:val="bottom"/>
          </w:tcPr>
          <w:p>
            <w:pPr>
              <w:spacing w:after="0"/>
              <w:rPr>
                <w:sz w:val="1"/>
                <w:szCs w:val="1"/>
                <w:color w:val="auto"/>
              </w:rPr>
            </w:pPr>
          </w:p>
        </w:tc>
      </w:tr>
    </w:tbl>
    <w:p>
      <w:pPr>
        <w:spacing w:after="0" w:line="2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79" w:name="page80"/>
    <w:bookmarkEnd w:id="79"/>
    <w:p>
      <w:pPr>
        <w:jc w:val="center"/>
        <w:ind w:right="-39"/>
        <w:spacing w:after="0"/>
        <w:rPr>
          <w:sz w:val="20"/>
          <w:szCs w:val="20"/>
          <w:color w:val="auto"/>
        </w:rPr>
      </w:pPr>
      <w:r>
        <w:rPr>
          <w:rFonts w:ascii="Arial" w:cs="Arial" w:eastAsia="Arial" w:hAnsi="Arial"/>
          <w:sz w:val="13"/>
          <w:szCs w:val="13"/>
          <w:b w:val="1"/>
          <w:bCs w:val="1"/>
          <w:i w:val="1"/>
          <w:iCs w:val="1"/>
          <w:color w:val="auto"/>
        </w:rPr>
        <w:t>Annex B</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Resolutions of the Board of Directors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of Waste Management, Inc.</w:t>
      </w:r>
    </w:p>
    <w:p>
      <w:pPr>
        <w:spacing w:after="0" w:line="75" w:lineRule="exact"/>
        <w:rPr>
          <w:sz w:val="20"/>
          <w:szCs w:val="20"/>
          <w:color w:val="auto"/>
        </w:rPr>
      </w:pPr>
    </w:p>
    <w:p>
      <w:pPr>
        <w:ind w:right="100" w:firstLine="164"/>
        <w:spacing w:after="0" w:line="262"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on September 22, 2006, Waste Management, Inc. (the “Company”) filed with the Securities Exchange Commission (the “SEC”) an automatic shelf registration statement on Form S-3, File No. 333-137526 (the “Automatic Shelf”), which registered the offer and sale by the Company from time to time of common stock; senior and subordinated debt securities; preferred stock; warrants; units; and guarantees by Waste Management Holdings, Inc., a wholly-owned subsidiary of the Company (“WMHI”), with respect to debt securities, in one or more classes or series in amounts as may be determined at the time of any offering; and</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pursuant to rules and regulations promulgated by SEC, the Automatic Shelf expires, by its terms, on September 22, 2009, three years after the effective date of the Automatic Shelf; and</w:t>
      </w:r>
    </w:p>
    <w:p>
      <w:pPr>
        <w:spacing w:after="0" w:line="98" w:lineRule="exact"/>
        <w:rPr>
          <w:sz w:val="20"/>
          <w:szCs w:val="20"/>
          <w:color w:val="auto"/>
        </w:rPr>
      </w:pPr>
    </w:p>
    <w:p>
      <w:pPr>
        <w:ind w:right="30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Company desires, and finds it in the best interests of the Company, to file a new automatic shelf registration statement on Form S-3 in order to facilitate any future offerings of securities by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or any selling security holders.</w:t>
      </w:r>
    </w:p>
    <w:p>
      <w:pPr>
        <w:spacing w:after="0" w:line="41" w:lineRule="exact"/>
        <w:rPr>
          <w:sz w:val="20"/>
          <w:szCs w:val="20"/>
          <w:color w:val="auto"/>
        </w:rPr>
      </w:pPr>
    </w:p>
    <w:p>
      <w:pPr>
        <w:ind w:firstLine="164"/>
        <w:spacing w:after="0" w:line="284" w:lineRule="auto"/>
        <w:rPr>
          <w:sz w:val="20"/>
          <w:szCs w:val="20"/>
          <w:color w:val="auto"/>
        </w:rPr>
      </w:pPr>
      <w:r>
        <w:rPr>
          <w:rFonts w:ascii="Arial" w:cs="Arial" w:eastAsia="Arial" w:hAnsi="Arial"/>
          <w:sz w:val="12"/>
          <w:szCs w:val="12"/>
          <w:b w:val="1"/>
          <w:bCs w:val="1"/>
          <w:color w:val="auto"/>
        </w:rPr>
        <w:t>NOW, THEREFORE, BE IT RESOLVED</w:t>
      </w:r>
      <w:r>
        <w:rPr>
          <w:rFonts w:ascii="Arial" w:cs="Arial" w:eastAsia="Arial" w:hAnsi="Arial"/>
          <w:sz w:val="12"/>
          <w:szCs w:val="12"/>
          <w:color w:val="auto"/>
        </w:rPr>
        <w:t>, that the Company is hereby authorized to prepare and file with the SEC an automatic shelf registration statement on Form S-3 (the “New Automatic Shelf”), pursuant to</w:t>
      </w:r>
      <w:r>
        <w:rPr>
          <w:rFonts w:ascii="Arial" w:cs="Arial" w:eastAsia="Arial" w:hAnsi="Arial"/>
          <w:sz w:val="12"/>
          <w:szCs w:val="12"/>
          <w:b w:val="1"/>
          <w:bCs w:val="1"/>
          <w:color w:val="auto"/>
        </w:rPr>
        <w:t xml:space="preserve"> </w:t>
      </w:r>
      <w:r>
        <w:rPr>
          <w:rFonts w:ascii="Arial" w:cs="Arial" w:eastAsia="Arial" w:hAnsi="Arial"/>
          <w:sz w:val="12"/>
          <w:szCs w:val="12"/>
          <w:color w:val="auto"/>
        </w:rPr>
        <w:t>the Securities Act of 1933, as amended, and the rules and regulations promulgated thereunder (the “Securities Act”), which New Automatic Shelf may cover, among other things, unsecured senior or subordinated debentures, notes or other evidences of indebtedness of the Company (collectively “Debt Securities”); shares of common stock, par value $0.01 per share, of the Company (the “Common Stock”); warrants to purchase shares of Common Stock; shares of preferred stock in such series with such designations, powers, preferences and relative and other special rights and qualifications, limitations and restrictions as the Board of Directors may from time to time authorize; guarantees of securities by Waste Management Holdings, Inc., a wholly-owned subsidiary of the Company; and any units consisting of one or more of the foregoing (the Debt Securities, Common Stock, warrants, preferred stock, guarantees and units collectively referred to herein as the “Securities”), to be issued from time to time;</w:t>
      </w:r>
    </w:p>
    <w:p>
      <w:pPr>
        <w:spacing w:after="0" w:line="43" w:lineRule="exact"/>
        <w:rPr>
          <w:sz w:val="20"/>
          <w:szCs w:val="20"/>
          <w:color w:val="auto"/>
        </w:rPr>
      </w:pPr>
    </w:p>
    <w:p>
      <w:pPr>
        <w:ind w:right="180" w:firstLine="164"/>
        <w:spacing w:after="0" w:line="283"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the proper officers (as established pursuant to these resolutions) be, and they hereby are, authorized, in their sole and absolute discretion, subject to any limitations set forth in these</w:t>
      </w:r>
      <w:r>
        <w:rPr>
          <w:rFonts w:ascii="Arial" w:cs="Arial" w:eastAsia="Arial" w:hAnsi="Arial"/>
          <w:sz w:val="13"/>
          <w:szCs w:val="13"/>
          <w:b w:val="1"/>
          <w:bCs w:val="1"/>
          <w:color w:val="auto"/>
        </w:rPr>
        <w:t xml:space="preserve"> </w:t>
      </w:r>
      <w:r>
        <w:rPr>
          <w:rFonts w:ascii="Arial" w:cs="Arial" w:eastAsia="Arial" w:hAnsi="Arial"/>
          <w:sz w:val="13"/>
          <w:szCs w:val="13"/>
          <w:color w:val="auto"/>
        </w:rPr>
        <w:t>resolutions, to cause the Company to offer and sell up to an aggregate of $3,000,000,000 of Securities without further approval of the Board of Directors;</w:t>
      </w:r>
    </w:p>
    <w:p>
      <w:pPr>
        <w:spacing w:after="0" w:line="41" w:lineRule="exact"/>
        <w:rPr>
          <w:sz w:val="20"/>
          <w:szCs w:val="20"/>
          <w:color w:val="auto"/>
        </w:rPr>
      </w:pPr>
    </w:p>
    <w:p>
      <w:pPr>
        <w:ind w:right="100" w:firstLine="164"/>
        <w:spacing w:after="0" w:line="267"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the proper officers and the authorized employees (as established pursuant to these resolutions) be, and each of them hereby is, authorized, in the name and on behalf of the Company,</w:t>
      </w:r>
      <w:r>
        <w:rPr>
          <w:rFonts w:ascii="Arial" w:cs="Arial" w:eastAsia="Arial" w:hAnsi="Arial"/>
          <w:sz w:val="13"/>
          <w:szCs w:val="13"/>
          <w:b w:val="1"/>
          <w:bCs w:val="1"/>
          <w:color w:val="auto"/>
        </w:rPr>
        <w:t xml:space="preserve"> </w:t>
      </w:r>
      <w:r>
        <w:rPr>
          <w:rFonts w:ascii="Arial" w:cs="Arial" w:eastAsia="Arial" w:hAnsi="Arial"/>
          <w:sz w:val="13"/>
          <w:szCs w:val="13"/>
          <w:color w:val="auto"/>
        </w:rPr>
        <w:t>to execute and cause to be filed with the SEC any and all amendments (including, without limitation, post-effective amendments) or supplements to the New Automatic Shelf and any prospectus included therein and any additional documents which such officer or employee may deem necessary or desirable with respect to the registration and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40" w:right="239" w:bottom="1440" w:gutter="0" w:footer="0" w:header="0"/>
        </w:sectPr>
      </w:pPr>
    </w:p>
    <w:bookmarkStart w:id="80" w:name="page81"/>
    <w:bookmarkEnd w:id="80"/>
    <w:p>
      <w:pPr>
        <w:ind w:right="200"/>
        <w:spacing w:after="0" w:line="276" w:lineRule="auto"/>
        <w:rPr>
          <w:sz w:val="20"/>
          <w:szCs w:val="20"/>
          <w:color w:val="auto"/>
        </w:rPr>
      </w:pPr>
      <w:r>
        <w:rPr>
          <w:rFonts w:ascii="Arial" w:cs="Arial" w:eastAsia="Arial" w:hAnsi="Arial"/>
          <w:sz w:val="13"/>
          <w:szCs w:val="13"/>
          <w:color w:val="auto"/>
        </w:rPr>
        <w:t>offering of the Securities, and such amendments, supplements, registration statements and documents to be in such form as the officer or employee executing the same may approve, as conclusively evidenced by his execution thereof;</w:t>
      </w:r>
    </w:p>
    <w:p>
      <w:pPr>
        <w:spacing w:after="0" w:line="45" w:lineRule="exact"/>
        <w:rPr>
          <w:sz w:val="20"/>
          <w:szCs w:val="20"/>
          <w:color w:val="auto"/>
        </w:rPr>
      </w:pPr>
    </w:p>
    <w:p>
      <w:pPr>
        <w:ind w:right="120" w:firstLine="164"/>
        <w:spacing w:after="0" w:line="283"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the General Counsel of the Company be, and he hereby is, designated and appointed the agent for service of process on the Company under the Securities Act in connection with the</w:t>
      </w:r>
      <w:r>
        <w:rPr>
          <w:rFonts w:ascii="Arial" w:cs="Arial" w:eastAsia="Arial" w:hAnsi="Arial"/>
          <w:sz w:val="13"/>
          <w:szCs w:val="13"/>
          <w:b w:val="1"/>
          <w:bCs w:val="1"/>
          <w:color w:val="auto"/>
        </w:rPr>
        <w:t xml:space="preserve"> </w:t>
      </w:r>
      <w:r>
        <w:rPr>
          <w:rFonts w:ascii="Arial" w:cs="Arial" w:eastAsia="Arial" w:hAnsi="Arial"/>
          <w:sz w:val="13"/>
          <w:szCs w:val="13"/>
          <w:color w:val="auto"/>
        </w:rPr>
        <w:t>New Automatic Shelf and any and all amendments and supplements thereto, with all powers incident to such appointment;</w:t>
      </w:r>
    </w:p>
    <w:p>
      <w:pPr>
        <w:spacing w:after="0" w:line="41" w:lineRule="exact"/>
        <w:rPr>
          <w:sz w:val="20"/>
          <w:szCs w:val="20"/>
          <w:color w:val="auto"/>
        </w:rPr>
      </w:pPr>
    </w:p>
    <w:p>
      <w:pPr>
        <w:ind w:right="60" w:firstLine="164"/>
        <w:spacing w:after="0" w:line="260"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the proper officers and authorized employees be and hereby are authorized and directed in the name and on behalf of the Company to take any and all action which they may deem</w:t>
      </w:r>
      <w:r>
        <w:rPr>
          <w:rFonts w:ascii="Arial" w:cs="Arial" w:eastAsia="Arial" w:hAnsi="Arial"/>
          <w:sz w:val="13"/>
          <w:szCs w:val="13"/>
          <w:b w:val="1"/>
          <w:bCs w:val="1"/>
          <w:color w:val="auto"/>
        </w:rPr>
        <w:t xml:space="preserve"> </w:t>
      </w:r>
      <w:r>
        <w:rPr>
          <w:rFonts w:ascii="Arial" w:cs="Arial" w:eastAsia="Arial" w:hAnsi="Arial"/>
          <w:sz w:val="13"/>
          <w:szCs w:val="13"/>
          <w:color w:val="auto"/>
        </w:rPr>
        <w:t>necessary or advisable in order to effect the registration or qualification of all or part of the Securities to be registered under the Securities Act, for offer and sale under the securities or Blue Sky laws of the states of the United States of America,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55" w:lineRule="exact"/>
        <w:rPr>
          <w:sz w:val="20"/>
          <w:szCs w:val="20"/>
          <w:color w:val="auto"/>
        </w:rPr>
      </w:pPr>
    </w:p>
    <w:p>
      <w:pPr>
        <w:ind w:firstLine="164"/>
        <w:spacing w:after="0" w:line="262"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the form of any additional resolutions required in connection with the appropriate qualification or registration of the Securities for offer and sale under such securities or Blue Sky</w:t>
      </w:r>
      <w:r>
        <w:rPr>
          <w:rFonts w:ascii="Arial" w:cs="Arial" w:eastAsia="Arial" w:hAnsi="Arial"/>
          <w:sz w:val="13"/>
          <w:szCs w:val="13"/>
          <w:b w:val="1"/>
          <w:bCs w:val="1"/>
          <w:color w:val="auto"/>
        </w:rPr>
        <w:t xml:space="preserve"> </w:t>
      </w:r>
      <w:r>
        <w:rPr>
          <w:rFonts w:ascii="Arial" w:cs="Arial" w:eastAsia="Arial" w:hAnsi="Arial"/>
          <w:sz w:val="13"/>
          <w:szCs w:val="13"/>
          <w:color w:val="auto"/>
        </w:rPr>
        <w:t>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with the same force and effect as if set out verbatim herein;</w:t>
      </w:r>
    </w:p>
    <w:p>
      <w:pPr>
        <w:spacing w:after="0" w:line="55" w:lineRule="exact"/>
        <w:rPr>
          <w:sz w:val="20"/>
          <w:szCs w:val="20"/>
          <w:color w:val="auto"/>
        </w:rPr>
      </w:pPr>
    </w:p>
    <w:p>
      <w:pPr>
        <w:ind w:right="20" w:firstLine="164"/>
        <w:spacing w:after="0" w:line="258"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any of the proper officers or authorized employees be, and each of them hereby is, authorized to approve at any time and from time to time, one or more forms of underwriting</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agreements (and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 referred to above, it shall not be necessary for any of the proper officers to approve any individual agreement pursuant to which Securities are to be sold if the form thereof has previously been approved as provided in this resolution;</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any of the proper officers be, and each of them hereby is, authorized, at any time and from time to time, on behalf of the Company, (i) to determine, within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81" w:name="page82"/>
    <w:bookmarkEnd w:id="81"/>
    <w:p>
      <w:pPr>
        <w:ind w:right="60"/>
        <w:spacing w:after="0" w:line="260" w:lineRule="auto"/>
        <w:rPr>
          <w:sz w:val="20"/>
          <w:szCs w:val="20"/>
          <w:color w:val="auto"/>
        </w:rPr>
      </w:pPr>
      <w:r>
        <w:rPr>
          <w:rFonts w:ascii="Arial" w:cs="Arial" w:eastAsia="Arial" w:hAnsi="Arial"/>
          <w:sz w:val="13"/>
          <w:szCs w:val="13"/>
          <w:color w:val="auto"/>
        </w:rPr>
        <w:t>any limits that may be set by the Board of Directors, the number of shares of Common Stock, preferred stock or other equity securities to be offered and sold by the Company pursuant to the New Automatic Shelf, including any shares underlying warrants or convertible Debt Securities, (ii) to authorize the reserve and issuance of such shares and (iii) to take any and all action and to do or cause to be done any and all things which may appear to any of the proper officers to be necessary or advisable in order to authorize, offer, issue, and sell such shares of Common Stock, pursuant to the New Automatic Shelf and the applicable purchase agreement, which action could be taken or which things could be done by the Board of Directors of the Company;</w:t>
      </w:r>
    </w:p>
    <w:p>
      <w:pPr>
        <w:spacing w:after="0" w:line="56" w:lineRule="exact"/>
        <w:rPr>
          <w:sz w:val="20"/>
          <w:szCs w:val="20"/>
          <w:color w:val="auto"/>
        </w:rPr>
      </w:pPr>
    </w:p>
    <w:p>
      <w:pPr>
        <w:ind w:right="360" w:firstLine="164"/>
        <w:spacing w:after="0" w:line="262"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any of the proper officers may, at any time and from time to time, on behalf of the Company, authorize the issuance of one or more series of Securities under the Company’s</w:t>
      </w:r>
      <w:r>
        <w:rPr>
          <w:rFonts w:ascii="Arial" w:cs="Arial" w:eastAsia="Arial" w:hAnsi="Arial"/>
          <w:sz w:val="13"/>
          <w:szCs w:val="13"/>
          <w:b w:val="1"/>
          <w:bCs w:val="1"/>
          <w:color w:val="auto"/>
        </w:rPr>
        <w:t xml:space="preserve"> </w:t>
      </w:r>
      <w:r>
        <w:rPr>
          <w:rFonts w:ascii="Arial" w:cs="Arial" w:eastAsia="Arial" w:hAnsi="Arial"/>
          <w:sz w:val="13"/>
          <w:szCs w:val="13"/>
          <w:color w:val="auto"/>
        </w:rPr>
        <w:t>indentures, within any limits that may be set by the Board of Directors, and in connection therewith establish, or, if all of the Securities of such series may not be originally issued at one time, to the extent deemed appropriate, prescribe the manner of determining, within any limitations established by any of the proper officers and subject in either case to the limitations set forth in these resolutions, all of the terms of such Securities;</w:t>
      </w:r>
    </w:p>
    <w:p>
      <w:pPr>
        <w:spacing w:after="0" w:line="55" w:lineRule="exact"/>
        <w:rPr>
          <w:sz w:val="20"/>
          <w:szCs w:val="20"/>
          <w:color w:val="auto"/>
        </w:rPr>
      </w:pPr>
    </w:p>
    <w:p>
      <w:pPr>
        <w:jc w:val="both"/>
        <w:ind w:firstLine="164"/>
        <w:spacing w:after="0" w:line="262"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in connection with any such series of Securities (but without limiting the authority hereinafter in these resolutions conferred with respect to the issuance of Securities of a series which</w:t>
      </w:r>
      <w:r>
        <w:rPr>
          <w:rFonts w:ascii="Arial" w:cs="Arial" w:eastAsia="Arial" w:hAnsi="Arial"/>
          <w:sz w:val="13"/>
          <w:szCs w:val="13"/>
          <w:b w:val="1"/>
          <w:bCs w:val="1"/>
          <w:color w:val="auto"/>
        </w:rPr>
        <w:t xml:space="preserve"> </w:t>
      </w:r>
      <w:r>
        <w:rPr>
          <w:rFonts w:ascii="Arial" w:cs="Arial" w:eastAsia="Arial" w:hAnsi="Arial"/>
          <w:sz w:val="13"/>
          <w:szCs w:val="13"/>
          <w:color w:val="auto"/>
        </w:rPr>
        <w:t>may not all be originally issued at one time), any of the proper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or underwriter and any other terms of offering or sale of Securities of such series and to sell Securities of such series in accordance with any applicable purchase agreement or other agreement(s);</w:t>
      </w:r>
    </w:p>
    <w:p>
      <w:pPr>
        <w:spacing w:after="0" w:line="55" w:lineRule="exact"/>
        <w:rPr>
          <w:sz w:val="20"/>
          <w:szCs w:val="20"/>
          <w:color w:val="auto"/>
        </w:rPr>
      </w:pPr>
    </w:p>
    <w:p>
      <w:pPr>
        <w:jc w:val="both"/>
        <w:ind w:right="180" w:firstLine="164"/>
        <w:spacing w:after="0" w:line="267"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in connection with the issuance of Securities of any series which may not be originally issued at one time (except as may be inconsistent with any action taken by any of the proper</w:t>
      </w:r>
      <w:r>
        <w:rPr>
          <w:rFonts w:ascii="Arial" w:cs="Arial" w:eastAsia="Arial" w:hAnsi="Arial"/>
          <w:sz w:val="13"/>
          <w:szCs w:val="13"/>
          <w:b w:val="1"/>
          <w:bCs w:val="1"/>
          <w:color w:val="auto"/>
        </w:rPr>
        <w:t xml:space="preserve"> </w:t>
      </w:r>
      <w:r>
        <w:rPr>
          <w:rFonts w:ascii="Arial" w:cs="Arial" w:eastAsia="Arial" w:hAnsi="Arial"/>
          <w:sz w:val="13"/>
          <w:szCs w:val="13"/>
          <w:color w:val="auto"/>
        </w:rPr>
        <w:t>officers, as hereinabove provided, in connection with such series), any of the proper officers may delegate any of its authority pursuant to these resolutions to any officer of the Company, including authority to fix the terms of such Securities;</w:t>
      </w:r>
    </w:p>
    <w:p>
      <w:pPr>
        <w:spacing w:after="0" w:line="52" w:lineRule="exact"/>
        <w:rPr>
          <w:sz w:val="20"/>
          <w:szCs w:val="20"/>
          <w:color w:val="auto"/>
        </w:rPr>
      </w:pPr>
    </w:p>
    <w:p>
      <w:pPr>
        <w:jc w:val="both"/>
        <w:ind w:right="40" w:firstLine="164"/>
        <w:spacing w:after="0" w:line="267"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in connection with any such series of Securities, any of the proper officers is authorized to approve any amendment, modification or supplement to the Company’s indentures and that</w:t>
      </w:r>
      <w:r>
        <w:rPr>
          <w:rFonts w:ascii="Arial" w:cs="Arial" w:eastAsia="Arial" w:hAnsi="Arial"/>
          <w:sz w:val="13"/>
          <w:szCs w:val="13"/>
          <w:b w:val="1"/>
          <w:bCs w:val="1"/>
          <w:color w:val="auto"/>
        </w:rPr>
        <w:t xml:space="preserve"> </w:t>
      </w:r>
      <w:r>
        <w:rPr>
          <w:rFonts w:ascii="Arial" w:cs="Arial" w:eastAsia="Arial" w:hAnsi="Arial"/>
          <w:sz w:val="13"/>
          <w:szCs w:val="13"/>
          <w:color w:val="auto"/>
        </w:rPr>
        <w:t>any proper officer be, and each of them hereby is, authorized to execute and deliver, in the name and on behalf of the Company, any such amendment, modification or supplement, substantially in the form approved by any proper officer;</w:t>
      </w:r>
    </w:p>
    <w:p>
      <w:pPr>
        <w:spacing w:after="0" w:line="52" w:lineRule="exact"/>
        <w:rPr>
          <w:sz w:val="20"/>
          <w:szCs w:val="20"/>
          <w:color w:val="auto"/>
        </w:rPr>
      </w:pPr>
    </w:p>
    <w:p>
      <w:pPr>
        <w:ind w:right="60" w:firstLine="164"/>
        <w:spacing w:after="0" w:line="300" w:lineRule="auto"/>
        <w:rPr>
          <w:sz w:val="20"/>
          <w:szCs w:val="20"/>
          <w:color w:val="auto"/>
        </w:rPr>
      </w:pPr>
      <w:r>
        <w:rPr>
          <w:rFonts w:ascii="Arial" w:cs="Arial" w:eastAsia="Arial" w:hAnsi="Arial"/>
          <w:sz w:val="12"/>
          <w:szCs w:val="12"/>
          <w:b w:val="1"/>
          <w:bCs w:val="1"/>
          <w:color w:val="auto"/>
        </w:rPr>
        <w:t>RESOLVED FURTHER</w:t>
      </w:r>
      <w:r>
        <w:rPr>
          <w:rFonts w:ascii="Arial" w:cs="Arial" w:eastAsia="Arial" w:hAnsi="Arial"/>
          <w:sz w:val="12"/>
          <w:szCs w:val="12"/>
          <w:color w:val="auto"/>
        </w:rPr>
        <w:t>, that the proper officers and authorized employees be, and each of them hereby is, authorized, in the name and on behalf of the Company, to execute and deliver such other agreements</w:t>
      </w:r>
      <w:r>
        <w:rPr>
          <w:rFonts w:ascii="Arial" w:cs="Arial" w:eastAsia="Arial" w:hAnsi="Arial"/>
          <w:sz w:val="12"/>
          <w:szCs w:val="12"/>
          <w:b w:val="1"/>
          <w:bCs w:val="1"/>
          <w:color w:val="auto"/>
        </w:rPr>
        <w:t xml:space="preserve"> </w:t>
      </w:r>
      <w:r>
        <w:rPr>
          <w:rFonts w:ascii="Arial" w:cs="Arial" w:eastAsia="Arial" w:hAnsi="Arial"/>
          <w:sz w:val="12"/>
          <w:szCs w:val="12"/>
          <w:color w:val="auto"/>
        </w:rPr>
        <w:t>(including indemnity agreements), documents, certificates, orders, requests and instruments as may be contemplated by the Company’s indentures or required by the trustee thereunder, the security registrar or any other agent of the Company under such indentures in connection therewith or as may be necessary or appropriate in connection with the issuance and sale of Securities thereunder;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82" w:name="page83"/>
    <w:bookmarkEnd w:id="82"/>
    <w:p>
      <w:pPr>
        <w:ind w:right="200" w:firstLine="164"/>
        <w:spacing w:after="0" w:line="260"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the proper officers be, and each of them hereby is, authorized, subject to and in accordance with the Company’s indentures and any action taken by any of the proper officers in</w:t>
      </w:r>
      <w:r>
        <w:rPr>
          <w:rFonts w:ascii="Arial" w:cs="Arial" w:eastAsia="Arial" w:hAnsi="Arial"/>
          <w:sz w:val="13"/>
          <w:szCs w:val="13"/>
          <w:b w:val="1"/>
          <w:bCs w:val="1"/>
          <w:color w:val="auto"/>
        </w:rPr>
        <w:t xml:space="preserve"> </w:t>
      </w:r>
      <w:r>
        <w:rPr>
          <w:rFonts w:ascii="Arial" w:cs="Arial" w:eastAsia="Arial" w:hAnsi="Arial"/>
          <w:sz w:val="13"/>
          <w:szCs w:val="13"/>
          <w:color w:val="auto"/>
        </w:rPr>
        <w:t>connection therewith, from time to time to appoint or designate on behalf of the Company one or more security registrars, paying agents and transfer agents for each series of Securities, to rescind on behalf of the Company any such appointment or designation and to approve on behalf of the Company any change in the location of any office through which any such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pacing w:after="0" w:line="55" w:lineRule="exact"/>
        <w:rPr>
          <w:sz w:val="20"/>
          <w:szCs w:val="20"/>
          <w:color w:val="auto"/>
        </w:rPr>
      </w:pPr>
    </w:p>
    <w:p>
      <w:pPr>
        <w:ind w:right="20" w:firstLine="164"/>
        <w:spacing w:after="0" w:line="282" w:lineRule="auto"/>
        <w:rPr>
          <w:sz w:val="20"/>
          <w:szCs w:val="20"/>
          <w:color w:val="auto"/>
        </w:rPr>
      </w:pPr>
      <w:r>
        <w:rPr>
          <w:rFonts w:ascii="Arial" w:cs="Arial" w:eastAsia="Arial" w:hAnsi="Arial"/>
          <w:sz w:val="12"/>
          <w:szCs w:val="12"/>
          <w:b w:val="1"/>
          <w:bCs w:val="1"/>
          <w:color w:val="auto"/>
        </w:rPr>
        <w:t>RESOLVED FURTHER</w:t>
      </w:r>
      <w:r>
        <w:rPr>
          <w:rFonts w:ascii="Arial" w:cs="Arial" w:eastAsia="Arial" w:hAnsi="Arial"/>
          <w:sz w:val="12"/>
          <w:szCs w:val="12"/>
          <w:color w:val="auto"/>
        </w:rPr>
        <w:t>, that the proper officers and authorized employees be, and each of them hereby is, authorized, in the name and on behalf of the Company, to make application to such securities exchange or</w:t>
      </w:r>
      <w:r>
        <w:rPr>
          <w:rFonts w:ascii="Arial" w:cs="Arial" w:eastAsia="Arial" w:hAnsi="Arial"/>
          <w:sz w:val="12"/>
          <w:szCs w:val="12"/>
          <w:b w:val="1"/>
          <w:bCs w:val="1"/>
          <w:color w:val="auto"/>
        </w:rPr>
        <w:t xml:space="preserve"> </w:t>
      </w:r>
      <w:r>
        <w:rPr>
          <w:rFonts w:ascii="Arial" w:cs="Arial" w:eastAsia="Arial" w:hAnsi="Arial"/>
          <w:sz w:val="12"/>
          <w:szCs w:val="12"/>
          <w:color w:val="auto"/>
        </w:rPr>
        <w:t>exchanges as the persons acting shall deem necessary or appropriate for the listing thereof of any of the Securities (including 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 amendments thereto and any additional certificates, documents, letters and other instruments which any such officer may deem necessary or desirable; that such officers, or such other person as any such officer may designate in writing, be, and each of them hereby is, authorized to appear before any official or officials or before any body of any such exchange, with authority to make such changes in such application, 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45" w:lineRule="exact"/>
        <w:rPr>
          <w:sz w:val="20"/>
          <w:szCs w:val="20"/>
          <w:color w:val="auto"/>
        </w:rPr>
      </w:pPr>
    </w:p>
    <w:p>
      <w:pPr>
        <w:ind w:firstLine="164"/>
        <w:spacing w:after="0" w:line="262"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the proper officers be, and each of them hereby is, authorized, in the name and on behalf of the Company, to make application to the SEC for registration of any series of the Securities</w:t>
      </w:r>
      <w:r>
        <w:rPr>
          <w:rFonts w:ascii="Arial" w:cs="Arial" w:eastAsia="Arial" w:hAnsi="Arial"/>
          <w:sz w:val="13"/>
          <w:szCs w:val="13"/>
          <w:b w:val="1"/>
          <w:bCs w:val="1"/>
          <w:color w:val="auto"/>
        </w:rPr>
        <w:t xml:space="preserve"> </w:t>
      </w:r>
      <w:r>
        <w:rPr>
          <w:rFonts w:ascii="Arial" w:cs="Arial" w:eastAsia="Arial" w:hAnsi="Arial"/>
          <w:sz w:val="13"/>
          <w:szCs w:val="13"/>
          <w:color w:val="auto"/>
        </w:rPr>
        <w:t>under Section 12 or other applicable section of the Securities Exchange Act of 1934, and the proper officers and authorized employees are hereby authorized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may deem necessary or desirable;</w:t>
      </w:r>
    </w:p>
    <w:p>
      <w:pPr>
        <w:spacing w:after="0" w:line="55" w:lineRule="exact"/>
        <w:rPr>
          <w:sz w:val="20"/>
          <w:szCs w:val="20"/>
          <w:color w:val="auto"/>
        </w:rPr>
      </w:pPr>
    </w:p>
    <w:p>
      <w:pPr>
        <w:ind w:firstLine="164"/>
        <w:spacing w:after="0" w:line="291" w:lineRule="auto"/>
        <w:rPr>
          <w:sz w:val="20"/>
          <w:szCs w:val="20"/>
          <w:color w:val="auto"/>
        </w:rPr>
      </w:pPr>
      <w:r>
        <w:rPr>
          <w:rFonts w:ascii="Arial" w:cs="Arial" w:eastAsia="Arial" w:hAnsi="Arial"/>
          <w:sz w:val="12"/>
          <w:szCs w:val="12"/>
          <w:b w:val="1"/>
          <w:bCs w:val="1"/>
          <w:color w:val="auto"/>
        </w:rPr>
        <w:t>RESOLVED FURTHER</w:t>
      </w:r>
      <w:r>
        <w:rPr>
          <w:rFonts w:ascii="Arial" w:cs="Arial" w:eastAsia="Arial" w:hAnsi="Arial"/>
          <w:sz w:val="12"/>
          <w:szCs w:val="12"/>
          <w:color w:val="auto"/>
        </w:rPr>
        <w:t>, that the officers and authorized employees of the Company be, and each of them hereby is, authorized to take, or cause to be taken, any and all action which any such officer may deem</w:t>
      </w:r>
      <w:r>
        <w:rPr>
          <w:rFonts w:ascii="Arial" w:cs="Arial" w:eastAsia="Arial" w:hAnsi="Arial"/>
          <w:sz w:val="12"/>
          <w:szCs w:val="12"/>
          <w:b w:val="1"/>
          <w:bCs w:val="1"/>
          <w:color w:val="auto"/>
        </w:rPr>
        <w:t xml:space="preserve"> </w:t>
      </w:r>
      <w:r>
        <w:rPr>
          <w:rFonts w:ascii="Arial" w:cs="Arial" w:eastAsia="Arial" w:hAnsi="Arial"/>
          <w:sz w:val="12"/>
          <w:szCs w:val="12"/>
          <w:color w:val="auto"/>
        </w:rPr>
        <w:t>necessary or desirable in order to carry out the purpose and intent of the foregoing resolutions or in order to perform, or cause to be performed, the obligations of the Company under the Securities, the New Automatic Shelf and any indenture, purchase agreement, or other agreement referred to herein, and, in connection therewith, to make, execute and deliver, or cause to be made, executed and delivered, all agreements, undertakings, documents, certificates, orders, requests or instruments in the name and on behalf of the Company as each such officer or authorized employee may deem necessary or appropriate;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83" w:name="page84"/>
    <w:bookmarkEnd w:id="83"/>
    <w:p>
      <w:pPr>
        <w:ind w:firstLine="164"/>
        <w:spacing w:after="0" w:line="267"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for purposes of these resolutions, the term “proper officer” shall mean any or all of the Chief Executive Officer, the Chief Financial Officer, the General Counsel, the Chief Accounting</w:t>
      </w:r>
      <w:r>
        <w:rPr>
          <w:rFonts w:ascii="Arial" w:cs="Arial" w:eastAsia="Arial" w:hAnsi="Arial"/>
          <w:sz w:val="13"/>
          <w:szCs w:val="13"/>
          <w:b w:val="1"/>
          <w:bCs w:val="1"/>
          <w:color w:val="auto"/>
        </w:rPr>
        <w:t xml:space="preserve"> </w:t>
      </w:r>
      <w:r>
        <w:rPr>
          <w:rFonts w:ascii="Arial" w:cs="Arial" w:eastAsia="Arial" w:hAnsi="Arial"/>
          <w:sz w:val="13"/>
          <w:szCs w:val="13"/>
          <w:color w:val="auto"/>
        </w:rPr>
        <w:t>Officer and the Treasurer of the Company and the term “authorized employees” shall mean either or both of the Vice President and Assistant General Counsel — Corporate and Securities and the Senior Counsel — Corporate &amp; Securities of the Company;</w:t>
      </w:r>
    </w:p>
    <w:p>
      <w:pPr>
        <w:spacing w:after="0" w:line="52" w:lineRule="exact"/>
        <w:rPr>
          <w:sz w:val="20"/>
          <w:szCs w:val="20"/>
          <w:color w:val="auto"/>
        </w:rPr>
      </w:pPr>
    </w:p>
    <w:p>
      <w:pPr>
        <w:ind w:right="140" w:firstLine="164"/>
        <w:spacing w:after="0" w:line="267"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the form of any additional resolutions required in connection with the foregoing resolutions be and hereby is approved and adopted, provided the proper officers of the Company, on</w:t>
      </w:r>
      <w:r>
        <w:rPr>
          <w:rFonts w:ascii="Arial" w:cs="Arial" w:eastAsia="Arial" w:hAnsi="Arial"/>
          <w:sz w:val="13"/>
          <w:szCs w:val="13"/>
          <w:b w:val="1"/>
          <w:bCs w:val="1"/>
          <w:color w:val="auto"/>
        </w:rPr>
        <w:t xml:space="preserve"> </w:t>
      </w:r>
      <w:r>
        <w:rPr>
          <w:rFonts w:ascii="Arial" w:cs="Arial" w:eastAsia="Arial" w:hAnsi="Arial"/>
          <w:sz w:val="13"/>
          <w:szCs w:val="13"/>
          <w:color w:val="auto"/>
        </w:rPr>
        <w:t>the advice of counsel, consider the adoption thereof necessary or advisable, in which case the Secretary or any Assistant Secretary of the Company is hereby directed to insert as an appendix hereto a copy of such resolutions, which shall, upon execution, be deemed to have been adopted by this Board with the same force and effect as if set out verbatim herein; and</w:t>
      </w:r>
    </w:p>
    <w:p>
      <w:pPr>
        <w:spacing w:after="0" w:line="52" w:lineRule="exact"/>
        <w:rPr>
          <w:sz w:val="20"/>
          <w:szCs w:val="20"/>
          <w:color w:val="auto"/>
        </w:rPr>
      </w:pPr>
    </w:p>
    <w:p>
      <w:pPr>
        <w:jc w:val="both"/>
        <w:ind w:right="360" w:firstLine="164"/>
        <w:spacing w:after="0" w:line="267"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any officer of the Company is hereby authorized and directed to make, provide, execute, and deliver any and all statements, applications, certificates, representations, payments,</w:t>
      </w:r>
      <w:r>
        <w:rPr>
          <w:rFonts w:ascii="Arial" w:cs="Arial" w:eastAsia="Arial" w:hAnsi="Arial"/>
          <w:sz w:val="13"/>
          <w:szCs w:val="13"/>
          <w:b w:val="1"/>
          <w:bCs w:val="1"/>
          <w:color w:val="auto"/>
        </w:rPr>
        <w:t xml:space="preserve"> </w:t>
      </w:r>
      <w:r>
        <w:rPr>
          <w:rFonts w:ascii="Arial" w:cs="Arial" w:eastAsia="Arial" w:hAnsi="Arial"/>
          <w:sz w:val="13"/>
          <w:szCs w:val="13"/>
          <w:color w:val="auto"/>
        </w:rPr>
        <w:t>notices, receipts, and other instruments and documents and take any and all other actions which in the opinion of such officer is or may be necessary or appropriate in connection with or to consummate any of the matters covered by the foregoing resolutions.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440"/>
          </w:cols>
          <w:pgMar w:left="220" w:top="716"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3"/>
          <w:szCs w:val="13"/>
          <w:b w:val="1"/>
          <w:bCs w:val="1"/>
          <w:color w:val="auto"/>
        </w:rPr>
        <w:t>EXHIBIT 4.2</w:t>
      </w:r>
    </w:p>
    <w:p>
      <w:pPr>
        <w:spacing w:after="0" w:line="248" w:lineRule="exact"/>
        <w:rPr>
          <w:sz w:val="20"/>
          <w:szCs w:val="20"/>
          <w:color w:val="auto"/>
        </w:rPr>
      </w:pPr>
    </w:p>
    <w:p>
      <w:pPr>
        <w:ind w:left="4120"/>
        <w:spacing w:after="0"/>
        <w:rPr>
          <w:sz w:val="20"/>
          <w:szCs w:val="20"/>
          <w:color w:val="auto"/>
        </w:rPr>
      </w:pPr>
      <w:r>
        <w:rPr>
          <w:rFonts w:ascii="Arial" w:cs="Arial" w:eastAsia="Arial" w:hAnsi="Arial"/>
          <w:sz w:val="13"/>
          <w:szCs w:val="13"/>
          <w:color w:val="auto"/>
        </w:rPr>
        <w:t>GUARANTEE</w:t>
      </w:r>
    </w:p>
    <w:p>
      <w:pPr>
        <w:spacing w:after="0" w:line="86" w:lineRule="exact"/>
        <w:rPr>
          <w:sz w:val="20"/>
          <w:szCs w:val="20"/>
          <w:color w:val="auto"/>
        </w:rPr>
      </w:pPr>
    </w:p>
    <w:p>
      <w:pPr>
        <w:ind w:left="3180"/>
        <w:spacing w:after="0"/>
        <w:rPr>
          <w:sz w:val="20"/>
          <w:szCs w:val="20"/>
          <w:color w:val="auto"/>
        </w:rPr>
      </w:pPr>
      <w:r>
        <w:rPr>
          <w:rFonts w:ascii="Arial" w:cs="Arial" w:eastAsia="Arial" w:hAnsi="Arial"/>
          <w:sz w:val="13"/>
          <w:szCs w:val="13"/>
          <w:color w:val="auto"/>
        </w:rPr>
        <w:t>BY WASTE MANAGEMENT HOLDINGS, INC.</w:t>
      </w:r>
    </w:p>
    <w:p>
      <w:pPr>
        <w:spacing w:after="0" w:line="86" w:lineRule="exact"/>
        <w:rPr>
          <w:sz w:val="20"/>
          <w:szCs w:val="20"/>
          <w:color w:val="auto"/>
        </w:rPr>
      </w:pPr>
    </w:p>
    <w:p>
      <w:pPr>
        <w:ind w:left="3300"/>
        <w:spacing w:after="0"/>
        <w:rPr>
          <w:sz w:val="20"/>
          <w:szCs w:val="20"/>
          <w:color w:val="auto"/>
        </w:rPr>
      </w:pPr>
      <w:r>
        <w:rPr>
          <w:rFonts w:ascii="Arial" w:cs="Arial" w:eastAsia="Arial" w:hAnsi="Arial"/>
          <w:sz w:val="13"/>
          <w:szCs w:val="13"/>
          <w:color w:val="auto"/>
        </w:rPr>
        <w:t>(formerly known as Waste Management, Inc.)</w:t>
      </w:r>
    </w:p>
    <w:p>
      <w:pPr>
        <w:spacing w:after="0" w:line="86"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in Favor of The Bank of New York Mellon Trust Company, N.A., as Trustee for the Holders</w:t>
      </w:r>
    </w:p>
    <w:p>
      <w:pPr>
        <w:spacing w:after="0" w:line="15" w:lineRule="exact"/>
        <w:rPr>
          <w:sz w:val="20"/>
          <w:szCs w:val="20"/>
          <w:color w:val="auto"/>
        </w:rPr>
      </w:pPr>
    </w:p>
    <w:p>
      <w:pPr>
        <w:ind w:left="3760"/>
        <w:spacing w:after="0"/>
        <w:rPr>
          <w:sz w:val="20"/>
          <w:szCs w:val="20"/>
          <w:color w:val="auto"/>
        </w:rPr>
      </w:pPr>
      <w:r>
        <w:rPr>
          <w:rFonts w:ascii="Arial" w:cs="Arial" w:eastAsia="Arial" w:hAnsi="Arial"/>
          <w:sz w:val="13"/>
          <w:szCs w:val="13"/>
          <w:color w:val="auto"/>
        </w:rPr>
        <w:t>of Certain Debt Securities of</w:t>
      </w:r>
    </w:p>
    <w:p>
      <w:pPr>
        <w:spacing w:after="0" w:line="79" w:lineRule="exact"/>
        <w:rPr>
          <w:sz w:val="20"/>
          <w:szCs w:val="20"/>
          <w:color w:val="auto"/>
        </w:rPr>
      </w:pPr>
    </w:p>
    <w:p>
      <w:pPr>
        <w:ind w:left="3640"/>
        <w:spacing w:after="0"/>
        <w:rPr>
          <w:sz w:val="20"/>
          <w:szCs w:val="20"/>
          <w:color w:val="auto"/>
        </w:rPr>
      </w:pPr>
      <w:r>
        <w:rPr>
          <w:rFonts w:ascii="Arial" w:cs="Arial" w:eastAsia="Arial" w:hAnsi="Arial"/>
          <w:sz w:val="13"/>
          <w:szCs w:val="13"/>
          <w:color w:val="auto"/>
        </w:rPr>
        <w:t>WASTE MANAGEMENT, INC.</w:t>
      </w:r>
    </w:p>
    <w:p>
      <w:pPr>
        <w:spacing w:after="0" w:line="86" w:lineRule="exact"/>
        <w:rPr>
          <w:sz w:val="20"/>
          <w:szCs w:val="20"/>
          <w:color w:val="auto"/>
        </w:rPr>
      </w:pPr>
    </w:p>
    <w:p>
      <w:pPr>
        <w:ind w:left="4160"/>
        <w:spacing w:after="0"/>
        <w:rPr>
          <w:sz w:val="20"/>
          <w:szCs w:val="20"/>
          <w:color w:val="auto"/>
        </w:rPr>
      </w:pPr>
      <w:r>
        <w:rPr>
          <w:rFonts w:ascii="Arial" w:cs="Arial" w:eastAsia="Arial" w:hAnsi="Arial"/>
          <w:sz w:val="13"/>
          <w:szCs w:val="13"/>
          <w:color w:val="auto"/>
        </w:rPr>
        <w:t>$600,000,000</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4.75% Senior Notes due 2020</w:t>
      </w:r>
    </w:p>
    <w:p>
      <w:pPr>
        <w:spacing w:after="0" w:line="79"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June 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288290</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85" w:name="page86"/>
    <w:bookmarkEnd w:id="85"/>
    <w:p>
      <w:pPr>
        <w:ind w:right="80" w:firstLine="164"/>
        <w:spacing w:after="0" w:line="264" w:lineRule="auto"/>
        <w:rPr>
          <w:sz w:val="20"/>
          <w:szCs w:val="20"/>
          <w:color w:val="auto"/>
        </w:rPr>
      </w:pPr>
      <w:r>
        <w:rPr>
          <w:rFonts w:ascii="Arial" w:cs="Arial" w:eastAsia="Arial" w:hAnsi="Arial"/>
          <w:sz w:val="13"/>
          <w:szCs w:val="13"/>
          <w:color w:val="auto"/>
        </w:rPr>
        <w:t>GUARANTEE, dated as of June 8, 2010 (as amended from time to time, this “Guarantee”), made by Waste Management Holdings, Inc. (formerly known as Waste Management, Inc.), a Delaware corporation (the “Guarantor”), in favor of The Bank of New York Mellon Trust Company, N.A., as trustee for the holders of the $600 million 4.75% Senior Notes due 2020 (the “Debt Securities”) of Waste Management, Inc. (formerly known as USA Waste Services, Inc.), a Delaware corporation (the “Issuer”).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WITNESSETH:</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 </w:t>
      </w:r>
      <w:r>
        <w:rPr>
          <w:rFonts w:ascii="Arial" w:cs="Arial" w:eastAsia="Arial" w:hAnsi="Arial"/>
          <w:sz w:val="13"/>
          <w:szCs w:val="13"/>
          <w:u w:val="single" w:color="auto"/>
          <w:color w:val="auto"/>
        </w:rPr>
        <w:t>Guarantee</w:t>
      </w:r>
    </w:p>
    <w:p>
      <w:pPr>
        <w:spacing w:after="0" w:line="86" w:lineRule="exact"/>
        <w:rPr>
          <w:sz w:val="20"/>
          <w:szCs w:val="20"/>
          <w:color w:val="auto"/>
        </w:rPr>
      </w:pPr>
    </w:p>
    <w:p>
      <w:pPr>
        <w:ind w:right="20" w:firstLine="326"/>
        <w:spacing w:after="0" w:line="260" w:lineRule="auto"/>
        <w:tabs>
          <w:tab w:leader="none" w:pos="503"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Guarantor hereby unconditionally guarantees the punctual payment when due, whether at stated maturity, by acceleration or otherwise, of the principal of, premium, if any, and interest on the Debt Securities (the “Obligations”), according to the terms of the Debt Securities and as more fully described in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w:t>
      </w:r>
    </w:p>
    <w:p>
      <w:pPr>
        <w:spacing w:after="0" w:line="59" w:lineRule="exact"/>
        <w:rPr>
          <w:rFonts w:ascii="Arial" w:cs="Arial" w:eastAsia="Arial" w:hAnsi="Arial"/>
          <w:sz w:val="13"/>
          <w:szCs w:val="13"/>
          <w:color w:val="auto"/>
        </w:rPr>
      </w:pPr>
    </w:p>
    <w:p>
      <w:pPr>
        <w:ind w:right="100" w:firstLine="326"/>
        <w:spacing w:after="0" w:line="258" w:lineRule="auto"/>
        <w:tabs>
          <w:tab w:leader="none" w:pos="513" w:val="left"/>
        </w:tabs>
        <w:numPr>
          <w:ilvl w:val="0"/>
          <w:numId w:val="71"/>
        </w:numPr>
        <w:rPr>
          <w:rFonts w:ascii="Arial" w:cs="Arial" w:eastAsia="Arial" w:hAnsi="Arial"/>
          <w:sz w:val="13"/>
          <w:szCs w:val="13"/>
          <w:color w:val="auto"/>
        </w:rPr>
      </w:pPr>
      <w:r>
        <w:rPr>
          <w:rFonts w:ascii="Arial" w:cs="Arial" w:eastAsia="Arial" w:hAnsi="Arial"/>
          <w:sz w:val="13"/>
          <w:szCs w:val="13"/>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61" w:lineRule="exact"/>
        <w:rPr>
          <w:sz w:val="20"/>
          <w:szCs w:val="20"/>
          <w:color w:val="auto"/>
        </w:rPr>
      </w:pPr>
    </w:p>
    <w:p>
      <w:pPr>
        <w:ind w:firstLine="164"/>
        <w:spacing w:after="0" w:line="371" w:lineRule="auto"/>
        <w:rPr>
          <w:sz w:val="20"/>
          <w:szCs w:val="20"/>
          <w:color w:val="auto"/>
        </w:rPr>
      </w:pPr>
      <w:r>
        <w:rPr>
          <w:rFonts w:ascii="Arial" w:cs="Arial" w:eastAsia="Arial" w:hAnsi="Arial"/>
          <w:sz w:val="11"/>
          <w:szCs w:val="11"/>
          <w:color w:val="auto"/>
        </w:rPr>
        <w:t xml:space="preserve">SECTION 2. </w:t>
      </w:r>
      <w:r>
        <w:rPr>
          <w:rFonts w:ascii="Arial" w:cs="Arial" w:eastAsia="Arial" w:hAnsi="Arial"/>
          <w:sz w:val="11"/>
          <w:szCs w:val="11"/>
          <w:u w:val="single" w:color="auto"/>
          <w:color w:val="auto"/>
        </w:rPr>
        <w:t>Guarantee Absolute</w:t>
      </w:r>
      <w:r>
        <w:rPr>
          <w:rFonts w:ascii="Arial" w:cs="Arial" w:eastAsia="Arial" w:hAnsi="Arial"/>
          <w:sz w:val="11"/>
          <w:szCs w:val="11"/>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2" w:lineRule="exact"/>
        <w:rPr>
          <w:sz w:val="20"/>
          <w:szCs w:val="20"/>
          <w:color w:val="auto"/>
        </w:rPr>
      </w:pPr>
    </w:p>
    <w:p>
      <w:pPr>
        <w:ind w:left="540" w:hanging="165"/>
        <w:spacing w:after="0"/>
        <w:tabs>
          <w:tab w:leader="none" w:pos="540" w:val="left"/>
        </w:tabs>
        <w:numPr>
          <w:ilvl w:val="0"/>
          <w:numId w:val="72"/>
        </w:numPr>
        <w:rPr>
          <w:rFonts w:ascii="Arial" w:cs="Arial" w:eastAsia="Arial" w:hAnsi="Arial"/>
          <w:sz w:val="13"/>
          <w:szCs w:val="13"/>
          <w:color w:val="auto"/>
        </w:rPr>
      </w:pPr>
      <w:r>
        <w:rPr>
          <w:rFonts w:ascii="Arial" w:cs="Arial" w:eastAsia="Arial" w:hAnsi="Arial"/>
          <w:sz w:val="13"/>
          <w:szCs w:val="13"/>
          <w:color w:val="auto"/>
        </w:rPr>
        <w:t>any lack of validity or enforceability of the Indenture, the Debt Securities or any other agreement or instrument relating thereto;</w:t>
      </w:r>
    </w:p>
    <w:p>
      <w:pPr>
        <w:spacing w:after="0" w:line="86" w:lineRule="exact"/>
        <w:rPr>
          <w:rFonts w:ascii="Arial" w:cs="Arial" w:eastAsia="Arial" w:hAnsi="Arial"/>
          <w:sz w:val="13"/>
          <w:szCs w:val="13"/>
          <w:color w:val="auto"/>
        </w:rPr>
      </w:pPr>
    </w:p>
    <w:p>
      <w:pPr>
        <w:ind w:left="560" w:hanging="185"/>
        <w:spacing w:after="0"/>
        <w:tabs>
          <w:tab w:leader="none" w:pos="560" w:val="left"/>
        </w:tabs>
        <w:numPr>
          <w:ilvl w:val="0"/>
          <w:numId w:val="72"/>
        </w:numPr>
        <w:rPr>
          <w:rFonts w:ascii="Arial" w:cs="Arial" w:eastAsia="Arial" w:hAnsi="Arial"/>
          <w:sz w:val="12"/>
          <w:szCs w:val="12"/>
          <w:color w:val="auto"/>
        </w:rPr>
      </w:pPr>
      <w:r>
        <w:rPr>
          <w:rFonts w:ascii="Arial" w:cs="Arial" w:eastAsia="Arial" w:hAnsi="Arial"/>
          <w:sz w:val="12"/>
          <w:szCs w:val="12"/>
          <w:color w:val="auto"/>
        </w:rPr>
        <w:t>any change in the time, manner or place of payment of, or in any other term of, all or any of the Obligations, or any other amendment or waiver of or any consent to departure from the Indenture;</w:t>
      </w:r>
    </w:p>
    <w:p>
      <w:pPr>
        <w:spacing w:after="0" w:line="97" w:lineRule="exact"/>
        <w:rPr>
          <w:rFonts w:ascii="Arial" w:cs="Arial" w:eastAsia="Arial" w:hAnsi="Arial"/>
          <w:sz w:val="12"/>
          <w:szCs w:val="12"/>
          <w:color w:val="auto"/>
        </w:rPr>
      </w:pPr>
    </w:p>
    <w:p>
      <w:pPr>
        <w:ind w:left="600" w:hanging="225"/>
        <w:spacing w:after="0"/>
        <w:tabs>
          <w:tab w:leader="none" w:pos="600" w:val="left"/>
        </w:tabs>
        <w:numPr>
          <w:ilvl w:val="0"/>
          <w:numId w:val="72"/>
        </w:numPr>
        <w:rPr>
          <w:rFonts w:ascii="Arial" w:cs="Arial" w:eastAsia="Arial" w:hAnsi="Arial"/>
          <w:sz w:val="13"/>
          <w:szCs w:val="13"/>
          <w:color w:val="auto"/>
        </w:rPr>
      </w:pPr>
      <w:r>
        <w:rPr>
          <w:rFonts w:ascii="Arial" w:cs="Arial" w:eastAsia="Arial" w:hAnsi="Arial"/>
          <w:sz w:val="13"/>
          <w:szCs w:val="13"/>
          <w:color w:val="auto"/>
        </w:rPr>
        <w:t>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86" w:name="page87"/>
    <w:bookmarkEnd w:id="86"/>
    <w:p>
      <w:pPr>
        <w:ind w:left="380"/>
        <w:spacing w:after="0"/>
        <w:rPr>
          <w:sz w:val="20"/>
          <w:szCs w:val="20"/>
          <w:color w:val="auto"/>
        </w:rPr>
      </w:pPr>
      <w:r>
        <w:rPr>
          <w:rFonts w:ascii="Arial" w:cs="Arial" w:eastAsia="Arial" w:hAnsi="Arial"/>
          <w:sz w:val="13"/>
          <w:szCs w:val="13"/>
          <w:color w:val="auto"/>
        </w:rPr>
        <w:t>(iv) any other circumstance which might otherwise constitute a defense available to, or a discharge of, the Issuer or a guarantor.</w:t>
      </w:r>
    </w:p>
    <w:p>
      <w:pPr>
        <w:spacing w:after="0" w:line="86"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 xml:space="preserve">SECTION 3. </w:t>
      </w:r>
      <w:r>
        <w:rPr>
          <w:rFonts w:ascii="Arial" w:cs="Arial" w:eastAsia="Arial" w:hAnsi="Arial"/>
          <w:sz w:val="13"/>
          <w:szCs w:val="13"/>
          <w:u w:val="single" w:color="auto"/>
          <w:color w:val="auto"/>
        </w:rPr>
        <w:t>Subordination</w:t>
      </w:r>
      <w:r>
        <w:rPr>
          <w:rFonts w:ascii="Arial" w:cs="Arial" w:eastAsia="Arial" w:hAnsi="Arial"/>
          <w:sz w:val="13"/>
          <w:szCs w:val="13"/>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all existing and future senior indebtedness of the Guarantor and (b) senior in right of payment to all existing and future subordinated indebtedness of the Guarantor.</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4. </w:t>
      </w:r>
      <w:r>
        <w:rPr>
          <w:rFonts w:ascii="Arial" w:cs="Arial" w:eastAsia="Arial" w:hAnsi="Arial"/>
          <w:sz w:val="13"/>
          <w:szCs w:val="13"/>
          <w:u w:val="single" w:color="auto"/>
          <w:color w:val="auto"/>
        </w:rPr>
        <w:t>Waiver; Subrogation</w:t>
      </w:r>
    </w:p>
    <w:p>
      <w:pPr>
        <w:spacing w:after="0" w:line="86" w:lineRule="exact"/>
        <w:rPr>
          <w:sz w:val="20"/>
          <w:szCs w:val="20"/>
          <w:color w:val="auto"/>
        </w:rPr>
      </w:pPr>
    </w:p>
    <w:p>
      <w:pPr>
        <w:ind w:right="140" w:firstLine="326"/>
        <w:spacing w:after="0" w:line="276" w:lineRule="auto"/>
        <w:tabs>
          <w:tab w:leader="none" w:pos="503"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49" w:lineRule="exact"/>
        <w:rPr>
          <w:rFonts w:ascii="Arial" w:cs="Arial" w:eastAsia="Arial" w:hAnsi="Arial"/>
          <w:sz w:val="13"/>
          <w:szCs w:val="13"/>
          <w:color w:val="auto"/>
        </w:rPr>
      </w:pPr>
    </w:p>
    <w:p>
      <w:pPr>
        <w:ind w:right="20" w:firstLine="326"/>
        <w:spacing w:after="0" w:line="264" w:lineRule="auto"/>
        <w:tabs>
          <w:tab w:leader="none" w:pos="511"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57" w:lineRule="exact"/>
        <w:rPr>
          <w:sz w:val="20"/>
          <w:szCs w:val="20"/>
          <w:color w:val="auto"/>
        </w:rPr>
      </w:pPr>
    </w:p>
    <w:p>
      <w:pPr>
        <w:ind w:right="140" w:firstLine="164"/>
        <w:spacing w:after="0" w:line="264" w:lineRule="auto"/>
        <w:rPr>
          <w:sz w:val="20"/>
          <w:szCs w:val="20"/>
          <w:color w:val="auto"/>
        </w:rPr>
      </w:pPr>
      <w:r>
        <w:rPr>
          <w:rFonts w:ascii="Arial" w:cs="Arial" w:eastAsia="Arial" w:hAnsi="Arial"/>
          <w:sz w:val="13"/>
          <w:szCs w:val="13"/>
          <w:color w:val="auto"/>
        </w:rPr>
        <w:t xml:space="preserve">SECTION 5. </w:t>
      </w:r>
      <w:r>
        <w:rPr>
          <w:rFonts w:ascii="Arial" w:cs="Arial" w:eastAsia="Arial" w:hAnsi="Arial"/>
          <w:sz w:val="13"/>
          <w:szCs w:val="13"/>
          <w:u w:val="single" w:color="auto"/>
          <w:color w:val="auto"/>
        </w:rPr>
        <w:t>No Waiver, Remedies</w:t>
      </w:r>
      <w:r>
        <w:rPr>
          <w:rFonts w:ascii="Arial" w:cs="Arial" w:eastAsia="Arial" w:hAnsi="Arial"/>
          <w:sz w:val="13"/>
          <w:szCs w:val="13"/>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57"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color w:val="auto"/>
        </w:rPr>
        <w:t xml:space="preserve">SECTION 6. </w:t>
      </w:r>
      <w:r>
        <w:rPr>
          <w:rFonts w:ascii="Arial" w:cs="Arial" w:eastAsia="Arial" w:hAnsi="Arial"/>
          <w:sz w:val="13"/>
          <w:szCs w:val="13"/>
          <w:u w:val="single" w:color="auto"/>
          <w:color w:val="auto"/>
        </w:rPr>
        <w:t>Continuing Guarantee; Transfer of Interest</w:t>
      </w:r>
      <w:r>
        <w:rPr>
          <w:rFonts w:ascii="Arial" w:cs="Arial" w:eastAsia="Arial" w:hAnsi="Arial"/>
          <w:sz w:val="13"/>
          <w:szCs w:val="13"/>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Revolving Credit Agreement dated August 17, 2006, by and among the Issuer, the Guarantor (as guarantor), Citibank, N.A., as administrative agent, J.P. Morgan Securities Inc. and Banc of America Securities LLC, as lead arrangers and joint book runners (or under any replacement or new principal credit facility of the Issuer) of the guarantee of the Guarantor thereunder, (ii) be binding upon the Guarantor, its successors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87" w:name="page88"/>
    <w:bookmarkEnd w:id="87"/>
    <w:p>
      <w:pPr>
        <w:spacing w:after="0"/>
        <w:rPr>
          <w:sz w:val="20"/>
          <w:szCs w:val="20"/>
          <w:color w:val="auto"/>
        </w:rPr>
      </w:pPr>
      <w:r>
        <w:rPr>
          <w:rFonts w:ascii="Arial" w:cs="Arial" w:eastAsia="Arial" w:hAnsi="Arial"/>
          <w:sz w:val="13"/>
          <w:szCs w:val="13"/>
          <w:color w:val="auto"/>
        </w:rPr>
        <w:t>assigns, and (iii) inure to the benefit of and be enforceable by any holder of Debt Securities, the Trustee, and by their respective successors, transferees, and assigns.</w:t>
      </w:r>
    </w:p>
    <w:p>
      <w:pPr>
        <w:spacing w:after="0" w:line="86" w:lineRule="exact"/>
        <w:rPr>
          <w:sz w:val="20"/>
          <w:szCs w:val="20"/>
          <w:color w:val="auto"/>
        </w:rPr>
      </w:pPr>
    </w:p>
    <w:p>
      <w:pPr>
        <w:ind w:right="40" w:firstLine="164"/>
        <w:spacing w:after="0" w:line="320" w:lineRule="auto"/>
        <w:rPr>
          <w:sz w:val="20"/>
          <w:szCs w:val="20"/>
          <w:color w:val="auto"/>
        </w:rPr>
      </w:pPr>
      <w:r>
        <w:rPr>
          <w:rFonts w:ascii="Arial" w:cs="Arial" w:eastAsia="Arial" w:hAnsi="Arial"/>
          <w:sz w:val="12"/>
          <w:szCs w:val="12"/>
          <w:color w:val="auto"/>
        </w:rPr>
        <w:t xml:space="preserve">SECTION 7. </w:t>
      </w:r>
      <w:r>
        <w:rPr>
          <w:rFonts w:ascii="Arial" w:cs="Arial" w:eastAsia="Arial" w:hAnsi="Arial"/>
          <w:sz w:val="12"/>
          <w:szCs w:val="12"/>
          <w:u w:val="single" w:color="auto"/>
          <w:color w:val="auto"/>
        </w:rPr>
        <w:t>Reinstatement</w:t>
      </w:r>
      <w:r>
        <w:rPr>
          <w:rFonts w:ascii="Arial" w:cs="Arial" w:eastAsia="Arial" w:hAnsi="Arial"/>
          <w:sz w:val="12"/>
          <w:szCs w:val="12"/>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5"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 xml:space="preserve">SECTION 8. </w:t>
      </w:r>
      <w:r>
        <w:rPr>
          <w:rFonts w:ascii="Arial" w:cs="Arial" w:eastAsia="Arial" w:hAnsi="Arial"/>
          <w:sz w:val="13"/>
          <w:szCs w:val="13"/>
          <w:u w:val="single" w:color="auto"/>
          <w:color w:val="auto"/>
        </w:rPr>
        <w:t>Amendment</w:t>
      </w:r>
      <w:r>
        <w:rPr>
          <w:rFonts w:ascii="Arial" w:cs="Arial" w:eastAsia="Arial" w:hAnsi="Arial"/>
          <w:sz w:val="13"/>
          <w:szCs w:val="13"/>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49"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 xml:space="preserve">SECTION 9. </w:t>
      </w:r>
      <w:r>
        <w:rPr>
          <w:rFonts w:ascii="Arial" w:cs="Arial" w:eastAsia="Arial" w:hAnsi="Arial"/>
          <w:sz w:val="13"/>
          <w:szCs w:val="13"/>
          <w:u w:val="single" w:color="auto"/>
          <w:color w:val="auto"/>
        </w:rPr>
        <w:t>Governing Law</w:t>
      </w:r>
      <w:r>
        <w:rPr>
          <w:rFonts w:ascii="Arial" w:cs="Arial" w:eastAsia="Arial" w:hAnsi="Arial"/>
          <w:sz w:val="13"/>
          <w:szCs w:val="13"/>
          <w:color w:val="auto"/>
        </w:rPr>
        <w:t>. THIS GUARANTEE SHALL BE GOVERNED BY, AND CONSTRUED IN ACCORDANCE WITH THE LAWS OF THE STATE OF NEW YORK, WITHOUT REGARD TO THE PROVISIONS THEREOF RELATING TO CONFLICT OF LAWS.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Guarantor has caused this Guarantee to be duly executed and delivered by its officer thereunto duly authorized as of the date first above written.</w:t>
      </w:r>
    </w:p>
    <w:p>
      <w:pPr>
        <w:spacing w:after="0" w:line="165"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WASTE MANAGEMENT HOLDINGS, INC.,</w:t>
      </w:r>
    </w:p>
    <w:p>
      <w:pPr>
        <w:spacing w:after="0" w:line="165"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By: /s/ 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10795</wp:posOffset>
            </wp:positionV>
            <wp:extent cx="259651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Cherie C. Rice</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Vice President – Finance and Treasurer</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By: /s/ Devina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10795</wp:posOffset>
            </wp:positionV>
            <wp:extent cx="259651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Devina Rankin</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Assistant Treasurer</w:t>
      </w: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3"/>
          <w:szCs w:val="13"/>
          <w:i w:val="1"/>
          <w:iCs w:val="1"/>
          <w:color w:val="auto"/>
        </w:rPr>
        <w:t>Signature page to Guarantee</w:t>
      </w:r>
    </w:p>
    <w:p>
      <w:pPr>
        <w:sectPr>
          <w:pgSz w:w="11900" w:h="16838" w:orient="portrait"/>
          <w:cols w:equalWidth="0" w:num="1">
            <w:col w:w="11400"/>
          </w:cols>
          <w:pgMar w:left="220" w:top="720" w:right="279" w:bottom="1440" w:gutter="0" w:footer="0" w:header="0"/>
        </w:sectPr>
      </w:pPr>
    </w:p>
    <w:bookmarkStart w:id="88" w:name="page89"/>
    <w:bookmarkEnd w:id="88"/>
    <w:p>
      <w:pPr>
        <w:jc w:val="right"/>
        <w:spacing w:after="0"/>
        <w:rPr>
          <w:sz w:val="20"/>
          <w:szCs w:val="20"/>
          <w:color w:val="auto"/>
        </w:rPr>
      </w:pPr>
      <w:r>
        <w:rPr>
          <w:rFonts w:ascii="Arial" w:cs="Arial" w:eastAsia="Arial" w:hAnsi="Arial"/>
          <w:sz w:val="13"/>
          <w:szCs w:val="13"/>
          <w:b w:val="1"/>
          <w:bCs w:val="1"/>
          <w:color w:val="auto"/>
        </w:rPr>
        <w:t>EXHIBIT 10.1</w:t>
      </w:r>
    </w:p>
    <w:p>
      <w:pPr>
        <w:spacing w:after="0" w:line="244"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$2,000,000,000</w:t>
      </w:r>
    </w:p>
    <w:p>
      <w:pPr>
        <w:spacing w:after="0" w:line="86" w:lineRule="exact"/>
        <w:rPr>
          <w:sz w:val="20"/>
          <w:szCs w:val="20"/>
          <w:color w:val="auto"/>
        </w:rPr>
      </w:pPr>
    </w:p>
    <w:p>
      <w:pPr>
        <w:ind w:left="3400"/>
        <w:spacing w:after="0"/>
        <w:rPr>
          <w:sz w:val="20"/>
          <w:szCs w:val="20"/>
          <w:color w:val="auto"/>
        </w:rPr>
      </w:pPr>
      <w:r>
        <w:rPr>
          <w:rFonts w:ascii="Arial" w:cs="Arial" w:eastAsia="Arial" w:hAnsi="Arial"/>
          <w:sz w:val="13"/>
          <w:szCs w:val="13"/>
          <w:b w:val="1"/>
          <w:bCs w:val="1"/>
          <w:color w:val="auto"/>
        </w:rPr>
        <w:t>REVOLVING CREDIT AGREEMENT</w:t>
      </w:r>
    </w:p>
    <w:p>
      <w:pPr>
        <w:spacing w:after="0" w:line="86" w:lineRule="exact"/>
        <w:rPr>
          <w:sz w:val="20"/>
          <w:szCs w:val="20"/>
          <w:color w:val="auto"/>
        </w:rPr>
      </w:pPr>
    </w:p>
    <w:p>
      <w:pPr>
        <w:ind w:left="3820"/>
        <w:spacing w:after="0"/>
        <w:rPr>
          <w:sz w:val="20"/>
          <w:szCs w:val="20"/>
          <w:color w:val="auto"/>
        </w:rPr>
      </w:pPr>
      <w:r>
        <w:rPr>
          <w:rFonts w:ascii="Arial" w:cs="Arial" w:eastAsia="Arial" w:hAnsi="Arial"/>
          <w:sz w:val="13"/>
          <w:szCs w:val="13"/>
          <w:b w:val="1"/>
          <w:bCs w:val="1"/>
          <w:color w:val="auto"/>
        </w:rPr>
        <w:t>dated as of June 22, 2010</w:t>
      </w:r>
    </w:p>
    <w:p>
      <w:pPr>
        <w:spacing w:after="0" w:line="90" w:lineRule="exact"/>
        <w:rPr>
          <w:sz w:val="20"/>
          <w:szCs w:val="20"/>
          <w:color w:val="auto"/>
        </w:rPr>
      </w:pPr>
    </w:p>
    <w:p>
      <w:pPr>
        <w:ind w:left="4140"/>
        <w:spacing w:after="0"/>
        <w:rPr>
          <w:sz w:val="20"/>
          <w:szCs w:val="20"/>
          <w:color w:val="auto"/>
        </w:rPr>
      </w:pPr>
      <w:r>
        <w:rPr>
          <w:rFonts w:ascii="Arial" w:cs="Arial" w:eastAsia="Arial" w:hAnsi="Arial"/>
          <w:sz w:val="13"/>
          <w:szCs w:val="13"/>
          <w:color w:val="auto"/>
        </w:rPr>
        <w:t>by and among</w:t>
      </w:r>
    </w:p>
    <w:p>
      <w:pPr>
        <w:spacing w:after="0" w:line="82" w:lineRule="exact"/>
        <w:rPr>
          <w:sz w:val="20"/>
          <w:szCs w:val="20"/>
          <w:color w:val="auto"/>
        </w:rPr>
      </w:pPr>
    </w:p>
    <w:p>
      <w:pPr>
        <w:ind w:left="3600"/>
        <w:spacing w:after="0"/>
        <w:rPr>
          <w:sz w:val="20"/>
          <w:szCs w:val="20"/>
          <w:color w:val="auto"/>
        </w:rPr>
      </w:pPr>
      <w:r>
        <w:rPr>
          <w:rFonts w:ascii="Arial" w:cs="Arial" w:eastAsia="Arial" w:hAnsi="Arial"/>
          <w:sz w:val="13"/>
          <w:szCs w:val="13"/>
          <w:b w:val="1"/>
          <w:bCs w:val="1"/>
          <w:color w:val="auto"/>
        </w:rPr>
        <w:t>WASTE MANAGEMENT, INC.</w:t>
      </w:r>
    </w:p>
    <w:p>
      <w:pPr>
        <w:spacing w:after="0" w:line="19"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(the “Borrower”)</w:t>
      </w:r>
    </w:p>
    <w:p>
      <w:pPr>
        <w:spacing w:after="0" w:line="7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and</w:t>
      </w:r>
    </w:p>
    <w:p>
      <w:pPr>
        <w:spacing w:after="0" w:line="82" w:lineRule="exact"/>
        <w:rPr>
          <w:sz w:val="20"/>
          <w:szCs w:val="20"/>
          <w:color w:val="auto"/>
        </w:rPr>
      </w:pPr>
    </w:p>
    <w:p>
      <w:pPr>
        <w:ind w:left="3240"/>
        <w:spacing w:after="0"/>
        <w:rPr>
          <w:sz w:val="20"/>
          <w:szCs w:val="20"/>
          <w:color w:val="auto"/>
        </w:rPr>
      </w:pPr>
      <w:r>
        <w:rPr>
          <w:rFonts w:ascii="Arial" w:cs="Arial" w:eastAsia="Arial" w:hAnsi="Arial"/>
          <w:sz w:val="13"/>
          <w:szCs w:val="13"/>
          <w:b w:val="1"/>
          <w:bCs w:val="1"/>
          <w:color w:val="auto"/>
        </w:rPr>
        <w:t>WASTE MANAGEMENT HOLDINGS, INC.</w:t>
      </w:r>
    </w:p>
    <w:p>
      <w:pPr>
        <w:spacing w:after="0" w:line="19"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(the “Guarantor”)</w:t>
      </w:r>
    </w:p>
    <w:p>
      <w:pPr>
        <w:spacing w:after="0" w:line="7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and</w:t>
      </w:r>
    </w:p>
    <w:p>
      <w:pPr>
        <w:spacing w:after="0" w:line="82"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Certain Banks</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and</w:t>
      </w:r>
    </w:p>
    <w:p>
      <w:pPr>
        <w:spacing w:after="0" w:line="82" w:lineRule="exact"/>
        <w:rPr>
          <w:sz w:val="20"/>
          <w:szCs w:val="20"/>
          <w:color w:val="auto"/>
        </w:rPr>
      </w:pPr>
    </w:p>
    <w:p>
      <w:pPr>
        <w:ind w:left="3700"/>
        <w:spacing w:after="0"/>
        <w:rPr>
          <w:sz w:val="20"/>
          <w:szCs w:val="20"/>
          <w:color w:val="auto"/>
        </w:rPr>
      </w:pPr>
      <w:r>
        <w:rPr>
          <w:rFonts w:ascii="Arial" w:cs="Arial" w:eastAsia="Arial" w:hAnsi="Arial"/>
          <w:sz w:val="13"/>
          <w:szCs w:val="13"/>
          <w:b w:val="1"/>
          <w:bCs w:val="1"/>
          <w:color w:val="auto"/>
        </w:rPr>
        <w:t>BANK OF AMERICA, N.A.,</w:t>
      </w:r>
    </w:p>
    <w:p>
      <w:pPr>
        <w:spacing w:after="0" w:line="19"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as Administrative Agent</w:t>
      </w:r>
    </w:p>
    <w:p>
      <w:pPr>
        <w:spacing w:after="0" w:line="7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and</w:t>
      </w:r>
    </w:p>
    <w:p>
      <w:pPr>
        <w:spacing w:after="0" w:line="82" w:lineRule="exact"/>
        <w:rPr>
          <w:sz w:val="20"/>
          <w:szCs w:val="20"/>
          <w:color w:val="auto"/>
        </w:rPr>
      </w:pPr>
    </w:p>
    <w:p>
      <w:pPr>
        <w:ind w:left="2700"/>
        <w:spacing w:after="0"/>
        <w:rPr>
          <w:sz w:val="20"/>
          <w:szCs w:val="20"/>
          <w:color w:val="auto"/>
        </w:rPr>
      </w:pPr>
      <w:r>
        <w:rPr>
          <w:rFonts w:ascii="Arial" w:cs="Arial" w:eastAsia="Arial" w:hAnsi="Arial"/>
          <w:sz w:val="13"/>
          <w:szCs w:val="13"/>
          <w:b w:val="1"/>
          <w:bCs w:val="1"/>
          <w:color w:val="auto"/>
        </w:rPr>
        <w:t>JPMORGAN CHASE BANK, N.A., and BARCLAYS CAPITAL,</w:t>
      </w:r>
    </w:p>
    <w:p>
      <w:pPr>
        <w:spacing w:after="0" w:line="1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as Syndication Agents</w:t>
      </w:r>
    </w:p>
    <w:p>
      <w:pPr>
        <w:spacing w:after="0" w:line="7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and</w:t>
      </w:r>
    </w:p>
    <w:p>
      <w:pPr>
        <w:spacing w:after="0" w:line="82" w:lineRule="exact"/>
        <w:rPr>
          <w:sz w:val="20"/>
          <w:szCs w:val="20"/>
          <w:color w:val="auto"/>
        </w:rPr>
      </w:pPr>
    </w:p>
    <w:p>
      <w:pPr>
        <w:ind w:left="2000"/>
        <w:spacing w:after="0"/>
        <w:rPr>
          <w:sz w:val="20"/>
          <w:szCs w:val="20"/>
          <w:color w:val="auto"/>
        </w:rPr>
      </w:pPr>
      <w:r>
        <w:rPr>
          <w:rFonts w:ascii="Arial" w:cs="Arial" w:eastAsia="Arial" w:hAnsi="Arial"/>
          <w:sz w:val="13"/>
          <w:szCs w:val="13"/>
          <w:b w:val="1"/>
          <w:bCs w:val="1"/>
          <w:color w:val="auto"/>
        </w:rPr>
        <w:t>DEUTSCHE BANK SECURITIES INC. and THE ROYAL BANK OF SCOTLAND PLC,</w:t>
      </w:r>
    </w:p>
    <w:p>
      <w:pPr>
        <w:spacing w:after="0" w:line="19" w:lineRule="exact"/>
        <w:rPr>
          <w:sz w:val="20"/>
          <w:szCs w:val="20"/>
          <w:color w:val="auto"/>
        </w:rPr>
      </w:pPr>
    </w:p>
    <w:p>
      <w:pPr>
        <w:ind w:left="3800"/>
        <w:spacing w:after="0"/>
        <w:rPr>
          <w:sz w:val="20"/>
          <w:szCs w:val="20"/>
          <w:color w:val="auto"/>
        </w:rPr>
      </w:pPr>
      <w:r>
        <w:rPr>
          <w:rFonts w:ascii="Arial" w:cs="Arial" w:eastAsia="Arial" w:hAnsi="Arial"/>
          <w:sz w:val="13"/>
          <w:szCs w:val="13"/>
          <w:b w:val="1"/>
          <w:bCs w:val="1"/>
          <w:color w:val="auto"/>
        </w:rPr>
        <w:t>as Documentation Agents</w:t>
      </w:r>
    </w:p>
    <w:p>
      <w:pPr>
        <w:spacing w:after="0" w:line="7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and</w:t>
      </w:r>
    </w:p>
    <w:p>
      <w:pPr>
        <w:spacing w:after="0" w:line="82"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BNP PARIBAS and CITIBANK, N.A.,</w:t>
      </w:r>
    </w:p>
    <w:p>
      <w:pPr>
        <w:spacing w:after="0" w:line="19" w:lineRule="exact"/>
        <w:rPr>
          <w:sz w:val="20"/>
          <w:szCs w:val="20"/>
          <w:color w:val="auto"/>
        </w:rPr>
      </w:pPr>
    </w:p>
    <w:p>
      <w:pPr>
        <w:ind w:left="3700"/>
        <w:spacing w:after="0"/>
        <w:rPr>
          <w:sz w:val="20"/>
          <w:szCs w:val="20"/>
          <w:color w:val="auto"/>
        </w:rPr>
      </w:pPr>
      <w:r>
        <w:rPr>
          <w:rFonts w:ascii="Arial" w:cs="Arial" w:eastAsia="Arial" w:hAnsi="Arial"/>
          <w:sz w:val="13"/>
          <w:szCs w:val="13"/>
          <w:b w:val="1"/>
          <w:bCs w:val="1"/>
          <w:color w:val="auto"/>
        </w:rPr>
        <w:t>as Co-Documentation Agents</w:t>
      </w:r>
    </w:p>
    <w:p>
      <w:pPr>
        <w:spacing w:after="0" w:line="75"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and</w:t>
      </w:r>
    </w:p>
    <w:p>
      <w:pPr>
        <w:spacing w:after="0" w:line="86"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J.P. MORGAN SECURITIES INC., BANC OF AMERICA SECURITIES LLC and BARCLAYS CAPITAL,</w:t>
      </w:r>
    </w:p>
    <w:p>
      <w:pPr>
        <w:spacing w:after="0" w:line="19"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as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283210</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49"/>
        </w:trPr>
        <w:tc>
          <w:tcPr>
            <w:tcW w:w="5040" w:type="dxa"/>
            <w:vAlign w:val="bottom"/>
          </w:tcPr>
          <w:p>
            <w:pPr>
              <w:spacing w:after="0"/>
              <w:rPr>
                <w:sz w:val="13"/>
                <w:szCs w:val="13"/>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8"/>
              </w:rPr>
              <w:t>TABLE OF CONTENTS</w:t>
            </w:r>
          </w:p>
        </w:tc>
        <w:tc>
          <w:tcPr>
            <w:tcW w:w="4920" w:type="dxa"/>
            <w:vAlign w:val="bottom"/>
          </w:tcPr>
          <w:p>
            <w:pPr>
              <w:spacing w:after="0"/>
              <w:rPr>
                <w:sz w:val="13"/>
                <w:szCs w:val="13"/>
                <w:color w:val="auto"/>
              </w:rPr>
            </w:pPr>
          </w:p>
        </w:tc>
      </w:tr>
      <w:tr>
        <w:trPr>
          <w:trHeight w:val="315"/>
        </w:trPr>
        <w:tc>
          <w:tcPr>
            <w:tcW w:w="5040" w:type="dxa"/>
            <w:vAlign w:val="bottom"/>
          </w:tcPr>
          <w:p>
            <w:pPr>
              <w:spacing w:after="0"/>
              <w:rPr>
                <w:sz w:val="20"/>
                <w:szCs w:val="20"/>
                <w:color w:val="auto"/>
              </w:rPr>
            </w:pPr>
            <w:r>
              <w:rPr>
                <w:rFonts w:ascii="Arial" w:cs="Arial" w:eastAsia="Arial" w:hAnsi="Arial"/>
                <w:sz w:val="13"/>
                <w:szCs w:val="13"/>
                <w:color w:val="auto"/>
              </w:rPr>
              <w:t>§1. DEFINITIONS AND RULES OF INTERPRETATION</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1</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§1.1. Definitions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1</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§1.2. Rules of Interpretation</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18</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§1.3. Classification of Loans and Borrowings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19</w:t>
            </w:r>
          </w:p>
        </w:tc>
      </w:tr>
      <w:tr>
        <w:trPr>
          <w:trHeight w:val="157"/>
        </w:trPr>
        <w:tc>
          <w:tcPr>
            <w:tcW w:w="5040" w:type="dxa"/>
            <w:vAlign w:val="bottom"/>
          </w:tcPr>
          <w:p>
            <w:pPr>
              <w:spacing w:after="0"/>
              <w:rPr>
                <w:sz w:val="20"/>
                <w:szCs w:val="20"/>
                <w:color w:val="auto"/>
              </w:rPr>
            </w:pPr>
            <w:r>
              <w:rPr>
                <w:rFonts w:ascii="Arial" w:cs="Arial" w:eastAsia="Arial" w:hAnsi="Arial"/>
                <w:sz w:val="13"/>
                <w:szCs w:val="13"/>
                <w:color w:val="auto"/>
              </w:rPr>
              <w:t>§2. THE LOAN FACILITIES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19</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§2.1. Commitment to Lend</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19</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§2.2. Facility Fee</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19</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§2.3. Reduction and Increase of Total Commitment</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20</w:t>
            </w:r>
          </w:p>
        </w:tc>
      </w:tr>
      <w:tr>
        <w:trPr>
          <w:trHeight w:val="157"/>
        </w:trPr>
        <w:tc>
          <w:tcPr>
            <w:tcW w:w="5040" w:type="dxa"/>
            <w:vAlign w:val="bottom"/>
          </w:tcPr>
          <w:p>
            <w:pPr>
              <w:ind w:left="300"/>
              <w:spacing w:after="0"/>
              <w:rPr>
                <w:sz w:val="20"/>
                <w:szCs w:val="20"/>
                <w:color w:val="auto"/>
              </w:rPr>
            </w:pPr>
            <w:r>
              <w:rPr>
                <w:rFonts w:ascii="Arial" w:cs="Arial" w:eastAsia="Arial" w:hAnsi="Arial"/>
                <w:sz w:val="13"/>
                <w:szCs w:val="13"/>
                <w:color w:val="auto"/>
              </w:rPr>
              <w:t>§2.3.1. Reduction of Total Commitment</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20</w:t>
            </w:r>
          </w:p>
        </w:tc>
      </w:tr>
      <w:tr>
        <w:trPr>
          <w:trHeight w:val="157"/>
        </w:trPr>
        <w:tc>
          <w:tcPr>
            <w:tcW w:w="5040" w:type="dxa"/>
            <w:vAlign w:val="bottom"/>
          </w:tcPr>
          <w:p>
            <w:pPr>
              <w:ind w:left="300"/>
              <w:spacing w:after="0"/>
              <w:rPr>
                <w:sz w:val="20"/>
                <w:szCs w:val="20"/>
                <w:color w:val="auto"/>
              </w:rPr>
            </w:pPr>
            <w:r>
              <w:rPr>
                <w:rFonts w:ascii="Arial" w:cs="Arial" w:eastAsia="Arial" w:hAnsi="Arial"/>
                <w:sz w:val="13"/>
                <w:szCs w:val="13"/>
                <w:color w:val="auto"/>
              </w:rPr>
              <w:t>§2.3.2. Increase of Total Commitment</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20</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§2.4. Repayment of Loans; Evidence of Debt</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21</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§2.5. Interest on Loans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22</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§2.6. Requests for Syndicated Loans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22</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w w:val="95"/>
              </w:rPr>
              <w:t>§2.7. Election of Eurodollar Rate; Notice of Election; Interest Periods; Minimum Amounts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23</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§2.8. Funds for Syndicated Loans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24</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§2.9. Maturity of the Loans and Reimbursement Obligations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24</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§2.10. Optional Prepayments or Repayments of Loans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24</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§2.11. Swing Line Loans; Participations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25</w:t>
            </w:r>
          </w:p>
        </w:tc>
      </w:tr>
      <w:tr>
        <w:trPr>
          <w:trHeight w:val="157"/>
        </w:trPr>
        <w:tc>
          <w:tcPr>
            <w:tcW w:w="5040" w:type="dxa"/>
            <w:vAlign w:val="bottom"/>
          </w:tcPr>
          <w:p>
            <w:pPr>
              <w:spacing w:after="0"/>
              <w:rPr>
                <w:sz w:val="20"/>
                <w:szCs w:val="20"/>
                <w:color w:val="auto"/>
              </w:rPr>
            </w:pPr>
            <w:r>
              <w:rPr>
                <w:rFonts w:ascii="Arial" w:cs="Arial" w:eastAsia="Arial" w:hAnsi="Arial"/>
                <w:sz w:val="13"/>
                <w:szCs w:val="13"/>
                <w:color w:val="auto"/>
              </w:rPr>
              <w:t>§3. LETTERS OF CREDIT</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27</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§3.1. Letter of Credit Commitments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27</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§3.2. Reimbursement Obligation of the Borrower</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30</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§3.3. Obligations Absolute</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31</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§3.4. Reliance by the Issuing Banks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31</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§3.5. Notice Regarding Letters of Credit</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32</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§3.6. Letter of Credit Fee; Fronting Fee</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32</w:t>
            </w:r>
          </w:p>
        </w:tc>
      </w:tr>
      <w:tr>
        <w:trPr>
          <w:trHeight w:val="157"/>
        </w:trPr>
        <w:tc>
          <w:tcPr>
            <w:tcW w:w="5040" w:type="dxa"/>
            <w:vAlign w:val="bottom"/>
          </w:tcPr>
          <w:p>
            <w:pPr>
              <w:spacing w:after="0"/>
              <w:rPr>
                <w:sz w:val="20"/>
                <w:szCs w:val="20"/>
                <w:color w:val="auto"/>
              </w:rPr>
            </w:pPr>
            <w:r>
              <w:rPr>
                <w:rFonts w:ascii="Arial" w:cs="Arial" w:eastAsia="Arial" w:hAnsi="Arial"/>
                <w:sz w:val="13"/>
                <w:szCs w:val="13"/>
                <w:color w:val="auto"/>
              </w:rPr>
              <w:t>§4. COMPETITIVE BID LOANS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32</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rPr>
              <w:t>§4.1. The Competitive Bid Option</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32</w:t>
            </w:r>
          </w:p>
        </w:tc>
      </w:tr>
      <w:tr>
        <w:trPr>
          <w:trHeight w:val="165"/>
        </w:trPr>
        <w:tc>
          <w:tcPr>
            <w:tcW w:w="5040" w:type="dxa"/>
            <w:vAlign w:val="bottom"/>
          </w:tcPr>
          <w:p>
            <w:pPr>
              <w:ind w:left="140"/>
              <w:spacing w:after="0"/>
              <w:rPr>
                <w:sz w:val="20"/>
                <w:szCs w:val="20"/>
                <w:color w:val="auto"/>
              </w:rPr>
            </w:pPr>
            <w:r>
              <w:rPr>
                <w:rFonts w:ascii="Arial" w:cs="Arial" w:eastAsia="Arial" w:hAnsi="Arial"/>
                <w:sz w:val="13"/>
                <w:szCs w:val="13"/>
                <w:color w:val="auto"/>
              </w:rPr>
              <w:t>§4.2. Competitive Bid Loan Accounts; Competitive Bid Loans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33</w:t>
            </w:r>
          </w:p>
        </w:tc>
      </w:tr>
    </w:tbl>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27" w:right="31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57"/>
        </w:trPr>
        <w:tc>
          <w:tcPr>
            <w:tcW w:w="7720" w:type="dxa"/>
            <w:vAlign w:val="bottom"/>
          </w:tcPr>
          <w:p>
            <w:pPr>
              <w:ind w:left="140"/>
              <w:spacing w:after="0"/>
              <w:rPr>
                <w:sz w:val="20"/>
                <w:szCs w:val="20"/>
                <w:color w:val="auto"/>
              </w:rPr>
            </w:pPr>
            <w:r>
              <w:rPr>
                <w:rFonts w:ascii="Arial" w:cs="Arial" w:eastAsia="Arial" w:hAnsi="Arial"/>
                <w:sz w:val="13"/>
                <w:szCs w:val="13"/>
                <w:color w:val="auto"/>
              </w:rPr>
              <w:t>§4.3. Competitive Bid Quote Request; Invitation for Competitive Bid Quotes</w:t>
            </w:r>
          </w:p>
        </w:tc>
        <w:tc>
          <w:tcPr>
            <w:tcW w:w="364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157"/>
        </w:trPr>
        <w:tc>
          <w:tcPr>
            <w:tcW w:w="7720" w:type="dxa"/>
            <w:vAlign w:val="bottom"/>
          </w:tcPr>
          <w:p>
            <w:pPr>
              <w:ind w:left="140"/>
              <w:spacing w:after="0"/>
              <w:rPr>
                <w:sz w:val="20"/>
                <w:szCs w:val="20"/>
                <w:color w:val="auto"/>
              </w:rPr>
            </w:pPr>
            <w:r>
              <w:rPr>
                <w:rFonts w:ascii="Arial" w:cs="Arial" w:eastAsia="Arial" w:hAnsi="Arial"/>
                <w:sz w:val="13"/>
                <w:szCs w:val="13"/>
                <w:color w:val="auto"/>
              </w:rPr>
              <w:t>§4.4. Alternative Manner of Procedure</w:t>
            </w:r>
          </w:p>
        </w:tc>
        <w:tc>
          <w:tcPr>
            <w:tcW w:w="364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157"/>
        </w:trPr>
        <w:tc>
          <w:tcPr>
            <w:tcW w:w="7720" w:type="dxa"/>
            <w:vAlign w:val="bottom"/>
          </w:tcPr>
          <w:p>
            <w:pPr>
              <w:ind w:left="140"/>
              <w:spacing w:after="0"/>
              <w:rPr>
                <w:sz w:val="20"/>
                <w:szCs w:val="20"/>
                <w:color w:val="auto"/>
              </w:rPr>
            </w:pPr>
            <w:r>
              <w:rPr>
                <w:rFonts w:ascii="Arial" w:cs="Arial" w:eastAsia="Arial" w:hAnsi="Arial"/>
                <w:sz w:val="13"/>
                <w:szCs w:val="13"/>
                <w:color w:val="auto"/>
              </w:rPr>
              <w:t>§4.5. Submission and Contents of Competitive Bid Quotes</w:t>
            </w:r>
          </w:p>
        </w:tc>
        <w:tc>
          <w:tcPr>
            <w:tcW w:w="364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157"/>
        </w:trPr>
        <w:tc>
          <w:tcPr>
            <w:tcW w:w="7720" w:type="dxa"/>
            <w:vAlign w:val="bottom"/>
          </w:tcPr>
          <w:p>
            <w:pPr>
              <w:ind w:left="140"/>
              <w:spacing w:after="0"/>
              <w:rPr>
                <w:sz w:val="20"/>
                <w:szCs w:val="20"/>
                <w:color w:val="auto"/>
              </w:rPr>
            </w:pPr>
            <w:r>
              <w:rPr>
                <w:rFonts w:ascii="Arial" w:cs="Arial" w:eastAsia="Arial" w:hAnsi="Arial"/>
                <w:sz w:val="13"/>
                <w:szCs w:val="13"/>
                <w:color w:val="auto"/>
              </w:rPr>
              <w:t>§4.6. Notice to Borrower</w:t>
            </w:r>
          </w:p>
        </w:tc>
        <w:tc>
          <w:tcPr>
            <w:tcW w:w="364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157"/>
        </w:trPr>
        <w:tc>
          <w:tcPr>
            <w:tcW w:w="7720" w:type="dxa"/>
            <w:vAlign w:val="bottom"/>
          </w:tcPr>
          <w:p>
            <w:pPr>
              <w:ind w:left="140"/>
              <w:spacing w:after="0"/>
              <w:rPr>
                <w:sz w:val="20"/>
                <w:szCs w:val="20"/>
                <w:color w:val="auto"/>
              </w:rPr>
            </w:pPr>
            <w:r>
              <w:rPr>
                <w:rFonts w:ascii="Arial" w:cs="Arial" w:eastAsia="Arial" w:hAnsi="Arial"/>
                <w:sz w:val="13"/>
                <w:szCs w:val="13"/>
                <w:color w:val="auto"/>
              </w:rPr>
              <w:t>§4.7. Acceptance and Notice by Borrower and Administrative Agent</w:t>
            </w:r>
          </w:p>
        </w:tc>
        <w:tc>
          <w:tcPr>
            <w:tcW w:w="364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157"/>
        </w:trPr>
        <w:tc>
          <w:tcPr>
            <w:tcW w:w="7720" w:type="dxa"/>
            <w:vAlign w:val="bottom"/>
          </w:tcPr>
          <w:p>
            <w:pPr>
              <w:ind w:left="140"/>
              <w:spacing w:after="0"/>
              <w:rPr>
                <w:sz w:val="20"/>
                <w:szCs w:val="20"/>
                <w:color w:val="auto"/>
              </w:rPr>
            </w:pPr>
            <w:r>
              <w:rPr>
                <w:rFonts w:ascii="Arial" w:cs="Arial" w:eastAsia="Arial" w:hAnsi="Arial"/>
                <w:sz w:val="13"/>
                <w:szCs w:val="13"/>
                <w:color w:val="auto"/>
              </w:rPr>
              <w:t>§4.8. Allocation by Administrative Agent</w:t>
            </w:r>
          </w:p>
        </w:tc>
        <w:tc>
          <w:tcPr>
            <w:tcW w:w="364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157"/>
        </w:trPr>
        <w:tc>
          <w:tcPr>
            <w:tcW w:w="7720" w:type="dxa"/>
            <w:vAlign w:val="bottom"/>
          </w:tcPr>
          <w:p>
            <w:pPr>
              <w:ind w:left="140"/>
              <w:spacing w:after="0"/>
              <w:rPr>
                <w:sz w:val="20"/>
                <w:szCs w:val="20"/>
                <w:color w:val="auto"/>
              </w:rPr>
            </w:pPr>
            <w:r>
              <w:rPr>
                <w:rFonts w:ascii="Arial" w:cs="Arial" w:eastAsia="Arial" w:hAnsi="Arial"/>
                <w:sz w:val="13"/>
                <w:szCs w:val="13"/>
                <w:color w:val="auto"/>
              </w:rPr>
              <w:t>§4.9. Funding of Competitive Bid Loans</w:t>
            </w:r>
          </w:p>
        </w:tc>
        <w:tc>
          <w:tcPr>
            <w:tcW w:w="364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157"/>
        </w:trPr>
        <w:tc>
          <w:tcPr>
            <w:tcW w:w="7720" w:type="dxa"/>
            <w:vAlign w:val="bottom"/>
          </w:tcPr>
          <w:p>
            <w:pPr>
              <w:ind w:left="140"/>
              <w:spacing w:after="0"/>
              <w:rPr>
                <w:sz w:val="20"/>
                <w:szCs w:val="20"/>
                <w:color w:val="auto"/>
              </w:rPr>
            </w:pPr>
            <w:r>
              <w:rPr>
                <w:rFonts w:ascii="Arial" w:cs="Arial" w:eastAsia="Arial" w:hAnsi="Arial"/>
                <w:sz w:val="13"/>
                <w:szCs w:val="13"/>
                <w:color w:val="auto"/>
              </w:rPr>
              <w:t>§4.10. Funding Losses</w:t>
            </w:r>
          </w:p>
        </w:tc>
        <w:tc>
          <w:tcPr>
            <w:tcW w:w="364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157"/>
        </w:trPr>
        <w:tc>
          <w:tcPr>
            <w:tcW w:w="7720" w:type="dxa"/>
            <w:vAlign w:val="bottom"/>
          </w:tcPr>
          <w:p>
            <w:pPr>
              <w:ind w:left="140"/>
              <w:spacing w:after="0"/>
              <w:rPr>
                <w:sz w:val="20"/>
                <w:szCs w:val="20"/>
                <w:color w:val="auto"/>
              </w:rPr>
            </w:pPr>
            <w:r>
              <w:rPr>
                <w:rFonts w:ascii="Arial" w:cs="Arial" w:eastAsia="Arial" w:hAnsi="Arial"/>
                <w:sz w:val="13"/>
                <w:szCs w:val="13"/>
                <w:color w:val="auto"/>
              </w:rPr>
              <w:t>§4.11. Repayment of Competitive Bid Loans; Interest</w:t>
            </w:r>
          </w:p>
        </w:tc>
        <w:tc>
          <w:tcPr>
            <w:tcW w:w="364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157"/>
        </w:trPr>
        <w:tc>
          <w:tcPr>
            <w:tcW w:w="7720" w:type="dxa"/>
            <w:vAlign w:val="bottom"/>
          </w:tcPr>
          <w:p>
            <w:pPr>
              <w:spacing w:after="0"/>
              <w:rPr>
                <w:sz w:val="20"/>
                <w:szCs w:val="20"/>
                <w:color w:val="auto"/>
              </w:rPr>
            </w:pPr>
            <w:r>
              <w:rPr>
                <w:rFonts w:ascii="Arial" w:cs="Arial" w:eastAsia="Arial" w:hAnsi="Arial"/>
                <w:sz w:val="13"/>
                <w:szCs w:val="13"/>
                <w:color w:val="auto"/>
              </w:rPr>
              <w:t>§5. PROVISIONS RELATING TO ALL LOANS AND LETTERS OF CREDIT</w:t>
            </w:r>
          </w:p>
        </w:tc>
        <w:tc>
          <w:tcPr>
            <w:tcW w:w="364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157"/>
        </w:trPr>
        <w:tc>
          <w:tcPr>
            <w:tcW w:w="7720" w:type="dxa"/>
            <w:vAlign w:val="bottom"/>
          </w:tcPr>
          <w:p>
            <w:pPr>
              <w:ind w:left="140"/>
              <w:spacing w:after="0"/>
              <w:rPr>
                <w:sz w:val="20"/>
                <w:szCs w:val="20"/>
                <w:color w:val="auto"/>
              </w:rPr>
            </w:pPr>
            <w:r>
              <w:rPr>
                <w:rFonts w:ascii="Arial" w:cs="Arial" w:eastAsia="Arial" w:hAnsi="Arial"/>
                <w:sz w:val="13"/>
                <w:szCs w:val="13"/>
                <w:color w:val="auto"/>
              </w:rPr>
              <w:t>§5.1. Payments</w:t>
            </w:r>
          </w:p>
        </w:tc>
        <w:tc>
          <w:tcPr>
            <w:tcW w:w="364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157"/>
        </w:trPr>
        <w:tc>
          <w:tcPr>
            <w:tcW w:w="7720" w:type="dxa"/>
            <w:vAlign w:val="bottom"/>
          </w:tcPr>
          <w:p>
            <w:pPr>
              <w:ind w:left="140"/>
              <w:spacing w:after="0"/>
              <w:rPr>
                <w:sz w:val="20"/>
                <w:szCs w:val="20"/>
                <w:color w:val="auto"/>
              </w:rPr>
            </w:pPr>
            <w:r>
              <w:rPr>
                <w:rFonts w:ascii="Arial" w:cs="Arial" w:eastAsia="Arial" w:hAnsi="Arial"/>
                <w:sz w:val="13"/>
                <w:szCs w:val="13"/>
                <w:color w:val="auto"/>
              </w:rPr>
              <w:t>§5.2. Mandatory Repayments of the Loans</w:t>
            </w:r>
          </w:p>
        </w:tc>
        <w:tc>
          <w:tcPr>
            <w:tcW w:w="364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157"/>
        </w:trPr>
        <w:tc>
          <w:tcPr>
            <w:tcW w:w="7720" w:type="dxa"/>
            <w:vAlign w:val="bottom"/>
          </w:tcPr>
          <w:p>
            <w:pPr>
              <w:ind w:left="140"/>
              <w:spacing w:after="0"/>
              <w:rPr>
                <w:sz w:val="20"/>
                <w:szCs w:val="20"/>
                <w:color w:val="auto"/>
              </w:rPr>
            </w:pPr>
            <w:r>
              <w:rPr>
                <w:rFonts w:ascii="Arial" w:cs="Arial" w:eastAsia="Arial" w:hAnsi="Arial"/>
                <w:sz w:val="13"/>
                <w:szCs w:val="13"/>
                <w:color w:val="auto"/>
              </w:rPr>
              <w:t>§5.3. Computations</w:t>
            </w:r>
          </w:p>
        </w:tc>
        <w:tc>
          <w:tcPr>
            <w:tcW w:w="364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157"/>
        </w:trPr>
        <w:tc>
          <w:tcPr>
            <w:tcW w:w="7720" w:type="dxa"/>
            <w:vAlign w:val="bottom"/>
          </w:tcPr>
          <w:p>
            <w:pPr>
              <w:ind w:left="140"/>
              <w:spacing w:after="0"/>
              <w:rPr>
                <w:sz w:val="20"/>
                <w:szCs w:val="20"/>
                <w:color w:val="auto"/>
              </w:rPr>
            </w:pPr>
            <w:r>
              <w:rPr>
                <w:rFonts w:ascii="Arial" w:cs="Arial" w:eastAsia="Arial" w:hAnsi="Arial"/>
                <w:sz w:val="13"/>
                <w:szCs w:val="13"/>
                <w:color w:val="auto"/>
              </w:rPr>
              <w:t>§5.4. Illegality; Inability to Determine Eurodollar Rate</w:t>
            </w:r>
          </w:p>
        </w:tc>
        <w:tc>
          <w:tcPr>
            <w:tcW w:w="364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157"/>
        </w:trPr>
        <w:tc>
          <w:tcPr>
            <w:tcW w:w="7720" w:type="dxa"/>
            <w:vAlign w:val="bottom"/>
          </w:tcPr>
          <w:p>
            <w:pPr>
              <w:ind w:left="140"/>
              <w:spacing w:after="0"/>
              <w:rPr>
                <w:sz w:val="20"/>
                <w:szCs w:val="20"/>
                <w:color w:val="auto"/>
              </w:rPr>
            </w:pPr>
            <w:r>
              <w:rPr>
                <w:rFonts w:ascii="Arial" w:cs="Arial" w:eastAsia="Arial" w:hAnsi="Arial"/>
                <w:sz w:val="13"/>
                <w:szCs w:val="13"/>
                <w:color w:val="auto"/>
              </w:rPr>
              <w:t>§5.5. Additional Costs, Etc</w:t>
            </w:r>
          </w:p>
        </w:tc>
        <w:tc>
          <w:tcPr>
            <w:tcW w:w="364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157"/>
        </w:trPr>
        <w:tc>
          <w:tcPr>
            <w:tcW w:w="7720" w:type="dxa"/>
            <w:vAlign w:val="bottom"/>
          </w:tcPr>
          <w:p>
            <w:pPr>
              <w:ind w:left="140"/>
              <w:spacing w:after="0"/>
              <w:rPr>
                <w:sz w:val="20"/>
                <w:szCs w:val="20"/>
                <w:color w:val="auto"/>
              </w:rPr>
            </w:pPr>
            <w:r>
              <w:rPr>
                <w:rFonts w:ascii="Arial" w:cs="Arial" w:eastAsia="Arial" w:hAnsi="Arial"/>
                <w:sz w:val="13"/>
                <w:szCs w:val="13"/>
                <w:color w:val="auto"/>
              </w:rPr>
              <w:t>§5.6. Capital Adequacy</w:t>
            </w:r>
          </w:p>
        </w:tc>
        <w:tc>
          <w:tcPr>
            <w:tcW w:w="364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157"/>
        </w:trPr>
        <w:tc>
          <w:tcPr>
            <w:tcW w:w="7720" w:type="dxa"/>
            <w:vAlign w:val="bottom"/>
          </w:tcPr>
          <w:p>
            <w:pPr>
              <w:ind w:left="140"/>
              <w:spacing w:after="0"/>
              <w:rPr>
                <w:sz w:val="20"/>
                <w:szCs w:val="20"/>
                <w:color w:val="auto"/>
              </w:rPr>
            </w:pPr>
            <w:r>
              <w:rPr>
                <w:rFonts w:ascii="Arial" w:cs="Arial" w:eastAsia="Arial" w:hAnsi="Arial"/>
                <w:sz w:val="13"/>
                <w:szCs w:val="13"/>
                <w:color w:val="auto"/>
              </w:rPr>
              <w:t>§5.7. Certificate</w:t>
            </w:r>
          </w:p>
        </w:tc>
        <w:tc>
          <w:tcPr>
            <w:tcW w:w="364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157"/>
        </w:trPr>
        <w:tc>
          <w:tcPr>
            <w:tcW w:w="7720" w:type="dxa"/>
            <w:vAlign w:val="bottom"/>
          </w:tcPr>
          <w:p>
            <w:pPr>
              <w:ind w:left="140"/>
              <w:spacing w:after="0"/>
              <w:rPr>
                <w:sz w:val="20"/>
                <w:szCs w:val="20"/>
                <w:color w:val="auto"/>
              </w:rPr>
            </w:pPr>
            <w:r>
              <w:rPr>
                <w:rFonts w:ascii="Arial" w:cs="Arial" w:eastAsia="Arial" w:hAnsi="Arial"/>
                <w:sz w:val="13"/>
                <w:szCs w:val="13"/>
                <w:color w:val="auto"/>
              </w:rPr>
              <w:t>§5.8. Eurodollar and Competitive Bid Indemnity</w:t>
            </w:r>
          </w:p>
        </w:tc>
        <w:tc>
          <w:tcPr>
            <w:tcW w:w="364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157"/>
        </w:trPr>
        <w:tc>
          <w:tcPr>
            <w:tcW w:w="7720" w:type="dxa"/>
            <w:vAlign w:val="bottom"/>
          </w:tcPr>
          <w:p>
            <w:pPr>
              <w:ind w:left="140"/>
              <w:spacing w:after="0"/>
              <w:rPr>
                <w:sz w:val="20"/>
                <w:szCs w:val="20"/>
                <w:color w:val="auto"/>
              </w:rPr>
            </w:pPr>
            <w:r>
              <w:rPr>
                <w:rFonts w:ascii="Arial" w:cs="Arial" w:eastAsia="Arial" w:hAnsi="Arial"/>
                <w:sz w:val="13"/>
                <w:szCs w:val="13"/>
                <w:color w:val="auto"/>
              </w:rPr>
              <w:t>§5.9. Interest on Overdue Amounts</w:t>
            </w:r>
          </w:p>
        </w:tc>
        <w:tc>
          <w:tcPr>
            <w:tcW w:w="364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157"/>
        </w:trPr>
        <w:tc>
          <w:tcPr>
            <w:tcW w:w="7720" w:type="dxa"/>
            <w:vAlign w:val="bottom"/>
          </w:tcPr>
          <w:p>
            <w:pPr>
              <w:ind w:left="140"/>
              <w:spacing w:after="0"/>
              <w:rPr>
                <w:sz w:val="20"/>
                <w:szCs w:val="20"/>
                <w:color w:val="auto"/>
              </w:rPr>
            </w:pPr>
            <w:r>
              <w:rPr>
                <w:rFonts w:ascii="Arial" w:cs="Arial" w:eastAsia="Arial" w:hAnsi="Arial"/>
                <w:sz w:val="13"/>
                <w:szCs w:val="13"/>
                <w:color w:val="auto"/>
              </w:rPr>
              <w:t>§5.10. Interest Limitation</w:t>
            </w:r>
          </w:p>
        </w:tc>
        <w:tc>
          <w:tcPr>
            <w:tcW w:w="364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157"/>
        </w:trPr>
        <w:tc>
          <w:tcPr>
            <w:tcW w:w="7720" w:type="dxa"/>
            <w:vAlign w:val="bottom"/>
          </w:tcPr>
          <w:p>
            <w:pPr>
              <w:ind w:left="140"/>
              <w:spacing w:after="0"/>
              <w:rPr>
                <w:sz w:val="20"/>
                <w:szCs w:val="20"/>
                <w:color w:val="auto"/>
              </w:rPr>
            </w:pPr>
            <w:r>
              <w:rPr>
                <w:rFonts w:ascii="Arial" w:cs="Arial" w:eastAsia="Arial" w:hAnsi="Arial"/>
                <w:sz w:val="13"/>
                <w:szCs w:val="13"/>
                <w:color w:val="auto"/>
              </w:rPr>
              <w:t>§5.11. Reasonable Efforts to Mitigate</w:t>
            </w:r>
          </w:p>
        </w:tc>
        <w:tc>
          <w:tcPr>
            <w:tcW w:w="364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157"/>
        </w:trPr>
        <w:tc>
          <w:tcPr>
            <w:tcW w:w="7720" w:type="dxa"/>
            <w:vAlign w:val="bottom"/>
          </w:tcPr>
          <w:p>
            <w:pPr>
              <w:ind w:left="140"/>
              <w:spacing w:after="0"/>
              <w:rPr>
                <w:sz w:val="20"/>
                <w:szCs w:val="20"/>
                <w:color w:val="auto"/>
              </w:rPr>
            </w:pPr>
            <w:r>
              <w:rPr>
                <w:rFonts w:ascii="Arial" w:cs="Arial" w:eastAsia="Arial" w:hAnsi="Arial"/>
                <w:sz w:val="13"/>
                <w:szCs w:val="13"/>
                <w:color w:val="auto"/>
              </w:rPr>
              <w:t>§5.12. Replacement of Banks</w:t>
            </w:r>
          </w:p>
        </w:tc>
        <w:tc>
          <w:tcPr>
            <w:tcW w:w="364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157"/>
        </w:trPr>
        <w:tc>
          <w:tcPr>
            <w:tcW w:w="7720" w:type="dxa"/>
            <w:vAlign w:val="bottom"/>
          </w:tcPr>
          <w:p>
            <w:pPr>
              <w:ind w:left="140"/>
              <w:spacing w:after="0"/>
              <w:rPr>
                <w:sz w:val="20"/>
                <w:szCs w:val="20"/>
                <w:color w:val="auto"/>
              </w:rPr>
            </w:pPr>
            <w:r>
              <w:rPr>
                <w:rFonts w:ascii="Arial" w:cs="Arial" w:eastAsia="Arial" w:hAnsi="Arial"/>
                <w:sz w:val="13"/>
                <w:szCs w:val="13"/>
                <w:color w:val="auto"/>
              </w:rPr>
              <w:t>§5.13. Advances by Administrative Agent</w:t>
            </w:r>
          </w:p>
        </w:tc>
        <w:tc>
          <w:tcPr>
            <w:tcW w:w="364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57"/>
        </w:trPr>
        <w:tc>
          <w:tcPr>
            <w:tcW w:w="7720" w:type="dxa"/>
            <w:vAlign w:val="bottom"/>
          </w:tcPr>
          <w:p>
            <w:pPr>
              <w:ind w:left="140"/>
              <w:spacing w:after="0"/>
              <w:rPr>
                <w:sz w:val="20"/>
                <w:szCs w:val="20"/>
                <w:color w:val="auto"/>
              </w:rPr>
            </w:pPr>
            <w:r>
              <w:rPr>
                <w:rFonts w:ascii="Arial" w:cs="Arial" w:eastAsia="Arial" w:hAnsi="Arial"/>
                <w:sz w:val="13"/>
                <w:szCs w:val="13"/>
                <w:color w:val="auto"/>
              </w:rPr>
              <w:t>§5.14. Defaulting Banks</w:t>
            </w:r>
          </w:p>
        </w:tc>
        <w:tc>
          <w:tcPr>
            <w:tcW w:w="364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57"/>
        </w:trPr>
        <w:tc>
          <w:tcPr>
            <w:tcW w:w="7720" w:type="dxa"/>
            <w:vAlign w:val="bottom"/>
          </w:tcPr>
          <w:p>
            <w:pPr>
              <w:spacing w:after="0"/>
              <w:rPr>
                <w:sz w:val="20"/>
                <w:szCs w:val="20"/>
                <w:color w:val="auto"/>
              </w:rPr>
            </w:pPr>
            <w:r>
              <w:rPr>
                <w:rFonts w:ascii="Arial" w:cs="Arial" w:eastAsia="Arial" w:hAnsi="Arial"/>
                <w:sz w:val="13"/>
                <w:szCs w:val="13"/>
                <w:color w:val="auto"/>
              </w:rPr>
              <w:t>§6. REPRESENTATIONS AND WARRANTIES</w:t>
            </w:r>
          </w:p>
        </w:tc>
        <w:tc>
          <w:tcPr>
            <w:tcW w:w="3640" w:type="dxa"/>
            <w:vAlign w:val="bottom"/>
          </w:tcPr>
          <w:p>
            <w:pPr>
              <w:jc w:val="right"/>
              <w:spacing w:after="0"/>
              <w:rPr>
                <w:sz w:val="20"/>
                <w:szCs w:val="20"/>
                <w:color w:val="auto"/>
              </w:rPr>
            </w:pPr>
            <w:r>
              <w:rPr>
                <w:rFonts w:ascii="Arial" w:cs="Arial" w:eastAsia="Arial" w:hAnsi="Arial"/>
                <w:sz w:val="13"/>
                <w:szCs w:val="13"/>
                <w:color w:val="auto"/>
              </w:rPr>
              <w:t>47</w:t>
            </w:r>
          </w:p>
        </w:tc>
      </w:tr>
      <w:tr>
        <w:trPr>
          <w:trHeight w:val="157"/>
        </w:trPr>
        <w:tc>
          <w:tcPr>
            <w:tcW w:w="7720" w:type="dxa"/>
            <w:vAlign w:val="bottom"/>
          </w:tcPr>
          <w:p>
            <w:pPr>
              <w:ind w:left="140"/>
              <w:spacing w:after="0"/>
              <w:rPr>
                <w:sz w:val="20"/>
                <w:szCs w:val="20"/>
                <w:color w:val="auto"/>
              </w:rPr>
            </w:pPr>
            <w:r>
              <w:rPr>
                <w:rFonts w:ascii="Arial" w:cs="Arial" w:eastAsia="Arial" w:hAnsi="Arial"/>
                <w:sz w:val="13"/>
                <w:szCs w:val="13"/>
                <w:color w:val="auto"/>
              </w:rPr>
              <w:t>§6.1. Corporate Authority</w:t>
            </w:r>
          </w:p>
        </w:tc>
        <w:tc>
          <w:tcPr>
            <w:tcW w:w="3640" w:type="dxa"/>
            <w:vAlign w:val="bottom"/>
          </w:tcPr>
          <w:p>
            <w:pPr>
              <w:jc w:val="right"/>
              <w:spacing w:after="0"/>
              <w:rPr>
                <w:sz w:val="20"/>
                <w:szCs w:val="20"/>
                <w:color w:val="auto"/>
              </w:rPr>
            </w:pPr>
            <w:r>
              <w:rPr>
                <w:rFonts w:ascii="Arial" w:cs="Arial" w:eastAsia="Arial" w:hAnsi="Arial"/>
                <w:sz w:val="13"/>
                <w:szCs w:val="13"/>
                <w:color w:val="auto"/>
              </w:rPr>
              <w:t>47</w:t>
            </w:r>
          </w:p>
        </w:tc>
      </w:tr>
      <w:tr>
        <w:trPr>
          <w:trHeight w:val="157"/>
        </w:trPr>
        <w:tc>
          <w:tcPr>
            <w:tcW w:w="7720" w:type="dxa"/>
            <w:vAlign w:val="bottom"/>
          </w:tcPr>
          <w:p>
            <w:pPr>
              <w:ind w:left="140"/>
              <w:spacing w:after="0"/>
              <w:rPr>
                <w:sz w:val="20"/>
                <w:szCs w:val="20"/>
                <w:color w:val="auto"/>
              </w:rPr>
            </w:pPr>
            <w:r>
              <w:rPr>
                <w:rFonts w:ascii="Arial" w:cs="Arial" w:eastAsia="Arial" w:hAnsi="Arial"/>
                <w:sz w:val="13"/>
                <w:szCs w:val="13"/>
                <w:color w:val="auto"/>
              </w:rPr>
              <w:t>§6.2. Governmental and Other Approvals</w:t>
            </w:r>
          </w:p>
        </w:tc>
        <w:tc>
          <w:tcPr>
            <w:tcW w:w="364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157"/>
        </w:trPr>
        <w:tc>
          <w:tcPr>
            <w:tcW w:w="7720" w:type="dxa"/>
            <w:vAlign w:val="bottom"/>
          </w:tcPr>
          <w:p>
            <w:pPr>
              <w:ind w:left="140"/>
              <w:spacing w:after="0"/>
              <w:rPr>
                <w:sz w:val="20"/>
                <w:szCs w:val="20"/>
                <w:color w:val="auto"/>
              </w:rPr>
            </w:pPr>
            <w:r>
              <w:rPr>
                <w:rFonts w:ascii="Arial" w:cs="Arial" w:eastAsia="Arial" w:hAnsi="Arial"/>
                <w:sz w:val="13"/>
                <w:szCs w:val="13"/>
                <w:color w:val="auto"/>
              </w:rPr>
              <w:t>§6.3. Title to Properties; Leases</w:t>
            </w:r>
          </w:p>
        </w:tc>
        <w:tc>
          <w:tcPr>
            <w:tcW w:w="364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157"/>
        </w:trPr>
        <w:tc>
          <w:tcPr>
            <w:tcW w:w="7720" w:type="dxa"/>
            <w:vAlign w:val="bottom"/>
          </w:tcPr>
          <w:p>
            <w:pPr>
              <w:ind w:left="140"/>
              <w:spacing w:after="0"/>
              <w:rPr>
                <w:sz w:val="20"/>
                <w:szCs w:val="20"/>
                <w:color w:val="auto"/>
              </w:rPr>
            </w:pPr>
            <w:r>
              <w:rPr>
                <w:rFonts w:ascii="Arial" w:cs="Arial" w:eastAsia="Arial" w:hAnsi="Arial"/>
                <w:sz w:val="13"/>
                <w:szCs w:val="13"/>
                <w:color w:val="auto"/>
              </w:rPr>
              <w:t>§6.4. Financial Statements; Solvency</w:t>
            </w:r>
          </w:p>
        </w:tc>
        <w:tc>
          <w:tcPr>
            <w:tcW w:w="364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165"/>
        </w:trPr>
        <w:tc>
          <w:tcPr>
            <w:tcW w:w="7720" w:type="dxa"/>
            <w:vAlign w:val="bottom"/>
          </w:tcPr>
          <w:p>
            <w:pPr>
              <w:ind w:left="140"/>
              <w:spacing w:after="0"/>
              <w:rPr>
                <w:sz w:val="20"/>
                <w:szCs w:val="20"/>
                <w:color w:val="auto"/>
              </w:rPr>
            </w:pPr>
            <w:r>
              <w:rPr>
                <w:rFonts w:ascii="Arial" w:cs="Arial" w:eastAsia="Arial" w:hAnsi="Arial"/>
                <w:sz w:val="13"/>
                <w:szCs w:val="13"/>
                <w:color w:val="auto"/>
              </w:rPr>
              <w:t>§6.5. No Material Changes, Etc</w:t>
            </w:r>
          </w:p>
        </w:tc>
        <w:tc>
          <w:tcPr>
            <w:tcW w:w="3640" w:type="dxa"/>
            <w:vAlign w:val="bottom"/>
          </w:tcPr>
          <w:p>
            <w:pPr>
              <w:jc w:val="right"/>
              <w:spacing w:after="0"/>
              <w:rPr>
                <w:sz w:val="20"/>
                <w:szCs w:val="20"/>
                <w:color w:val="auto"/>
              </w:rPr>
            </w:pPr>
            <w:r>
              <w:rPr>
                <w:rFonts w:ascii="Arial" w:cs="Arial" w:eastAsia="Arial" w:hAnsi="Arial"/>
                <w:sz w:val="13"/>
                <w:szCs w:val="13"/>
                <w:color w:val="auto"/>
              </w:rPr>
              <w:t>48</w:t>
            </w:r>
          </w:p>
        </w:tc>
      </w:tr>
    </w:tbl>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878" w:right="3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§6.6. Franchises, Patents, Copyrights, Etc</w:t>
            </w:r>
          </w:p>
        </w:tc>
        <w:tc>
          <w:tcPr>
            <w:tcW w:w="2760" w:type="dxa"/>
            <w:vAlign w:val="bottom"/>
          </w:tcPr>
          <w:p>
            <w:pPr>
              <w:jc w:val="right"/>
              <w:spacing w:after="0"/>
              <w:rPr>
                <w:sz w:val="20"/>
                <w:szCs w:val="20"/>
                <w:color w:val="auto"/>
              </w:rPr>
            </w:pPr>
            <w:r>
              <w:rPr>
                <w:rFonts w:ascii="Arial" w:cs="Arial" w:eastAsia="Arial" w:hAnsi="Arial"/>
                <w:sz w:val="13"/>
                <w:szCs w:val="13"/>
                <w:color w:val="auto"/>
              </w:rPr>
              <w:t>49</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§6.7. Litigation</w:t>
            </w:r>
          </w:p>
        </w:tc>
        <w:tc>
          <w:tcPr>
            <w:tcW w:w="2760" w:type="dxa"/>
            <w:vAlign w:val="bottom"/>
          </w:tcPr>
          <w:p>
            <w:pPr>
              <w:jc w:val="right"/>
              <w:spacing w:after="0"/>
              <w:rPr>
                <w:sz w:val="20"/>
                <w:szCs w:val="20"/>
                <w:color w:val="auto"/>
              </w:rPr>
            </w:pPr>
            <w:r>
              <w:rPr>
                <w:rFonts w:ascii="Arial" w:cs="Arial" w:eastAsia="Arial" w:hAnsi="Arial"/>
                <w:sz w:val="13"/>
                <w:szCs w:val="13"/>
                <w:color w:val="auto"/>
              </w:rPr>
              <w:t>49</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§6.8. No Materially Adverse Contracts, Etc</w:t>
            </w:r>
          </w:p>
        </w:tc>
        <w:tc>
          <w:tcPr>
            <w:tcW w:w="2760" w:type="dxa"/>
            <w:vAlign w:val="bottom"/>
          </w:tcPr>
          <w:p>
            <w:pPr>
              <w:jc w:val="right"/>
              <w:spacing w:after="0"/>
              <w:rPr>
                <w:sz w:val="20"/>
                <w:szCs w:val="20"/>
                <w:color w:val="auto"/>
              </w:rPr>
            </w:pPr>
            <w:r>
              <w:rPr>
                <w:rFonts w:ascii="Arial" w:cs="Arial" w:eastAsia="Arial" w:hAnsi="Arial"/>
                <w:sz w:val="13"/>
                <w:szCs w:val="13"/>
                <w:color w:val="auto"/>
              </w:rPr>
              <w:t>49</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§6.9. Compliance With Other Instruments, Laws, Etc</w:t>
            </w:r>
          </w:p>
        </w:tc>
        <w:tc>
          <w:tcPr>
            <w:tcW w:w="2760" w:type="dxa"/>
            <w:vAlign w:val="bottom"/>
          </w:tcPr>
          <w:p>
            <w:pPr>
              <w:jc w:val="right"/>
              <w:spacing w:after="0"/>
              <w:rPr>
                <w:sz w:val="20"/>
                <w:szCs w:val="20"/>
                <w:color w:val="auto"/>
              </w:rPr>
            </w:pPr>
            <w:r>
              <w:rPr>
                <w:rFonts w:ascii="Arial" w:cs="Arial" w:eastAsia="Arial" w:hAnsi="Arial"/>
                <w:sz w:val="13"/>
                <w:szCs w:val="13"/>
                <w:color w:val="auto"/>
              </w:rPr>
              <w:t>49</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§6.10. Tax Status</w:t>
            </w:r>
          </w:p>
        </w:tc>
        <w:tc>
          <w:tcPr>
            <w:tcW w:w="2760" w:type="dxa"/>
            <w:vAlign w:val="bottom"/>
          </w:tcPr>
          <w:p>
            <w:pPr>
              <w:jc w:val="right"/>
              <w:spacing w:after="0"/>
              <w:rPr>
                <w:sz w:val="20"/>
                <w:szCs w:val="20"/>
                <w:color w:val="auto"/>
              </w:rPr>
            </w:pPr>
            <w:r>
              <w:rPr>
                <w:rFonts w:ascii="Arial" w:cs="Arial" w:eastAsia="Arial" w:hAnsi="Arial"/>
                <w:sz w:val="13"/>
                <w:szCs w:val="13"/>
                <w:color w:val="auto"/>
              </w:rPr>
              <w:t>49</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§6.11. No Event of Default</w:t>
            </w:r>
          </w:p>
        </w:tc>
        <w:tc>
          <w:tcPr>
            <w:tcW w:w="276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§6.12. Investment Company Act</w:t>
            </w:r>
          </w:p>
        </w:tc>
        <w:tc>
          <w:tcPr>
            <w:tcW w:w="276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§6.13. Absence of Financing Statements, Etc</w:t>
            </w:r>
          </w:p>
        </w:tc>
        <w:tc>
          <w:tcPr>
            <w:tcW w:w="276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§6.14. Employee Benefit Plans</w:t>
            </w:r>
          </w:p>
        </w:tc>
        <w:tc>
          <w:tcPr>
            <w:tcW w:w="276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157"/>
        </w:trPr>
        <w:tc>
          <w:tcPr>
            <w:tcW w:w="8600" w:type="dxa"/>
            <w:vAlign w:val="bottom"/>
          </w:tcPr>
          <w:p>
            <w:pPr>
              <w:ind w:left="300"/>
              <w:spacing w:after="0"/>
              <w:rPr>
                <w:sz w:val="20"/>
                <w:szCs w:val="20"/>
                <w:color w:val="auto"/>
              </w:rPr>
            </w:pPr>
            <w:r>
              <w:rPr>
                <w:rFonts w:ascii="Arial" w:cs="Arial" w:eastAsia="Arial" w:hAnsi="Arial"/>
                <w:sz w:val="13"/>
                <w:szCs w:val="13"/>
                <w:color w:val="auto"/>
              </w:rPr>
              <w:t>§6.14.1. In General</w:t>
            </w:r>
          </w:p>
        </w:tc>
        <w:tc>
          <w:tcPr>
            <w:tcW w:w="276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157"/>
        </w:trPr>
        <w:tc>
          <w:tcPr>
            <w:tcW w:w="8600" w:type="dxa"/>
            <w:vAlign w:val="bottom"/>
          </w:tcPr>
          <w:p>
            <w:pPr>
              <w:ind w:left="300"/>
              <w:spacing w:after="0"/>
              <w:rPr>
                <w:sz w:val="20"/>
                <w:szCs w:val="20"/>
                <w:color w:val="auto"/>
              </w:rPr>
            </w:pPr>
            <w:r>
              <w:rPr>
                <w:rFonts w:ascii="Arial" w:cs="Arial" w:eastAsia="Arial" w:hAnsi="Arial"/>
                <w:sz w:val="13"/>
                <w:szCs w:val="13"/>
                <w:color w:val="auto"/>
              </w:rPr>
              <w:t>§6.14.2. Terminability of Welfare Plans</w:t>
            </w:r>
          </w:p>
        </w:tc>
        <w:tc>
          <w:tcPr>
            <w:tcW w:w="276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157"/>
        </w:trPr>
        <w:tc>
          <w:tcPr>
            <w:tcW w:w="8600" w:type="dxa"/>
            <w:vAlign w:val="bottom"/>
          </w:tcPr>
          <w:p>
            <w:pPr>
              <w:ind w:left="300"/>
              <w:spacing w:after="0"/>
              <w:rPr>
                <w:sz w:val="20"/>
                <w:szCs w:val="20"/>
                <w:color w:val="auto"/>
              </w:rPr>
            </w:pPr>
            <w:r>
              <w:rPr>
                <w:rFonts w:ascii="Arial" w:cs="Arial" w:eastAsia="Arial" w:hAnsi="Arial"/>
                <w:sz w:val="13"/>
                <w:szCs w:val="13"/>
                <w:color w:val="auto"/>
              </w:rPr>
              <w:t>§6.14.3. Guaranteed Pension Plans</w:t>
            </w:r>
          </w:p>
        </w:tc>
        <w:tc>
          <w:tcPr>
            <w:tcW w:w="276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157"/>
        </w:trPr>
        <w:tc>
          <w:tcPr>
            <w:tcW w:w="8600" w:type="dxa"/>
            <w:vAlign w:val="bottom"/>
          </w:tcPr>
          <w:p>
            <w:pPr>
              <w:ind w:left="300"/>
              <w:spacing w:after="0"/>
              <w:rPr>
                <w:sz w:val="20"/>
                <w:szCs w:val="20"/>
                <w:color w:val="auto"/>
              </w:rPr>
            </w:pPr>
            <w:r>
              <w:rPr>
                <w:rFonts w:ascii="Arial" w:cs="Arial" w:eastAsia="Arial" w:hAnsi="Arial"/>
                <w:sz w:val="13"/>
                <w:szCs w:val="13"/>
                <w:color w:val="auto"/>
              </w:rPr>
              <w:t>§6.14.4. Multiemployer Plans</w:t>
            </w:r>
          </w:p>
        </w:tc>
        <w:tc>
          <w:tcPr>
            <w:tcW w:w="276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§6.15. Environmental Compliance</w:t>
            </w:r>
          </w:p>
        </w:tc>
        <w:tc>
          <w:tcPr>
            <w:tcW w:w="276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§6.16. Disclosure</w:t>
            </w:r>
          </w:p>
        </w:tc>
        <w:tc>
          <w:tcPr>
            <w:tcW w:w="276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§6.17. Permits and Governmental Authority</w:t>
            </w:r>
          </w:p>
        </w:tc>
        <w:tc>
          <w:tcPr>
            <w:tcW w:w="276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§6.18. Margin Stock</w:t>
            </w:r>
          </w:p>
        </w:tc>
        <w:tc>
          <w:tcPr>
            <w:tcW w:w="276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57"/>
        </w:trPr>
        <w:tc>
          <w:tcPr>
            <w:tcW w:w="8600" w:type="dxa"/>
            <w:vAlign w:val="bottom"/>
          </w:tcPr>
          <w:p>
            <w:pPr>
              <w:spacing w:after="0"/>
              <w:rPr>
                <w:sz w:val="20"/>
                <w:szCs w:val="20"/>
                <w:color w:val="auto"/>
              </w:rPr>
            </w:pPr>
            <w:r>
              <w:rPr>
                <w:rFonts w:ascii="Arial" w:cs="Arial" w:eastAsia="Arial" w:hAnsi="Arial"/>
                <w:sz w:val="13"/>
                <w:szCs w:val="13"/>
                <w:color w:val="auto"/>
              </w:rPr>
              <w:t>§7. AFFIRMATIVE COVENANTS OF THE BORROWER</w:t>
            </w:r>
          </w:p>
        </w:tc>
        <w:tc>
          <w:tcPr>
            <w:tcW w:w="276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§7.1. Punctual Payment</w:t>
            </w:r>
          </w:p>
        </w:tc>
        <w:tc>
          <w:tcPr>
            <w:tcW w:w="276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§7.2. Maintenance of U.S. Office</w:t>
            </w:r>
          </w:p>
        </w:tc>
        <w:tc>
          <w:tcPr>
            <w:tcW w:w="276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§7.3. Records and Accounts</w:t>
            </w:r>
          </w:p>
        </w:tc>
        <w:tc>
          <w:tcPr>
            <w:tcW w:w="276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§7.4. Financial Statements, Certificates and Information</w:t>
            </w:r>
          </w:p>
        </w:tc>
        <w:tc>
          <w:tcPr>
            <w:tcW w:w="276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§7.5. Existence and Conduct of Business</w:t>
            </w:r>
          </w:p>
        </w:tc>
        <w:tc>
          <w:tcPr>
            <w:tcW w:w="276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§7.6. Maintenance of Properties</w:t>
            </w:r>
          </w:p>
        </w:tc>
        <w:tc>
          <w:tcPr>
            <w:tcW w:w="276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§7.7. Insurance</w:t>
            </w:r>
          </w:p>
        </w:tc>
        <w:tc>
          <w:tcPr>
            <w:tcW w:w="276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§7.8. Taxes</w:t>
            </w:r>
          </w:p>
        </w:tc>
        <w:tc>
          <w:tcPr>
            <w:tcW w:w="276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§7.9. Inspection of Properties, Books and Contracts</w:t>
            </w:r>
          </w:p>
        </w:tc>
        <w:tc>
          <w:tcPr>
            <w:tcW w:w="2760" w:type="dxa"/>
            <w:vAlign w:val="bottom"/>
          </w:tcPr>
          <w:p>
            <w:pPr>
              <w:jc w:val="right"/>
              <w:spacing w:after="0"/>
              <w:rPr>
                <w:sz w:val="20"/>
                <w:szCs w:val="20"/>
                <w:color w:val="auto"/>
              </w:rPr>
            </w:pPr>
            <w:r>
              <w:rPr>
                <w:rFonts w:ascii="Arial" w:cs="Arial" w:eastAsia="Arial" w:hAnsi="Arial"/>
                <w:sz w:val="13"/>
                <w:szCs w:val="13"/>
                <w:color w:val="auto"/>
              </w:rPr>
              <w:t>56</w:t>
            </w: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§7.10. Compliance with Laws, Contracts, Licenses and Permits; Maintenance of Material Licenses and Permits</w:t>
            </w:r>
          </w:p>
        </w:tc>
        <w:tc>
          <w:tcPr>
            <w:tcW w:w="2760" w:type="dxa"/>
            <w:vAlign w:val="bottom"/>
          </w:tcPr>
          <w:p>
            <w:pPr>
              <w:jc w:val="right"/>
              <w:spacing w:after="0"/>
              <w:rPr>
                <w:sz w:val="20"/>
                <w:szCs w:val="20"/>
                <w:color w:val="auto"/>
              </w:rPr>
            </w:pPr>
            <w:r>
              <w:rPr>
                <w:rFonts w:ascii="Arial" w:cs="Arial" w:eastAsia="Arial" w:hAnsi="Arial"/>
                <w:sz w:val="13"/>
                <w:szCs w:val="13"/>
                <w:color w:val="auto"/>
              </w:rPr>
              <w:t>56</w:t>
            </w:r>
          </w:p>
        </w:tc>
      </w:tr>
      <w:tr>
        <w:trPr>
          <w:trHeight w:val="165"/>
        </w:trPr>
        <w:tc>
          <w:tcPr>
            <w:tcW w:w="8600" w:type="dxa"/>
            <w:vAlign w:val="bottom"/>
          </w:tcPr>
          <w:p>
            <w:pPr>
              <w:ind w:left="140"/>
              <w:spacing w:after="0"/>
              <w:rPr>
                <w:sz w:val="20"/>
                <w:szCs w:val="20"/>
                <w:color w:val="auto"/>
              </w:rPr>
            </w:pPr>
            <w:r>
              <w:rPr>
                <w:rFonts w:ascii="Arial" w:cs="Arial" w:eastAsia="Arial" w:hAnsi="Arial"/>
                <w:sz w:val="13"/>
                <w:szCs w:val="13"/>
                <w:color w:val="auto"/>
              </w:rPr>
              <w:t>§7.11. Environmental Indemnification</w:t>
            </w:r>
          </w:p>
        </w:tc>
        <w:tc>
          <w:tcPr>
            <w:tcW w:w="2760" w:type="dxa"/>
            <w:vAlign w:val="bottom"/>
          </w:tcPr>
          <w:p>
            <w:pPr>
              <w:jc w:val="right"/>
              <w:spacing w:after="0"/>
              <w:rPr>
                <w:sz w:val="20"/>
                <w:szCs w:val="20"/>
                <w:color w:val="auto"/>
              </w:rPr>
            </w:pPr>
            <w:r>
              <w:rPr>
                <w:rFonts w:ascii="Arial" w:cs="Arial" w:eastAsia="Arial" w:hAnsi="Arial"/>
                <w:sz w:val="13"/>
                <w:szCs w:val="13"/>
                <w:color w:val="auto"/>
              </w:rPr>
              <w:t>56</w:t>
            </w:r>
          </w:p>
        </w:tc>
      </w:tr>
    </w:tbl>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878" w:right="31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57"/>
        </w:trPr>
        <w:tc>
          <w:tcPr>
            <w:tcW w:w="7440" w:type="dxa"/>
            <w:vAlign w:val="bottom"/>
          </w:tcPr>
          <w:p>
            <w:pPr>
              <w:ind w:left="140"/>
              <w:spacing w:after="0"/>
              <w:rPr>
                <w:sz w:val="20"/>
                <w:szCs w:val="20"/>
                <w:color w:val="auto"/>
              </w:rPr>
            </w:pPr>
            <w:r>
              <w:rPr>
                <w:rFonts w:ascii="Arial" w:cs="Arial" w:eastAsia="Arial" w:hAnsi="Arial"/>
                <w:sz w:val="13"/>
                <w:szCs w:val="13"/>
                <w:color w:val="auto"/>
              </w:rPr>
              <w:t>§7.12. Further Assurances</w:t>
            </w:r>
          </w:p>
        </w:tc>
        <w:tc>
          <w:tcPr>
            <w:tcW w:w="392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157"/>
        </w:trPr>
        <w:tc>
          <w:tcPr>
            <w:tcW w:w="7440" w:type="dxa"/>
            <w:vAlign w:val="bottom"/>
          </w:tcPr>
          <w:p>
            <w:pPr>
              <w:ind w:left="140"/>
              <w:spacing w:after="0"/>
              <w:rPr>
                <w:sz w:val="20"/>
                <w:szCs w:val="20"/>
                <w:color w:val="auto"/>
              </w:rPr>
            </w:pPr>
            <w:r>
              <w:rPr>
                <w:rFonts w:ascii="Arial" w:cs="Arial" w:eastAsia="Arial" w:hAnsi="Arial"/>
                <w:sz w:val="13"/>
                <w:szCs w:val="13"/>
                <w:color w:val="auto"/>
              </w:rPr>
              <w:t>§7.13. Notice of Potential Claims or Litigation</w:t>
            </w:r>
          </w:p>
        </w:tc>
        <w:tc>
          <w:tcPr>
            <w:tcW w:w="392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157"/>
        </w:trPr>
        <w:tc>
          <w:tcPr>
            <w:tcW w:w="7440" w:type="dxa"/>
            <w:vAlign w:val="bottom"/>
          </w:tcPr>
          <w:p>
            <w:pPr>
              <w:ind w:left="140"/>
              <w:spacing w:after="0"/>
              <w:rPr>
                <w:sz w:val="20"/>
                <w:szCs w:val="20"/>
                <w:color w:val="auto"/>
              </w:rPr>
            </w:pPr>
            <w:r>
              <w:rPr>
                <w:rFonts w:ascii="Arial" w:cs="Arial" w:eastAsia="Arial" w:hAnsi="Arial"/>
                <w:sz w:val="13"/>
                <w:szCs w:val="13"/>
                <w:color w:val="auto"/>
              </w:rPr>
              <w:t>§7.14. Notice of Certain Events Concerning Environmental Claims</w:t>
            </w:r>
          </w:p>
        </w:tc>
        <w:tc>
          <w:tcPr>
            <w:tcW w:w="392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157"/>
        </w:trPr>
        <w:tc>
          <w:tcPr>
            <w:tcW w:w="7440" w:type="dxa"/>
            <w:vAlign w:val="bottom"/>
          </w:tcPr>
          <w:p>
            <w:pPr>
              <w:ind w:left="140"/>
              <w:spacing w:after="0"/>
              <w:rPr>
                <w:sz w:val="20"/>
                <w:szCs w:val="20"/>
                <w:color w:val="auto"/>
              </w:rPr>
            </w:pPr>
            <w:r>
              <w:rPr>
                <w:rFonts w:ascii="Arial" w:cs="Arial" w:eastAsia="Arial" w:hAnsi="Arial"/>
                <w:sz w:val="13"/>
                <w:szCs w:val="13"/>
                <w:color w:val="auto"/>
              </w:rPr>
              <w:t>§7.15. Notice of Default</w:t>
            </w:r>
          </w:p>
        </w:tc>
        <w:tc>
          <w:tcPr>
            <w:tcW w:w="392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57"/>
        </w:trPr>
        <w:tc>
          <w:tcPr>
            <w:tcW w:w="7440" w:type="dxa"/>
            <w:vAlign w:val="bottom"/>
          </w:tcPr>
          <w:p>
            <w:pPr>
              <w:ind w:left="140"/>
              <w:spacing w:after="0"/>
              <w:rPr>
                <w:sz w:val="20"/>
                <w:szCs w:val="20"/>
                <w:color w:val="auto"/>
              </w:rPr>
            </w:pPr>
            <w:r>
              <w:rPr>
                <w:rFonts w:ascii="Arial" w:cs="Arial" w:eastAsia="Arial" w:hAnsi="Arial"/>
                <w:sz w:val="13"/>
                <w:szCs w:val="13"/>
                <w:color w:val="auto"/>
              </w:rPr>
              <w:t>§7.16. Use of Proceeds</w:t>
            </w:r>
          </w:p>
        </w:tc>
        <w:tc>
          <w:tcPr>
            <w:tcW w:w="392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57"/>
        </w:trPr>
        <w:tc>
          <w:tcPr>
            <w:tcW w:w="7440" w:type="dxa"/>
            <w:vAlign w:val="bottom"/>
          </w:tcPr>
          <w:p>
            <w:pPr>
              <w:ind w:left="140"/>
              <w:spacing w:after="0"/>
              <w:rPr>
                <w:sz w:val="20"/>
                <w:szCs w:val="20"/>
                <w:color w:val="auto"/>
              </w:rPr>
            </w:pPr>
            <w:r>
              <w:rPr>
                <w:rFonts w:ascii="Arial" w:cs="Arial" w:eastAsia="Arial" w:hAnsi="Arial"/>
                <w:sz w:val="13"/>
                <w:szCs w:val="13"/>
                <w:color w:val="auto"/>
              </w:rPr>
              <w:t>§7.17. Certain Transactions</w:t>
            </w:r>
          </w:p>
        </w:tc>
        <w:tc>
          <w:tcPr>
            <w:tcW w:w="392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57"/>
        </w:trPr>
        <w:tc>
          <w:tcPr>
            <w:tcW w:w="7440" w:type="dxa"/>
            <w:vAlign w:val="bottom"/>
          </w:tcPr>
          <w:p>
            <w:pPr>
              <w:spacing w:after="0"/>
              <w:rPr>
                <w:sz w:val="20"/>
                <w:szCs w:val="20"/>
                <w:color w:val="auto"/>
              </w:rPr>
            </w:pPr>
            <w:r>
              <w:rPr>
                <w:rFonts w:ascii="Arial" w:cs="Arial" w:eastAsia="Arial" w:hAnsi="Arial"/>
                <w:sz w:val="13"/>
                <w:szCs w:val="13"/>
                <w:color w:val="auto"/>
              </w:rPr>
              <w:t>§8. NEGATIVE COVENANTS OF THE BORROWER</w:t>
            </w:r>
          </w:p>
        </w:tc>
        <w:tc>
          <w:tcPr>
            <w:tcW w:w="392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57"/>
        </w:trPr>
        <w:tc>
          <w:tcPr>
            <w:tcW w:w="7440" w:type="dxa"/>
            <w:vAlign w:val="bottom"/>
          </w:tcPr>
          <w:p>
            <w:pPr>
              <w:ind w:left="140"/>
              <w:spacing w:after="0"/>
              <w:rPr>
                <w:sz w:val="20"/>
                <w:szCs w:val="20"/>
                <w:color w:val="auto"/>
              </w:rPr>
            </w:pPr>
            <w:r>
              <w:rPr>
                <w:rFonts w:ascii="Arial" w:cs="Arial" w:eastAsia="Arial" w:hAnsi="Arial"/>
                <w:sz w:val="13"/>
                <w:szCs w:val="13"/>
                <w:color w:val="auto"/>
              </w:rPr>
              <w:t>§8.1. Restrictions on Indebtedness</w:t>
            </w:r>
          </w:p>
        </w:tc>
        <w:tc>
          <w:tcPr>
            <w:tcW w:w="3920" w:type="dxa"/>
            <w:vAlign w:val="bottom"/>
          </w:tcPr>
          <w:p>
            <w:pPr>
              <w:jc w:val="right"/>
              <w:spacing w:after="0"/>
              <w:rPr>
                <w:sz w:val="20"/>
                <w:szCs w:val="20"/>
                <w:color w:val="auto"/>
              </w:rPr>
            </w:pPr>
            <w:r>
              <w:rPr>
                <w:rFonts w:ascii="Arial" w:cs="Arial" w:eastAsia="Arial" w:hAnsi="Arial"/>
                <w:sz w:val="13"/>
                <w:szCs w:val="13"/>
                <w:color w:val="auto"/>
              </w:rPr>
              <w:t>59</w:t>
            </w:r>
          </w:p>
        </w:tc>
      </w:tr>
      <w:tr>
        <w:trPr>
          <w:trHeight w:val="157"/>
        </w:trPr>
        <w:tc>
          <w:tcPr>
            <w:tcW w:w="7440" w:type="dxa"/>
            <w:vAlign w:val="bottom"/>
          </w:tcPr>
          <w:p>
            <w:pPr>
              <w:ind w:left="140"/>
              <w:spacing w:after="0"/>
              <w:rPr>
                <w:sz w:val="20"/>
                <w:szCs w:val="20"/>
                <w:color w:val="auto"/>
              </w:rPr>
            </w:pPr>
            <w:r>
              <w:rPr>
                <w:rFonts w:ascii="Arial" w:cs="Arial" w:eastAsia="Arial" w:hAnsi="Arial"/>
                <w:sz w:val="13"/>
                <w:szCs w:val="13"/>
                <w:color w:val="auto"/>
              </w:rPr>
              <w:t>§8.2. Restrictions on Liens</w:t>
            </w:r>
          </w:p>
        </w:tc>
        <w:tc>
          <w:tcPr>
            <w:tcW w:w="3920" w:type="dxa"/>
            <w:vAlign w:val="bottom"/>
          </w:tcPr>
          <w:p>
            <w:pPr>
              <w:jc w:val="right"/>
              <w:spacing w:after="0"/>
              <w:rPr>
                <w:sz w:val="20"/>
                <w:szCs w:val="20"/>
                <w:color w:val="auto"/>
              </w:rPr>
            </w:pPr>
            <w:r>
              <w:rPr>
                <w:rFonts w:ascii="Arial" w:cs="Arial" w:eastAsia="Arial" w:hAnsi="Arial"/>
                <w:sz w:val="13"/>
                <w:szCs w:val="13"/>
                <w:color w:val="auto"/>
              </w:rPr>
              <w:t>59</w:t>
            </w:r>
          </w:p>
        </w:tc>
      </w:tr>
      <w:tr>
        <w:trPr>
          <w:trHeight w:val="157"/>
        </w:trPr>
        <w:tc>
          <w:tcPr>
            <w:tcW w:w="7440" w:type="dxa"/>
            <w:vAlign w:val="bottom"/>
          </w:tcPr>
          <w:p>
            <w:pPr>
              <w:ind w:left="140"/>
              <w:spacing w:after="0"/>
              <w:rPr>
                <w:sz w:val="20"/>
                <w:szCs w:val="20"/>
                <w:color w:val="auto"/>
              </w:rPr>
            </w:pPr>
            <w:r>
              <w:rPr>
                <w:rFonts w:ascii="Arial" w:cs="Arial" w:eastAsia="Arial" w:hAnsi="Arial"/>
                <w:sz w:val="13"/>
                <w:szCs w:val="13"/>
                <w:color w:val="auto"/>
              </w:rPr>
              <w:t>§8.3. Restrictions on Investments</w:t>
            </w:r>
          </w:p>
        </w:tc>
        <w:tc>
          <w:tcPr>
            <w:tcW w:w="3920" w:type="dxa"/>
            <w:vAlign w:val="bottom"/>
          </w:tcPr>
          <w:p>
            <w:pPr>
              <w:jc w:val="right"/>
              <w:spacing w:after="0"/>
              <w:rPr>
                <w:sz w:val="20"/>
                <w:szCs w:val="20"/>
                <w:color w:val="auto"/>
              </w:rPr>
            </w:pPr>
            <w:r>
              <w:rPr>
                <w:rFonts w:ascii="Arial" w:cs="Arial" w:eastAsia="Arial" w:hAnsi="Arial"/>
                <w:sz w:val="13"/>
                <w:szCs w:val="13"/>
                <w:color w:val="auto"/>
              </w:rPr>
              <w:t>60</w:t>
            </w:r>
          </w:p>
        </w:tc>
      </w:tr>
      <w:tr>
        <w:trPr>
          <w:trHeight w:val="157"/>
        </w:trPr>
        <w:tc>
          <w:tcPr>
            <w:tcW w:w="7440" w:type="dxa"/>
            <w:vAlign w:val="bottom"/>
          </w:tcPr>
          <w:p>
            <w:pPr>
              <w:ind w:left="140"/>
              <w:spacing w:after="0"/>
              <w:rPr>
                <w:sz w:val="20"/>
                <w:szCs w:val="20"/>
                <w:color w:val="auto"/>
              </w:rPr>
            </w:pPr>
            <w:r>
              <w:rPr>
                <w:rFonts w:ascii="Arial" w:cs="Arial" w:eastAsia="Arial" w:hAnsi="Arial"/>
                <w:sz w:val="13"/>
                <w:szCs w:val="13"/>
                <w:color w:val="auto"/>
              </w:rPr>
              <w:t>§8.4. Mergers, Consolidations, Sales</w:t>
            </w:r>
          </w:p>
        </w:tc>
        <w:tc>
          <w:tcPr>
            <w:tcW w:w="3920" w:type="dxa"/>
            <w:vAlign w:val="bottom"/>
          </w:tcPr>
          <w:p>
            <w:pPr>
              <w:jc w:val="right"/>
              <w:spacing w:after="0"/>
              <w:rPr>
                <w:sz w:val="20"/>
                <w:szCs w:val="20"/>
                <w:color w:val="auto"/>
              </w:rPr>
            </w:pPr>
            <w:r>
              <w:rPr>
                <w:rFonts w:ascii="Arial" w:cs="Arial" w:eastAsia="Arial" w:hAnsi="Arial"/>
                <w:sz w:val="13"/>
                <w:szCs w:val="13"/>
                <w:color w:val="auto"/>
              </w:rPr>
              <w:t>60</w:t>
            </w:r>
          </w:p>
        </w:tc>
      </w:tr>
      <w:tr>
        <w:trPr>
          <w:trHeight w:val="157"/>
        </w:trPr>
        <w:tc>
          <w:tcPr>
            <w:tcW w:w="7440" w:type="dxa"/>
            <w:vAlign w:val="bottom"/>
          </w:tcPr>
          <w:p>
            <w:pPr>
              <w:ind w:left="140"/>
              <w:spacing w:after="0"/>
              <w:rPr>
                <w:sz w:val="20"/>
                <w:szCs w:val="20"/>
                <w:color w:val="auto"/>
              </w:rPr>
            </w:pPr>
            <w:r>
              <w:rPr>
                <w:rFonts w:ascii="Arial" w:cs="Arial" w:eastAsia="Arial" w:hAnsi="Arial"/>
                <w:sz w:val="13"/>
                <w:szCs w:val="13"/>
                <w:color w:val="auto"/>
              </w:rPr>
              <w:t>§8.5. Restricted Distributions and Redemptions</w:t>
            </w:r>
          </w:p>
        </w:tc>
        <w:tc>
          <w:tcPr>
            <w:tcW w:w="392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157"/>
        </w:trPr>
        <w:tc>
          <w:tcPr>
            <w:tcW w:w="7440" w:type="dxa"/>
            <w:vAlign w:val="bottom"/>
          </w:tcPr>
          <w:p>
            <w:pPr>
              <w:ind w:left="140"/>
              <w:spacing w:after="0"/>
              <w:rPr>
                <w:sz w:val="20"/>
                <w:szCs w:val="20"/>
                <w:color w:val="auto"/>
              </w:rPr>
            </w:pPr>
            <w:r>
              <w:rPr>
                <w:rFonts w:ascii="Arial" w:cs="Arial" w:eastAsia="Arial" w:hAnsi="Arial"/>
                <w:sz w:val="13"/>
                <w:szCs w:val="13"/>
                <w:color w:val="auto"/>
              </w:rPr>
              <w:t>§8.6. Employee Benefit Plans</w:t>
            </w:r>
          </w:p>
        </w:tc>
        <w:tc>
          <w:tcPr>
            <w:tcW w:w="392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157"/>
        </w:trPr>
        <w:tc>
          <w:tcPr>
            <w:tcW w:w="7440" w:type="dxa"/>
            <w:vAlign w:val="bottom"/>
          </w:tcPr>
          <w:p>
            <w:pPr>
              <w:spacing w:after="0"/>
              <w:rPr>
                <w:sz w:val="20"/>
                <w:szCs w:val="20"/>
                <w:color w:val="auto"/>
              </w:rPr>
            </w:pPr>
            <w:r>
              <w:rPr>
                <w:rFonts w:ascii="Arial" w:cs="Arial" w:eastAsia="Arial" w:hAnsi="Arial"/>
                <w:sz w:val="13"/>
                <w:szCs w:val="13"/>
                <w:color w:val="auto"/>
              </w:rPr>
              <w:t>§9. FINANCIAL COVENANTS OF THE BORROWER</w:t>
            </w:r>
          </w:p>
        </w:tc>
        <w:tc>
          <w:tcPr>
            <w:tcW w:w="392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157"/>
        </w:trPr>
        <w:tc>
          <w:tcPr>
            <w:tcW w:w="7440" w:type="dxa"/>
            <w:vAlign w:val="bottom"/>
          </w:tcPr>
          <w:p>
            <w:pPr>
              <w:ind w:left="140"/>
              <w:spacing w:after="0"/>
              <w:rPr>
                <w:sz w:val="20"/>
                <w:szCs w:val="20"/>
                <w:color w:val="auto"/>
              </w:rPr>
            </w:pPr>
            <w:r>
              <w:rPr>
                <w:rFonts w:ascii="Arial" w:cs="Arial" w:eastAsia="Arial" w:hAnsi="Arial"/>
                <w:sz w:val="13"/>
                <w:szCs w:val="13"/>
                <w:color w:val="auto"/>
              </w:rPr>
              <w:t>§9.1. Interest Coverage Ratio</w:t>
            </w:r>
          </w:p>
        </w:tc>
        <w:tc>
          <w:tcPr>
            <w:tcW w:w="392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157"/>
        </w:trPr>
        <w:tc>
          <w:tcPr>
            <w:tcW w:w="7440" w:type="dxa"/>
            <w:vAlign w:val="bottom"/>
          </w:tcPr>
          <w:p>
            <w:pPr>
              <w:ind w:left="140"/>
              <w:spacing w:after="0"/>
              <w:rPr>
                <w:sz w:val="20"/>
                <w:szCs w:val="20"/>
                <w:color w:val="auto"/>
              </w:rPr>
            </w:pPr>
            <w:r>
              <w:rPr>
                <w:rFonts w:ascii="Arial" w:cs="Arial" w:eastAsia="Arial" w:hAnsi="Arial"/>
                <w:sz w:val="13"/>
                <w:szCs w:val="13"/>
                <w:color w:val="auto"/>
              </w:rPr>
              <w:t>§9.2. Total Debt to EBITDA</w:t>
            </w:r>
          </w:p>
        </w:tc>
        <w:tc>
          <w:tcPr>
            <w:tcW w:w="392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157"/>
        </w:trPr>
        <w:tc>
          <w:tcPr>
            <w:tcW w:w="7440" w:type="dxa"/>
            <w:vAlign w:val="bottom"/>
          </w:tcPr>
          <w:p>
            <w:pPr>
              <w:spacing w:after="0"/>
              <w:rPr>
                <w:sz w:val="20"/>
                <w:szCs w:val="20"/>
                <w:color w:val="auto"/>
              </w:rPr>
            </w:pPr>
            <w:r>
              <w:rPr>
                <w:rFonts w:ascii="Arial" w:cs="Arial" w:eastAsia="Arial" w:hAnsi="Arial"/>
                <w:sz w:val="13"/>
                <w:szCs w:val="13"/>
                <w:color w:val="auto"/>
              </w:rPr>
              <w:t>§10. CONDITIONS PRECEDENT</w:t>
            </w:r>
          </w:p>
        </w:tc>
        <w:tc>
          <w:tcPr>
            <w:tcW w:w="392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157"/>
        </w:trPr>
        <w:tc>
          <w:tcPr>
            <w:tcW w:w="7440" w:type="dxa"/>
            <w:vAlign w:val="bottom"/>
          </w:tcPr>
          <w:p>
            <w:pPr>
              <w:ind w:left="140"/>
              <w:spacing w:after="0"/>
              <w:rPr>
                <w:sz w:val="20"/>
                <w:szCs w:val="20"/>
                <w:color w:val="auto"/>
              </w:rPr>
            </w:pPr>
            <w:r>
              <w:rPr>
                <w:rFonts w:ascii="Arial" w:cs="Arial" w:eastAsia="Arial" w:hAnsi="Arial"/>
                <w:sz w:val="13"/>
                <w:szCs w:val="13"/>
                <w:color w:val="auto"/>
              </w:rPr>
              <w:t>§10.1. Conditions To Effectiveness</w:t>
            </w:r>
          </w:p>
        </w:tc>
        <w:tc>
          <w:tcPr>
            <w:tcW w:w="392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157"/>
        </w:trPr>
        <w:tc>
          <w:tcPr>
            <w:tcW w:w="7440" w:type="dxa"/>
            <w:vAlign w:val="bottom"/>
          </w:tcPr>
          <w:p>
            <w:pPr>
              <w:ind w:left="300"/>
              <w:spacing w:after="0"/>
              <w:rPr>
                <w:sz w:val="20"/>
                <w:szCs w:val="20"/>
                <w:color w:val="auto"/>
              </w:rPr>
            </w:pPr>
            <w:r>
              <w:rPr>
                <w:rFonts w:ascii="Arial" w:cs="Arial" w:eastAsia="Arial" w:hAnsi="Arial"/>
                <w:sz w:val="13"/>
                <w:szCs w:val="13"/>
                <w:color w:val="auto"/>
              </w:rPr>
              <w:t>§10.1.1. Corporate Action</w:t>
            </w:r>
          </w:p>
        </w:tc>
        <w:tc>
          <w:tcPr>
            <w:tcW w:w="392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157"/>
        </w:trPr>
        <w:tc>
          <w:tcPr>
            <w:tcW w:w="7440" w:type="dxa"/>
            <w:vAlign w:val="bottom"/>
          </w:tcPr>
          <w:p>
            <w:pPr>
              <w:ind w:left="300"/>
              <w:spacing w:after="0"/>
              <w:rPr>
                <w:sz w:val="20"/>
                <w:szCs w:val="20"/>
                <w:color w:val="auto"/>
              </w:rPr>
            </w:pPr>
            <w:r>
              <w:rPr>
                <w:rFonts w:ascii="Arial" w:cs="Arial" w:eastAsia="Arial" w:hAnsi="Arial"/>
                <w:sz w:val="13"/>
                <w:szCs w:val="13"/>
                <w:color w:val="auto"/>
              </w:rPr>
              <w:t>§10.1.2. Loan Documents, Etc</w:t>
            </w:r>
          </w:p>
        </w:tc>
        <w:tc>
          <w:tcPr>
            <w:tcW w:w="392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157"/>
        </w:trPr>
        <w:tc>
          <w:tcPr>
            <w:tcW w:w="7440" w:type="dxa"/>
            <w:vAlign w:val="bottom"/>
          </w:tcPr>
          <w:p>
            <w:pPr>
              <w:ind w:left="300"/>
              <w:spacing w:after="0"/>
              <w:rPr>
                <w:sz w:val="20"/>
                <w:szCs w:val="20"/>
                <w:color w:val="auto"/>
              </w:rPr>
            </w:pPr>
            <w:r>
              <w:rPr>
                <w:rFonts w:ascii="Arial" w:cs="Arial" w:eastAsia="Arial" w:hAnsi="Arial"/>
                <w:sz w:val="13"/>
                <w:szCs w:val="13"/>
                <w:color w:val="auto"/>
              </w:rPr>
              <w:t>§10.1.3. Certified Copies of Charter Documents</w:t>
            </w:r>
          </w:p>
        </w:tc>
        <w:tc>
          <w:tcPr>
            <w:tcW w:w="392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157"/>
        </w:trPr>
        <w:tc>
          <w:tcPr>
            <w:tcW w:w="7440" w:type="dxa"/>
            <w:vAlign w:val="bottom"/>
          </w:tcPr>
          <w:p>
            <w:pPr>
              <w:ind w:left="300"/>
              <w:spacing w:after="0"/>
              <w:rPr>
                <w:sz w:val="20"/>
                <w:szCs w:val="20"/>
                <w:color w:val="auto"/>
              </w:rPr>
            </w:pPr>
            <w:r>
              <w:rPr>
                <w:rFonts w:ascii="Arial" w:cs="Arial" w:eastAsia="Arial" w:hAnsi="Arial"/>
                <w:sz w:val="13"/>
                <w:szCs w:val="13"/>
                <w:color w:val="auto"/>
              </w:rPr>
              <w:t>§10.1.4. Incumbency Certificate</w:t>
            </w:r>
          </w:p>
        </w:tc>
        <w:tc>
          <w:tcPr>
            <w:tcW w:w="392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157"/>
        </w:trPr>
        <w:tc>
          <w:tcPr>
            <w:tcW w:w="7440" w:type="dxa"/>
            <w:vAlign w:val="bottom"/>
          </w:tcPr>
          <w:p>
            <w:pPr>
              <w:ind w:left="300"/>
              <w:spacing w:after="0"/>
              <w:rPr>
                <w:sz w:val="20"/>
                <w:szCs w:val="20"/>
                <w:color w:val="auto"/>
              </w:rPr>
            </w:pPr>
            <w:r>
              <w:rPr>
                <w:rFonts w:ascii="Arial" w:cs="Arial" w:eastAsia="Arial" w:hAnsi="Arial"/>
                <w:sz w:val="13"/>
                <w:szCs w:val="13"/>
                <w:color w:val="auto"/>
              </w:rPr>
              <w:t>§10.1.5. Summary of Insurance</w:t>
            </w:r>
          </w:p>
        </w:tc>
        <w:tc>
          <w:tcPr>
            <w:tcW w:w="392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157"/>
        </w:trPr>
        <w:tc>
          <w:tcPr>
            <w:tcW w:w="7440" w:type="dxa"/>
            <w:vAlign w:val="bottom"/>
          </w:tcPr>
          <w:p>
            <w:pPr>
              <w:ind w:left="300"/>
              <w:spacing w:after="0"/>
              <w:rPr>
                <w:sz w:val="20"/>
                <w:szCs w:val="20"/>
                <w:color w:val="auto"/>
              </w:rPr>
            </w:pPr>
            <w:r>
              <w:rPr>
                <w:rFonts w:ascii="Arial" w:cs="Arial" w:eastAsia="Arial" w:hAnsi="Arial"/>
                <w:sz w:val="13"/>
                <w:szCs w:val="13"/>
                <w:color w:val="auto"/>
              </w:rPr>
              <w:t>§10.1.6. Opinion of Counsel</w:t>
            </w:r>
          </w:p>
        </w:tc>
        <w:tc>
          <w:tcPr>
            <w:tcW w:w="392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157"/>
        </w:trPr>
        <w:tc>
          <w:tcPr>
            <w:tcW w:w="7440" w:type="dxa"/>
            <w:vAlign w:val="bottom"/>
          </w:tcPr>
          <w:p>
            <w:pPr>
              <w:ind w:left="300"/>
              <w:spacing w:after="0"/>
              <w:rPr>
                <w:sz w:val="20"/>
                <w:szCs w:val="20"/>
                <w:color w:val="auto"/>
              </w:rPr>
            </w:pPr>
            <w:r>
              <w:rPr>
                <w:rFonts w:ascii="Arial" w:cs="Arial" w:eastAsia="Arial" w:hAnsi="Arial"/>
                <w:sz w:val="13"/>
                <w:szCs w:val="13"/>
                <w:color w:val="auto"/>
              </w:rPr>
              <w:t>§10.1.7. Satisfactory Financial Condition</w:t>
            </w:r>
          </w:p>
        </w:tc>
        <w:tc>
          <w:tcPr>
            <w:tcW w:w="392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157"/>
        </w:trPr>
        <w:tc>
          <w:tcPr>
            <w:tcW w:w="7440" w:type="dxa"/>
            <w:vAlign w:val="bottom"/>
          </w:tcPr>
          <w:p>
            <w:pPr>
              <w:ind w:left="300"/>
              <w:spacing w:after="0"/>
              <w:rPr>
                <w:sz w:val="20"/>
                <w:szCs w:val="20"/>
                <w:color w:val="auto"/>
              </w:rPr>
            </w:pPr>
            <w:r>
              <w:rPr>
                <w:rFonts w:ascii="Arial" w:cs="Arial" w:eastAsia="Arial" w:hAnsi="Arial"/>
                <w:sz w:val="13"/>
                <w:szCs w:val="13"/>
                <w:color w:val="auto"/>
              </w:rPr>
              <w:t>§10.1.8. Payment of Closing Fees</w:t>
            </w:r>
          </w:p>
        </w:tc>
        <w:tc>
          <w:tcPr>
            <w:tcW w:w="392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157"/>
        </w:trPr>
        <w:tc>
          <w:tcPr>
            <w:tcW w:w="7440" w:type="dxa"/>
            <w:vAlign w:val="bottom"/>
          </w:tcPr>
          <w:p>
            <w:pPr>
              <w:ind w:left="300"/>
              <w:spacing w:after="0"/>
              <w:rPr>
                <w:sz w:val="20"/>
                <w:szCs w:val="20"/>
                <w:color w:val="auto"/>
              </w:rPr>
            </w:pPr>
            <w:r>
              <w:rPr>
                <w:rFonts w:ascii="Arial" w:cs="Arial" w:eastAsia="Arial" w:hAnsi="Arial"/>
                <w:sz w:val="13"/>
                <w:szCs w:val="13"/>
                <w:color w:val="auto"/>
              </w:rPr>
              <w:t>§10.1.9. Termination of Existing Credit Agreement</w:t>
            </w:r>
          </w:p>
        </w:tc>
        <w:tc>
          <w:tcPr>
            <w:tcW w:w="392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157"/>
        </w:trPr>
        <w:tc>
          <w:tcPr>
            <w:tcW w:w="7440" w:type="dxa"/>
            <w:vAlign w:val="bottom"/>
          </w:tcPr>
          <w:p>
            <w:pPr>
              <w:ind w:left="300"/>
              <w:spacing w:after="0"/>
              <w:rPr>
                <w:sz w:val="20"/>
                <w:szCs w:val="20"/>
                <w:color w:val="auto"/>
              </w:rPr>
            </w:pPr>
            <w:r>
              <w:rPr>
                <w:rFonts w:ascii="Arial" w:cs="Arial" w:eastAsia="Arial" w:hAnsi="Arial"/>
                <w:sz w:val="13"/>
                <w:szCs w:val="13"/>
                <w:color w:val="auto"/>
              </w:rPr>
              <w:t>§10.1.10. Closing Certificate</w:t>
            </w:r>
          </w:p>
        </w:tc>
        <w:tc>
          <w:tcPr>
            <w:tcW w:w="392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157"/>
        </w:trPr>
        <w:tc>
          <w:tcPr>
            <w:tcW w:w="7440" w:type="dxa"/>
            <w:vAlign w:val="bottom"/>
          </w:tcPr>
          <w:p>
            <w:pPr>
              <w:spacing w:after="0"/>
              <w:rPr>
                <w:sz w:val="20"/>
                <w:szCs w:val="20"/>
                <w:color w:val="auto"/>
              </w:rPr>
            </w:pPr>
            <w:r>
              <w:rPr>
                <w:rFonts w:ascii="Arial" w:cs="Arial" w:eastAsia="Arial" w:hAnsi="Arial"/>
                <w:sz w:val="13"/>
                <w:szCs w:val="13"/>
                <w:color w:val="auto"/>
              </w:rPr>
              <w:t>§11. CONDITIONS TO ALL LOANS</w:t>
            </w:r>
          </w:p>
        </w:tc>
        <w:tc>
          <w:tcPr>
            <w:tcW w:w="392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165"/>
        </w:trPr>
        <w:tc>
          <w:tcPr>
            <w:tcW w:w="7440" w:type="dxa"/>
            <w:vAlign w:val="bottom"/>
          </w:tcPr>
          <w:p>
            <w:pPr>
              <w:ind w:left="140"/>
              <w:spacing w:after="0"/>
              <w:rPr>
                <w:sz w:val="20"/>
                <w:szCs w:val="20"/>
                <w:color w:val="auto"/>
              </w:rPr>
            </w:pPr>
            <w:r>
              <w:rPr>
                <w:rFonts w:ascii="Arial" w:cs="Arial" w:eastAsia="Arial" w:hAnsi="Arial"/>
                <w:sz w:val="13"/>
                <w:szCs w:val="13"/>
                <w:color w:val="auto"/>
              </w:rPr>
              <w:t>§11.1. Representations True</w:t>
            </w:r>
          </w:p>
        </w:tc>
        <w:tc>
          <w:tcPr>
            <w:tcW w:w="3920" w:type="dxa"/>
            <w:vAlign w:val="bottom"/>
          </w:tcPr>
          <w:p>
            <w:pPr>
              <w:jc w:val="right"/>
              <w:spacing w:after="0"/>
              <w:rPr>
                <w:sz w:val="20"/>
                <w:szCs w:val="20"/>
                <w:color w:val="auto"/>
              </w:rPr>
            </w:pPr>
            <w:r>
              <w:rPr>
                <w:rFonts w:ascii="Arial" w:cs="Arial" w:eastAsia="Arial" w:hAnsi="Arial"/>
                <w:sz w:val="13"/>
                <w:szCs w:val="13"/>
                <w:color w:val="auto"/>
              </w:rPr>
              <w:t>64</w:t>
            </w:r>
          </w:p>
        </w:tc>
      </w:tr>
    </w:tbl>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 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878" w:right="3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§11.2. Performance; No Event of Default</w:t>
            </w:r>
          </w:p>
        </w:tc>
        <w:tc>
          <w:tcPr>
            <w:tcW w:w="338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§11.3. Proceedings and Documents</w:t>
            </w:r>
          </w:p>
        </w:tc>
        <w:tc>
          <w:tcPr>
            <w:tcW w:w="338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157"/>
        </w:trPr>
        <w:tc>
          <w:tcPr>
            <w:tcW w:w="7980" w:type="dxa"/>
            <w:vAlign w:val="bottom"/>
          </w:tcPr>
          <w:p>
            <w:pPr>
              <w:spacing w:after="0"/>
              <w:rPr>
                <w:sz w:val="20"/>
                <w:szCs w:val="20"/>
                <w:color w:val="auto"/>
              </w:rPr>
            </w:pPr>
            <w:r>
              <w:rPr>
                <w:rFonts w:ascii="Arial" w:cs="Arial" w:eastAsia="Arial" w:hAnsi="Arial"/>
                <w:sz w:val="13"/>
                <w:szCs w:val="13"/>
                <w:color w:val="auto"/>
              </w:rPr>
              <w:t>§12. EVENTS OF DEFAULT; ACCELERATION; TERMINATION OF COMMITMENT</w:t>
            </w:r>
          </w:p>
        </w:tc>
        <w:tc>
          <w:tcPr>
            <w:tcW w:w="338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§12.1. Events of Default and Acceleration</w:t>
            </w:r>
          </w:p>
        </w:tc>
        <w:tc>
          <w:tcPr>
            <w:tcW w:w="338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§12.2. Termination of Commitments</w:t>
            </w:r>
          </w:p>
        </w:tc>
        <w:tc>
          <w:tcPr>
            <w:tcW w:w="3380" w:type="dxa"/>
            <w:vAlign w:val="bottom"/>
          </w:tcPr>
          <w:p>
            <w:pPr>
              <w:jc w:val="right"/>
              <w:spacing w:after="0"/>
              <w:rPr>
                <w:sz w:val="20"/>
                <w:szCs w:val="20"/>
                <w:color w:val="auto"/>
              </w:rPr>
            </w:pPr>
            <w:r>
              <w:rPr>
                <w:rFonts w:ascii="Arial" w:cs="Arial" w:eastAsia="Arial" w:hAnsi="Arial"/>
                <w:sz w:val="13"/>
                <w:szCs w:val="13"/>
                <w:color w:val="auto"/>
              </w:rPr>
              <w:t>67</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§12.3. Remedies</w:t>
            </w:r>
          </w:p>
        </w:tc>
        <w:tc>
          <w:tcPr>
            <w:tcW w:w="3380" w:type="dxa"/>
            <w:vAlign w:val="bottom"/>
          </w:tcPr>
          <w:p>
            <w:pPr>
              <w:jc w:val="right"/>
              <w:spacing w:after="0"/>
              <w:rPr>
                <w:sz w:val="20"/>
                <w:szCs w:val="20"/>
                <w:color w:val="auto"/>
              </w:rPr>
            </w:pPr>
            <w:r>
              <w:rPr>
                <w:rFonts w:ascii="Arial" w:cs="Arial" w:eastAsia="Arial" w:hAnsi="Arial"/>
                <w:sz w:val="13"/>
                <w:szCs w:val="13"/>
                <w:color w:val="auto"/>
              </w:rPr>
              <w:t>67</w:t>
            </w:r>
          </w:p>
        </w:tc>
      </w:tr>
      <w:tr>
        <w:trPr>
          <w:trHeight w:val="157"/>
        </w:trPr>
        <w:tc>
          <w:tcPr>
            <w:tcW w:w="7980" w:type="dxa"/>
            <w:vAlign w:val="bottom"/>
          </w:tcPr>
          <w:p>
            <w:pPr>
              <w:spacing w:after="0"/>
              <w:rPr>
                <w:sz w:val="20"/>
                <w:szCs w:val="20"/>
                <w:color w:val="auto"/>
              </w:rPr>
            </w:pPr>
            <w:r>
              <w:rPr>
                <w:rFonts w:ascii="Arial" w:cs="Arial" w:eastAsia="Arial" w:hAnsi="Arial"/>
                <w:sz w:val="13"/>
                <w:szCs w:val="13"/>
                <w:color w:val="auto"/>
              </w:rPr>
              <w:t>§13. SETOFF</w:t>
            </w:r>
          </w:p>
        </w:tc>
        <w:tc>
          <w:tcPr>
            <w:tcW w:w="3380" w:type="dxa"/>
            <w:vAlign w:val="bottom"/>
          </w:tcPr>
          <w:p>
            <w:pPr>
              <w:jc w:val="right"/>
              <w:spacing w:after="0"/>
              <w:rPr>
                <w:sz w:val="20"/>
                <w:szCs w:val="20"/>
                <w:color w:val="auto"/>
              </w:rPr>
            </w:pPr>
            <w:r>
              <w:rPr>
                <w:rFonts w:ascii="Arial" w:cs="Arial" w:eastAsia="Arial" w:hAnsi="Arial"/>
                <w:sz w:val="13"/>
                <w:szCs w:val="13"/>
                <w:color w:val="auto"/>
              </w:rPr>
              <w:t>67</w:t>
            </w:r>
          </w:p>
        </w:tc>
      </w:tr>
      <w:tr>
        <w:trPr>
          <w:trHeight w:val="157"/>
        </w:trPr>
        <w:tc>
          <w:tcPr>
            <w:tcW w:w="7980" w:type="dxa"/>
            <w:vAlign w:val="bottom"/>
          </w:tcPr>
          <w:p>
            <w:pPr>
              <w:spacing w:after="0"/>
              <w:rPr>
                <w:sz w:val="20"/>
                <w:szCs w:val="20"/>
                <w:color w:val="auto"/>
              </w:rPr>
            </w:pPr>
            <w:r>
              <w:rPr>
                <w:rFonts w:ascii="Arial" w:cs="Arial" w:eastAsia="Arial" w:hAnsi="Arial"/>
                <w:sz w:val="13"/>
                <w:szCs w:val="13"/>
                <w:color w:val="auto"/>
              </w:rPr>
              <w:t>§14. EXPENSES</w:t>
            </w:r>
          </w:p>
        </w:tc>
        <w:tc>
          <w:tcPr>
            <w:tcW w:w="3380" w:type="dxa"/>
            <w:vAlign w:val="bottom"/>
          </w:tcPr>
          <w:p>
            <w:pPr>
              <w:jc w:val="right"/>
              <w:spacing w:after="0"/>
              <w:rPr>
                <w:sz w:val="20"/>
                <w:szCs w:val="20"/>
                <w:color w:val="auto"/>
              </w:rPr>
            </w:pPr>
            <w:r>
              <w:rPr>
                <w:rFonts w:ascii="Arial" w:cs="Arial" w:eastAsia="Arial" w:hAnsi="Arial"/>
                <w:sz w:val="13"/>
                <w:szCs w:val="13"/>
                <w:color w:val="auto"/>
              </w:rPr>
              <w:t>67</w:t>
            </w:r>
          </w:p>
        </w:tc>
      </w:tr>
      <w:tr>
        <w:trPr>
          <w:trHeight w:val="157"/>
        </w:trPr>
        <w:tc>
          <w:tcPr>
            <w:tcW w:w="7980" w:type="dxa"/>
            <w:vAlign w:val="bottom"/>
          </w:tcPr>
          <w:p>
            <w:pPr>
              <w:spacing w:after="0"/>
              <w:rPr>
                <w:sz w:val="20"/>
                <w:szCs w:val="20"/>
                <w:color w:val="auto"/>
              </w:rPr>
            </w:pPr>
            <w:r>
              <w:rPr>
                <w:rFonts w:ascii="Arial" w:cs="Arial" w:eastAsia="Arial" w:hAnsi="Arial"/>
                <w:sz w:val="13"/>
                <w:szCs w:val="13"/>
                <w:color w:val="auto"/>
              </w:rPr>
              <w:t>§15. THE AGENTS</w:t>
            </w:r>
          </w:p>
        </w:tc>
        <w:tc>
          <w:tcPr>
            <w:tcW w:w="3380" w:type="dxa"/>
            <w:vAlign w:val="bottom"/>
          </w:tcPr>
          <w:p>
            <w:pPr>
              <w:jc w:val="right"/>
              <w:spacing w:after="0"/>
              <w:rPr>
                <w:sz w:val="20"/>
                <w:szCs w:val="20"/>
                <w:color w:val="auto"/>
              </w:rPr>
            </w:pPr>
            <w:r>
              <w:rPr>
                <w:rFonts w:ascii="Arial" w:cs="Arial" w:eastAsia="Arial" w:hAnsi="Arial"/>
                <w:sz w:val="13"/>
                <w:szCs w:val="13"/>
                <w:color w:val="auto"/>
              </w:rPr>
              <w:t>68</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§15.1. Authorization and Action</w:t>
            </w:r>
          </w:p>
        </w:tc>
        <w:tc>
          <w:tcPr>
            <w:tcW w:w="3380" w:type="dxa"/>
            <w:vAlign w:val="bottom"/>
          </w:tcPr>
          <w:p>
            <w:pPr>
              <w:jc w:val="right"/>
              <w:spacing w:after="0"/>
              <w:rPr>
                <w:sz w:val="20"/>
                <w:szCs w:val="20"/>
                <w:color w:val="auto"/>
              </w:rPr>
            </w:pPr>
            <w:r>
              <w:rPr>
                <w:rFonts w:ascii="Arial" w:cs="Arial" w:eastAsia="Arial" w:hAnsi="Arial"/>
                <w:sz w:val="13"/>
                <w:szCs w:val="13"/>
                <w:color w:val="auto"/>
              </w:rPr>
              <w:t>68</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§15.2. Administrative Agent’s Reliance, Etc</w:t>
            </w:r>
          </w:p>
        </w:tc>
        <w:tc>
          <w:tcPr>
            <w:tcW w:w="3380" w:type="dxa"/>
            <w:vAlign w:val="bottom"/>
          </w:tcPr>
          <w:p>
            <w:pPr>
              <w:jc w:val="right"/>
              <w:spacing w:after="0"/>
              <w:rPr>
                <w:sz w:val="20"/>
                <w:szCs w:val="20"/>
                <w:color w:val="auto"/>
              </w:rPr>
            </w:pPr>
            <w:r>
              <w:rPr>
                <w:rFonts w:ascii="Arial" w:cs="Arial" w:eastAsia="Arial" w:hAnsi="Arial"/>
                <w:sz w:val="13"/>
                <w:szCs w:val="13"/>
                <w:color w:val="auto"/>
              </w:rPr>
              <w:t>68</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§15.3. Bank of America and Affiliates</w:t>
            </w:r>
          </w:p>
        </w:tc>
        <w:tc>
          <w:tcPr>
            <w:tcW w:w="338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§15.4. Bank Credit Decision</w:t>
            </w:r>
          </w:p>
        </w:tc>
        <w:tc>
          <w:tcPr>
            <w:tcW w:w="338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§15.5. Indemnification</w:t>
            </w:r>
          </w:p>
        </w:tc>
        <w:tc>
          <w:tcPr>
            <w:tcW w:w="338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§15.6. Successor Administrative Agent</w:t>
            </w:r>
          </w:p>
        </w:tc>
        <w:tc>
          <w:tcPr>
            <w:tcW w:w="338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§15.7. Lead Arrangers, Etc</w:t>
            </w:r>
          </w:p>
        </w:tc>
        <w:tc>
          <w:tcPr>
            <w:tcW w:w="3380" w:type="dxa"/>
            <w:vAlign w:val="bottom"/>
          </w:tcPr>
          <w:p>
            <w:pPr>
              <w:jc w:val="right"/>
              <w:spacing w:after="0"/>
              <w:rPr>
                <w:sz w:val="20"/>
                <w:szCs w:val="20"/>
                <w:color w:val="auto"/>
              </w:rPr>
            </w:pPr>
            <w:r>
              <w:rPr>
                <w:rFonts w:ascii="Arial" w:cs="Arial" w:eastAsia="Arial" w:hAnsi="Arial"/>
                <w:sz w:val="13"/>
                <w:szCs w:val="13"/>
                <w:color w:val="auto"/>
              </w:rPr>
              <w:t>71</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§15.8. Documents</w:t>
            </w:r>
          </w:p>
        </w:tc>
        <w:tc>
          <w:tcPr>
            <w:tcW w:w="3380" w:type="dxa"/>
            <w:vAlign w:val="bottom"/>
          </w:tcPr>
          <w:p>
            <w:pPr>
              <w:jc w:val="right"/>
              <w:spacing w:after="0"/>
              <w:rPr>
                <w:sz w:val="20"/>
                <w:szCs w:val="20"/>
                <w:color w:val="auto"/>
              </w:rPr>
            </w:pPr>
            <w:r>
              <w:rPr>
                <w:rFonts w:ascii="Arial" w:cs="Arial" w:eastAsia="Arial" w:hAnsi="Arial"/>
                <w:sz w:val="13"/>
                <w:szCs w:val="13"/>
                <w:color w:val="auto"/>
              </w:rPr>
              <w:t>71</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§15.9. Action by the Banks, Consents, Amendments, Waivers, Etc</w:t>
            </w:r>
          </w:p>
        </w:tc>
        <w:tc>
          <w:tcPr>
            <w:tcW w:w="3380" w:type="dxa"/>
            <w:vAlign w:val="bottom"/>
          </w:tcPr>
          <w:p>
            <w:pPr>
              <w:jc w:val="right"/>
              <w:spacing w:after="0"/>
              <w:rPr>
                <w:sz w:val="20"/>
                <w:szCs w:val="20"/>
                <w:color w:val="auto"/>
              </w:rPr>
            </w:pPr>
            <w:r>
              <w:rPr>
                <w:rFonts w:ascii="Arial" w:cs="Arial" w:eastAsia="Arial" w:hAnsi="Arial"/>
                <w:sz w:val="13"/>
                <w:szCs w:val="13"/>
                <w:color w:val="auto"/>
              </w:rPr>
              <w:t>71</w:t>
            </w:r>
          </w:p>
        </w:tc>
      </w:tr>
      <w:tr>
        <w:trPr>
          <w:trHeight w:val="157"/>
        </w:trPr>
        <w:tc>
          <w:tcPr>
            <w:tcW w:w="7980" w:type="dxa"/>
            <w:vAlign w:val="bottom"/>
          </w:tcPr>
          <w:p>
            <w:pPr>
              <w:spacing w:after="0"/>
              <w:rPr>
                <w:sz w:val="20"/>
                <w:szCs w:val="20"/>
                <w:color w:val="auto"/>
              </w:rPr>
            </w:pPr>
            <w:r>
              <w:rPr>
                <w:rFonts w:ascii="Arial" w:cs="Arial" w:eastAsia="Arial" w:hAnsi="Arial"/>
                <w:sz w:val="13"/>
                <w:szCs w:val="13"/>
                <w:color w:val="auto"/>
              </w:rPr>
              <w:t>§16. INDEMNIFICATION</w:t>
            </w:r>
          </w:p>
        </w:tc>
        <w:tc>
          <w:tcPr>
            <w:tcW w:w="338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157"/>
        </w:trPr>
        <w:tc>
          <w:tcPr>
            <w:tcW w:w="7980" w:type="dxa"/>
            <w:vAlign w:val="bottom"/>
          </w:tcPr>
          <w:p>
            <w:pPr>
              <w:spacing w:after="0"/>
              <w:rPr>
                <w:sz w:val="20"/>
                <w:szCs w:val="20"/>
                <w:color w:val="auto"/>
              </w:rPr>
            </w:pPr>
            <w:r>
              <w:rPr>
                <w:rFonts w:ascii="Arial" w:cs="Arial" w:eastAsia="Arial" w:hAnsi="Arial"/>
                <w:sz w:val="13"/>
                <w:szCs w:val="13"/>
                <w:color w:val="auto"/>
              </w:rPr>
              <w:t>§17. WITHHOLDING TAXES</w:t>
            </w:r>
          </w:p>
        </w:tc>
        <w:tc>
          <w:tcPr>
            <w:tcW w:w="338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157"/>
        </w:trPr>
        <w:tc>
          <w:tcPr>
            <w:tcW w:w="7980" w:type="dxa"/>
            <w:vAlign w:val="bottom"/>
          </w:tcPr>
          <w:p>
            <w:pPr>
              <w:spacing w:after="0"/>
              <w:rPr>
                <w:sz w:val="20"/>
                <w:szCs w:val="20"/>
                <w:color w:val="auto"/>
              </w:rPr>
            </w:pPr>
            <w:r>
              <w:rPr>
                <w:rFonts w:ascii="Arial" w:cs="Arial" w:eastAsia="Arial" w:hAnsi="Arial"/>
                <w:sz w:val="13"/>
                <w:szCs w:val="13"/>
                <w:color w:val="auto"/>
              </w:rPr>
              <w:t>§18. TREATMENT OF CERTAIN CONFIDENTIAL INFORMATION</w:t>
            </w:r>
          </w:p>
        </w:tc>
        <w:tc>
          <w:tcPr>
            <w:tcW w:w="3380" w:type="dxa"/>
            <w:vAlign w:val="bottom"/>
          </w:tcPr>
          <w:p>
            <w:pPr>
              <w:jc w:val="right"/>
              <w:spacing w:after="0"/>
              <w:rPr>
                <w:sz w:val="20"/>
                <w:szCs w:val="20"/>
                <w:color w:val="auto"/>
              </w:rPr>
            </w:pPr>
            <w:r>
              <w:rPr>
                <w:rFonts w:ascii="Arial" w:cs="Arial" w:eastAsia="Arial" w:hAnsi="Arial"/>
                <w:sz w:val="13"/>
                <w:szCs w:val="13"/>
                <w:color w:val="auto"/>
              </w:rPr>
              <w:t>74</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§18.1. Confidentiality</w:t>
            </w:r>
          </w:p>
        </w:tc>
        <w:tc>
          <w:tcPr>
            <w:tcW w:w="3380" w:type="dxa"/>
            <w:vAlign w:val="bottom"/>
          </w:tcPr>
          <w:p>
            <w:pPr>
              <w:jc w:val="right"/>
              <w:spacing w:after="0"/>
              <w:rPr>
                <w:sz w:val="20"/>
                <w:szCs w:val="20"/>
                <w:color w:val="auto"/>
              </w:rPr>
            </w:pPr>
            <w:r>
              <w:rPr>
                <w:rFonts w:ascii="Arial" w:cs="Arial" w:eastAsia="Arial" w:hAnsi="Arial"/>
                <w:sz w:val="13"/>
                <w:szCs w:val="13"/>
                <w:color w:val="auto"/>
              </w:rPr>
              <w:t>74</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§18.2. Prior Notification</w:t>
            </w:r>
          </w:p>
        </w:tc>
        <w:tc>
          <w:tcPr>
            <w:tcW w:w="3380" w:type="dxa"/>
            <w:vAlign w:val="bottom"/>
          </w:tcPr>
          <w:p>
            <w:pPr>
              <w:jc w:val="right"/>
              <w:spacing w:after="0"/>
              <w:rPr>
                <w:sz w:val="20"/>
                <w:szCs w:val="20"/>
                <w:color w:val="auto"/>
              </w:rPr>
            </w:pPr>
            <w:r>
              <w:rPr>
                <w:rFonts w:ascii="Arial" w:cs="Arial" w:eastAsia="Arial" w:hAnsi="Arial"/>
                <w:sz w:val="13"/>
                <w:szCs w:val="13"/>
                <w:color w:val="auto"/>
              </w:rPr>
              <w:t>75</w:t>
            </w:r>
          </w:p>
        </w:tc>
      </w:tr>
      <w:tr>
        <w:trPr>
          <w:trHeight w:val="157"/>
        </w:trPr>
        <w:tc>
          <w:tcPr>
            <w:tcW w:w="7980" w:type="dxa"/>
            <w:vAlign w:val="bottom"/>
          </w:tcPr>
          <w:p>
            <w:pPr>
              <w:ind w:left="140"/>
              <w:spacing w:after="0"/>
              <w:rPr>
                <w:sz w:val="20"/>
                <w:szCs w:val="20"/>
                <w:color w:val="auto"/>
              </w:rPr>
            </w:pPr>
            <w:r>
              <w:rPr>
                <w:rFonts w:ascii="Arial" w:cs="Arial" w:eastAsia="Arial" w:hAnsi="Arial"/>
                <w:sz w:val="13"/>
                <w:szCs w:val="13"/>
                <w:color w:val="auto"/>
              </w:rPr>
              <w:t>§18.3. Other</w:t>
            </w:r>
          </w:p>
        </w:tc>
        <w:tc>
          <w:tcPr>
            <w:tcW w:w="3380" w:type="dxa"/>
            <w:vAlign w:val="bottom"/>
          </w:tcPr>
          <w:p>
            <w:pPr>
              <w:jc w:val="right"/>
              <w:spacing w:after="0"/>
              <w:rPr>
                <w:sz w:val="20"/>
                <w:szCs w:val="20"/>
                <w:color w:val="auto"/>
              </w:rPr>
            </w:pPr>
            <w:r>
              <w:rPr>
                <w:rFonts w:ascii="Arial" w:cs="Arial" w:eastAsia="Arial" w:hAnsi="Arial"/>
                <w:sz w:val="13"/>
                <w:szCs w:val="13"/>
                <w:color w:val="auto"/>
              </w:rPr>
              <w:t>75</w:t>
            </w:r>
          </w:p>
        </w:tc>
      </w:tr>
      <w:tr>
        <w:trPr>
          <w:trHeight w:val="157"/>
        </w:trPr>
        <w:tc>
          <w:tcPr>
            <w:tcW w:w="7980" w:type="dxa"/>
            <w:vAlign w:val="bottom"/>
          </w:tcPr>
          <w:p>
            <w:pPr>
              <w:spacing w:after="0"/>
              <w:rPr>
                <w:sz w:val="20"/>
                <w:szCs w:val="20"/>
                <w:color w:val="auto"/>
              </w:rPr>
            </w:pPr>
            <w:r>
              <w:rPr>
                <w:rFonts w:ascii="Arial" w:cs="Arial" w:eastAsia="Arial" w:hAnsi="Arial"/>
                <w:sz w:val="13"/>
                <w:szCs w:val="13"/>
                <w:color w:val="auto"/>
              </w:rPr>
              <w:t>§19. SURVIVAL OF COVENANTS, ETC</w:t>
            </w:r>
          </w:p>
        </w:tc>
        <w:tc>
          <w:tcPr>
            <w:tcW w:w="3380" w:type="dxa"/>
            <w:vAlign w:val="bottom"/>
          </w:tcPr>
          <w:p>
            <w:pPr>
              <w:jc w:val="right"/>
              <w:spacing w:after="0"/>
              <w:rPr>
                <w:sz w:val="20"/>
                <w:szCs w:val="20"/>
                <w:color w:val="auto"/>
              </w:rPr>
            </w:pPr>
            <w:r>
              <w:rPr>
                <w:rFonts w:ascii="Arial" w:cs="Arial" w:eastAsia="Arial" w:hAnsi="Arial"/>
                <w:sz w:val="13"/>
                <w:szCs w:val="13"/>
                <w:color w:val="auto"/>
              </w:rPr>
              <w:t>75</w:t>
            </w:r>
          </w:p>
        </w:tc>
      </w:tr>
      <w:tr>
        <w:trPr>
          <w:trHeight w:val="157"/>
        </w:trPr>
        <w:tc>
          <w:tcPr>
            <w:tcW w:w="7980" w:type="dxa"/>
            <w:vAlign w:val="bottom"/>
          </w:tcPr>
          <w:p>
            <w:pPr>
              <w:spacing w:after="0"/>
              <w:rPr>
                <w:sz w:val="20"/>
                <w:szCs w:val="20"/>
                <w:color w:val="auto"/>
              </w:rPr>
            </w:pPr>
            <w:r>
              <w:rPr>
                <w:rFonts w:ascii="Arial" w:cs="Arial" w:eastAsia="Arial" w:hAnsi="Arial"/>
                <w:sz w:val="13"/>
                <w:szCs w:val="13"/>
                <w:color w:val="auto"/>
              </w:rPr>
              <w:t>§20. ASSIGNMENT AND PARTICIPATION</w:t>
            </w:r>
          </w:p>
        </w:tc>
        <w:tc>
          <w:tcPr>
            <w:tcW w:w="3380" w:type="dxa"/>
            <w:vAlign w:val="bottom"/>
          </w:tcPr>
          <w:p>
            <w:pPr>
              <w:jc w:val="right"/>
              <w:spacing w:after="0"/>
              <w:rPr>
                <w:sz w:val="20"/>
                <w:szCs w:val="20"/>
                <w:color w:val="auto"/>
              </w:rPr>
            </w:pPr>
            <w:r>
              <w:rPr>
                <w:rFonts w:ascii="Arial" w:cs="Arial" w:eastAsia="Arial" w:hAnsi="Arial"/>
                <w:sz w:val="13"/>
                <w:szCs w:val="13"/>
                <w:color w:val="auto"/>
              </w:rPr>
              <w:t>76</w:t>
            </w:r>
          </w:p>
        </w:tc>
      </w:tr>
      <w:tr>
        <w:trPr>
          <w:trHeight w:val="157"/>
        </w:trPr>
        <w:tc>
          <w:tcPr>
            <w:tcW w:w="7980" w:type="dxa"/>
            <w:vAlign w:val="bottom"/>
          </w:tcPr>
          <w:p>
            <w:pPr>
              <w:spacing w:after="0"/>
              <w:rPr>
                <w:sz w:val="20"/>
                <w:szCs w:val="20"/>
                <w:color w:val="auto"/>
              </w:rPr>
            </w:pPr>
            <w:r>
              <w:rPr>
                <w:rFonts w:ascii="Arial" w:cs="Arial" w:eastAsia="Arial" w:hAnsi="Arial"/>
                <w:sz w:val="13"/>
                <w:szCs w:val="13"/>
                <w:color w:val="auto"/>
              </w:rPr>
              <w:t>§21. PARTIES IN INTEREST</w:t>
            </w:r>
          </w:p>
        </w:tc>
        <w:tc>
          <w:tcPr>
            <w:tcW w:w="3380" w:type="dxa"/>
            <w:vAlign w:val="bottom"/>
          </w:tcPr>
          <w:p>
            <w:pPr>
              <w:jc w:val="right"/>
              <w:spacing w:after="0"/>
              <w:rPr>
                <w:sz w:val="20"/>
                <w:szCs w:val="20"/>
                <w:color w:val="auto"/>
              </w:rPr>
            </w:pPr>
            <w:r>
              <w:rPr>
                <w:rFonts w:ascii="Arial" w:cs="Arial" w:eastAsia="Arial" w:hAnsi="Arial"/>
                <w:sz w:val="13"/>
                <w:szCs w:val="13"/>
                <w:color w:val="auto"/>
              </w:rPr>
              <w:t>77</w:t>
            </w:r>
          </w:p>
        </w:tc>
      </w:tr>
      <w:tr>
        <w:trPr>
          <w:trHeight w:val="157"/>
        </w:trPr>
        <w:tc>
          <w:tcPr>
            <w:tcW w:w="7980" w:type="dxa"/>
            <w:vAlign w:val="bottom"/>
          </w:tcPr>
          <w:p>
            <w:pPr>
              <w:spacing w:after="0"/>
              <w:rPr>
                <w:sz w:val="20"/>
                <w:szCs w:val="20"/>
                <w:color w:val="auto"/>
              </w:rPr>
            </w:pPr>
            <w:r>
              <w:rPr>
                <w:rFonts w:ascii="Arial" w:cs="Arial" w:eastAsia="Arial" w:hAnsi="Arial"/>
                <w:sz w:val="13"/>
                <w:szCs w:val="13"/>
                <w:color w:val="auto"/>
              </w:rPr>
              <w:t>§22. NOTICES, ETC</w:t>
            </w:r>
          </w:p>
        </w:tc>
        <w:tc>
          <w:tcPr>
            <w:tcW w:w="3380" w:type="dxa"/>
            <w:vAlign w:val="bottom"/>
          </w:tcPr>
          <w:p>
            <w:pPr>
              <w:jc w:val="right"/>
              <w:spacing w:after="0"/>
              <w:rPr>
                <w:sz w:val="20"/>
                <w:szCs w:val="20"/>
                <w:color w:val="auto"/>
              </w:rPr>
            </w:pPr>
            <w:r>
              <w:rPr>
                <w:rFonts w:ascii="Arial" w:cs="Arial" w:eastAsia="Arial" w:hAnsi="Arial"/>
                <w:sz w:val="13"/>
                <w:szCs w:val="13"/>
                <w:color w:val="auto"/>
              </w:rPr>
              <w:t>77</w:t>
            </w:r>
          </w:p>
        </w:tc>
      </w:tr>
      <w:tr>
        <w:trPr>
          <w:trHeight w:val="165"/>
        </w:trPr>
        <w:tc>
          <w:tcPr>
            <w:tcW w:w="7980" w:type="dxa"/>
            <w:vAlign w:val="bottom"/>
          </w:tcPr>
          <w:p>
            <w:pPr>
              <w:spacing w:after="0"/>
              <w:rPr>
                <w:sz w:val="20"/>
                <w:szCs w:val="20"/>
                <w:color w:val="auto"/>
              </w:rPr>
            </w:pPr>
            <w:r>
              <w:rPr>
                <w:rFonts w:ascii="Arial" w:cs="Arial" w:eastAsia="Arial" w:hAnsi="Arial"/>
                <w:sz w:val="13"/>
                <w:szCs w:val="13"/>
                <w:color w:val="auto"/>
              </w:rPr>
              <w:t>§23. MISCELLANEOUS</w:t>
            </w:r>
          </w:p>
        </w:tc>
        <w:tc>
          <w:tcPr>
            <w:tcW w:w="3380" w:type="dxa"/>
            <w:vAlign w:val="bottom"/>
          </w:tcPr>
          <w:p>
            <w:pPr>
              <w:jc w:val="right"/>
              <w:spacing w:after="0"/>
              <w:rPr>
                <w:sz w:val="20"/>
                <w:szCs w:val="20"/>
                <w:color w:val="auto"/>
              </w:rPr>
            </w:pPr>
            <w:r>
              <w:rPr>
                <w:rFonts w:ascii="Arial" w:cs="Arial" w:eastAsia="Arial" w:hAnsi="Arial"/>
                <w:sz w:val="13"/>
                <w:szCs w:val="13"/>
                <w:color w:val="auto"/>
              </w:rPr>
              <w:t>80</w:t>
            </w:r>
          </w:p>
        </w:tc>
      </w:tr>
    </w:tbl>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 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878" w:right="3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57"/>
        </w:trPr>
        <w:tc>
          <w:tcPr>
            <w:tcW w:w="7340" w:type="dxa"/>
            <w:vAlign w:val="bottom"/>
          </w:tcPr>
          <w:p>
            <w:pPr>
              <w:spacing w:after="0"/>
              <w:rPr>
                <w:sz w:val="20"/>
                <w:szCs w:val="20"/>
                <w:color w:val="auto"/>
              </w:rPr>
            </w:pPr>
            <w:r>
              <w:rPr>
                <w:rFonts w:ascii="Arial" w:cs="Arial" w:eastAsia="Arial" w:hAnsi="Arial"/>
                <w:sz w:val="13"/>
                <w:szCs w:val="13"/>
                <w:color w:val="auto"/>
              </w:rPr>
              <w:t>§24. CONSENTS, ETC</w:t>
            </w:r>
          </w:p>
        </w:tc>
        <w:tc>
          <w:tcPr>
            <w:tcW w:w="4020" w:type="dxa"/>
            <w:vAlign w:val="bottom"/>
          </w:tcPr>
          <w:p>
            <w:pPr>
              <w:jc w:val="right"/>
              <w:spacing w:after="0"/>
              <w:rPr>
                <w:sz w:val="20"/>
                <w:szCs w:val="20"/>
                <w:color w:val="auto"/>
              </w:rPr>
            </w:pPr>
            <w:r>
              <w:rPr>
                <w:rFonts w:ascii="Arial" w:cs="Arial" w:eastAsia="Arial" w:hAnsi="Arial"/>
                <w:sz w:val="13"/>
                <w:szCs w:val="13"/>
                <w:color w:val="auto"/>
              </w:rPr>
              <w:t>80</w:t>
            </w:r>
          </w:p>
        </w:tc>
      </w:tr>
      <w:tr>
        <w:trPr>
          <w:trHeight w:val="157"/>
        </w:trPr>
        <w:tc>
          <w:tcPr>
            <w:tcW w:w="7340" w:type="dxa"/>
            <w:vAlign w:val="bottom"/>
          </w:tcPr>
          <w:p>
            <w:pPr>
              <w:spacing w:after="0"/>
              <w:rPr>
                <w:sz w:val="20"/>
                <w:szCs w:val="20"/>
                <w:color w:val="auto"/>
              </w:rPr>
            </w:pPr>
            <w:r>
              <w:rPr>
                <w:rFonts w:ascii="Arial" w:cs="Arial" w:eastAsia="Arial" w:hAnsi="Arial"/>
                <w:sz w:val="13"/>
                <w:szCs w:val="13"/>
                <w:color w:val="auto"/>
              </w:rPr>
              <w:t>§25. WAIVER OF JURY TRIAL</w:t>
            </w:r>
          </w:p>
        </w:tc>
        <w:tc>
          <w:tcPr>
            <w:tcW w:w="4020" w:type="dxa"/>
            <w:vAlign w:val="bottom"/>
          </w:tcPr>
          <w:p>
            <w:pPr>
              <w:jc w:val="right"/>
              <w:spacing w:after="0"/>
              <w:rPr>
                <w:sz w:val="20"/>
                <w:szCs w:val="20"/>
                <w:color w:val="auto"/>
              </w:rPr>
            </w:pPr>
            <w:r>
              <w:rPr>
                <w:rFonts w:ascii="Arial" w:cs="Arial" w:eastAsia="Arial" w:hAnsi="Arial"/>
                <w:sz w:val="13"/>
                <w:szCs w:val="13"/>
                <w:color w:val="auto"/>
              </w:rPr>
              <w:t>80</w:t>
            </w:r>
          </w:p>
        </w:tc>
      </w:tr>
      <w:tr>
        <w:trPr>
          <w:trHeight w:val="157"/>
        </w:trPr>
        <w:tc>
          <w:tcPr>
            <w:tcW w:w="7340" w:type="dxa"/>
            <w:vAlign w:val="bottom"/>
          </w:tcPr>
          <w:p>
            <w:pPr>
              <w:spacing w:after="0"/>
              <w:rPr>
                <w:sz w:val="20"/>
                <w:szCs w:val="20"/>
                <w:color w:val="auto"/>
              </w:rPr>
            </w:pPr>
            <w:r>
              <w:rPr>
                <w:rFonts w:ascii="Arial" w:cs="Arial" w:eastAsia="Arial" w:hAnsi="Arial"/>
                <w:sz w:val="13"/>
                <w:szCs w:val="13"/>
                <w:color w:val="auto"/>
              </w:rPr>
              <w:t>§26. GOVERNING LAW; SUBMISSION TO JURISDICTION</w:t>
            </w:r>
          </w:p>
        </w:tc>
        <w:tc>
          <w:tcPr>
            <w:tcW w:w="4020" w:type="dxa"/>
            <w:vAlign w:val="bottom"/>
          </w:tcPr>
          <w:p>
            <w:pPr>
              <w:jc w:val="right"/>
              <w:spacing w:after="0"/>
              <w:rPr>
                <w:sz w:val="20"/>
                <w:szCs w:val="20"/>
                <w:color w:val="auto"/>
              </w:rPr>
            </w:pPr>
            <w:r>
              <w:rPr>
                <w:rFonts w:ascii="Arial" w:cs="Arial" w:eastAsia="Arial" w:hAnsi="Arial"/>
                <w:sz w:val="13"/>
                <w:szCs w:val="13"/>
                <w:color w:val="auto"/>
              </w:rPr>
              <w:t>81</w:t>
            </w:r>
          </w:p>
        </w:tc>
      </w:tr>
      <w:tr>
        <w:trPr>
          <w:trHeight w:val="157"/>
        </w:trPr>
        <w:tc>
          <w:tcPr>
            <w:tcW w:w="7340" w:type="dxa"/>
            <w:vAlign w:val="bottom"/>
          </w:tcPr>
          <w:p>
            <w:pPr>
              <w:spacing w:after="0"/>
              <w:rPr>
                <w:sz w:val="20"/>
                <w:szCs w:val="20"/>
                <w:color w:val="auto"/>
              </w:rPr>
            </w:pPr>
            <w:r>
              <w:rPr>
                <w:rFonts w:ascii="Arial" w:cs="Arial" w:eastAsia="Arial" w:hAnsi="Arial"/>
                <w:sz w:val="13"/>
                <w:szCs w:val="13"/>
                <w:color w:val="auto"/>
              </w:rPr>
              <w:t>§27. SEVERABILITY</w:t>
            </w:r>
          </w:p>
        </w:tc>
        <w:tc>
          <w:tcPr>
            <w:tcW w:w="4020" w:type="dxa"/>
            <w:vAlign w:val="bottom"/>
          </w:tcPr>
          <w:p>
            <w:pPr>
              <w:jc w:val="right"/>
              <w:spacing w:after="0"/>
              <w:rPr>
                <w:sz w:val="20"/>
                <w:szCs w:val="20"/>
                <w:color w:val="auto"/>
              </w:rPr>
            </w:pPr>
            <w:r>
              <w:rPr>
                <w:rFonts w:ascii="Arial" w:cs="Arial" w:eastAsia="Arial" w:hAnsi="Arial"/>
                <w:sz w:val="13"/>
                <w:szCs w:val="13"/>
                <w:color w:val="auto"/>
              </w:rPr>
              <w:t>81</w:t>
            </w:r>
          </w:p>
        </w:tc>
      </w:tr>
      <w:tr>
        <w:trPr>
          <w:trHeight w:val="157"/>
        </w:trPr>
        <w:tc>
          <w:tcPr>
            <w:tcW w:w="7340" w:type="dxa"/>
            <w:vAlign w:val="bottom"/>
          </w:tcPr>
          <w:p>
            <w:pPr>
              <w:spacing w:after="0"/>
              <w:rPr>
                <w:sz w:val="20"/>
                <w:szCs w:val="20"/>
                <w:color w:val="auto"/>
              </w:rPr>
            </w:pPr>
            <w:r>
              <w:rPr>
                <w:rFonts w:ascii="Arial" w:cs="Arial" w:eastAsia="Arial" w:hAnsi="Arial"/>
                <w:sz w:val="13"/>
                <w:szCs w:val="13"/>
                <w:color w:val="auto"/>
              </w:rPr>
              <w:t>§28. GUARANTY</w:t>
            </w:r>
          </w:p>
        </w:tc>
        <w:tc>
          <w:tcPr>
            <w:tcW w:w="402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157"/>
        </w:trPr>
        <w:tc>
          <w:tcPr>
            <w:tcW w:w="7340" w:type="dxa"/>
            <w:vAlign w:val="bottom"/>
          </w:tcPr>
          <w:p>
            <w:pPr>
              <w:ind w:left="140"/>
              <w:spacing w:after="0"/>
              <w:rPr>
                <w:sz w:val="20"/>
                <w:szCs w:val="20"/>
                <w:color w:val="auto"/>
              </w:rPr>
            </w:pPr>
            <w:r>
              <w:rPr>
                <w:rFonts w:ascii="Arial" w:cs="Arial" w:eastAsia="Arial" w:hAnsi="Arial"/>
                <w:sz w:val="13"/>
                <w:szCs w:val="13"/>
                <w:color w:val="auto"/>
              </w:rPr>
              <w:t>§28.1. Guaranty</w:t>
            </w:r>
          </w:p>
        </w:tc>
        <w:tc>
          <w:tcPr>
            <w:tcW w:w="402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157"/>
        </w:trPr>
        <w:tc>
          <w:tcPr>
            <w:tcW w:w="7340" w:type="dxa"/>
            <w:vAlign w:val="bottom"/>
          </w:tcPr>
          <w:p>
            <w:pPr>
              <w:ind w:left="140"/>
              <w:spacing w:after="0"/>
              <w:rPr>
                <w:sz w:val="20"/>
                <w:szCs w:val="20"/>
                <w:color w:val="auto"/>
              </w:rPr>
            </w:pPr>
            <w:r>
              <w:rPr>
                <w:rFonts w:ascii="Arial" w:cs="Arial" w:eastAsia="Arial" w:hAnsi="Arial"/>
                <w:sz w:val="13"/>
                <w:szCs w:val="13"/>
                <w:color w:val="auto"/>
              </w:rPr>
              <w:t>§28.2. Guaranty Absolute</w:t>
            </w:r>
          </w:p>
        </w:tc>
        <w:tc>
          <w:tcPr>
            <w:tcW w:w="402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157"/>
        </w:trPr>
        <w:tc>
          <w:tcPr>
            <w:tcW w:w="7340" w:type="dxa"/>
            <w:vAlign w:val="bottom"/>
          </w:tcPr>
          <w:p>
            <w:pPr>
              <w:ind w:left="140"/>
              <w:spacing w:after="0"/>
              <w:rPr>
                <w:sz w:val="20"/>
                <w:szCs w:val="20"/>
                <w:color w:val="auto"/>
              </w:rPr>
            </w:pPr>
            <w:r>
              <w:rPr>
                <w:rFonts w:ascii="Arial" w:cs="Arial" w:eastAsia="Arial" w:hAnsi="Arial"/>
                <w:sz w:val="13"/>
                <w:szCs w:val="13"/>
                <w:color w:val="auto"/>
              </w:rPr>
              <w:t>§28.3. Effectiveness; Enforcement</w:t>
            </w:r>
          </w:p>
        </w:tc>
        <w:tc>
          <w:tcPr>
            <w:tcW w:w="402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157"/>
        </w:trPr>
        <w:tc>
          <w:tcPr>
            <w:tcW w:w="7340" w:type="dxa"/>
            <w:vAlign w:val="bottom"/>
          </w:tcPr>
          <w:p>
            <w:pPr>
              <w:ind w:left="140"/>
              <w:spacing w:after="0"/>
              <w:rPr>
                <w:sz w:val="20"/>
                <w:szCs w:val="20"/>
                <w:color w:val="auto"/>
              </w:rPr>
            </w:pPr>
            <w:r>
              <w:rPr>
                <w:rFonts w:ascii="Arial" w:cs="Arial" w:eastAsia="Arial" w:hAnsi="Arial"/>
                <w:sz w:val="13"/>
                <w:szCs w:val="13"/>
                <w:color w:val="auto"/>
              </w:rPr>
              <w:t>§28.4. Waiver</w:t>
            </w:r>
          </w:p>
        </w:tc>
        <w:tc>
          <w:tcPr>
            <w:tcW w:w="4020" w:type="dxa"/>
            <w:vAlign w:val="bottom"/>
          </w:tcPr>
          <w:p>
            <w:pPr>
              <w:jc w:val="right"/>
              <w:spacing w:after="0"/>
              <w:rPr>
                <w:sz w:val="20"/>
                <w:szCs w:val="20"/>
                <w:color w:val="auto"/>
              </w:rPr>
            </w:pPr>
            <w:r>
              <w:rPr>
                <w:rFonts w:ascii="Arial" w:cs="Arial" w:eastAsia="Arial" w:hAnsi="Arial"/>
                <w:sz w:val="13"/>
                <w:szCs w:val="13"/>
                <w:color w:val="auto"/>
              </w:rPr>
              <w:t>83</w:t>
            </w:r>
          </w:p>
        </w:tc>
      </w:tr>
      <w:tr>
        <w:trPr>
          <w:trHeight w:val="157"/>
        </w:trPr>
        <w:tc>
          <w:tcPr>
            <w:tcW w:w="7340" w:type="dxa"/>
            <w:vAlign w:val="bottom"/>
          </w:tcPr>
          <w:p>
            <w:pPr>
              <w:ind w:left="140"/>
              <w:spacing w:after="0"/>
              <w:rPr>
                <w:sz w:val="20"/>
                <w:szCs w:val="20"/>
                <w:color w:val="auto"/>
              </w:rPr>
            </w:pPr>
            <w:r>
              <w:rPr>
                <w:rFonts w:ascii="Arial" w:cs="Arial" w:eastAsia="Arial" w:hAnsi="Arial"/>
                <w:sz w:val="13"/>
                <w:szCs w:val="13"/>
                <w:color w:val="auto"/>
              </w:rPr>
              <w:t>§28.5. Expenses</w:t>
            </w:r>
          </w:p>
        </w:tc>
        <w:tc>
          <w:tcPr>
            <w:tcW w:w="4020" w:type="dxa"/>
            <w:vAlign w:val="bottom"/>
          </w:tcPr>
          <w:p>
            <w:pPr>
              <w:jc w:val="right"/>
              <w:spacing w:after="0"/>
              <w:rPr>
                <w:sz w:val="20"/>
                <w:szCs w:val="20"/>
                <w:color w:val="auto"/>
              </w:rPr>
            </w:pPr>
            <w:r>
              <w:rPr>
                <w:rFonts w:ascii="Arial" w:cs="Arial" w:eastAsia="Arial" w:hAnsi="Arial"/>
                <w:sz w:val="13"/>
                <w:szCs w:val="13"/>
                <w:color w:val="auto"/>
              </w:rPr>
              <w:t>83</w:t>
            </w:r>
          </w:p>
        </w:tc>
      </w:tr>
      <w:tr>
        <w:trPr>
          <w:trHeight w:val="157"/>
        </w:trPr>
        <w:tc>
          <w:tcPr>
            <w:tcW w:w="7340" w:type="dxa"/>
            <w:vAlign w:val="bottom"/>
          </w:tcPr>
          <w:p>
            <w:pPr>
              <w:ind w:left="140"/>
              <w:spacing w:after="0"/>
              <w:rPr>
                <w:sz w:val="20"/>
                <w:szCs w:val="20"/>
                <w:color w:val="auto"/>
              </w:rPr>
            </w:pPr>
            <w:r>
              <w:rPr>
                <w:rFonts w:ascii="Arial" w:cs="Arial" w:eastAsia="Arial" w:hAnsi="Arial"/>
                <w:sz w:val="13"/>
                <w:szCs w:val="13"/>
                <w:color w:val="auto"/>
              </w:rPr>
              <w:t>§28.6. Concerning Joint and Several Liability of the Guarantor</w:t>
            </w:r>
          </w:p>
        </w:tc>
        <w:tc>
          <w:tcPr>
            <w:tcW w:w="4020" w:type="dxa"/>
            <w:vAlign w:val="bottom"/>
          </w:tcPr>
          <w:p>
            <w:pPr>
              <w:jc w:val="right"/>
              <w:spacing w:after="0"/>
              <w:rPr>
                <w:sz w:val="20"/>
                <w:szCs w:val="20"/>
                <w:color w:val="auto"/>
              </w:rPr>
            </w:pPr>
            <w:r>
              <w:rPr>
                <w:rFonts w:ascii="Arial" w:cs="Arial" w:eastAsia="Arial" w:hAnsi="Arial"/>
                <w:sz w:val="13"/>
                <w:szCs w:val="13"/>
                <w:color w:val="auto"/>
              </w:rPr>
              <w:t>83</w:t>
            </w:r>
          </w:p>
        </w:tc>
      </w:tr>
      <w:tr>
        <w:trPr>
          <w:trHeight w:val="157"/>
        </w:trPr>
        <w:tc>
          <w:tcPr>
            <w:tcW w:w="7340" w:type="dxa"/>
            <w:vAlign w:val="bottom"/>
          </w:tcPr>
          <w:p>
            <w:pPr>
              <w:ind w:left="140"/>
              <w:spacing w:after="0"/>
              <w:rPr>
                <w:sz w:val="20"/>
                <w:szCs w:val="20"/>
                <w:color w:val="auto"/>
              </w:rPr>
            </w:pPr>
            <w:r>
              <w:rPr>
                <w:rFonts w:ascii="Arial" w:cs="Arial" w:eastAsia="Arial" w:hAnsi="Arial"/>
                <w:sz w:val="13"/>
                <w:szCs w:val="13"/>
                <w:color w:val="auto"/>
              </w:rPr>
              <w:t>§28.7. Waiver</w:t>
            </w:r>
          </w:p>
        </w:tc>
        <w:tc>
          <w:tcPr>
            <w:tcW w:w="4020" w:type="dxa"/>
            <w:vAlign w:val="bottom"/>
          </w:tcPr>
          <w:p>
            <w:pPr>
              <w:jc w:val="right"/>
              <w:spacing w:after="0"/>
              <w:rPr>
                <w:sz w:val="20"/>
                <w:szCs w:val="20"/>
                <w:color w:val="auto"/>
              </w:rPr>
            </w:pPr>
            <w:r>
              <w:rPr>
                <w:rFonts w:ascii="Arial" w:cs="Arial" w:eastAsia="Arial" w:hAnsi="Arial"/>
                <w:sz w:val="13"/>
                <w:szCs w:val="13"/>
                <w:color w:val="auto"/>
              </w:rPr>
              <w:t>85</w:t>
            </w:r>
          </w:p>
        </w:tc>
      </w:tr>
      <w:tr>
        <w:trPr>
          <w:trHeight w:val="157"/>
        </w:trPr>
        <w:tc>
          <w:tcPr>
            <w:tcW w:w="7340" w:type="dxa"/>
            <w:vAlign w:val="bottom"/>
          </w:tcPr>
          <w:p>
            <w:pPr>
              <w:ind w:left="140"/>
              <w:spacing w:after="0"/>
              <w:rPr>
                <w:sz w:val="20"/>
                <w:szCs w:val="20"/>
                <w:color w:val="auto"/>
              </w:rPr>
            </w:pPr>
            <w:r>
              <w:rPr>
                <w:rFonts w:ascii="Arial" w:cs="Arial" w:eastAsia="Arial" w:hAnsi="Arial"/>
                <w:sz w:val="13"/>
                <w:szCs w:val="13"/>
                <w:color w:val="auto"/>
              </w:rPr>
              <w:t>§28.8. Subrogation; Subordination</w:t>
            </w:r>
          </w:p>
        </w:tc>
        <w:tc>
          <w:tcPr>
            <w:tcW w:w="4020" w:type="dxa"/>
            <w:vAlign w:val="bottom"/>
          </w:tcPr>
          <w:p>
            <w:pPr>
              <w:jc w:val="right"/>
              <w:spacing w:after="0"/>
              <w:rPr>
                <w:sz w:val="20"/>
                <w:szCs w:val="20"/>
                <w:color w:val="auto"/>
              </w:rPr>
            </w:pPr>
            <w:r>
              <w:rPr>
                <w:rFonts w:ascii="Arial" w:cs="Arial" w:eastAsia="Arial" w:hAnsi="Arial"/>
                <w:sz w:val="13"/>
                <w:szCs w:val="13"/>
                <w:color w:val="auto"/>
              </w:rPr>
              <w:t>86</w:t>
            </w:r>
          </w:p>
        </w:tc>
      </w:tr>
      <w:tr>
        <w:trPr>
          <w:trHeight w:val="157"/>
        </w:trPr>
        <w:tc>
          <w:tcPr>
            <w:tcW w:w="7340" w:type="dxa"/>
            <w:vAlign w:val="bottom"/>
          </w:tcPr>
          <w:p>
            <w:pPr>
              <w:spacing w:after="0"/>
              <w:rPr>
                <w:sz w:val="20"/>
                <w:szCs w:val="20"/>
                <w:color w:val="auto"/>
              </w:rPr>
            </w:pPr>
            <w:r>
              <w:rPr>
                <w:rFonts w:ascii="Arial" w:cs="Arial" w:eastAsia="Arial" w:hAnsi="Arial"/>
                <w:sz w:val="13"/>
                <w:szCs w:val="13"/>
                <w:color w:val="auto"/>
              </w:rPr>
              <w:t>§29. PRO RATA TREATMENT</w:t>
            </w:r>
          </w:p>
        </w:tc>
        <w:tc>
          <w:tcPr>
            <w:tcW w:w="4020" w:type="dxa"/>
            <w:vAlign w:val="bottom"/>
          </w:tcPr>
          <w:p>
            <w:pPr>
              <w:jc w:val="right"/>
              <w:spacing w:after="0"/>
              <w:rPr>
                <w:sz w:val="20"/>
                <w:szCs w:val="20"/>
                <w:color w:val="auto"/>
              </w:rPr>
            </w:pPr>
            <w:r>
              <w:rPr>
                <w:rFonts w:ascii="Arial" w:cs="Arial" w:eastAsia="Arial" w:hAnsi="Arial"/>
                <w:sz w:val="13"/>
                <w:szCs w:val="13"/>
                <w:color w:val="auto"/>
              </w:rPr>
              <w:t>86</w:t>
            </w:r>
          </w:p>
        </w:tc>
      </w:tr>
      <w:tr>
        <w:trPr>
          <w:trHeight w:val="157"/>
        </w:trPr>
        <w:tc>
          <w:tcPr>
            <w:tcW w:w="7340" w:type="dxa"/>
            <w:vAlign w:val="bottom"/>
          </w:tcPr>
          <w:p>
            <w:pPr>
              <w:spacing w:after="0"/>
              <w:rPr>
                <w:sz w:val="20"/>
                <w:szCs w:val="20"/>
                <w:color w:val="auto"/>
              </w:rPr>
            </w:pPr>
            <w:r>
              <w:rPr>
                <w:rFonts w:ascii="Arial" w:cs="Arial" w:eastAsia="Arial" w:hAnsi="Arial"/>
                <w:sz w:val="13"/>
                <w:szCs w:val="13"/>
                <w:color w:val="auto"/>
              </w:rPr>
              <w:t>§30. FINAL AGREEMENT</w:t>
            </w:r>
          </w:p>
        </w:tc>
        <w:tc>
          <w:tcPr>
            <w:tcW w:w="4020" w:type="dxa"/>
            <w:vAlign w:val="bottom"/>
          </w:tcPr>
          <w:p>
            <w:pPr>
              <w:jc w:val="right"/>
              <w:spacing w:after="0"/>
              <w:rPr>
                <w:sz w:val="20"/>
                <w:szCs w:val="20"/>
                <w:color w:val="auto"/>
              </w:rPr>
            </w:pPr>
            <w:r>
              <w:rPr>
                <w:rFonts w:ascii="Arial" w:cs="Arial" w:eastAsia="Arial" w:hAnsi="Arial"/>
                <w:sz w:val="13"/>
                <w:szCs w:val="13"/>
                <w:color w:val="auto"/>
              </w:rPr>
              <w:t>87</w:t>
            </w:r>
          </w:p>
        </w:tc>
      </w:tr>
      <w:tr>
        <w:trPr>
          <w:trHeight w:val="157"/>
        </w:trPr>
        <w:tc>
          <w:tcPr>
            <w:tcW w:w="7340" w:type="dxa"/>
            <w:vAlign w:val="bottom"/>
          </w:tcPr>
          <w:p>
            <w:pPr>
              <w:spacing w:after="0"/>
              <w:rPr>
                <w:sz w:val="20"/>
                <w:szCs w:val="20"/>
                <w:color w:val="auto"/>
              </w:rPr>
            </w:pPr>
            <w:r>
              <w:rPr>
                <w:rFonts w:ascii="Arial" w:cs="Arial" w:eastAsia="Arial" w:hAnsi="Arial"/>
                <w:sz w:val="13"/>
                <w:szCs w:val="13"/>
                <w:color w:val="auto"/>
              </w:rPr>
              <w:t>§31. USA PATRIOT ACT</w:t>
            </w:r>
          </w:p>
        </w:tc>
        <w:tc>
          <w:tcPr>
            <w:tcW w:w="4020" w:type="dxa"/>
            <w:vAlign w:val="bottom"/>
          </w:tcPr>
          <w:p>
            <w:pPr>
              <w:jc w:val="right"/>
              <w:spacing w:after="0"/>
              <w:rPr>
                <w:sz w:val="20"/>
                <w:szCs w:val="20"/>
                <w:color w:val="auto"/>
              </w:rPr>
            </w:pPr>
            <w:r>
              <w:rPr>
                <w:rFonts w:ascii="Arial" w:cs="Arial" w:eastAsia="Arial" w:hAnsi="Arial"/>
                <w:sz w:val="13"/>
                <w:szCs w:val="13"/>
                <w:color w:val="auto"/>
              </w:rPr>
              <w:t>87</w:t>
            </w:r>
          </w:p>
        </w:tc>
      </w:tr>
      <w:tr>
        <w:trPr>
          <w:trHeight w:val="157"/>
        </w:trPr>
        <w:tc>
          <w:tcPr>
            <w:tcW w:w="7340" w:type="dxa"/>
            <w:vAlign w:val="bottom"/>
          </w:tcPr>
          <w:p>
            <w:pPr>
              <w:spacing w:after="0"/>
              <w:rPr>
                <w:sz w:val="20"/>
                <w:szCs w:val="20"/>
                <w:color w:val="auto"/>
              </w:rPr>
            </w:pPr>
            <w:r>
              <w:rPr>
                <w:rFonts w:ascii="Arial" w:cs="Arial" w:eastAsia="Arial" w:hAnsi="Arial"/>
                <w:sz w:val="13"/>
                <w:szCs w:val="13"/>
                <w:color w:val="auto"/>
              </w:rPr>
              <w:t>§32. NO ADVISORY OR FIDUCIARY RESPONSIBILITY</w:t>
            </w:r>
          </w:p>
        </w:tc>
        <w:tc>
          <w:tcPr>
            <w:tcW w:w="4020" w:type="dxa"/>
            <w:vAlign w:val="bottom"/>
          </w:tcPr>
          <w:p>
            <w:pPr>
              <w:jc w:val="right"/>
              <w:spacing w:after="0"/>
              <w:rPr>
                <w:sz w:val="20"/>
                <w:szCs w:val="20"/>
                <w:color w:val="auto"/>
              </w:rPr>
            </w:pPr>
            <w:r>
              <w:rPr>
                <w:rFonts w:ascii="Arial" w:cs="Arial" w:eastAsia="Arial" w:hAnsi="Arial"/>
                <w:sz w:val="13"/>
                <w:szCs w:val="13"/>
                <w:color w:val="auto"/>
              </w:rPr>
              <w:t>87</w:t>
            </w:r>
          </w:p>
        </w:tc>
      </w:tr>
      <w:tr>
        <w:trPr>
          <w:trHeight w:val="157"/>
        </w:trPr>
        <w:tc>
          <w:tcPr>
            <w:tcW w:w="7340" w:type="dxa"/>
            <w:vAlign w:val="bottom"/>
          </w:tcPr>
          <w:p>
            <w:pPr>
              <w:spacing w:after="0"/>
              <w:rPr>
                <w:sz w:val="20"/>
                <w:szCs w:val="20"/>
                <w:color w:val="auto"/>
              </w:rPr>
            </w:pPr>
            <w:r>
              <w:rPr>
                <w:rFonts w:ascii="Arial" w:cs="Arial" w:eastAsia="Arial" w:hAnsi="Arial"/>
                <w:sz w:val="13"/>
                <w:szCs w:val="13"/>
                <w:color w:val="auto"/>
              </w:rPr>
              <w:t>§33. PAYMENTS SET ASIDE</w:t>
            </w:r>
          </w:p>
        </w:tc>
        <w:tc>
          <w:tcPr>
            <w:tcW w:w="4020" w:type="dxa"/>
            <w:vAlign w:val="bottom"/>
          </w:tcPr>
          <w:p>
            <w:pPr>
              <w:jc w:val="right"/>
              <w:spacing w:after="0"/>
              <w:rPr>
                <w:sz w:val="20"/>
                <w:szCs w:val="20"/>
                <w:color w:val="auto"/>
              </w:rPr>
            </w:pPr>
            <w:r>
              <w:rPr>
                <w:rFonts w:ascii="Arial" w:cs="Arial" w:eastAsia="Arial" w:hAnsi="Arial"/>
                <w:sz w:val="13"/>
                <w:szCs w:val="13"/>
                <w:color w:val="auto"/>
              </w:rPr>
              <w:t>88</w:t>
            </w:r>
          </w:p>
        </w:tc>
      </w:tr>
      <w:tr>
        <w:trPr>
          <w:trHeight w:val="165"/>
        </w:trPr>
        <w:tc>
          <w:tcPr>
            <w:tcW w:w="7340" w:type="dxa"/>
            <w:vAlign w:val="bottom"/>
          </w:tcPr>
          <w:p>
            <w:pPr>
              <w:spacing w:after="0"/>
              <w:rPr>
                <w:sz w:val="20"/>
                <w:szCs w:val="20"/>
                <w:color w:val="auto"/>
              </w:rPr>
            </w:pPr>
            <w:r>
              <w:rPr>
                <w:rFonts w:ascii="Arial" w:cs="Arial" w:eastAsia="Arial" w:hAnsi="Arial"/>
                <w:sz w:val="13"/>
                <w:szCs w:val="13"/>
                <w:color w:val="auto"/>
              </w:rPr>
              <w:t>§34. TERMINATION OF EXISTING CREDIT AGREEMENT</w:t>
            </w:r>
          </w:p>
        </w:tc>
        <w:tc>
          <w:tcPr>
            <w:tcW w:w="4020" w:type="dxa"/>
            <w:vAlign w:val="bottom"/>
          </w:tcPr>
          <w:p>
            <w:pPr>
              <w:jc w:val="right"/>
              <w:spacing w:after="0"/>
              <w:rPr>
                <w:sz w:val="20"/>
                <w:szCs w:val="20"/>
                <w:color w:val="auto"/>
              </w:rPr>
            </w:pPr>
            <w:r>
              <w:rPr>
                <w:rFonts w:ascii="Arial" w:cs="Arial" w:eastAsia="Arial" w:hAnsi="Arial"/>
                <w:sz w:val="13"/>
                <w:szCs w:val="13"/>
                <w:color w:val="auto"/>
              </w:rPr>
              <w:t>88</w:t>
            </w:r>
          </w:p>
        </w:tc>
      </w:tr>
    </w:tbl>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 vi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878" w:right="31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49"/>
        </w:trPr>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6000" w:type="dxa"/>
            <w:vAlign w:val="bottom"/>
            <w:gridSpan w:val="4"/>
          </w:tcPr>
          <w:p>
            <w:pPr>
              <w:jc w:val="center"/>
              <w:ind w:right="5440"/>
              <w:spacing w:after="0"/>
              <w:rPr>
                <w:sz w:val="20"/>
                <w:szCs w:val="20"/>
                <w:color w:val="auto"/>
              </w:rPr>
            </w:pPr>
            <w:r>
              <w:rPr>
                <w:rFonts w:ascii="Arial" w:cs="Arial" w:eastAsia="Arial" w:hAnsi="Arial"/>
                <w:sz w:val="13"/>
                <w:szCs w:val="13"/>
                <w:color w:val="auto"/>
                <w:w w:val="96"/>
              </w:rPr>
              <w:t>Exhibits</w:t>
            </w:r>
          </w:p>
        </w:tc>
      </w:tr>
      <w:tr>
        <w:trPr>
          <w:trHeight w:val="295"/>
        </w:trPr>
        <w:tc>
          <w:tcPr>
            <w:tcW w:w="52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w w:val="97"/>
              </w:rPr>
              <w:t>Exhibit A</w:t>
            </w:r>
          </w:p>
        </w:tc>
        <w:tc>
          <w:tcPr>
            <w:tcW w:w="580" w:type="dxa"/>
            <w:vAlign w:val="bottom"/>
            <w:gridSpan w:val="9"/>
          </w:tcPr>
          <w:p>
            <w:pPr>
              <w:spacing w:after="0"/>
              <w:rPr>
                <w:sz w:val="24"/>
                <w:szCs w:val="24"/>
                <w:color w:val="auto"/>
              </w:rPr>
            </w:pPr>
          </w:p>
        </w:tc>
        <w:tc>
          <w:tcPr>
            <w:tcW w:w="4420" w:type="dxa"/>
            <w:vAlign w:val="bottom"/>
            <w:gridSpan w:val="2"/>
          </w:tcPr>
          <w:p>
            <w:pPr>
              <w:ind w:left="280"/>
              <w:spacing w:after="0"/>
              <w:rPr>
                <w:sz w:val="20"/>
                <w:szCs w:val="20"/>
                <w:color w:val="auto"/>
              </w:rPr>
            </w:pPr>
            <w:r>
              <w:rPr>
                <w:rFonts w:ascii="Arial" w:cs="Arial" w:eastAsia="Arial" w:hAnsi="Arial"/>
                <w:sz w:val="13"/>
                <w:szCs w:val="13"/>
                <w:color w:val="auto"/>
              </w:rPr>
              <w:t>Form of Syndicated Loan Request</w:t>
            </w:r>
          </w:p>
        </w:tc>
        <w:tc>
          <w:tcPr>
            <w:tcW w:w="440" w:type="dxa"/>
            <w:vAlign w:val="bottom"/>
            <w:tcBorders>
              <w:top w:val="single" w:sz="8" w:color="auto"/>
            </w:tcBorders>
          </w:tcPr>
          <w:p>
            <w:pPr>
              <w:spacing w:after="0"/>
              <w:rPr>
                <w:sz w:val="24"/>
                <w:szCs w:val="24"/>
                <w:color w:val="auto"/>
              </w:rPr>
            </w:pPr>
          </w:p>
        </w:tc>
        <w:tc>
          <w:tcPr>
            <w:tcW w:w="5500" w:type="dxa"/>
            <w:vAlign w:val="bottom"/>
            <w:gridSpan w:val="2"/>
          </w:tcPr>
          <w:p>
            <w:pPr>
              <w:spacing w:after="0"/>
              <w:rPr>
                <w:sz w:val="24"/>
                <w:szCs w:val="24"/>
                <w:color w:val="auto"/>
              </w:rPr>
            </w:pPr>
          </w:p>
        </w:tc>
      </w:tr>
      <w:tr>
        <w:trPr>
          <w:trHeight w:val="295"/>
        </w:trPr>
        <w:tc>
          <w:tcPr>
            <w:tcW w:w="52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w w:val="97"/>
              </w:rPr>
              <w:t>Exhibit B</w:t>
            </w:r>
          </w:p>
        </w:tc>
        <w:tc>
          <w:tcPr>
            <w:tcW w:w="580" w:type="dxa"/>
            <w:vAlign w:val="bottom"/>
            <w:gridSpan w:val="9"/>
          </w:tcPr>
          <w:p>
            <w:pPr>
              <w:spacing w:after="0"/>
              <w:rPr>
                <w:sz w:val="24"/>
                <w:szCs w:val="24"/>
                <w:color w:val="auto"/>
              </w:rPr>
            </w:pPr>
          </w:p>
        </w:tc>
        <w:tc>
          <w:tcPr>
            <w:tcW w:w="10360" w:type="dxa"/>
            <w:vAlign w:val="bottom"/>
            <w:gridSpan w:val="5"/>
          </w:tcPr>
          <w:p>
            <w:pPr>
              <w:ind w:left="280"/>
              <w:spacing w:after="0"/>
              <w:rPr>
                <w:sz w:val="20"/>
                <w:szCs w:val="20"/>
                <w:color w:val="auto"/>
              </w:rPr>
            </w:pPr>
            <w:r>
              <w:rPr>
                <w:rFonts w:ascii="Arial" w:cs="Arial" w:eastAsia="Arial" w:hAnsi="Arial"/>
                <w:sz w:val="13"/>
                <w:szCs w:val="13"/>
                <w:color w:val="auto"/>
              </w:rPr>
              <w:t>Form of Swing Line Loan Notice</w:t>
            </w:r>
          </w:p>
        </w:tc>
      </w:tr>
      <w:tr>
        <w:trPr>
          <w:trHeight w:val="295"/>
        </w:trPr>
        <w:tc>
          <w:tcPr>
            <w:tcW w:w="52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w w:val="96"/>
              </w:rPr>
              <w:t>Exhibit C</w:t>
            </w:r>
          </w:p>
        </w:tc>
        <w:tc>
          <w:tcPr>
            <w:tcW w:w="580" w:type="dxa"/>
            <w:vAlign w:val="bottom"/>
            <w:gridSpan w:val="9"/>
          </w:tcPr>
          <w:p>
            <w:pPr>
              <w:spacing w:after="0"/>
              <w:rPr>
                <w:sz w:val="24"/>
                <w:szCs w:val="24"/>
                <w:color w:val="auto"/>
              </w:rPr>
            </w:pPr>
          </w:p>
        </w:tc>
        <w:tc>
          <w:tcPr>
            <w:tcW w:w="10360" w:type="dxa"/>
            <w:vAlign w:val="bottom"/>
            <w:gridSpan w:val="5"/>
          </w:tcPr>
          <w:p>
            <w:pPr>
              <w:ind w:left="280"/>
              <w:spacing w:after="0"/>
              <w:rPr>
                <w:sz w:val="20"/>
                <w:szCs w:val="20"/>
                <w:color w:val="auto"/>
              </w:rPr>
            </w:pPr>
            <w:r>
              <w:rPr>
                <w:rFonts w:ascii="Arial" w:cs="Arial" w:eastAsia="Arial" w:hAnsi="Arial"/>
                <w:sz w:val="13"/>
                <w:szCs w:val="13"/>
                <w:color w:val="auto"/>
              </w:rPr>
              <w:t>Form of Letter of Credit Request</w:t>
            </w:r>
          </w:p>
        </w:tc>
      </w:tr>
      <w:tr>
        <w:trPr>
          <w:trHeight w:val="295"/>
        </w:trPr>
        <w:tc>
          <w:tcPr>
            <w:tcW w:w="52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w w:val="96"/>
              </w:rPr>
              <w:t>Exhibit D</w:t>
            </w:r>
          </w:p>
        </w:tc>
        <w:tc>
          <w:tcPr>
            <w:tcW w:w="580" w:type="dxa"/>
            <w:vAlign w:val="bottom"/>
            <w:gridSpan w:val="9"/>
          </w:tcPr>
          <w:p>
            <w:pPr>
              <w:spacing w:after="0"/>
              <w:rPr>
                <w:sz w:val="24"/>
                <w:szCs w:val="24"/>
                <w:color w:val="auto"/>
              </w:rPr>
            </w:pPr>
          </w:p>
        </w:tc>
        <w:tc>
          <w:tcPr>
            <w:tcW w:w="10360" w:type="dxa"/>
            <w:vAlign w:val="bottom"/>
            <w:gridSpan w:val="5"/>
          </w:tcPr>
          <w:p>
            <w:pPr>
              <w:ind w:left="280"/>
              <w:spacing w:after="0"/>
              <w:rPr>
                <w:sz w:val="20"/>
                <w:szCs w:val="20"/>
                <w:color w:val="auto"/>
              </w:rPr>
            </w:pPr>
            <w:r>
              <w:rPr>
                <w:rFonts w:ascii="Arial" w:cs="Arial" w:eastAsia="Arial" w:hAnsi="Arial"/>
                <w:sz w:val="13"/>
                <w:szCs w:val="13"/>
                <w:color w:val="auto"/>
              </w:rPr>
              <w:t>Form of Compliance Certificate</w:t>
            </w:r>
          </w:p>
        </w:tc>
      </w:tr>
      <w:tr>
        <w:trPr>
          <w:trHeight w:val="295"/>
        </w:trPr>
        <w:tc>
          <w:tcPr>
            <w:tcW w:w="540" w:type="dxa"/>
            <w:vAlign w:val="bottom"/>
            <w:tcBorders>
              <w:bottom w:val="single" w:sz="8" w:color="auto"/>
            </w:tcBorders>
            <w:gridSpan w:val="4"/>
          </w:tcPr>
          <w:p>
            <w:pPr>
              <w:spacing w:after="0"/>
              <w:rPr>
                <w:sz w:val="20"/>
                <w:szCs w:val="20"/>
                <w:color w:val="auto"/>
              </w:rPr>
            </w:pPr>
            <w:r>
              <w:rPr>
                <w:rFonts w:ascii="Arial" w:cs="Arial" w:eastAsia="Arial" w:hAnsi="Arial"/>
                <w:sz w:val="13"/>
                <w:szCs w:val="13"/>
                <w:color w:val="auto"/>
              </w:rPr>
              <w:t>Exhibit E</w:t>
            </w:r>
          </w:p>
        </w:tc>
        <w:tc>
          <w:tcPr>
            <w:tcW w:w="560" w:type="dxa"/>
            <w:vAlign w:val="bottom"/>
            <w:gridSpan w:val="8"/>
          </w:tcPr>
          <w:p>
            <w:pPr>
              <w:spacing w:after="0"/>
              <w:rPr>
                <w:sz w:val="24"/>
                <w:szCs w:val="24"/>
                <w:color w:val="auto"/>
              </w:rPr>
            </w:pPr>
          </w:p>
        </w:tc>
        <w:tc>
          <w:tcPr>
            <w:tcW w:w="10360" w:type="dxa"/>
            <w:vAlign w:val="bottom"/>
            <w:gridSpan w:val="5"/>
          </w:tcPr>
          <w:p>
            <w:pPr>
              <w:ind w:left="280"/>
              <w:spacing w:after="0"/>
              <w:rPr>
                <w:sz w:val="20"/>
                <w:szCs w:val="20"/>
                <w:color w:val="auto"/>
              </w:rPr>
            </w:pPr>
            <w:r>
              <w:rPr>
                <w:rFonts w:ascii="Arial" w:cs="Arial" w:eastAsia="Arial" w:hAnsi="Arial"/>
                <w:sz w:val="13"/>
                <w:szCs w:val="13"/>
                <w:color w:val="auto"/>
              </w:rPr>
              <w:t>Form of Assignment and Assumption</w:t>
            </w:r>
          </w:p>
        </w:tc>
      </w:tr>
      <w:tr>
        <w:trPr>
          <w:trHeight w:val="295"/>
        </w:trPr>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w w:val="94"/>
              </w:rPr>
              <w:t>Exhibit F</w:t>
            </w:r>
          </w:p>
        </w:tc>
        <w:tc>
          <w:tcPr>
            <w:tcW w:w="600" w:type="dxa"/>
            <w:vAlign w:val="bottom"/>
            <w:gridSpan w:val="10"/>
          </w:tcPr>
          <w:p>
            <w:pPr>
              <w:spacing w:after="0"/>
              <w:rPr>
                <w:sz w:val="24"/>
                <w:szCs w:val="24"/>
                <w:color w:val="auto"/>
              </w:rPr>
            </w:pPr>
          </w:p>
        </w:tc>
        <w:tc>
          <w:tcPr>
            <w:tcW w:w="10360" w:type="dxa"/>
            <w:vAlign w:val="bottom"/>
            <w:gridSpan w:val="5"/>
          </w:tcPr>
          <w:p>
            <w:pPr>
              <w:ind w:left="280"/>
              <w:spacing w:after="0"/>
              <w:rPr>
                <w:sz w:val="20"/>
                <w:szCs w:val="20"/>
                <w:color w:val="auto"/>
              </w:rPr>
            </w:pPr>
            <w:r>
              <w:rPr>
                <w:rFonts w:ascii="Arial" w:cs="Arial" w:eastAsia="Arial" w:hAnsi="Arial"/>
                <w:sz w:val="13"/>
                <w:szCs w:val="13"/>
                <w:color w:val="auto"/>
              </w:rPr>
              <w:t>Form of Competitive Bid Quote Request</w:t>
            </w:r>
          </w:p>
        </w:tc>
      </w:tr>
      <w:tr>
        <w:trPr>
          <w:trHeight w:val="295"/>
        </w:trPr>
        <w:tc>
          <w:tcPr>
            <w:tcW w:w="540" w:type="dxa"/>
            <w:vAlign w:val="bottom"/>
            <w:tcBorders>
              <w:bottom w:val="single" w:sz="8" w:color="auto"/>
            </w:tcBorders>
            <w:gridSpan w:val="4"/>
          </w:tcPr>
          <w:p>
            <w:pPr>
              <w:spacing w:after="0"/>
              <w:rPr>
                <w:sz w:val="20"/>
                <w:szCs w:val="20"/>
                <w:color w:val="auto"/>
              </w:rPr>
            </w:pPr>
            <w:r>
              <w:rPr>
                <w:rFonts w:ascii="Arial" w:cs="Arial" w:eastAsia="Arial" w:hAnsi="Arial"/>
                <w:sz w:val="13"/>
                <w:szCs w:val="13"/>
                <w:color w:val="auto"/>
                <w:w w:val="98"/>
              </w:rPr>
              <w:t>Exhibit G</w:t>
            </w:r>
          </w:p>
        </w:tc>
        <w:tc>
          <w:tcPr>
            <w:tcW w:w="560" w:type="dxa"/>
            <w:vAlign w:val="bottom"/>
            <w:gridSpan w:val="8"/>
          </w:tcPr>
          <w:p>
            <w:pPr>
              <w:spacing w:after="0"/>
              <w:rPr>
                <w:sz w:val="24"/>
                <w:szCs w:val="24"/>
                <w:color w:val="auto"/>
              </w:rPr>
            </w:pPr>
          </w:p>
        </w:tc>
        <w:tc>
          <w:tcPr>
            <w:tcW w:w="10360" w:type="dxa"/>
            <w:vAlign w:val="bottom"/>
            <w:gridSpan w:val="5"/>
          </w:tcPr>
          <w:p>
            <w:pPr>
              <w:ind w:left="280"/>
              <w:spacing w:after="0"/>
              <w:rPr>
                <w:sz w:val="20"/>
                <w:szCs w:val="20"/>
                <w:color w:val="auto"/>
              </w:rPr>
            </w:pPr>
            <w:r>
              <w:rPr>
                <w:rFonts w:ascii="Arial" w:cs="Arial" w:eastAsia="Arial" w:hAnsi="Arial"/>
                <w:sz w:val="13"/>
                <w:szCs w:val="13"/>
                <w:color w:val="auto"/>
              </w:rPr>
              <w:t>Form of Invitation for Competitive Bid Quotes</w:t>
            </w:r>
          </w:p>
        </w:tc>
      </w:tr>
      <w:tr>
        <w:trPr>
          <w:trHeight w:val="295"/>
        </w:trPr>
        <w:tc>
          <w:tcPr>
            <w:tcW w:w="52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w w:val="96"/>
              </w:rPr>
              <w:t>Exhibit H</w:t>
            </w:r>
          </w:p>
        </w:tc>
        <w:tc>
          <w:tcPr>
            <w:tcW w:w="580" w:type="dxa"/>
            <w:vAlign w:val="bottom"/>
            <w:gridSpan w:val="9"/>
          </w:tcPr>
          <w:p>
            <w:pPr>
              <w:spacing w:after="0"/>
              <w:rPr>
                <w:sz w:val="24"/>
                <w:szCs w:val="24"/>
                <w:color w:val="auto"/>
              </w:rPr>
            </w:pPr>
          </w:p>
        </w:tc>
        <w:tc>
          <w:tcPr>
            <w:tcW w:w="10360" w:type="dxa"/>
            <w:vAlign w:val="bottom"/>
            <w:gridSpan w:val="5"/>
          </w:tcPr>
          <w:p>
            <w:pPr>
              <w:ind w:left="280"/>
              <w:spacing w:after="0"/>
              <w:rPr>
                <w:sz w:val="20"/>
                <w:szCs w:val="20"/>
                <w:color w:val="auto"/>
              </w:rPr>
            </w:pPr>
            <w:r>
              <w:rPr>
                <w:rFonts w:ascii="Arial" w:cs="Arial" w:eastAsia="Arial" w:hAnsi="Arial"/>
                <w:sz w:val="13"/>
                <w:szCs w:val="13"/>
                <w:color w:val="auto"/>
              </w:rPr>
              <w:t>Form of Competitive Bid Quote</w:t>
            </w:r>
          </w:p>
        </w:tc>
      </w:tr>
      <w:tr>
        <w:trPr>
          <w:trHeight w:val="295"/>
        </w:trPr>
        <w:tc>
          <w:tcPr>
            <w:tcW w:w="1100" w:type="dxa"/>
            <w:vAlign w:val="bottom"/>
            <w:gridSpan w:val="12"/>
          </w:tcPr>
          <w:p>
            <w:pPr>
              <w:spacing w:after="0"/>
              <w:rPr>
                <w:sz w:val="20"/>
                <w:szCs w:val="20"/>
                <w:color w:val="auto"/>
              </w:rPr>
            </w:pPr>
            <w:r>
              <w:rPr>
                <w:rFonts w:ascii="Arial" w:cs="Arial" w:eastAsia="Arial" w:hAnsi="Arial"/>
                <w:sz w:val="13"/>
                <w:szCs w:val="13"/>
                <w:color w:val="auto"/>
              </w:rPr>
              <w:t>Exhibit I</w:t>
            </w:r>
          </w:p>
        </w:tc>
        <w:tc>
          <w:tcPr>
            <w:tcW w:w="10360" w:type="dxa"/>
            <w:vAlign w:val="bottom"/>
            <w:gridSpan w:val="5"/>
          </w:tcPr>
          <w:p>
            <w:pPr>
              <w:ind w:left="280"/>
              <w:spacing w:after="0"/>
              <w:rPr>
                <w:sz w:val="20"/>
                <w:szCs w:val="20"/>
                <w:color w:val="auto"/>
              </w:rPr>
            </w:pPr>
            <w:r>
              <w:rPr>
                <w:rFonts w:ascii="Arial" w:cs="Arial" w:eastAsia="Arial" w:hAnsi="Arial"/>
                <w:sz w:val="13"/>
                <w:szCs w:val="13"/>
                <w:color w:val="auto"/>
              </w:rPr>
              <w:t>Form of Notice of Acceptance/Rejection of Competitive Bid Quote(s)</w:t>
            </w:r>
          </w:p>
        </w:tc>
      </w:tr>
      <w:tr>
        <w:trPr>
          <w:trHeight w:val="20"/>
        </w:trPr>
        <w:tc>
          <w:tcPr>
            <w:tcW w:w="460" w:type="dxa"/>
            <w:vAlign w:val="bottom"/>
            <w:shd w:val="clear" w:color="auto" w:fill="000000"/>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295"/>
        </w:trPr>
        <w:tc>
          <w:tcPr>
            <w:tcW w:w="1100" w:type="dxa"/>
            <w:vAlign w:val="bottom"/>
            <w:gridSpan w:val="12"/>
          </w:tcPr>
          <w:p>
            <w:pPr>
              <w:spacing w:after="0"/>
              <w:rPr>
                <w:sz w:val="20"/>
                <w:szCs w:val="20"/>
                <w:color w:val="auto"/>
              </w:rPr>
            </w:pPr>
            <w:r>
              <w:rPr>
                <w:rFonts w:ascii="Arial" w:cs="Arial" w:eastAsia="Arial" w:hAnsi="Arial"/>
                <w:sz w:val="13"/>
                <w:szCs w:val="13"/>
                <w:color w:val="auto"/>
              </w:rPr>
              <w:t>Exhibit J</w:t>
            </w:r>
          </w:p>
        </w:tc>
        <w:tc>
          <w:tcPr>
            <w:tcW w:w="10360" w:type="dxa"/>
            <w:vAlign w:val="bottom"/>
            <w:gridSpan w:val="5"/>
          </w:tcPr>
          <w:p>
            <w:pPr>
              <w:ind w:left="280"/>
              <w:spacing w:after="0"/>
              <w:rPr>
                <w:sz w:val="20"/>
                <w:szCs w:val="20"/>
                <w:color w:val="auto"/>
              </w:rPr>
            </w:pPr>
            <w:r>
              <w:rPr>
                <w:rFonts w:ascii="Arial" w:cs="Arial" w:eastAsia="Arial" w:hAnsi="Arial"/>
                <w:sz w:val="13"/>
                <w:szCs w:val="13"/>
                <w:color w:val="auto"/>
              </w:rPr>
              <w:t>Form of Administrative Questionnaire</w:t>
            </w:r>
          </w:p>
        </w:tc>
      </w:tr>
      <w:tr>
        <w:trPr>
          <w:trHeight w:val="373"/>
        </w:trPr>
        <w:tc>
          <w:tcPr>
            <w:tcW w:w="4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color w:val="auto"/>
                <w:w w:val="88"/>
              </w:rPr>
              <w:t>Schedules</w:t>
            </w:r>
          </w:p>
        </w:tc>
        <w:tc>
          <w:tcPr>
            <w:tcW w:w="5460" w:type="dxa"/>
            <w:vAlign w:val="bottom"/>
          </w:tcPr>
          <w:p>
            <w:pPr>
              <w:spacing w:after="0"/>
              <w:rPr>
                <w:sz w:val="24"/>
                <w:szCs w:val="24"/>
                <w:color w:val="auto"/>
              </w:rPr>
            </w:pPr>
          </w:p>
        </w:tc>
      </w:tr>
      <w:tr>
        <w:trPr>
          <w:trHeight w:val="295"/>
        </w:trPr>
        <w:tc>
          <w:tcPr>
            <w:tcW w:w="580" w:type="dxa"/>
            <w:vAlign w:val="bottom"/>
            <w:tcBorders>
              <w:bottom w:val="single" w:sz="8" w:color="auto"/>
            </w:tcBorders>
            <w:gridSpan w:val="5"/>
          </w:tcPr>
          <w:p>
            <w:pPr>
              <w:spacing w:after="0"/>
              <w:rPr>
                <w:sz w:val="20"/>
                <w:szCs w:val="20"/>
                <w:color w:val="auto"/>
              </w:rPr>
            </w:pPr>
            <w:r>
              <w:rPr>
                <w:rFonts w:ascii="Arial" w:cs="Arial" w:eastAsia="Arial" w:hAnsi="Arial"/>
                <w:sz w:val="13"/>
                <w:szCs w:val="13"/>
                <w:color w:val="auto"/>
                <w:w w:val="86"/>
              </w:rPr>
              <w:t>Schedule 1</w:t>
            </w:r>
          </w:p>
        </w:tc>
        <w:tc>
          <w:tcPr>
            <w:tcW w:w="520" w:type="dxa"/>
            <w:vAlign w:val="bottom"/>
            <w:gridSpan w:val="7"/>
          </w:tcPr>
          <w:p>
            <w:pPr>
              <w:spacing w:after="0"/>
              <w:rPr>
                <w:sz w:val="24"/>
                <w:szCs w:val="24"/>
                <w:color w:val="auto"/>
              </w:rPr>
            </w:pPr>
          </w:p>
        </w:tc>
        <w:tc>
          <w:tcPr>
            <w:tcW w:w="10360" w:type="dxa"/>
            <w:vAlign w:val="bottom"/>
            <w:gridSpan w:val="5"/>
          </w:tcPr>
          <w:p>
            <w:pPr>
              <w:ind w:left="280"/>
              <w:spacing w:after="0"/>
              <w:rPr>
                <w:sz w:val="20"/>
                <w:szCs w:val="20"/>
                <w:color w:val="auto"/>
              </w:rPr>
            </w:pPr>
            <w:r>
              <w:rPr>
                <w:rFonts w:ascii="Arial" w:cs="Arial" w:eastAsia="Arial" w:hAnsi="Arial"/>
                <w:sz w:val="13"/>
                <w:szCs w:val="13"/>
                <w:color w:val="auto"/>
              </w:rPr>
              <w:t>Banks; Commitments</w:t>
            </w:r>
          </w:p>
        </w:tc>
      </w:tr>
      <w:tr>
        <w:trPr>
          <w:trHeight w:val="295"/>
        </w:trPr>
        <w:tc>
          <w:tcPr>
            <w:tcW w:w="680" w:type="dxa"/>
            <w:vAlign w:val="bottom"/>
            <w:tcBorders>
              <w:bottom w:val="single" w:sz="8" w:color="auto"/>
            </w:tcBorders>
            <w:gridSpan w:val="7"/>
          </w:tcPr>
          <w:p>
            <w:pPr>
              <w:spacing w:after="0"/>
              <w:rPr>
                <w:sz w:val="20"/>
                <w:szCs w:val="20"/>
                <w:color w:val="auto"/>
              </w:rPr>
            </w:pPr>
            <w:r>
              <w:rPr>
                <w:rFonts w:ascii="Arial" w:cs="Arial" w:eastAsia="Arial" w:hAnsi="Arial"/>
                <w:sz w:val="13"/>
                <w:szCs w:val="13"/>
                <w:color w:val="auto"/>
                <w:w w:val="86"/>
              </w:rPr>
              <w:t>Schedule 1.1</w:t>
            </w:r>
          </w:p>
        </w:tc>
        <w:tc>
          <w:tcPr>
            <w:tcW w:w="420" w:type="dxa"/>
            <w:vAlign w:val="bottom"/>
            <w:gridSpan w:val="5"/>
          </w:tcPr>
          <w:p>
            <w:pPr>
              <w:spacing w:after="0"/>
              <w:rPr>
                <w:sz w:val="24"/>
                <w:szCs w:val="24"/>
                <w:color w:val="auto"/>
              </w:rPr>
            </w:pPr>
          </w:p>
        </w:tc>
        <w:tc>
          <w:tcPr>
            <w:tcW w:w="10360" w:type="dxa"/>
            <w:vAlign w:val="bottom"/>
            <w:gridSpan w:val="5"/>
          </w:tcPr>
          <w:p>
            <w:pPr>
              <w:ind w:left="280"/>
              <w:spacing w:after="0"/>
              <w:rPr>
                <w:sz w:val="20"/>
                <w:szCs w:val="20"/>
                <w:color w:val="auto"/>
              </w:rPr>
            </w:pPr>
            <w:r>
              <w:rPr>
                <w:rFonts w:ascii="Arial" w:cs="Arial" w:eastAsia="Arial" w:hAnsi="Arial"/>
                <w:sz w:val="13"/>
                <w:szCs w:val="13"/>
                <w:color w:val="auto"/>
              </w:rPr>
              <w:t>Existing Liens</w:t>
            </w:r>
          </w:p>
        </w:tc>
      </w:tr>
      <w:tr>
        <w:trPr>
          <w:trHeight w:val="295"/>
        </w:trPr>
        <w:tc>
          <w:tcPr>
            <w:tcW w:w="680" w:type="dxa"/>
            <w:vAlign w:val="bottom"/>
            <w:tcBorders>
              <w:bottom w:val="single" w:sz="8" w:color="auto"/>
            </w:tcBorders>
            <w:gridSpan w:val="7"/>
          </w:tcPr>
          <w:p>
            <w:pPr>
              <w:spacing w:after="0"/>
              <w:rPr>
                <w:sz w:val="20"/>
                <w:szCs w:val="20"/>
                <w:color w:val="auto"/>
              </w:rPr>
            </w:pPr>
            <w:r>
              <w:rPr>
                <w:rFonts w:ascii="Arial" w:cs="Arial" w:eastAsia="Arial" w:hAnsi="Arial"/>
                <w:sz w:val="13"/>
                <w:szCs w:val="13"/>
                <w:color w:val="auto"/>
                <w:w w:val="86"/>
              </w:rPr>
              <w:t>Schedule 3.1</w:t>
            </w:r>
          </w:p>
        </w:tc>
        <w:tc>
          <w:tcPr>
            <w:tcW w:w="420" w:type="dxa"/>
            <w:vAlign w:val="bottom"/>
            <w:gridSpan w:val="5"/>
          </w:tcPr>
          <w:p>
            <w:pPr>
              <w:spacing w:after="0"/>
              <w:rPr>
                <w:sz w:val="24"/>
                <w:szCs w:val="24"/>
                <w:color w:val="auto"/>
              </w:rPr>
            </w:pPr>
          </w:p>
        </w:tc>
        <w:tc>
          <w:tcPr>
            <w:tcW w:w="10360" w:type="dxa"/>
            <w:vAlign w:val="bottom"/>
            <w:gridSpan w:val="5"/>
          </w:tcPr>
          <w:p>
            <w:pPr>
              <w:ind w:left="280"/>
              <w:spacing w:after="0"/>
              <w:rPr>
                <w:sz w:val="20"/>
                <w:szCs w:val="20"/>
                <w:color w:val="auto"/>
              </w:rPr>
            </w:pPr>
            <w:r>
              <w:rPr>
                <w:rFonts w:ascii="Arial" w:cs="Arial" w:eastAsia="Arial" w:hAnsi="Arial"/>
                <w:sz w:val="13"/>
                <w:szCs w:val="13"/>
                <w:color w:val="auto"/>
              </w:rPr>
              <w:t>Issuing Banks and Issuing Bank Limits</w:t>
            </w:r>
          </w:p>
        </w:tc>
      </w:tr>
      <w:tr>
        <w:trPr>
          <w:trHeight w:val="295"/>
        </w:trPr>
        <w:tc>
          <w:tcPr>
            <w:tcW w:w="800" w:type="dxa"/>
            <w:vAlign w:val="bottom"/>
            <w:tcBorders>
              <w:bottom w:val="single" w:sz="8" w:color="auto"/>
            </w:tcBorders>
            <w:gridSpan w:val="10"/>
          </w:tcPr>
          <w:p>
            <w:pPr>
              <w:spacing w:after="0"/>
              <w:rPr>
                <w:sz w:val="20"/>
                <w:szCs w:val="20"/>
                <w:color w:val="auto"/>
              </w:rPr>
            </w:pPr>
            <w:r>
              <w:rPr>
                <w:rFonts w:ascii="Arial" w:cs="Arial" w:eastAsia="Arial" w:hAnsi="Arial"/>
                <w:sz w:val="13"/>
                <w:szCs w:val="13"/>
                <w:color w:val="auto"/>
                <w:w w:val="89"/>
              </w:rPr>
              <w:t>Schedule 3.1.1</w:t>
            </w:r>
          </w:p>
        </w:tc>
        <w:tc>
          <w:tcPr>
            <w:tcW w:w="300" w:type="dxa"/>
            <w:vAlign w:val="bottom"/>
            <w:gridSpan w:val="2"/>
          </w:tcPr>
          <w:p>
            <w:pPr>
              <w:spacing w:after="0"/>
              <w:rPr>
                <w:sz w:val="24"/>
                <w:szCs w:val="24"/>
                <w:color w:val="auto"/>
              </w:rPr>
            </w:pPr>
          </w:p>
        </w:tc>
        <w:tc>
          <w:tcPr>
            <w:tcW w:w="10360" w:type="dxa"/>
            <w:vAlign w:val="bottom"/>
            <w:gridSpan w:val="5"/>
          </w:tcPr>
          <w:p>
            <w:pPr>
              <w:ind w:left="280"/>
              <w:spacing w:after="0"/>
              <w:rPr>
                <w:sz w:val="20"/>
                <w:szCs w:val="20"/>
                <w:color w:val="auto"/>
              </w:rPr>
            </w:pPr>
            <w:r>
              <w:rPr>
                <w:rFonts w:ascii="Arial" w:cs="Arial" w:eastAsia="Arial" w:hAnsi="Arial"/>
                <w:sz w:val="13"/>
                <w:szCs w:val="13"/>
                <w:color w:val="auto"/>
              </w:rPr>
              <w:t>Form of Increase/Decrease Letter</w:t>
            </w:r>
          </w:p>
        </w:tc>
      </w:tr>
      <w:tr>
        <w:trPr>
          <w:trHeight w:val="295"/>
        </w:trPr>
        <w:tc>
          <w:tcPr>
            <w:tcW w:w="780" w:type="dxa"/>
            <w:vAlign w:val="bottom"/>
            <w:tcBorders>
              <w:bottom w:val="single" w:sz="8" w:color="auto"/>
            </w:tcBorders>
            <w:gridSpan w:val="9"/>
          </w:tcPr>
          <w:p>
            <w:pPr>
              <w:spacing w:after="0"/>
              <w:rPr>
                <w:sz w:val="20"/>
                <w:szCs w:val="20"/>
                <w:color w:val="auto"/>
              </w:rPr>
            </w:pPr>
            <w:r>
              <w:rPr>
                <w:rFonts w:ascii="Arial" w:cs="Arial" w:eastAsia="Arial" w:hAnsi="Arial"/>
                <w:sz w:val="13"/>
                <w:szCs w:val="13"/>
                <w:color w:val="auto"/>
                <w:w w:val="87"/>
              </w:rPr>
              <w:t>Schedule 3.1.2</w:t>
            </w:r>
          </w:p>
        </w:tc>
        <w:tc>
          <w:tcPr>
            <w:tcW w:w="320" w:type="dxa"/>
            <w:vAlign w:val="bottom"/>
            <w:gridSpan w:val="3"/>
          </w:tcPr>
          <w:p>
            <w:pPr>
              <w:spacing w:after="0"/>
              <w:rPr>
                <w:sz w:val="24"/>
                <w:szCs w:val="24"/>
                <w:color w:val="auto"/>
              </w:rPr>
            </w:pPr>
          </w:p>
        </w:tc>
        <w:tc>
          <w:tcPr>
            <w:tcW w:w="10360" w:type="dxa"/>
            <w:vAlign w:val="bottom"/>
            <w:gridSpan w:val="5"/>
          </w:tcPr>
          <w:p>
            <w:pPr>
              <w:ind w:left="280"/>
              <w:spacing w:after="0"/>
              <w:rPr>
                <w:sz w:val="20"/>
                <w:szCs w:val="20"/>
                <w:color w:val="auto"/>
              </w:rPr>
            </w:pPr>
            <w:r>
              <w:rPr>
                <w:rFonts w:ascii="Arial" w:cs="Arial" w:eastAsia="Arial" w:hAnsi="Arial"/>
                <w:sz w:val="13"/>
                <w:szCs w:val="13"/>
                <w:color w:val="auto"/>
              </w:rPr>
              <w:t>Existing Letters of Credit</w:t>
            </w:r>
          </w:p>
        </w:tc>
      </w:tr>
      <w:tr>
        <w:trPr>
          <w:trHeight w:val="295"/>
        </w:trPr>
        <w:tc>
          <w:tcPr>
            <w:tcW w:w="680" w:type="dxa"/>
            <w:vAlign w:val="bottom"/>
            <w:tcBorders>
              <w:bottom w:val="single" w:sz="8" w:color="auto"/>
            </w:tcBorders>
            <w:gridSpan w:val="7"/>
          </w:tcPr>
          <w:p>
            <w:pPr>
              <w:spacing w:after="0"/>
              <w:rPr>
                <w:sz w:val="20"/>
                <w:szCs w:val="20"/>
                <w:color w:val="auto"/>
              </w:rPr>
            </w:pPr>
            <w:r>
              <w:rPr>
                <w:rFonts w:ascii="Arial" w:cs="Arial" w:eastAsia="Arial" w:hAnsi="Arial"/>
                <w:sz w:val="13"/>
                <w:szCs w:val="13"/>
                <w:color w:val="auto"/>
                <w:w w:val="86"/>
              </w:rPr>
              <w:t>Schedule 6.7</w:t>
            </w:r>
          </w:p>
        </w:tc>
        <w:tc>
          <w:tcPr>
            <w:tcW w:w="420" w:type="dxa"/>
            <w:vAlign w:val="bottom"/>
            <w:gridSpan w:val="5"/>
          </w:tcPr>
          <w:p>
            <w:pPr>
              <w:spacing w:after="0"/>
              <w:rPr>
                <w:sz w:val="24"/>
                <w:szCs w:val="24"/>
                <w:color w:val="auto"/>
              </w:rPr>
            </w:pPr>
          </w:p>
        </w:tc>
        <w:tc>
          <w:tcPr>
            <w:tcW w:w="10360" w:type="dxa"/>
            <w:vAlign w:val="bottom"/>
            <w:gridSpan w:val="5"/>
          </w:tcPr>
          <w:p>
            <w:pPr>
              <w:ind w:left="280"/>
              <w:spacing w:after="0"/>
              <w:rPr>
                <w:sz w:val="20"/>
                <w:szCs w:val="20"/>
                <w:color w:val="auto"/>
              </w:rPr>
            </w:pPr>
            <w:r>
              <w:rPr>
                <w:rFonts w:ascii="Arial" w:cs="Arial" w:eastAsia="Arial" w:hAnsi="Arial"/>
                <w:sz w:val="13"/>
                <w:szCs w:val="13"/>
                <w:color w:val="auto"/>
              </w:rPr>
              <w:t>Litigation</w:t>
            </w:r>
          </w:p>
        </w:tc>
      </w:tr>
      <w:tr>
        <w:trPr>
          <w:trHeight w:val="295"/>
        </w:trPr>
        <w:tc>
          <w:tcPr>
            <w:tcW w:w="1100" w:type="dxa"/>
            <w:vAlign w:val="bottom"/>
            <w:gridSpan w:val="12"/>
          </w:tcPr>
          <w:p>
            <w:pPr>
              <w:spacing w:after="0"/>
              <w:rPr>
                <w:sz w:val="20"/>
                <w:szCs w:val="20"/>
                <w:color w:val="auto"/>
              </w:rPr>
            </w:pPr>
            <w:r>
              <w:rPr>
                <w:rFonts w:ascii="Arial" w:cs="Arial" w:eastAsia="Arial" w:hAnsi="Arial"/>
                <w:sz w:val="13"/>
                <w:szCs w:val="13"/>
                <w:color w:val="auto"/>
              </w:rPr>
              <w:t>Schedule 6.15</w:t>
            </w:r>
          </w:p>
        </w:tc>
        <w:tc>
          <w:tcPr>
            <w:tcW w:w="10360" w:type="dxa"/>
            <w:vAlign w:val="bottom"/>
            <w:gridSpan w:val="5"/>
          </w:tcPr>
          <w:p>
            <w:pPr>
              <w:ind w:left="280"/>
              <w:spacing w:after="0"/>
              <w:rPr>
                <w:sz w:val="20"/>
                <w:szCs w:val="20"/>
                <w:color w:val="auto"/>
              </w:rPr>
            </w:pPr>
            <w:r>
              <w:rPr>
                <w:rFonts w:ascii="Arial" w:cs="Arial" w:eastAsia="Arial" w:hAnsi="Arial"/>
                <w:sz w:val="13"/>
                <w:szCs w:val="13"/>
                <w:color w:val="auto"/>
              </w:rPr>
              <w:t>Environmental Compliance</w:t>
            </w:r>
          </w:p>
        </w:tc>
      </w:tr>
      <w:tr>
        <w:trPr>
          <w:trHeight w:val="20"/>
        </w:trPr>
        <w:tc>
          <w:tcPr>
            <w:tcW w:w="640" w:type="dxa"/>
            <w:vAlign w:val="bottom"/>
            <w:gridSpan w:val="6"/>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360" w:type="dxa"/>
            <w:vAlign w:val="bottom"/>
            <w:gridSpan w:val="5"/>
          </w:tcPr>
          <w:p>
            <w:pPr>
              <w:spacing w:after="0" w:line="20" w:lineRule="exact"/>
              <w:rPr>
                <w:sz w:val="1"/>
                <w:szCs w:val="1"/>
                <w:color w:val="auto"/>
              </w:rPr>
            </w:pPr>
          </w:p>
        </w:tc>
      </w:tr>
      <w:tr>
        <w:trPr>
          <w:trHeight w:val="295"/>
        </w:trPr>
        <w:tc>
          <w:tcPr>
            <w:tcW w:w="1100" w:type="dxa"/>
            <w:vAlign w:val="bottom"/>
            <w:gridSpan w:val="12"/>
          </w:tcPr>
          <w:p>
            <w:pPr>
              <w:spacing w:after="0"/>
              <w:rPr>
                <w:sz w:val="20"/>
                <w:szCs w:val="20"/>
                <w:color w:val="auto"/>
              </w:rPr>
            </w:pPr>
            <w:r>
              <w:rPr>
                <w:rFonts w:ascii="Arial" w:cs="Arial" w:eastAsia="Arial" w:hAnsi="Arial"/>
                <w:sz w:val="13"/>
                <w:szCs w:val="13"/>
                <w:color w:val="auto"/>
              </w:rPr>
              <w:t>Schedule 8.1(a)</w:t>
            </w:r>
          </w:p>
        </w:tc>
        <w:tc>
          <w:tcPr>
            <w:tcW w:w="10360" w:type="dxa"/>
            <w:vAlign w:val="bottom"/>
            <w:gridSpan w:val="5"/>
          </w:tcPr>
          <w:p>
            <w:pPr>
              <w:ind w:left="280"/>
              <w:spacing w:after="0"/>
              <w:rPr>
                <w:sz w:val="20"/>
                <w:szCs w:val="20"/>
                <w:color w:val="auto"/>
              </w:rPr>
            </w:pPr>
            <w:r>
              <w:rPr>
                <w:rFonts w:ascii="Arial" w:cs="Arial" w:eastAsia="Arial" w:hAnsi="Arial"/>
                <w:sz w:val="13"/>
                <w:szCs w:val="13"/>
                <w:color w:val="auto"/>
              </w:rPr>
              <w:t>Existing Indebtedness</w:t>
            </w:r>
          </w:p>
        </w:tc>
      </w:tr>
      <w:tr>
        <w:trPr>
          <w:trHeight w:val="295"/>
        </w:trPr>
        <w:tc>
          <w:tcPr>
            <w:tcW w:w="820" w:type="dxa"/>
            <w:vAlign w:val="bottom"/>
            <w:tcBorders>
              <w:top w:val="single" w:sz="8" w:color="auto"/>
            </w:tcBorders>
            <w:gridSpan w:val="11"/>
          </w:tcPr>
          <w:p>
            <w:pPr>
              <w:spacing w:after="0"/>
              <w:rPr>
                <w:sz w:val="20"/>
                <w:szCs w:val="20"/>
                <w:color w:val="auto"/>
              </w:rPr>
            </w:pPr>
            <w:r>
              <w:rPr>
                <w:rFonts w:ascii="Arial" w:cs="Arial" w:eastAsia="Arial" w:hAnsi="Arial"/>
                <w:sz w:val="13"/>
                <w:szCs w:val="13"/>
                <w:color w:val="auto"/>
              </w:rPr>
              <w:t>Schedule 22</w:t>
            </w:r>
          </w:p>
        </w:tc>
        <w:tc>
          <w:tcPr>
            <w:tcW w:w="280" w:type="dxa"/>
            <w:vAlign w:val="bottom"/>
          </w:tcPr>
          <w:p>
            <w:pPr>
              <w:spacing w:after="0"/>
              <w:rPr>
                <w:sz w:val="24"/>
                <w:szCs w:val="24"/>
                <w:color w:val="auto"/>
              </w:rPr>
            </w:pPr>
          </w:p>
        </w:tc>
        <w:tc>
          <w:tcPr>
            <w:tcW w:w="10360" w:type="dxa"/>
            <w:vAlign w:val="bottom"/>
            <w:gridSpan w:val="5"/>
          </w:tcPr>
          <w:p>
            <w:pPr>
              <w:ind w:left="280"/>
              <w:spacing w:after="0"/>
              <w:rPr>
                <w:sz w:val="20"/>
                <w:szCs w:val="20"/>
                <w:color w:val="auto"/>
              </w:rPr>
            </w:pPr>
            <w:r>
              <w:rPr>
                <w:rFonts w:ascii="Arial" w:cs="Arial" w:eastAsia="Arial" w:hAnsi="Arial"/>
                <w:sz w:val="13"/>
                <w:szCs w:val="13"/>
                <w:color w:val="auto"/>
              </w:rPr>
              <w:t>Administrative Agent’s Office; Certain Addresses for Notices</w:t>
            </w:r>
          </w:p>
        </w:tc>
      </w:tr>
      <w:tr>
        <w:trPr>
          <w:trHeight w:val="303"/>
        </w:trPr>
        <w:tc>
          <w:tcPr>
            <w:tcW w:w="4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940" w:type="dxa"/>
            <w:vAlign w:val="bottom"/>
            <w:gridSpan w:val="3"/>
          </w:tcPr>
          <w:p>
            <w:pPr>
              <w:jc w:val="center"/>
              <w:ind w:right="5540"/>
              <w:spacing w:after="0"/>
              <w:rPr>
                <w:sz w:val="20"/>
                <w:szCs w:val="20"/>
                <w:color w:val="auto"/>
              </w:rPr>
            </w:pPr>
            <w:r>
              <w:rPr>
                <w:rFonts w:ascii="Arial" w:cs="Arial" w:eastAsia="Arial" w:hAnsi="Arial"/>
                <w:sz w:val="13"/>
                <w:szCs w:val="13"/>
                <w:color w:val="auto"/>
                <w:w w:val="99"/>
              </w:rPr>
              <w:t>- vii -</w:t>
            </w:r>
          </w:p>
        </w:tc>
      </w:tr>
      <w:tr>
        <w:trPr>
          <w:trHeight w:val="163"/>
        </w:trPr>
        <w:tc>
          <w:tcPr>
            <w:tcW w:w="46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3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54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7" w:right="219" w:bottom="1440" w:gutter="0" w:footer="0" w:header="0"/>
        </w:sectPr>
      </w:pPr>
    </w:p>
    <w:bookmarkStart w:id="96" w:name="page97"/>
    <w:bookmarkEnd w:id="96"/>
    <w:p>
      <w:pPr>
        <w:jc w:val="center"/>
        <w:spacing w:after="0"/>
        <w:rPr>
          <w:sz w:val="20"/>
          <w:szCs w:val="20"/>
          <w:color w:val="auto"/>
        </w:rPr>
      </w:pPr>
      <w:r>
        <w:rPr>
          <w:rFonts w:ascii="Arial" w:cs="Arial" w:eastAsia="Arial" w:hAnsi="Arial"/>
          <w:sz w:val="13"/>
          <w:szCs w:val="13"/>
          <w:b w:val="1"/>
          <w:bCs w:val="1"/>
          <w:color w:val="auto"/>
        </w:rPr>
        <w:t>REVOLVING CREDIT AGREEMENT</w:t>
      </w:r>
    </w:p>
    <w:p>
      <w:pPr>
        <w:spacing w:after="0" w:line="86" w:lineRule="exact"/>
        <w:rPr>
          <w:sz w:val="20"/>
          <w:szCs w:val="20"/>
          <w:color w:val="auto"/>
        </w:rPr>
      </w:pPr>
    </w:p>
    <w:p>
      <w:pPr>
        <w:jc w:val="both"/>
        <w:ind w:right="140" w:firstLine="161"/>
        <w:spacing w:after="0" w:line="267" w:lineRule="auto"/>
        <w:rPr>
          <w:sz w:val="20"/>
          <w:szCs w:val="20"/>
          <w:color w:val="auto"/>
        </w:rPr>
      </w:pPr>
      <w:r>
        <w:rPr>
          <w:rFonts w:ascii="Arial" w:cs="Arial" w:eastAsia="Arial" w:hAnsi="Arial"/>
          <w:sz w:val="13"/>
          <w:szCs w:val="13"/>
          <w:color w:val="auto"/>
        </w:rPr>
        <w:t xml:space="preserve">This </w:t>
      </w:r>
      <w:r>
        <w:rPr>
          <w:rFonts w:ascii="Arial" w:cs="Arial" w:eastAsia="Arial" w:hAnsi="Arial"/>
          <w:sz w:val="13"/>
          <w:szCs w:val="13"/>
          <w:b w:val="1"/>
          <w:bCs w:val="1"/>
          <w:color w:val="auto"/>
        </w:rPr>
        <w:t>REVOLVING CREDIT AGREEMENT</w:t>
      </w:r>
      <w:r>
        <w:rPr>
          <w:rFonts w:ascii="Arial" w:cs="Arial" w:eastAsia="Arial" w:hAnsi="Arial"/>
          <w:sz w:val="13"/>
          <w:szCs w:val="13"/>
          <w:color w:val="auto"/>
        </w:rPr>
        <w:t xml:space="preserve"> is made as of the 22nd day of June, 2010, by and among </w:t>
      </w:r>
      <w:r>
        <w:rPr>
          <w:rFonts w:ascii="Arial" w:cs="Arial" w:eastAsia="Arial" w:hAnsi="Arial"/>
          <w:sz w:val="13"/>
          <w:szCs w:val="13"/>
          <w:b w:val="1"/>
          <w:bCs w:val="1"/>
          <w:color w:val="auto"/>
        </w:rPr>
        <w:t>WASTE MANAGEMENT, INC.</w:t>
      </w:r>
      <w:r>
        <w:rPr>
          <w:rFonts w:ascii="Arial" w:cs="Arial" w:eastAsia="Arial" w:hAnsi="Arial"/>
          <w:sz w:val="13"/>
          <w:szCs w:val="13"/>
          <w:color w:val="auto"/>
        </w:rPr>
        <w:t xml:space="preserve">, a Delaware corporation having its chief executive office at 1001 Fannin Street, Suite 4000, Houston, Texas 77002 (the “Borrower”), </w:t>
      </w:r>
      <w:r>
        <w:rPr>
          <w:rFonts w:ascii="Arial" w:cs="Arial" w:eastAsia="Arial" w:hAnsi="Arial"/>
          <w:sz w:val="13"/>
          <w:szCs w:val="13"/>
          <w:b w:val="1"/>
          <w:bCs w:val="1"/>
          <w:color w:val="auto"/>
        </w:rPr>
        <w:t>WASTE MANAGEMENT HOLDINGS, INC.</w:t>
      </w:r>
      <w:r>
        <w:rPr>
          <w:rFonts w:ascii="Arial" w:cs="Arial" w:eastAsia="Arial" w:hAnsi="Arial"/>
          <w:sz w:val="13"/>
          <w:szCs w:val="13"/>
          <w:color w:val="auto"/>
        </w:rPr>
        <w:t xml:space="preserve">, a wholly-owned Subsidiary of the Borrower (the “Guarantor”), the lenders from time to time party hereto (the “Banks”) and </w:t>
      </w:r>
      <w:r>
        <w:rPr>
          <w:rFonts w:ascii="Arial" w:cs="Arial" w:eastAsia="Arial" w:hAnsi="Arial"/>
          <w:sz w:val="13"/>
          <w:szCs w:val="13"/>
          <w:b w:val="1"/>
          <w:bCs w:val="1"/>
          <w:color w:val="auto"/>
        </w:rPr>
        <w:t>BANK OF AMERICA, N.A.,</w:t>
      </w:r>
      <w:r>
        <w:rPr>
          <w:rFonts w:ascii="Arial" w:cs="Arial" w:eastAsia="Arial" w:hAnsi="Arial"/>
          <w:sz w:val="13"/>
          <w:szCs w:val="13"/>
          <w:color w:val="auto"/>
        </w:rPr>
        <w:t xml:space="preserve"> as Administrative Agent (in such capacity, the “Administrative Agent”).</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Borrower has requested certain financing arrangements and the Banks have agreed to provide such financing arrangements on the terms set forth herein;</w:t>
      </w:r>
    </w:p>
    <w:p>
      <w:pPr>
        <w:spacing w:after="0" w:line="86" w:lineRule="exact"/>
        <w:rPr>
          <w:sz w:val="20"/>
          <w:szCs w:val="20"/>
          <w:color w:val="auto"/>
        </w:rPr>
      </w:pPr>
    </w:p>
    <w:p>
      <w:pPr>
        <w:ind w:right="300" w:firstLine="164"/>
        <w:spacing w:after="0" w:line="283" w:lineRule="auto"/>
        <w:rPr>
          <w:sz w:val="20"/>
          <w:szCs w:val="20"/>
          <w:color w:val="auto"/>
        </w:rPr>
      </w:pPr>
      <w:r>
        <w:rPr>
          <w:rFonts w:ascii="Arial" w:cs="Arial" w:eastAsia="Arial" w:hAnsi="Arial"/>
          <w:sz w:val="13"/>
          <w:szCs w:val="13"/>
          <w:b w:val="1"/>
          <w:bCs w:val="1"/>
          <w:color w:val="auto"/>
        </w:rPr>
        <w:t xml:space="preserve">NOW, THEREFORE, </w:t>
      </w:r>
      <w:r>
        <w:rPr>
          <w:rFonts w:ascii="Arial" w:cs="Arial" w:eastAsia="Arial" w:hAnsi="Arial"/>
          <w:sz w:val="13"/>
          <w:szCs w:val="13"/>
          <w:color w:val="auto"/>
        </w:rPr>
        <w:t>in consideration of the foregoing, the mutual covenants and agreements set forth herein below, and other good and valuable consideration, the receipt and sufficiency of which are hereby</w:t>
      </w:r>
      <w:r>
        <w:rPr>
          <w:rFonts w:ascii="Arial" w:cs="Arial" w:eastAsia="Arial" w:hAnsi="Arial"/>
          <w:sz w:val="13"/>
          <w:szCs w:val="13"/>
          <w:b w:val="1"/>
          <w:bCs w:val="1"/>
          <w:color w:val="auto"/>
        </w:rPr>
        <w:t xml:space="preserve"> </w:t>
      </w:r>
      <w:r>
        <w:rPr>
          <w:rFonts w:ascii="Arial" w:cs="Arial" w:eastAsia="Arial" w:hAnsi="Arial"/>
          <w:sz w:val="13"/>
          <w:szCs w:val="13"/>
          <w:color w:val="auto"/>
        </w:rPr>
        <w:t>acknowledged by the parties, this Agreement will take effect on the Effective Date, on the following terms:</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w:t>
      </w:r>
      <w:r>
        <w:rPr>
          <w:rFonts w:ascii="Arial" w:cs="Arial" w:eastAsia="Arial" w:hAnsi="Arial"/>
          <w:sz w:val="13"/>
          <w:szCs w:val="13"/>
          <w:b w:val="1"/>
          <w:bCs w:val="1"/>
          <w:u w:val="single" w:color="auto"/>
          <w:color w:val="auto"/>
        </w:rPr>
        <w:t>DEFINITIONS AND RULES OF INTERPRETATION</w:t>
      </w:r>
      <w:r>
        <w:rPr>
          <w:rFonts w:ascii="Arial" w:cs="Arial" w:eastAsia="Arial" w:hAnsi="Arial"/>
          <w:sz w:val="13"/>
          <w:szCs w:val="13"/>
          <w:b w:val="1"/>
          <w:bCs w:val="1"/>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 xml:space="preserve">§1.1. Definitions. </w:t>
      </w:r>
      <w:r>
        <w:rPr>
          <w:rFonts w:ascii="Arial" w:cs="Arial" w:eastAsia="Arial" w:hAnsi="Arial"/>
          <w:sz w:val="13"/>
          <w:szCs w:val="13"/>
          <w:color w:val="auto"/>
        </w:rPr>
        <w:t>The following terms shall have the meanings set forth in this §1 or elsewhere in the provisions of this Agreement referred to below:</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Absolute Competitive Bid Loan(s)</w:t>
      </w:r>
      <w:r>
        <w:rPr>
          <w:rFonts w:ascii="Arial" w:cs="Arial" w:eastAsia="Arial" w:hAnsi="Arial"/>
          <w:sz w:val="13"/>
          <w:szCs w:val="13"/>
          <w:color w:val="auto"/>
        </w:rPr>
        <w:t>. Competitive Bid Loans bearing interest at a fixed rate per annum in accordance with §4.5(b)(v).</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Accountants</w:t>
      </w:r>
      <w:r>
        <w:rPr>
          <w:rFonts w:ascii="Arial" w:cs="Arial" w:eastAsia="Arial" w:hAnsi="Arial"/>
          <w:sz w:val="13"/>
          <w:szCs w:val="13"/>
          <w:color w:val="auto"/>
        </w:rPr>
        <w:t>. See §7.4(a).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Administrative Agent</w:t>
      </w:r>
      <w:r>
        <w:rPr>
          <w:rFonts w:ascii="Arial" w:cs="Arial" w:eastAsia="Arial" w:hAnsi="Arial"/>
          <w:sz w:val="13"/>
          <w:szCs w:val="13"/>
          <w:color w:val="auto"/>
        </w:rPr>
        <w:t>. See Preamble.</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u w:val="single" w:color="auto"/>
          <w:color w:val="auto"/>
        </w:rPr>
        <w:t>Administrative Agent’s Office</w:t>
      </w:r>
      <w:r>
        <w:rPr>
          <w:rFonts w:ascii="Arial" w:cs="Arial" w:eastAsia="Arial" w:hAnsi="Arial"/>
          <w:sz w:val="13"/>
          <w:szCs w:val="13"/>
          <w:color w:val="auto"/>
        </w:rPr>
        <w:t xml:space="preserve">. The Administrative Agent’s address and, as appropriate, account as set forth on </w:t>
      </w:r>
      <w:r>
        <w:rPr>
          <w:rFonts w:ascii="Arial" w:cs="Arial" w:eastAsia="Arial" w:hAnsi="Arial"/>
          <w:sz w:val="13"/>
          <w:szCs w:val="13"/>
          <w:u w:val="single" w:color="auto"/>
          <w:color w:val="auto"/>
        </w:rPr>
        <w:t>Schedule 22</w:t>
      </w:r>
      <w:r>
        <w:rPr>
          <w:rFonts w:ascii="Arial" w:cs="Arial" w:eastAsia="Arial" w:hAnsi="Arial"/>
          <w:sz w:val="13"/>
          <w:szCs w:val="13"/>
          <w:color w:val="auto"/>
        </w:rPr>
        <w:t>, or such other address or account as the Administrative Agent may from time to time notify the Borrower and the Banks.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Administrative Questionnaire</w:t>
      </w:r>
      <w:r>
        <w:rPr>
          <w:rFonts w:ascii="Arial" w:cs="Arial" w:eastAsia="Arial" w:hAnsi="Arial"/>
          <w:sz w:val="13"/>
          <w:szCs w:val="13"/>
          <w:color w:val="auto"/>
        </w:rPr>
        <w:t xml:space="preserve">. An Administrative Questionnaire in substantially the form of </w:t>
      </w:r>
      <w:r>
        <w:rPr>
          <w:rFonts w:ascii="Arial" w:cs="Arial" w:eastAsia="Arial" w:hAnsi="Arial"/>
          <w:sz w:val="13"/>
          <w:szCs w:val="13"/>
          <w:u w:val="single" w:color="auto"/>
          <w:color w:val="auto"/>
        </w:rPr>
        <w:t>Exhibit J</w:t>
      </w:r>
      <w:r>
        <w:rPr>
          <w:rFonts w:ascii="Arial" w:cs="Arial" w:eastAsia="Arial" w:hAnsi="Arial"/>
          <w:sz w:val="13"/>
          <w:szCs w:val="13"/>
          <w:color w:val="auto"/>
        </w:rPr>
        <w:t xml:space="preserve"> or any other form approved by the Administrative Agent.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Affected Bank</w:t>
      </w:r>
      <w:r>
        <w:rPr>
          <w:rFonts w:ascii="Arial" w:cs="Arial" w:eastAsia="Arial" w:hAnsi="Arial"/>
          <w:sz w:val="13"/>
          <w:szCs w:val="13"/>
          <w:color w:val="auto"/>
        </w:rPr>
        <w:t>. See §5.12.</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Agreement</w:t>
      </w:r>
      <w:r>
        <w:rPr>
          <w:rFonts w:ascii="Arial" w:cs="Arial" w:eastAsia="Arial" w:hAnsi="Arial"/>
          <w:sz w:val="13"/>
          <w:szCs w:val="13"/>
          <w:color w:val="auto"/>
        </w:rPr>
        <w:t>. This Revolving Credit Agreement, including the Schedules and Exhibits hereto, as from time to time amended and supplemented in accordance with the terms hereof.</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Applicable Base Rate</w:t>
      </w:r>
      <w:r>
        <w:rPr>
          <w:rFonts w:ascii="Arial" w:cs="Arial" w:eastAsia="Arial" w:hAnsi="Arial"/>
          <w:sz w:val="13"/>
          <w:szCs w:val="13"/>
          <w:color w:val="auto"/>
        </w:rPr>
        <w:t>. The applicable rate per annum of interest on the Base Rate Loans as set forth in the Pricing Table.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Applicable Eurodollar Rate</w:t>
      </w:r>
      <w:r>
        <w:rPr>
          <w:rFonts w:ascii="Arial" w:cs="Arial" w:eastAsia="Arial" w:hAnsi="Arial"/>
          <w:sz w:val="13"/>
          <w:szCs w:val="13"/>
          <w:color w:val="auto"/>
        </w:rPr>
        <w:t>. The applicable rate per annum of interest on the Eurodollar Loans shall be as set forth in the Pricing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97" w:name="page98"/>
    <w:bookmarkEnd w:id="97"/>
    <w:p>
      <w:pPr>
        <w:ind w:left="160"/>
        <w:spacing w:after="0"/>
        <w:rPr>
          <w:sz w:val="20"/>
          <w:szCs w:val="20"/>
          <w:color w:val="auto"/>
        </w:rPr>
      </w:pPr>
      <w:r>
        <w:rPr>
          <w:rFonts w:ascii="Arial" w:cs="Arial" w:eastAsia="Arial" w:hAnsi="Arial"/>
          <w:sz w:val="13"/>
          <w:szCs w:val="13"/>
          <w:u w:val="single" w:color="auto"/>
          <w:color w:val="auto"/>
        </w:rPr>
        <w:t>Applicable Facility Fee Rate</w:t>
      </w:r>
      <w:r>
        <w:rPr>
          <w:rFonts w:ascii="Arial" w:cs="Arial" w:eastAsia="Arial" w:hAnsi="Arial"/>
          <w:sz w:val="13"/>
          <w:szCs w:val="13"/>
          <w:color w:val="auto"/>
        </w:rPr>
        <w:t>. The applicable rate per annum with respect to the Facility Fee shall be as set forth in the Pricing Table.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Applicable L/C Rate</w:t>
      </w:r>
      <w:r>
        <w:rPr>
          <w:rFonts w:ascii="Arial" w:cs="Arial" w:eastAsia="Arial" w:hAnsi="Arial"/>
          <w:sz w:val="13"/>
          <w:szCs w:val="13"/>
          <w:color w:val="auto"/>
        </w:rPr>
        <w:t>. The applicable rate per annum on the Maximum Drawing Amount shall be as set forth in the Pricing Table.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Applicable Requirements</w:t>
      </w:r>
      <w:r>
        <w:rPr>
          <w:rFonts w:ascii="Arial" w:cs="Arial" w:eastAsia="Arial" w:hAnsi="Arial"/>
          <w:sz w:val="13"/>
          <w:szCs w:val="13"/>
          <w:color w:val="auto"/>
        </w:rPr>
        <w:t>. See §7.10.</w:t>
      </w:r>
    </w:p>
    <w:p>
      <w:pPr>
        <w:spacing w:after="0" w:line="86" w:lineRule="exact"/>
        <w:rPr>
          <w:sz w:val="20"/>
          <w:szCs w:val="20"/>
          <w:color w:val="auto"/>
        </w:rPr>
      </w:pPr>
    </w:p>
    <w:p>
      <w:pPr>
        <w:ind w:right="60" w:firstLine="164"/>
        <w:spacing w:after="0" w:line="258" w:lineRule="auto"/>
        <w:rPr>
          <w:sz w:val="20"/>
          <w:szCs w:val="20"/>
          <w:color w:val="auto"/>
        </w:rPr>
      </w:pPr>
      <w:r>
        <w:rPr>
          <w:rFonts w:ascii="Arial" w:cs="Arial" w:eastAsia="Arial" w:hAnsi="Arial"/>
          <w:sz w:val="13"/>
          <w:szCs w:val="13"/>
          <w:u w:val="single" w:color="auto"/>
          <w:color w:val="auto"/>
        </w:rPr>
        <w:t>Applicable Spot Rate</w:t>
      </w:r>
      <w:r>
        <w:rPr>
          <w:rFonts w:ascii="Arial" w:cs="Arial" w:eastAsia="Arial" w:hAnsi="Arial"/>
          <w:sz w:val="13"/>
          <w:szCs w:val="13"/>
          <w:color w:val="auto"/>
        </w:rPr>
        <w:t xml:space="preserve">. On any date, the quoted spot rate for conversion of U.S. Dollars to Canadian Dollars by the Administrative Agent or the respective Issuing Bank, as applicable, through its principal foreign exchange trading office at approximately 11:00 a.m. (New York time) on the date two Business Days prior to the date as of which the foreign exchange computation is made;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Administrative Agent or such Issuing Bank may obtain such spot rate from another financial institution designated by the Administrative Agent or such Issuing Bank or from Reuters page 1 FED (or on any successor or substitute page of such service, or any successor to or substitute for such service providing rate quotations comparable to those currently provide on such page of such service); and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that an Issuing Bank may use such spot rate quoted on the date as of which the foreign exchange computation is made.</w:t>
      </w:r>
    </w:p>
    <w:p>
      <w:pPr>
        <w:spacing w:after="0" w:line="61" w:lineRule="exact"/>
        <w:rPr>
          <w:sz w:val="20"/>
          <w:szCs w:val="20"/>
          <w:color w:val="auto"/>
        </w:rPr>
      </w:pPr>
    </w:p>
    <w:p>
      <w:pPr>
        <w:ind w:right="180" w:firstLine="164"/>
        <w:spacing w:after="0" w:line="276" w:lineRule="auto"/>
        <w:rPr>
          <w:sz w:val="20"/>
          <w:szCs w:val="20"/>
          <w:color w:val="auto"/>
        </w:rPr>
      </w:pPr>
      <w:r>
        <w:rPr>
          <w:rFonts w:ascii="Arial" w:cs="Arial" w:eastAsia="Arial" w:hAnsi="Arial"/>
          <w:sz w:val="13"/>
          <w:szCs w:val="13"/>
          <w:u w:val="single" w:color="auto"/>
          <w:color w:val="auto"/>
        </w:rPr>
        <w:t>Approved Fund</w:t>
      </w:r>
      <w:r>
        <w:rPr>
          <w:rFonts w:ascii="Arial" w:cs="Arial" w:eastAsia="Arial" w:hAnsi="Arial"/>
          <w:sz w:val="13"/>
          <w:szCs w:val="13"/>
          <w:color w:val="auto"/>
        </w:rPr>
        <w:t>. Any Person (other than a natural person) that is engaged in making, purchasing, holding or investing in bank loans and similar extensions of credit in the ordinary course of its activities and that is administered or managed by (a) a Bank or (b) a Bank Affiliate.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Assignment and Assumption</w:t>
      </w:r>
      <w:r>
        <w:rPr>
          <w:rFonts w:ascii="Arial" w:cs="Arial" w:eastAsia="Arial" w:hAnsi="Arial"/>
          <w:sz w:val="13"/>
          <w:szCs w:val="13"/>
          <w:color w:val="auto"/>
        </w:rPr>
        <w:t>. See §20.</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Balance Sheet Date</w:t>
      </w:r>
      <w:r>
        <w:rPr>
          <w:rFonts w:ascii="Arial" w:cs="Arial" w:eastAsia="Arial" w:hAnsi="Arial"/>
          <w:sz w:val="13"/>
          <w:szCs w:val="13"/>
          <w:color w:val="auto"/>
        </w:rPr>
        <w:t>. December 31, 2009.</w:t>
      </w:r>
    </w:p>
    <w:p>
      <w:pPr>
        <w:spacing w:after="0" w:line="86" w:lineRule="exact"/>
        <w:rPr>
          <w:sz w:val="20"/>
          <w:szCs w:val="20"/>
          <w:color w:val="auto"/>
        </w:rPr>
      </w:pPr>
    </w:p>
    <w:p>
      <w:pPr>
        <w:ind w:right="60" w:firstLine="164"/>
        <w:spacing w:after="0" w:line="285" w:lineRule="auto"/>
        <w:rPr>
          <w:sz w:val="20"/>
          <w:szCs w:val="20"/>
          <w:color w:val="auto"/>
        </w:rPr>
      </w:pPr>
      <w:r>
        <w:rPr>
          <w:rFonts w:ascii="Arial" w:cs="Arial" w:eastAsia="Arial" w:hAnsi="Arial"/>
          <w:sz w:val="12"/>
          <w:szCs w:val="12"/>
          <w:u w:val="single" w:color="auto"/>
          <w:color w:val="auto"/>
        </w:rPr>
        <w:t>Bank Affiliate</w:t>
      </w:r>
      <w:r>
        <w:rPr>
          <w:rFonts w:ascii="Arial" w:cs="Arial" w:eastAsia="Arial" w:hAnsi="Arial"/>
          <w:sz w:val="12"/>
          <w:szCs w:val="12"/>
          <w:color w:val="auto"/>
        </w:rPr>
        <w:t>. (a) With respect to any Bank, (i) a Person that directly, or indirectly through one or more intermediaries, possesses, directly or indirectly, the power to direct or cause the direction of the management or policies of such Bank, whether through the ability to exercise voting power, by contract or otherwise or is controlled by or is under common control with such Bank (an “Affiliate”) or (ii) any entity (whether a corporation, partnership, trust or otherwise) that is engaged in making, purchasing, holding or otherwise investing in bank loans and similar extensions of credit in the ordinary course of its activities and is administered or managed by a Bank or an Affiliate of such Bank and (b) with respect to any Bank that is a fund which invests in bank loans and similar extensions of credit, any other fund that invests in bank loans and similar extensions of credit and is managed by the same investment advisor as such Bank or by an Affiliate of such investment advisor.</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Bank of America</w:t>
      </w:r>
      <w:r>
        <w:rPr>
          <w:rFonts w:ascii="Arial" w:cs="Arial" w:eastAsia="Arial" w:hAnsi="Arial"/>
          <w:sz w:val="13"/>
          <w:szCs w:val="13"/>
          <w:color w:val="auto"/>
        </w:rPr>
        <w:t>. Bank of America, N.A.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Banks</w:t>
      </w:r>
      <w:r>
        <w:rPr>
          <w:rFonts w:ascii="Arial" w:cs="Arial" w:eastAsia="Arial" w:hAnsi="Arial"/>
          <w:sz w:val="13"/>
          <w:szCs w:val="13"/>
          <w:color w:val="auto"/>
        </w:rPr>
        <w:t>. See Preamble.</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u w:val="single" w:color="auto"/>
          <w:color w:val="auto"/>
        </w:rPr>
        <w:t>Base Rate</w:t>
      </w:r>
      <w:r>
        <w:rPr>
          <w:rFonts w:ascii="Arial" w:cs="Arial" w:eastAsia="Arial" w:hAnsi="Arial"/>
          <w:sz w:val="13"/>
          <w:szCs w:val="13"/>
          <w:color w:val="auto"/>
        </w:rPr>
        <w:t>. For any day, a fluctuating rate per annum equal to the highest of (a) the Federal Funds Rate plus 1/2 of 1%, (b) the rate of interest in effect for such day as publicly announced from time to time by Bank of America as its “prime rate,” and (c) the Eurodollar</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98" w:name="page99"/>
    <w:bookmarkEnd w:id="98"/>
    <w:p>
      <w:pPr>
        <w:jc w:val="both"/>
        <w:ind w:left="1" w:right="120"/>
        <w:spacing w:after="0" w:line="296" w:lineRule="auto"/>
        <w:rPr>
          <w:sz w:val="20"/>
          <w:szCs w:val="20"/>
          <w:color w:val="auto"/>
        </w:rPr>
      </w:pPr>
      <w:r>
        <w:rPr>
          <w:rFonts w:ascii="Arial" w:cs="Arial" w:eastAsia="Arial" w:hAnsi="Arial"/>
          <w:sz w:val="12"/>
          <w:szCs w:val="12"/>
          <w:color w:val="auto"/>
        </w:rPr>
        <w:t>Rate that would be applicable to a Eurodollar Loan borrowed on such date with a one month Interest Period plus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40" w:lineRule="exact"/>
        <w:rPr>
          <w:sz w:val="20"/>
          <w:szCs w:val="20"/>
          <w:color w:val="auto"/>
        </w:rPr>
      </w:pPr>
    </w:p>
    <w:p>
      <w:pPr>
        <w:ind w:left="161"/>
        <w:spacing w:after="0"/>
        <w:rPr>
          <w:sz w:val="20"/>
          <w:szCs w:val="20"/>
          <w:color w:val="auto"/>
        </w:rPr>
      </w:pPr>
      <w:r>
        <w:rPr>
          <w:rFonts w:ascii="Arial" w:cs="Arial" w:eastAsia="Arial" w:hAnsi="Arial"/>
          <w:sz w:val="13"/>
          <w:szCs w:val="13"/>
          <w:u w:val="single" w:color="auto"/>
          <w:color w:val="auto"/>
        </w:rPr>
        <w:t>Base Rate Loans</w:t>
      </w:r>
      <w:r>
        <w:rPr>
          <w:rFonts w:ascii="Arial" w:cs="Arial" w:eastAsia="Arial" w:hAnsi="Arial"/>
          <w:sz w:val="13"/>
          <w:szCs w:val="13"/>
          <w:color w:val="auto"/>
        </w:rPr>
        <w:t>. Syndicated or Swing Line Loans bearing interest calculated by reference to the Base Rate.</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u w:val="single" w:color="auto"/>
          <w:color w:val="auto"/>
        </w:rPr>
        <w:t>Borrower</w:t>
      </w:r>
      <w:r>
        <w:rPr>
          <w:rFonts w:ascii="Arial" w:cs="Arial" w:eastAsia="Arial" w:hAnsi="Arial"/>
          <w:sz w:val="13"/>
          <w:szCs w:val="13"/>
          <w:color w:val="auto"/>
        </w:rPr>
        <w:t>. See Preamble.</w:t>
      </w:r>
    </w:p>
    <w:p>
      <w:pPr>
        <w:spacing w:after="0" w:line="86" w:lineRule="exact"/>
        <w:rPr>
          <w:sz w:val="20"/>
          <w:szCs w:val="20"/>
          <w:color w:val="auto"/>
        </w:rPr>
      </w:pPr>
    </w:p>
    <w:p>
      <w:pPr>
        <w:ind w:left="1" w:right="20" w:firstLine="164"/>
        <w:spacing w:after="0" w:line="276" w:lineRule="auto"/>
        <w:rPr>
          <w:sz w:val="20"/>
          <w:szCs w:val="20"/>
          <w:color w:val="auto"/>
        </w:rPr>
      </w:pPr>
      <w:r>
        <w:rPr>
          <w:rFonts w:ascii="Arial" w:cs="Arial" w:eastAsia="Arial" w:hAnsi="Arial"/>
          <w:sz w:val="13"/>
          <w:szCs w:val="13"/>
          <w:u w:val="single" w:color="auto"/>
          <w:color w:val="auto"/>
        </w:rPr>
        <w:t>Borrowing</w:t>
      </w:r>
      <w:r>
        <w:rPr>
          <w:rFonts w:ascii="Arial" w:cs="Arial" w:eastAsia="Arial" w:hAnsi="Arial"/>
          <w:sz w:val="13"/>
          <w:szCs w:val="13"/>
          <w:color w:val="auto"/>
        </w:rPr>
        <w:t>. (a) Syndicated Loans of the same Type, made, converted or continued on the same date and, in the case of Eurodollar Loans, as to which a single Interest Period is in effect, (b) a Competitive Bid Loan or group of Competitive Bids Loans of the same Type made on the same date and as to which a single Interest Period is in effect or (c) Swing Line Loans.</w:t>
      </w:r>
    </w:p>
    <w:p>
      <w:pPr>
        <w:spacing w:after="0" w:line="49" w:lineRule="exact"/>
        <w:rPr>
          <w:sz w:val="20"/>
          <w:szCs w:val="20"/>
          <w:color w:val="auto"/>
        </w:rPr>
      </w:pPr>
    </w:p>
    <w:p>
      <w:pPr>
        <w:ind w:left="1" w:right="180" w:firstLine="164"/>
        <w:spacing w:after="0" w:line="276" w:lineRule="auto"/>
        <w:rPr>
          <w:sz w:val="20"/>
          <w:szCs w:val="20"/>
          <w:color w:val="auto"/>
        </w:rPr>
      </w:pPr>
      <w:r>
        <w:rPr>
          <w:rFonts w:ascii="Arial" w:cs="Arial" w:eastAsia="Arial" w:hAnsi="Arial"/>
          <w:sz w:val="13"/>
          <w:szCs w:val="13"/>
          <w:u w:val="single" w:color="auto"/>
          <w:color w:val="auto"/>
        </w:rPr>
        <w:t>Business Day</w:t>
      </w:r>
      <w:r>
        <w:rPr>
          <w:rFonts w:ascii="Arial" w:cs="Arial" w:eastAsia="Arial" w:hAnsi="Arial"/>
          <w:sz w:val="13"/>
          <w:szCs w:val="13"/>
          <w:color w:val="auto"/>
        </w:rPr>
        <w:t>. Any day, other than a Saturday, Sunday or any day on which banking institutions in New York, New York are authorized by law to close, and, when used in connection with a Eurodollar Loan, such day is also a Eurodollar Business Day.</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3"/>
          <w:szCs w:val="13"/>
          <w:u w:val="single" w:color="auto"/>
          <w:color w:val="auto"/>
        </w:rPr>
        <w:t>Canadian Dollars or C$</w:t>
      </w:r>
      <w:r>
        <w:rPr>
          <w:rFonts w:ascii="Arial" w:cs="Arial" w:eastAsia="Arial" w:hAnsi="Arial"/>
          <w:sz w:val="13"/>
          <w:szCs w:val="13"/>
          <w:color w:val="auto"/>
        </w:rPr>
        <w:t>. The lawful currency of Canada.</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u w:val="single" w:color="auto"/>
          <w:color w:val="auto"/>
        </w:rPr>
        <w:t>Canadian Dollar Letter of Credit</w:t>
      </w:r>
      <w:r>
        <w:rPr>
          <w:rFonts w:ascii="Arial" w:cs="Arial" w:eastAsia="Arial" w:hAnsi="Arial"/>
          <w:sz w:val="13"/>
          <w:szCs w:val="13"/>
          <w:color w:val="auto"/>
        </w:rPr>
        <w:t>. See §3.1(e).</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u w:val="single" w:color="auto"/>
          <w:color w:val="auto"/>
        </w:rPr>
        <w:t>Canadian Subsidiary</w:t>
      </w:r>
      <w:r>
        <w:rPr>
          <w:rFonts w:ascii="Arial" w:cs="Arial" w:eastAsia="Arial" w:hAnsi="Arial"/>
          <w:sz w:val="13"/>
          <w:szCs w:val="13"/>
          <w:color w:val="auto"/>
        </w:rPr>
        <w:t>. A Subsidiary that is organized under the laws of Canada or any province thereof.</w:t>
      </w:r>
    </w:p>
    <w:p>
      <w:pPr>
        <w:spacing w:after="0" w:line="86" w:lineRule="exact"/>
        <w:rPr>
          <w:sz w:val="20"/>
          <w:szCs w:val="20"/>
          <w:color w:val="auto"/>
        </w:rPr>
      </w:pPr>
    </w:p>
    <w:p>
      <w:pPr>
        <w:jc w:val="both"/>
        <w:ind w:left="1" w:right="60" w:firstLine="164"/>
        <w:spacing w:after="0" w:line="276" w:lineRule="auto"/>
        <w:rPr>
          <w:sz w:val="20"/>
          <w:szCs w:val="20"/>
          <w:color w:val="auto"/>
        </w:rPr>
      </w:pPr>
      <w:r>
        <w:rPr>
          <w:rFonts w:ascii="Arial" w:cs="Arial" w:eastAsia="Arial" w:hAnsi="Arial"/>
          <w:sz w:val="13"/>
          <w:szCs w:val="13"/>
          <w:u w:val="single" w:color="auto"/>
          <w:color w:val="auto"/>
        </w:rPr>
        <w:t>Capitalized Leases or Capital Leases</w:t>
      </w:r>
      <w:r>
        <w:rPr>
          <w:rFonts w:ascii="Arial" w:cs="Arial" w:eastAsia="Arial" w:hAnsi="Arial"/>
          <w:sz w:val="13"/>
          <w:szCs w:val="13"/>
          <w:color w:val="auto"/>
        </w:rPr>
        <w:t>. Leases under which a Person is the lessee or obligor and the discounted future rental payment obligations under which are required to be capitalized on the consolidated balance sheet of the lessee or obligor in accordance with GAAP.</w:t>
      </w:r>
    </w:p>
    <w:p>
      <w:pPr>
        <w:spacing w:after="0" w:line="49" w:lineRule="exact"/>
        <w:rPr>
          <w:sz w:val="20"/>
          <w:szCs w:val="20"/>
          <w:color w:val="auto"/>
        </w:rPr>
      </w:pPr>
    </w:p>
    <w:p>
      <w:pPr>
        <w:jc w:val="both"/>
        <w:ind w:left="1" w:right="40" w:firstLine="164"/>
        <w:spacing w:after="0" w:line="277" w:lineRule="auto"/>
        <w:rPr>
          <w:sz w:val="20"/>
          <w:szCs w:val="20"/>
          <w:color w:val="auto"/>
        </w:rPr>
      </w:pPr>
      <w:r>
        <w:rPr>
          <w:rFonts w:ascii="Arial" w:cs="Arial" w:eastAsia="Arial" w:hAnsi="Arial"/>
          <w:sz w:val="12"/>
          <w:szCs w:val="12"/>
          <w:u w:val="single" w:color="auto"/>
          <w:color w:val="auto"/>
        </w:rPr>
        <w:t>Cash Equivalents</w:t>
      </w:r>
      <w:r>
        <w:rPr>
          <w:rFonts w:ascii="Arial" w:cs="Arial" w:eastAsia="Arial" w:hAnsi="Arial"/>
          <w:sz w:val="12"/>
          <w:szCs w:val="12"/>
          <w:color w:val="auto"/>
        </w:rPr>
        <w:t>. Investments in (i) direct obligations of, or unconditionally guaranteed by, the United States of America or any agency or instrumentality thereof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full faith and credit of the United States of America is pledged in support thereof) having maturities of less than one year, (ii) U.S. Dollar-denominated time deposits, certificates of deposit and banker’s acceptances of any Bank or any other bank whose short-term commercial paper rating from Standard &amp; Poor’s is at least A-1 or from Moody’s is at least P-1 (each an “Approved Bank”) with maturities of not more than one year from the date of investment,</w:t>
      </w:r>
    </w:p>
    <w:p>
      <w:pPr>
        <w:spacing w:after="0" w:line="1" w:lineRule="exact"/>
        <w:rPr>
          <w:sz w:val="20"/>
          <w:szCs w:val="20"/>
          <w:color w:val="auto"/>
        </w:rPr>
      </w:pPr>
    </w:p>
    <w:p>
      <w:pPr>
        <w:ind w:left="1" w:hanging="1"/>
        <w:spacing w:after="0" w:line="258" w:lineRule="auto"/>
        <w:tabs>
          <w:tab w:leader="none" w:pos="231" w:val="left"/>
        </w:tabs>
        <w:numPr>
          <w:ilvl w:val="0"/>
          <w:numId w:val="74"/>
        </w:numPr>
        <w:rPr>
          <w:rFonts w:ascii="Arial" w:cs="Arial" w:eastAsia="Arial" w:hAnsi="Arial"/>
          <w:sz w:val="13"/>
          <w:szCs w:val="13"/>
          <w:color w:val="auto"/>
        </w:rPr>
      </w:pPr>
      <w:r>
        <w:rPr>
          <w:rFonts w:ascii="Arial" w:cs="Arial" w:eastAsia="Arial" w:hAnsi="Arial"/>
          <w:sz w:val="13"/>
          <w:szCs w:val="13"/>
          <w:color w:val="auto"/>
        </w:rPr>
        <w:t>commercial paper issued by, or guaranteed by, an Approved Bank or by the parent company of an Approved Bank, or issued by, or guaranteed by, any company with a short-term debt rating of at least A-1 by Standard &amp; Poor’s and P-1 by Moody’s, in each case maturing within one year from the date of investment, (iv) repurchase agreements with a term of less than one year for underlying securities of the types described in clauses (ii) and (iii) entered into with an Approved Bank, (v) variable rate demand notes with a put option no</w:t>
      </w:r>
    </w:p>
    <w:p>
      <w:pPr>
        <w:spacing w:after="0" w:line="119" w:lineRule="exact"/>
        <w:rPr>
          <w:rFonts w:ascii="Arial" w:cs="Arial" w:eastAsia="Arial" w:hAnsi="Arial"/>
          <w:sz w:val="13"/>
          <w:szCs w:val="13"/>
          <w:color w:val="auto"/>
        </w:rPr>
      </w:pPr>
    </w:p>
    <w:p>
      <w:pPr>
        <w:ind w:left="5701" w:hanging="75"/>
        <w:spacing w:after="0"/>
        <w:tabs>
          <w:tab w:leader="none" w:pos="5701" w:val="left"/>
        </w:tabs>
        <w:numPr>
          <w:ilvl w:val="1"/>
          <w:numId w:val="74"/>
        </w:numPr>
        <w:rPr>
          <w:rFonts w:ascii="Arial" w:cs="Arial" w:eastAsia="Arial" w:hAnsi="Arial"/>
          <w:sz w:val="13"/>
          <w:szCs w:val="13"/>
          <w:color w:val="auto"/>
        </w:rPr>
      </w:pPr>
      <w:r>
        <w:rPr>
          <w:rFonts w:ascii="Arial" w:cs="Arial" w:eastAsia="Arial" w:hAnsi="Arial"/>
          <w:sz w:val="13"/>
          <w:szCs w:val="13"/>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99" w:name="page100"/>
    <w:bookmarkEnd w:id="99"/>
    <w:p>
      <w:pPr>
        <w:ind w:right="80"/>
        <w:spacing w:after="0" w:line="296" w:lineRule="auto"/>
        <w:rPr>
          <w:sz w:val="20"/>
          <w:szCs w:val="20"/>
          <w:color w:val="auto"/>
        </w:rPr>
      </w:pPr>
      <w:r>
        <w:rPr>
          <w:rFonts w:ascii="Arial" w:cs="Arial" w:eastAsia="Arial" w:hAnsi="Arial"/>
          <w:sz w:val="12"/>
          <w:szCs w:val="12"/>
          <w:color w:val="auto"/>
        </w:rPr>
        <w:t>longer than seven days from date of purchase to the extent backed by letters of credit issued by banks having a credit rating of at least A1 from Moody’s or P1 from Standard &amp; Poor’s; (vi) municipal securities rated at least A1 by Moody’s or P-1 by Standard &amp; Poor’s with a maturity of one year or less; (vii) any money market fund that meets the requirements of Rule 2a-7 (c) (2), (3) and (4) promulgated under the Investment Company Act of 1940, as amended; and (viii) any other fund or funds making substantially all of their Investments in Investments of the kinds described in clauses (i) through (vi) above.</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CERCLA</w:t>
      </w:r>
      <w:r>
        <w:rPr>
          <w:rFonts w:ascii="Arial" w:cs="Arial" w:eastAsia="Arial" w:hAnsi="Arial"/>
          <w:sz w:val="13"/>
          <w:szCs w:val="13"/>
          <w:color w:val="auto"/>
        </w:rPr>
        <w:t>. See §6.15(a).</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u w:val="single" w:color="auto"/>
          <w:color w:val="auto"/>
        </w:rPr>
        <w:t>Certified or certified</w:t>
      </w:r>
      <w:r>
        <w:rPr>
          <w:rFonts w:ascii="Arial" w:cs="Arial" w:eastAsia="Arial" w:hAnsi="Arial"/>
          <w:sz w:val="13"/>
          <w:szCs w:val="13"/>
          <w:color w:val="auto"/>
        </w:rPr>
        <w:t>. With respect to the financial statements of any Person, such statements as audited by a firm of independent auditors, whose report expresses the opinion, without qualification, that such financial statements present fairly, in all material respects, the financial position of such Person.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CFO</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CAO</w:t>
      </w:r>
      <w:r>
        <w:rPr>
          <w:rFonts w:ascii="Arial" w:cs="Arial" w:eastAsia="Arial" w:hAnsi="Arial"/>
          <w:sz w:val="13"/>
          <w:szCs w:val="13"/>
          <w:color w:val="auto"/>
        </w:rPr>
        <w:t>. See §7.4(b).</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u w:val="single" w:color="auto"/>
          <w:color w:val="auto"/>
        </w:rPr>
        <w:t>Class</w:t>
      </w:r>
      <w:r>
        <w:rPr>
          <w:rFonts w:ascii="Arial" w:cs="Arial" w:eastAsia="Arial" w:hAnsi="Arial"/>
          <w:sz w:val="12"/>
          <w:szCs w:val="12"/>
          <w:color w:val="auto"/>
        </w:rPr>
        <w:t>. When used in reference to any Loan or Borrowing, refers to whether such Loan, or the Loans comprising such Borrowing, are Syndicated Loans, Competitive Bid Loans or Swing Line Loans.</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Code</w:t>
      </w:r>
      <w:r>
        <w:rPr>
          <w:rFonts w:ascii="Arial" w:cs="Arial" w:eastAsia="Arial" w:hAnsi="Arial"/>
          <w:sz w:val="13"/>
          <w:szCs w:val="13"/>
          <w:color w:val="auto"/>
        </w:rPr>
        <w:t>. The Internal Revenue Code of 1986, as amended and in effect from time to time.</w:t>
      </w:r>
    </w:p>
    <w:p>
      <w:pPr>
        <w:spacing w:after="0" w:line="86" w:lineRule="exact"/>
        <w:rPr>
          <w:sz w:val="20"/>
          <w:szCs w:val="20"/>
          <w:color w:val="auto"/>
        </w:rPr>
      </w:pPr>
    </w:p>
    <w:p>
      <w:pPr>
        <w:ind w:right="440" w:firstLine="164"/>
        <w:spacing w:after="0" w:line="276" w:lineRule="auto"/>
        <w:rPr>
          <w:sz w:val="20"/>
          <w:szCs w:val="20"/>
          <w:color w:val="auto"/>
        </w:rPr>
      </w:pPr>
      <w:r>
        <w:rPr>
          <w:rFonts w:ascii="Arial" w:cs="Arial" w:eastAsia="Arial" w:hAnsi="Arial"/>
          <w:sz w:val="13"/>
          <w:szCs w:val="13"/>
          <w:u w:val="single" w:color="auto"/>
          <w:color w:val="auto"/>
        </w:rPr>
        <w:t>Commitment</w:t>
      </w:r>
      <w:r>
        <w:rPr>
          <w:rFonts w:ascii="Arial" w:cs="Arial" w:eastAsia="Arial" w:hAnsi="Arial"/>
          <w:sz w:val="13"/>
          <w:szCs w:val="13"/>
          <w:color w:val="auto"/>
        </w:rPr>
        <w:t>. With respect to each Bank, such Bank’s commitment to make Syndicated Loans to, and to participate in Swing Line Loans and Letters of Credit for the account of, the Borrower, determined by multiplying such Bank’s Commitment Percentage by the Total Commitment.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2"/>
          <w:szCs w:val="12"/>
          <w:u w:val="single" w:color="auto"/>
          <w:color w:val="auto"/>
        </w:rPr>
        <w:t>Commitment Percentage</w:t>
      </w:r>
      <w:r>
        <w:rPr>
          <w:rFonts w:ascii="Arial" w:cs="Arial" w:eastAsia="Arial" w:hAnsi="Arial"/>
          <w:sz w:val="12"/>
          <w:szCs w:val="12"/>
          <w:color w:val="auto"/>
        </w:rPr>
        <w:t xml:space="preserve">. With respect to each Bank, the percentage initially set forth next to such Bank’s name on </w:t>
      </w:r>
      <w:r>
        <w:rPr>
          <w:rFonts w:ascii="Arial" w:cs="Arial" w:eastAsia="Arial" w:hAnsi="Arial"/>
          <w:sz w:val="12"/>
          <w:szCs w:val="12"/>
          <w:u w:val="single" w:color="auto"/>
          <w:color w:val="auto"/>
        </w:rPr>
        <w:t>Schedule 1</w:t>
      </w:r>
      <w:r>
        <w:rPr>
          <w:rFonts w:ascii="Arial" w:cs="Arial" w:eastAsia="Arial" w:hAnsi="Arial"/>
          <w:sz w:val="12"/>
          <w:szCs w:val="12"/>
          <w:color w:val="auto"/>
        </w:rPr>
        <w:t xml:space="preserve"> hereto, as the same may be adjusted in accordance with §2.3, §5.14(iv) or §20.</w:t>
      </w:r>
    </w:p>
    <w:p>
      <w:pPr>
        <w:spacing w:after="0" w:line="98"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u w:val="single" w:color="auto"/>
          <w:color w:val="auto"/>
        </w:rPr>
        <w:t>Competitive Bid Loan(s</w:t>
      </w:r>
      <w:r>
        <w:rPr>
          <w:rFonts w:ascii="Arial" w:cs="Arial" w:eastAsia="Arial" w:hAnsi="Arial"/>
          <w:sz w:val="13"/>
          <w:szCs w:val="13"/>
          <w:color w:val="auto"/>
        </w:rPr>
        <w:t>). A Borrowing hereunder consisting of one or more loans made by any of the participating Banks whose offer to make a Competitive Bid Loan as part of such Borrowing has been accepted by the Borrower under the auction bidding procedure described in §4 hereof.</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Competitive Bid Loan Accounts</w:t>
      </w:r>
      <w:r>
        <w:rPr>
          <w:rFonts w:ascii="Arial" w:cs="Arial" w:eastAsia="Arial" w:hAnsi="Arial"/>
          <w:sz w:val="13"/>
          <w:szCs w:val="13"/>
          <w:color w:val="auto"/>
        </w:rPr>
        <w:t>. See §4.2(a).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Competitive Bid Margin</w:t>
      </w:r>
      <w:r>
        <w:rPr>
          <w:rFonts w:ascii="Arial" w:cs="Arial" w:eastAsia="Arial" w:hAnsi="Arial"/>
          <w:sz w:val="13"/>
          <w:szCs w:val="13"/>
          <w:color w:val="auto"/>
        </w:rPr>
        <w:t>. See §4.5(b)(iv).</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Competitive Bid Quote</w:t>
      </w:r>
      <w:r>
        <w:rPr>
          <w:rFonts w:ascii="Arial" w:cs="Arial" w:eastAsia="Arial" w:hAnsi="Arial"/>
          <w:sz w:val="13"/>
          <w:szCs w:val="13"/>
          <w:color w:val="auto"/>
        </w:rPr>
        <w:t>. An offer by a Bank to make a Competitive Bid Loan in accordance with §4.5 hereof.</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Competitive Bid Quote Request</w:t>
      </w:r>
      <w:r>
        <w:rPr>
          <w:rFonts w:ascii="Arial" w:cs="Arial" w:eastAsia="Arial" w:hAnsi="Arial"/>
          <w:sz w:val="13"/>
          <w:szCs w:val="13"/>
          <w:color w:val="auto"/>
        </w:rPr>
        <w:t>. See §4.3.</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Competitive Bid Rate</w:t>
      </w:r>
      <w:r>
        <w:rPr>
          <w:rFonts w:ascii="Arial" w:cs="Arial" w:eastAsia="Arial" w:hAnsi="Arial"/>
          <w:sz w:val="13"/>
          <w:szCs w:val="13"/>
          <w:color w:val="auto"/>
        </w:rPr>
        <w:t>. See §4.5(b)(v).</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00" w:name="page101"/>
    <w:bookmarkEnd w:id="100"/>
    <w:p>
      <w:pPr>
        <w:ind w:left="161"/>
        <w:spacing w:after="0"/>
        <w:rPr>
          <w:sz w:val="20"/>
          <w:szCs w:val="20"/>
          <w:color w:val="auto"/>
        </w:rPr>
      </w:pPr>
      <w:r>
        <w:rPr>
          <w:rFonts w:ascii="Arial" w:cs="Arial" w:eastAsia="Arial" w:hAnsi="Arial"/>
          <w:sz w:val="13"/>
          <w:szCs w:val="13"/>
          <w:u w:val="single" w:color="auto"/>
          <w:color w:val="auto"/>
        </w:rPr>
        <w:t>Compliance Certificate</w:t>
      </w:r>
      <w:r>
        <w:rPr>
          <w:rFonts w:ascii="Arial" w:cs="Arial" w:eastAsia="Arial" w:hAnsi="Arial"/>
          <w:sz w:val="13"/>
          <w:szCs w:val="13"/>
          <w:color w:val="auto"/>
        </w:rPr>
        <w:t>. See §7.4(c).</w:t>
      </w:r>
    </w:p>
    <w:p>
      <w:pPr>
        <w:spacing w:after="0" w:line="86" w:lineRule="exact"/>
        <w:rPr>
          <w:sz w:val="20"/>
          <w:szCs w:val="20"/>
          <w:color w:val="auto"/>
        </w:rPr>
      </w:pPr>
    </w:p>
    <w:p>
      <w:pPr>
        <w:ind w:left="1" w:right="120" w:firstLine="164"/>
        <w:spacing w:after="0" w:line="276" w:lineRule="auto"/>
        <w:rPr>
          <w:sz w:val="20"/>
          <w:szCs w:val="20"/>
          <w:color w:val="auto"/>
        </w:rPr>
      </w:pPr>
      <w:r>
        <w:rPr>
          <w:rFonts w:ascii="Arial" w:cs="Arial" w:eastAsia="Arial" w:hAnsi="Arial"/>
          <w:sz w:val="13"/>
          <w:szCs w:val="13"/>
          <w:u w:val="single" w:color="auto"/>
          <w:color w:val="auto"/>
        </w:rPr>
        <w:t>Consolidated or consolidated</w:t>
      </w:r>
      <w:r>
        <w:rPr>
          <w:rFonts w:ascii="Arial" w:cs="Arial" w:eastAsia="Arial" w:hAnsi="Arial"/>
          <w:sz w:val="13"/>
          <w:szCs w:val="13"/>
          <w:color w:val="auto"/>
        </w:rPr>
        <w:t>. With reference to any term defined herein, shall mean that term as applied to the accounts of the Borrower, its Subsidiaries and all variable interest entities consolidated in accordance with GAAP.</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1"/>
          <w:szCs w:val="11"/>
          <w:u w:val="single" w:color="auto"/>
          <w:color w:val="auto"/>
        </w:rPr>
        <w:t>Consolidated Earnings Before Interest and Taxes</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EBIT</w:t>
      </w:r>
      <w:r>
        <w:rPr>
          <w:rFonts w:ascii="Arial" w:cs="Arial" w:eastAsia="Arial" w:hAnsi="Arial"/>
          <w:sz w:val="11"/>
          <w:szCs w:val="11"/>
          <w:color w:val="auto"/>
        </w:rPr>
        <w:t xml:space="preserve">. For any period, the Consolidated Net Income (or Deficit) of the Borrower on a consolidated basis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without duplication, the sum of (1) interest expense,</w:t>
      </w:r>
    </w:p>
    <w:p>
      <w:pPr>
        <w:spacing w:after="0" w:line="38" w:lineRule="exact"/>
        <w:rPr>
          <w:sz w:val="20"/>
          <w:szCs w:val="20"/>
          <w:color w:val="auto"/>
        </w:rPr>
      </w:pPr>
    </w:p>
    <w:p>
      <w:pPr>
        <w:ind w:left="181" w:hanging="181"/>
        <w:spacing w:after="0"/>
        <w:tabs>
          <w:tab w:leader="none" w:pos="181" w:val="left"/>
        </w:tabs>
        <w:numPr>
          <w:ilvl w:val="0"/>
          <w:numId w:val="75"/>
        </w:numPr>
        <w:rPr>
          <w:rFonts w:ascii="Arial" w:cs="Arial" w:eastAsia="Arial" w:hAnsi="Arial"/>
          <w:sz w:val="12"/>
          <w:szCs w:val="12"/>
          <w:color w:val="auto"/>
        </w:rPr>
      </w:pPr>
      <w:r>
        <w:rPr>
          <w:rFonts w:ascii="Arial" w:cs="Arial" w:eastAsia="Arial" w:hAnsi="Arial"/>
          <w:sz w:val="12"/>
          <w:szCs w:val="12"/>
          <w:color w:val="auto"/>
        </w:rPr>
        <w:t>equity in losses (earnings) of unconsolidated entities, (3) income taxes, (4) non-cash writedowns or write-offs of assets, including non-cash losses on the sale of assets outside the ordinary course of business and</w:t>
      </w:r>
    </w:p>
    <w:p>
      <w:pPr>
        <w:spacing w:after="0" w:line="19" w:lineRule="exact"/>
        <w:rPr>
          <w:rFonts w:ascii="Arial" w:cs="Arial" w:eastAsia="Arial" w:hAnsi="Arial"/>
          <w:sz w:val="12"/>
          <w:szCs w:val="12"/>
          <w:color w:val="auto"/>
        </w:rPr>
      </w:pPr>
    </w:p>
    <w:p>
      <w:pPr>
        <w:ind w:left="1" w:right="100" w:hanging="1"/>
        <w:spacing w:after="0" w:line="256" w:lineRule="auto"/>
        <w:tabs>
          <w:tab w:leader="none" w:pos="187" w:val="left"/>
        </w:tabs>
        <w:numPr>
          <w:ilvl w:val="0"/>
          <w:numId w:val="76"/>
        </w:numPr>
        <w:rPr>
          <w:rFonts w:ascii="Arial" w:cs="Arial" w:eastAsia="Arial" w:hAnsi="Arial"/>
          <w:sz w:val="13"/>
          <w:szCs w:val="13"/>
          <w:color w:val="auto"/>
        </w:rPr>
      </w:pPr>
      <w:r>
        <w:rPr>
          <w:rFonts w:ascii="Arial" w:cs="Arial" w:eastAsia="Arial" w:hAnsi="Arial"/>
          <w:sz w:val="13"/>
          <w:szCs w:val="13"/>
          <w:color w:val="auto"/>
        </w:rPr>
        <w:t xml:space="preserve">EBIT of the businesses acquired by the Borrower or any of its Subsidiaries (through asset purchases or otherwise) (each an “Acquired Business”) or the Subsidiaries acquired or formed since the beginning of such period (each a “New Subsidiary”) provided, that a statement identifying all such Acquired Businesses and the EBIT of such Acquired Businesses is delivered to the Banks with the Compliance Certificate for such period, all to the extent that each of items (1) through (4) was deducted in determining Consolidated Net Income (or Deficit) in the relevant period,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non-cash extraordinary gains on the sale of assets outside the ordinary course of business to the extent included in Consolidated Net Income (or Deficit).</w:t>
      </w:r>
    </w:p>
    <w:p>
      <w:pPr>
        <w:spacing w:after="0" w:line="62" w:lineRule="exact"/>
        <w:rPr>
          <w:sz w:val="20"/>
          <w:szCs w:val="20"/>
          <w:color w:val="auto"/>
        </w:rPr>
      </w:pPr>
    </w:p>
    <w:p>
      <w:pPr>
        <w:ind w:left="1" w:right="20" w:firstLine="164"/>
        <w:spacing w:after="0" w:line="276" w:lineRule="auto"/>
        <w:rPr>
          <w:sz w:val="20"/>
          <w:szCs w:val="20"/>
          <w:color w:val="auto"/>
        </w:rPr>
      </w:pPr>
      <w:r>
        <w:rPr>
          <w:rFonts w:ascii="Arial" w:cs="Arial" w:eastAsia="Arial" w:hAnsi="Arial"/>
          <w:sz w:val="13"/>
          <w:szCs w:val="13"/>
          <w:u w:val="single" w:color="auto"/>
          <w:color w:val="auto"/>
        </w:rPr>
        <w:t>Consolidated Earnings Before Interest, Taxes, Depreciation and Amortization or EBITDA</w:t>
      </w:r>
      <w:r>
        <w:rPr>
          <w:rFonts w:ascii="Arial" w:cs="Arial" w:eastAsia="Arial" w:hAnsi="Arial"/>
          <w:sz w:val="13"/>
          <w:szCs w:val="13"/>
          <w:color w:val="auto"/>
        </w:rPr>
        <w:t xml:space="preserve">. For any period, EBIT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(a) depreciation expense, and (b) amortization expense to the extent the same would be included in the calculation of Consolidated Net Income (or Deficit) for such period, determined in accordance with GAAP.</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2"/>
          <w:szCs w:val="12"/>
          <w:u w:val="single" w:color="auto"/>
          <w:color w:val="auto"/>
        </w:rPr>
        <w:t>Consolidated Net Income (or Deficit)</w:t>
      </w:r>
      <w:r>
        <w:rPr>
          <w:rFonts w:ascii="Arial" w:cs="Arial" w:eastAsia="Arial" w:hAnsi="Arial"/>
          <w:sz w:val="12"/>
          <w:szCs w:val="12"/>
          <w:color w:val="auto"/>
        </w:rPr>
        <w:t>. The consolidated net income (or deficit) of the Borrower, after deduction of all expenses, taxes, and other proper charges, determined in accordance with GAAP.</w:t>
      </w:r>
    </w:p>
    <w:p>
      <w:pPr>
        <w:spacing w:after="0" w:line="98" w:lineRule="exact"/>
        <w:rPr>
          <w:sz w:val="20"/>
          <w:szCs w:val="20"/>
          <w:color w:val="auto"/>
        </w:rPr>
      </w:pPr>
    </w:p>
    <w:p>
      <w:pPr>
        <w:ind w:left="161"/>
        <w:spacing w:after="0"/>
        <w:rPr>
          <w:sz w:val="20"/>
          <w:szCs w:val="20"/>
          <w:color w:val="auto"/>
        </w:rPr>
      </w:pPr>
      <w:r>
        <w:rPr>
          <w:rFonts w:ascii="Arial" w:cs="Arial" w:eastAsia="Arial" w:hAnsi="Arial"/>
          <w:sz w:val="13"/>
          <w:szCs w:val="13"/>
          <w:u w:val="single" w:color="auto"/>
          <w:color w:val="auto"/>
        </w:rPr>
        <w:t>Consolidated Tangible Assets</w:t>
      </w:r>
      <w:r>
        <w:rPr>
          <w:rFonts w:ascii="Arial" w:cs="Arial" w:eastAsia="Arial" w:hAnsi="Arial"/>
          <w:sz w:val="13"/>
          <w:szCs w:val="13"/>
          <w:color w:val="auto"/>
        </w:rPr>
        <w:t>. Consolidated Total Assets less the sum of:</w:t>
      </w:r>
    </w:p>
    <w:p>
      <w:pPr>
        <w:spacing w:after="0" w:line="86" w:lineRule="exact"/>
        <w:rPr>
          <w:sz w:val="20"/>
          <w:szCs w:val="20"/>
          <w:color w:val="auto"/>
        </w:rPr>
      </w:pPr>
    </w:p>
    <w:p>
      <w:pPr>
        <w:ind w:left="221" w:right="20" w:firstLine="172"/>
        <w:spacing w:after="0" w:line="320" w:lineRule="auto"/>
        <w:tabs>
          <w:tab w:leader="none" w:pos="563" w:val="left"/>
        </w:tabs>
        <w:numPr>
          <w:ilvl w:val="0"/>
          <w:numId w:val="77"/>
        </w:numPr>
        <w:rPr>
          <w:rFonts w:ascii="Arial" w:cs="Arial" w:eastAsia="Arial" w:hAnsi="Arial"/>
          <w:sz w:val="12"/>
          <w:szCs w:val="12"/>
          <w:color w:val="auto"/>
        </w:rPr>
      </w:pPr>
      <w:r>
        <w:rPr>
          <w:rFonts w:ascii="Arial" w:cs="Arial" w:eastAsia="Arial" w:hAnsi="Arial"/>
          <w:sz w:val="12"/>
          <w:szCs w:val="12"/>
          <w:color w:val="auto"/>
        </w:rPr>
        <w:t xml:space="preserve">the total book value of all assets of the Borrower on a consolidated basis properly classified as intangible assets under GAAP, including such items as goodwill, the purchase price of acquired assets in excess of the fair market value thereof, trademarks, trade names, service marks, customer lists, brand names, copyrights, patents and licenses, and rights with respect to the foregoing; </w:t>
      </w:r>
      <w:r>
        <w:rPr>
          <w:rFonts w:ascii="Arial" w:cs="Arial" w:eastAsia="Arial" w:hAnsi="Arial"/>
          <w:sz w:val="12"/>
          <w:szCs w:val="12"/>
          <w:u w:val="single" w:color="auto"/>
          <w:color w:val="auto"/>
        </w:rPr>
        <w:t>plus</w:t>
      </w:r>
    </w:p>
    <w:p>
      <w:pPr>
        <w:spacing w:after="0" w:line="25" w:lineRule="exact"/>
        <w:rPr>
          <w:rFonts w:ascii="Arial" w:cs="Arial" w:eastAsia="Arial" w:hAnsi="Arial"/>
          <w:sz w:val="12"/>
          <w:szCs w:val="12"/>
          <w:color w:val="auto"/>
        </w:rPr>
      </w:pPr>
    </w:p>
    <w:p>
      <w:pPr>
        <w:ind w:left="581" w:hanging="188"/>
        <w:spacing w:after="0"/>
        <w:tabs>
          <w:tab w:leader="none" w:pos="581" w:val="left"/>
        </w:tabs>
        <w:numPr>
          <w:ilvl w:val="0"/>
          <w:numId w:val="77"/>
        </w:numPr>
        <w:rPr>
          <w:rFonts w:ascii="Arial" w:cs="Arial" w:eastAsia="Arial" w:hAnsi="Arial"/>
          <w:sz w:val="13"/>
          <w:szCs w:val="13"/>
          <w:color w:val="auto"/>
        </w:rPr>
      </w:pPr>
      <w:r>
        <w:rPr>
          <w:rFonts w:ascii="Arial" w:cs="Arial" w:eastAsia="Arial" w:hAnsi="Arial"/>
          <w:sz w:val="13"/>
          <w:szCs w:val="13"/>
          <w:color w:val="auto"/>
        </w:rPr>
        <w:t>all amounts representing any write-up in the book value of any assets of the Borrower on a consolidated basis resulting from a revaluation thereof subsequent to the Balance Sheet Date.</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u w:val="single" w:color="auto"/>
          <w:color w:val="auto"/>
        </w:rPr>
        <w:t>Consolidated Total Assets</w:t>
      </w:r>
      <w:r>
        <w:rPr>
          <w:rFonts w:ascii="Arial" w:cs="Arial" w:eastAsia="Arial" w:hAnsi="Arial"/>
          <w:sz w:val="13"/>
          <w:szCs w:val="13"/>
          <w:color w:val="auto"/>
        </w:rPr>
        <w:t>. All assets of the Borrower determined on a consolidated basis in accordance with GAAP.</w:t>
      </w:r>
    </w:p>
    <w:p>
      <w:pPr>
        <w:spacing w:after="0" w:line="86" w:lineRule="exact"/>
        <w:rPr>
          <w:sz w:val="20"/>
          <w:szCs w:val="20"/>
          <w:color w:val="auto"/>
        </w:rPr>
      </w:pPr>
    </w:p>
    <w:p>
      <w:pPr>
        <w:ind w:left="1" w:right="100" w:firstLine="164"/>
        <w:spacing w:after="0" w:line="276" w:lineRule="auto"/>
        <w:rPr>
          <w:sz w:val="20"/>
          <w:szCs w:val="20"/>
          <w:color w:val="auto"/>
        </w:rPr>
      </w:pPr>
      <w:r>
        <w:rPr>
          <w:rFonts w:ascii="Arial" w:cs="Arial" w:eastAsia="Arial" w:hAnsi="Arial"/>
          <w:sz w:val="13"/>
          <w:szCs w:val="13"/>
          <w:u w:val="single" w:color="auto"/>
          <w:color w:val="auto"/>
        </w:rPr>
        <w:t>Consolidated Total Interest Expense</w:t>
      </w:r>
      <w:r>
        <w:rPr>
          <w:rFonts w:ascii="Arial" w:cs="Arial" w:eastAsia="Arial" w:hAnsi="Arial"/>
          <w:sz w:val="13"/>
          <w:szCs w:val="13"/>
          <w:color w:val="auto"/>
        </w:rPr>
        <w:t>. For any period, the aggregate amount of interest expense required by GAAP to be paid or (without duplication) accrued during such period on all Indebtedness of the Borrower on a consolidated basis outstanding during all or any part of such period, including capitalized interest expense for such period, the amortization of debt</w:t>
      </w:r>
    </w:p>
    <w:p>
      <w:pPr>
        <w:spacing w:after="0" w:line="108"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0" w:right="259" w:bottom="1440" w:gutter="0" w:footer="0" w:header="0"/>
        </w:sectPr>
      </w:pPr>
    </w:p>
    <w:bookmarkStart w:id="101" w:name="page102"/>
    <w:bookmarkEnd w:id="101"/>
    <w:p>
      <w:pPr>
        <w:spacing w:after="0"/>
        <w:rPr>
          <w:sz w:val="20"/>
          <w:szCs w:val="20"/>
          <w:color w:val="auto"/>
        </w:rPr>
      </w:pPr>
      <w:r>
        <w:rPr>
          <w:rFonts w:ascii="Arial" w:cs="Arial" w:eastAsia="Arial" w:hAnsi="Arial"/>
          <w:sz w:val="13"/>
          <w:szCs w:val="13"/>
          <w:color w:val="auto"/>
        </w:rPr>
        <w:t>discounts and the amortization of fees payable in connection with the incurrence of Indebtedness.</w:t>
      </w:r>
    </w:p>
    <w:p>
      <w:pPr>
        <w:spacing w:after="0" w:line="86" w:lineRule="exact"/>
        <w:rPr>
          <w:sz w:val="20"/>
          <w:szCs w:val="20"/>
          <w:color w:val="auto"/>
        </w:rPr>
      </w:pPr>
    </w:p>
    <w:p>
      <w:pPr>
        <w:ind w:firstLine="164"/>
        <w:spacing w:after="0" w:line="279" w:lineRule="auto"/>
        <w:rPr>
          <w:sz w:val="20"/>
          <w:szCs w:val="20"/>
          <w:color w:val="auto"/>
        </w:rPr>
      </w:pPr>
      <w:r>
        <w:rPr>
          <w:rFonts w:ascii="Arial" w:cs="Arial" w:eastAsia="Arial" w:hAnsi="Arial"/>
          <w:sz w:val="12"/>
          <w:szCs w:val="12"/>
          <w:u w:val="single" w:color="auto"/>
          <w:color w:val="auto"/>
        </w:rPr>
        <w:t>Defaulting Bank</w:t>
      </w:r>
      <w:r>
        <w:rPr>
          <w:rFonts w:ascii="Arial" w:cs="Arial" w:eastAsia="Arial" w:hAnsi="Arial"/>
          <w:sz w:val="12"/>
          <w:szCs w:val="12"/>
          <w:color w:val="auto"/>
        </w:rPr>
        <w:t xml:space="preserve">. Subject to §5.14, any Bank that, as determined by the Administrative Agent, (a) has failed to perform any of its funding obligations hereunder, including in respect of Loans or participations in respect of Letters of Credit or Swing Line Loans within three Business Days of the date required to be funded by it hereunder unless such obligation is the subject of a good faith dispute, (b) has notified the Borrower, or the Administrative Agent that it does not intend to comply with its funding obligations or has made a public statement to that effect with respect to its funding obligations hereunder or under other agreements generally in which it commits to extend credit, (c) has failed, within three Business Days after request by the Administrative Agent, to confirm in a manner satisfactory to the Administrative Agent that it will comply with its funding obligations, or (d) has, or has a direct or indirect parent company that has, (i) become the subject of a proceeding under any bankruptcy, reorganization, arrangement, insolvency, readjustment of debt, dissolution or liquidation or similar law of any jurisdiction, (ii) had a receiver, conservator, trustee, administrator, assignee for the benefit of creditors or similar Person charged with reorganization or liquidation of its business or a custodian appointed for it, or (iii) taken any action in furtherance of, or indicated its consent to, approval of or acquiescence in any such proceeding or appointment;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 Bank shall not be a Defaulting Bank solely by virtue of the ownership or acquisition of any equity interest in that Bank or any direct or indirect parent company thereof by a governmental agency or the exercise of ownership control in that Bank or any direct or indirect parent company by a governmental agency.</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Defaults</w:t>
      </w:r>
      <w:r>
        <w:rPr>
          <w:rFonts w:ascii="Arial" w:cs="Arial" w:eastAsia="Arial" w:hAnsi="Arial"/>
          <w:sz w:val="13"/>
          <w:szCs w:val="13"/>
          <w:color w:val="auto"/>
        </w:rPr>
        <w:t>. See §12.1.</w:t>
      </w:r>
    </w:p>
    <w:p>
      <w:pPr>
        <w:spacing w:after="0" w:line="86"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u w:val="single" w:color="auto"/>
          <w:color w:val="auto"/>
        </w:rPr>
        <w:t>Disclosure Documents</w:t>
      </w:r>
      <w:r>
        <w:rPr>
          <w:rFonts w:ascii="Arial" w:cs="Arial" w:eastAsia="Arial" w:hAnsi="Arial"/>
          <w:sz w:val="13"/>
          <w:szCs w:val="13"/>
          <w:color w:val="auto"/>
        </w:rPr>
        <w:t>. The Borrower’s financial statements referred to in §6.4 and filings made by the Borrower or the Guarantor with the Securities and Exchange Commission that were publicly available prior to the Effective Date which were provided to the Banks.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Disposal or Disposed</w:t>
      </w:r>
      <w:r>
        <w:rPr>
          <w:rFonts w:ascii="Arial" w:cs="Arial" w:eastAsia="Arial" w:hAnsi="Arial"/>
          <w:sz w:val="13"/>
          <w:szCs w:val="13"/>
          <w:color w:val="auto"/>
        </w:rPr>
        <w:t>. See “Release”.</w:t>
      </w:r>
    </w:p>
    <w:p>
      <w:pPr>
        <w:spacing w:after="0" w:line="86" w:lineRule="exact"/>
        <w:rPr>
          <w:sz w:val="20"/>
          <w:szCs w:val="20"/>
          <w:color w:val="auto"/>
        </w:rPr>
      </w:pPr>
    </w:p>
    <w:p>
      <w:pPr>
        <w:ind w:right="200" w:firstLine="164"/>
        <w:spacing w:after="0" w:line="289" w:lineRule="auto"/>
        <w:rPr>
          <w:sz w:val="20"/>
          <w:szCs w:val="20"/>
          <w:color w:val="auto"/>
        </w:rPr>
      </w:pPr>
      <w:r>
        <w:rPr>
          <w:rFonts w:ascii="Arial" w:cs="Arial" w:eastAsia="Arial" w:hAnsi="Arial"/>
          <w:sz w:val="12"/>
          <w:szCs w:val="12"/>
          <w:u w:val="single" w:color="auto"/>
          <w:color w:val="auto"/>
        </w:rPr>
        <w:t>Distribution</w:t>
      </w:r>
      <w:r>
        <w:rPr>
          <w:rFonts w:ascii="Arial" w:cs="Arial" w:eastAsia="Arial" w:hAnsi="Arial"/>
          <w:sz w:val="12"/>
          <w:szCs w:val="12"/>
          <w:color w:val="auto"/>
        </w:rPr>
        <w:t>. The declaration or payment of any dividend or other return on equity on or in respect of any shares of any class of capital stock, any partnership interests or any membership interests of any Person (other than dividends or other such returns payable solely in shares of capital stock, partnership interests or membership units of such Person, as the case may be); the purchase, redemption, or other retirement of any shares of any class of capital stock, partnership interests or membership units of such Person, directly or indirectly through a Subsidiary or otherwise; the return of equity capital by any Person to its shareholders, partners or members as such; or any other distribution on or in respect of any shares of any class of capital stock, partnership interest or membership unit of such Person.</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Dollars or US$ or $ or U.S. Dollars</w:t>
      </w:r>
      <w:r>
        <w:rPr>
          <w:rFonts w:ascii="Arial" w:cs="Arial" w:eastAsia="Arial" w:hAnsi="Arial"/>
          <w:sz w:val="13"/>
          <w:szCs w:val="13"/>
          <w:color w:val="auto"/>
        </w:rPr>
        <w:t>. The lawful currency of the United States of America.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2" w:name="page103"/>
    <w:bookmarkEnd w:id="102"/>
    <w:p>
      <w:pPr>
        <w:ind w:left="160"/>
        <w:spacing w:after="0"/>
        <w:rPr>
          <w:sz w:val="20"/>
          <w:szCs w:val="20"/>
          <w:color w:val="auto"/>
        </w:rPr>
      </w:pPr>
      <w:r>
        <w:rPr>
          <w:rFonts w:ascii="Arial" w:cs="Arial" w:eastAsia="Arial" w:hAnsi="Arial"/>
          <w:sz w:val="13"/>
          <w:szCs w:val="13"/>
          <w:u w:val="single" w:color="auto"/>
          <w:color w:val="auto"/>
        </w:rPr>
        <w:t>Drawdown Date</w:t>
      </w:r>
      <w:r>
        <w:rPr>
          <w:rFonts w:ascii="Arial" w:cs="Arial" w:eastAsia="Arial" w:hAnsi="Arial"/>
          <w:sz w:val="13"/>
          <w:szCs w:val="13"/>
          <w:color w:val="auto"/>
        </w:rPr>
        <w:t>. The date on which any Loan is made or is to be made, or any amount is paid by an Issuing Bank under a Letter of Credit.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EBIT</w:t>
      </w:r>
      <w:r>
        <w:rPr>
          <w:rFonts w:ascii="Arial" w:cs="Arial" w:eastAsia="Arial" w:hAnsi="Arial"/>
          <w:sz w:val="13"/>
          <w:szCs w:val="13"/>
          <w:color w:val="auto"/>
        </w:rPr>
        <w:t>. See definition of Consolidated Earnings Before Interest and Taxes.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EBITDA</w:t>
      </w:r>
      <w:r>
        <w:rPr>
          <w:rFonts w:ascii="Arial" w:cs="Arial" w:eastAsia="Arial" w:hAnsi="Arial"/>
          <w:sz w:val="13"/>
          <w:szCs w:val="13"/>
          <w:color w:val="auto"/>
        </w:rPr>
        <w:t>. See definition of Consolidated Earnings Before Interest, Taxes, Depreciation and Amortization.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Effective Date</w:t>
      </w:r>
      <w:r>
        <w:rPr>
          <w:rFonts w:ascii="Arial" w:cs="Arial" w:eastAsia="Arial" w:hAnsi="Arial"/>
          <w:sz w:val="13"/>
          <w:szCs w:val="13"/>
          <w:color w:val="auto"/>
        </w:rPr>
        <w:t>. The date on which the conditions precedent set forth in §10.1 hereof are satisfied.</w:t>
      </w:r>
    </w:p>
    <w:p>
      <w:pPr>
        <w:spacing w:after="0" w:line="86"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u w:val="single" w:color="auto"/>
          <w:color w:val="auto"/>
        </w:rPr>
        <w:t>Employee Benefit Plan</w:t>
      </w:r>
      <w:r>
        <w:rPr>
          <w:rFonts w:ascii="Arial" w:cs="Arial" w:eastAsia="Arial" w:hAnsi="Arial"/>
          <w:sz w:val="13"/>
          <w:szCs w:val="13"/>
          <w:color w:val="auto"/>
        </w:rPr>
        <w:t>. Any employee benefit plan within the meaning of §3(3) of ERISA maintained or contributed to by the Borrower, any of its Subsidiaries, or any ERISA Affiliate, other than a Multiemployer Plan.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Environmental Laws</w:t>
      </w:r>
      <w:r>
        <w:rPr>
          <w:rFonts w:ascii="Arial" w:cs="Arial" w:eastAsia="Arial" w:hAnsi="Arial"/>
          <w:sz w:val="13"/>
          <w:szCs w:val="13"/>
          <w:color w:val="auto"/>
        </w:rPr>
        <w:t>. See §6.15(a).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EPA</w:t>
      </w:r>
      <w:r>
        <w:rPr>
          <w:rFonts w:ascii="Arial" w:cs="Arial" w:eastAsia="Arial" w:hAnsi="Arial"/>
          <w:sz w:val="13"/>
          <w:szCs w:val="13"/>
          <w:color w:val="auto"/>
        </w:rPr>
        <w:t>. See §6.15(b).</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ERISA</w:t>
      </w:r>
      <w:r>
        <w:rPr>
          <w:rFonts w:ascii="Arial" w:cs="Arial" w:eastAsia="Arial" w:hAnsi="Arial"/>
          <w:sz w:val="13"/>
          <w:szCs w:val="13"/>
          <w:color w:val="auto"/>
        </w:rPr>
        <w:t>. The Employee Retirement Income Security Act of 1974, as amended and in effect from time to time.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u w:val="single" w:color="auto"/>
          <w:color w:val="auto"/>
        </w:rPr>
        <w:t>ERISA Affiliate</w:t>
      </w:r>
      <w:r>
        <w:rPr>
          <w:rFonts w:ascii="Arial" w:cs="Arial" w:eastAsia="Arial" w:hAnsi="Arial"/>
          <w:sz w:val="12"/>
          <w:szCs w:val="12"/>
          <w:color w:val="auto"/>
        </w:rPr>
        <w:t>. Any Person which is treated as a single employer, member of a controlled group, or under common control with the Borrower or any of its Subsidiaries under §412, §414 or §430 of the Code.</w:t>
      </w:r>
    </w:p>
    <w:p>
      <w:pPr>
        <w:spacing w:after="0" w:line="98"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u w:val="single" w:color="auto"/>
          <w:color w:val="auto"/>
        </w:rPr>
        <w:t>ERISA Reportable Event</w:t>
      </w:r>
      <w:r>
        <w:rPr>
          <w:rFonts w:ascii="Arial" w:cs="Arial" w:eastAsia="Arial" w:hAnsi="Arial"/>
          <w:sz w:val="13"/>
          <w:szCs w:val="13"/>
          <w:color w:val="auto"/>
        </w:rPr>
        <w:t>. A reportable event within the meaning of §4043 of ERISA and the regulations promulgated thereunder with respect to a Guaranteed Pension Plan as to which the requirement of notice has not been waived.</w:t>
      </w:r>
    </w:p>
    <w:p>
      <w:pPr>
        <w:spacing w:after="0" w:line="49"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u w:val="single" w:color="auto"/>
          <w:color w:val="auto"/>
        </w:rPr>
        <w:t>Eurocurrency Reserve Rate</w:t>
      </w:r>
      <w:r>
        <w:rPr>
          <w:rFonts w:ascii="Arial" w:cs="Arial" w:eastAsia="Arial" w:hAnsi="Arial"/>
          <w:sz w:val="13"/>
          <w:szCs w:val="13"/>
          <w:color w:val="auto"/>
        </w:rPr>
        <w:t>. For any day with respect to a Eurodollar Loan, the reserve percentage (expressed as a decimal, carried out to five decimal places) in effect on such day, whether or not applicable to any Bank, under regulations issued from time to time by the Board of Governors of the Federal Reserve System for determining the maximum reserve requirement (including any emergency, supplemental or other marginal reserve requirement) with respect to Eurocurrency funding (currently referred to as “Eurocurrency liabilities”). The Eurodollar Rate for each outstanding Eurodollar Loan shall be adjusted automatically as of the effective date of any change in the Eurocurrency Reserve Rate.</w:t>
      </w:r>
    </w:p>
    <w:p>
      <w:pPr>
        <w:spacing w:after="0" w:line="60"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u w:val="single" w:color="auto"/>
          <w:color w:val="auto"/>
        </w:rPr>
        <w:t>Eurodollar Business Day</w:t>
      </w:r>
      <w:r>
        <w:rPr>
          <w:rFonts w:ascii="Arial" w:cs="Arial" w:eastAsia="Arial" w:hAnsi="Arial"/>
          <w:sz w:val="13"/>
          <w:szCs w:val="13"/>
          <w:color w:val="auto"/>
        </w:rPr>
        <w:t>. Any day on which commercial banks are open for international business (including dealings in Dollar deposits) in London or such other eurodollar interbank market as may be selected by the Administrative Agent in its sole discretion acting in good faith.</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Eurodollar Competitive Bid Loans</w:t>
      </w:r>
      <w:r>
        <w:rPr>
          <w:rFonts w:ascii="Arial" w:cs="Arial" w:eastAsia="Arial" w:hAnsi="Arial"/>
          <w:sz w:val="13"/>
          <w:szCs w:val="13"/>
          <w:color w:val="auto"/>
        </w:rPr>
        <w:t>. Competitive Bid Loans bearing interest calculated by reference to the Eurodollar Rate in accordance with §4.5(b)(iv).</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03" w:name="page104"/>
    <w:bookmarkEnd w:id="103"/>
    <w:p>
      <w:pPr>
        <w:ind w:left="160"/>
        <w:spacing w:after="0"/>
        <w:rPr>
          <w:sz w:val="20"/>
          <w:szCs w:val="20"/>
          <w:color w:val="auto"/>
        </w:rPr>
      </w:pPr>
      <w:r>
        <w:rPr>
          <w:rFonts w:ascii="Arial" w:cs="Arial" w:eastAsia="Arial" w:hAnsi="Arial"/>
          <w:sz w:val="13"/>
          <w:szCs w:val="13"/>
          <w:u w:val="single" w:color="auto"/>
          <w:color w:val="auto"/>
        </w:rPr>
        <w:t>Eurodollar Loans</w:t>
      </w:r>
      <w:r>
        <w:rPr>
          <w:rFonts w:ascii="Arial" w:cs="Arial" w:eastAsia="Arial" w:hAnsi="Arial"/>
          <w:sz w:val="13"/>
          <w:szCs w:val="13"/>
          <w:color w:val="auto"/>
        </w:rPr>
        <w:t>. Syndicated Loans bearing interest calculated by reference to clause (a) of the definition of Eurodollar Rate.</w:t>
      </w:r>
    </w:p>
    <w:p>
      <w:pPr>
        <w:spacing w:after="0" w:line="86" w:lineRule="exact"/>
        <w:rPr>
          <w:sz w:val="20"/>
          <w:szCs w:val="20"/>
          <w:color w:val="auto"/>
        </w:rPr>
      </w:pPr>
    </w:p>
    <w:p>
      <w:pPr>
        <w:ind w:right="20" w:firstLine="164"/>
        <w:spacing w:after="0" w:line="256" w:lineRule="auto"/>
        <w:rPr>
          <w:sz w:val="20"/>
          <w:szCs w:val="20"/>
          <w:color w:val="auto"/>
        </w:rPr>
      </w:pPr>
      <w:r>
        <w:rPr>
          <w:rFonts w:ascii="Arial" w:cs="Arial" w:eastAsia="Arial" w:hAnsi="Arial"/>
          <w:sz w:val="13"/>
          <w:szCs w:val="13"/>
          <w:u w:val="single" w:color="auto"/>
          <w:color w:val="auto"/>
        </w:rPr>
        <w:t>Eurodollar Rate</w:t>
      </w:r>
      <w:r>
        <w:rPr>
          <w:rFonts w:ascii="Arial" w:cs="Arial" w:eastAsia="Arial" w:hAnsi="Arial"/>
          <w:sz w:val="13"/>
          <w:szCs w:val="13"/>
          <w:color w:val="auto"/>
        </w:rPr>
        <w:t xml:space="preserve">. (a) For any Interest Period with respect to a Eurodollar Loan, the rate per annum equal to (i) the British Bankers Association LIBOR Rate (“BBA LIBOR”), as published by Reuters (or such other commercially available source providing quotations of BBA LIBOR as may be designated by the Administrative Agent from time to time) at approximately 11:00 a.m., London time, two Eurodollar Business Days prior to the commencement of such Interest Period, for Dollar deposits (for delivery on the first day of such Interest Period) with a term equivalent to such Interest Period or, (ii) if such rate is not available at such time for any reason, the rate per annum determined by the Administrative Agent to be the rate at which deposits in Dollars for delivery on the first day of such Interest Period in same day funds in the approximate amount of the Eurodollar Loan being made, continued or converted and with a term equivalent to such Interest Period would be offered by Bank of America’s London Branch to major banks in the London interbank eurodollar market at their request at approximately 11:00 a.m. (London time) two Eurodollar Business Days prior to the commencement of such Interest Period, in each case </w:t>
      </w:r>
      <w:r>
        <w:rPr>
          <w:rFonts w:ascii="Arial" w:cs="Arial" w:eastAsia="Arial" w:hAnsi="Arial"/>
          <w:sz w:val="13"/>
          <w:szCs w:val="13"/>
          <w:u w:val="single" w:color="auto"/>
          <w:color w:val="auto"/>
        </w:rPr>
        <w:t>divided by</w:t>
      </w:r>
      <w:r>
        <w:rPr>
          <w:rFonts w:ascii="Arial" w:cs="Arial" w:eastAsia="Arial" w:hAnsi="Arial"/>
          <w:sz w:val="13"/>
          <w:szCs w:val="13"/>
          <w:color w:val="auto"/>
        </w:rPr>
        <w:t xml:space="preserve"> a number equal to 1.00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the Eurocurrency Reserve Rate, if applicable; and</w:t>
      </w:r>
    </w:p>
    <w:p>
      <w:pPr>
        <w:spacing w:after="0" w:line="63" w:lineRule="exact"/>
        <w:rPr>
          <w:sz w:val="20"/>
          <w:szCs w:val="20"/>
          <w:color w:val="auto"/>
        </w:rPr>
      </w:pPr>
    </w:p>
    <w:p>
      <w:pPr>
        <w:ind w:firstLine="162"/>
        <w:spacing w:after="0" w:line="289" w:lineRule="auto"/>
        <w:tabs>
          <w:tab w:leader="none" w:pos="349" w:val="left"/>
        </w:tabs>
        <w:numPr>
          <w:ilvl w:val="0"/>
          <w:numId w:val="78"/>
        </w:numPr>
        <w:rPr>
          <w:rFonts w:ascii="Arial" w:cs="Arial" w:eastAsia="Arial" w:hAnsi="Arial"/>
          <w:sz w:val="12"/>
          <w:szCs w:val="12"/>
          <w:color w:val="auto"/>
        </w:rPr>
      </w:pPr>
      <w:r>
        <w:rPr>
          <w:rFonts w:ascii="Arial" w:cs="Arial" w:eastAsia="Arial" w:hAnsi="Arial"/>
          <w:sz w:val="12"/>
          <w:szCs w:val="12"/>
          <w:color w:val="auto"/>
        </w:rPr>
        <w:t>for any interest calculation with respect to a Base Rate Loan on any date, the rate per annum equal to (i) BBA LIBOR, at approximately 11:00 a.m., London time determined two Eurodollar Business Days prior to such date for Dollar deposits being delivered in the London interbank market for a term of one month commencing that day or (ii) if such published rate is not available at such time for any reason, the rate per annum determined by the Administrative Agent to be the rate at which deposits in Dollars for delivery on the date of determination in same day funds in the approximate amount of the Base Rate Loan being made or maintained and with a term equal to one month would be offered by Bank of America’s London Branch to major banks in the London interbank Eurodollar market at their request at the date and time of determination.</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Events of Default</w:t>
      </w:r>
      <w:r>
        <w:rPr>
          <w:rFonts w:ascii="Arial" w:cs="Arial" w:eastAsia="Arial" w:hAnsi="Arial"/>
          <w:sz w:val="13"/>
          <w:szCs w:val="13"/>
          <w:color w:val="auto"/>
        </w:rPr>
        <w:t>. See §12.1.</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Existing Credit Agreement</w:t>
      </w:r>
      <w:r>
        <w:rPr>
          <w:rFonts w:ascii="Arial" w:cs="Arial" w:eastAsia="Arial" w:hAnsi="Arial"/>
          <w:sz w:val="13"/>
          <w:szCs w:val="13"/>
          <w:color w:val="auto"/>
        </w:rPr>
        <w:t>. The existing $2,400,000,000 Revolving Credit Agreement dated as of August 17, 2006 of the Borrower, as amended.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Existing Letters of Credit</w:t>
      </w:r>
      <w:r>
        <w:rPr>
          <w:rFonts w:ascii="Arial" w:cs="Arial" w:eastAsia="Arial" w:hAnsi="Arial"/>
          <w:sz w:val="13"/>
          <w:szCs w:val="13"/>
          <w:color w:val="auto"/>
        </w:rPr>
        <w:t xml:space="preserve">. Those Letters of Credit that were issued under the Existing Credit Agreement and are outstanding as of the date hereof, and which are identified in </w:t>
      </w:r>
      <w:r>
        <w:rPr>
          <w:rFonts w:ascii="Arial" w:cs="Arial" w:eastAsia="Arial" w:hAnsi="Arial"/>
          <w:sz w:val="13"/>
          <w:szCs w:val="13"/>
          <w:u w:val="single" w:color="auto"/>
          <w:color w:val="auto"/>
        </w:rPr>
        <w:t>Schedule 3.1.2</w:t>
      </w:r>
      <w:r>
        <w:rPr>
          <w:rFonts w:ascii="Arial" w:cs="Arial" w:eastAsia="Arial" w:hAnsi="Arial"/>
          <w:sz w:val="13"/>
          <w:szCs w:val="13"/>
          <w:color w:val="auto"/>
        </w:rPr>
        <w:t xml:space="preserve"> hereof.</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Facility Fee</w:t>
      </w:r>
      <w:r>
        <w:rPr>
          <w:rFonts w:ascii="Arial" w:cs="Arial" w:eastAsia="Arial" w:hAnsi="Arial"/>
          <w:sz w:val="13"/>
          <w:szCs w:val="13"/>
          <w:color w:val="auto"/>
        </w:rPr>
        <w:t>. See §2.2.</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FASB ASC</w:t>
      </w:r>
      <w:r>
        <w:rPr>
          <w:rFonts w:ascii="Arial" w:cs="Arial" w:eastAsia="Arial" w:hAnsi="Arial"/>
          <w:sz w:val="13"/>
          <w:szCs w:val="13"/>
          <w:color w:val="auto"/>
        </w:rPr>
        <w:t>. The Accounting Standards Codification of the Financial Accounting Standards Board.</w:t>
      </w:r>
    </w:p>
    <w:p>
      <w:pPr>
        <w:spacing w:after="0" w:line="86" w:lineRule="exact"/>
        <w:rPr>
          <w:sz w:val="20"/>
          <w:szCs w:val="20"/>
          <w:color w:val="auto"/>
        </w:rPr>
      </w:pPr>
    </w:p>
    <w:p>
      <w:pPr>
        <w:ind w:right="420" w:firstLine="164"/>
        <w:spacing w:after="0" w:line="276" w:lineRule="auto"/>
        <w:rPr>
          <w:sz w:val="20"/>
          <w:szCs w:val="20"/>
          <w:color w:val="auto"/>
        </w:rPr>
      </w:pPr>
      <w:r>
        <w:rPr>
          <w:rFonts w:ascii="Arial" w:cs="Arial" w:eastAsia="Arial" w:hAnsi="Arial"/>
          <w:sz w:val="13"/>
          <w:szCs w:val="13"/>
          <w:u w:val="single" w:color="auto"/>
          <w:color w:val="auto"/>
        </w:rPr>
        <w:t>Federal Funds Rate</w:t>
      </w:r>
      <w:r>
        <w:rPr>
          <w:rFonts w:ascii="Arial" w:cs="Arial" w:eastAsia="Arial" w:hAnsi="Arial"/>
          <w:sz w:val="13"/>
          <w:szCs w:val="13"/>
          <w:color w:val="auto"/>
        </w:rPr>
        <w:t>. For any day, the rate per annum (rounded upward, if necessary, to a whole multiple of 1/100 of 1%) equal to the weighted average of the rates on overnight Federal funds transactions with members of the Federal Reserve System arranged by Federal funds brokers on such day, as published by the Federal Reserve Bank of New York on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4" w:name="page105"/>
    <w:bookmarkEnd w:id="104"/>
    <w:p>
      <w:pPr>
        <w:spacing w:after="0" w:line="264" w:lineRule="auto"/>
        <w:rPr>
          <w:sz w:val="20"/>
          <w:szCs w:val="20"/>
          <w:color w:val="auto"/>
        </w:rPr>
      </w:pPr>
      <w:r>
        <w:rPr>
          <w:rFonts w:ascii="Arial" w:cs="Arial" w:eastAsia="Arial" w:hAnsi="Arial"/>
          <w:sz w:val="13"/>
          <w:szCs w:val="13"/>
          <w:color w:val="auto"/>
        </w:rPr>
        <w:t xml:space="preserve">Business Day next succeeding such day,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if such day is not a Business Day, the Federal Funds Rate for such day shall be such rate on such transactions on the next preceding Business Day as so published on the next succeeding Business Day, and (ii)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2"/>
          <w:szCs w:val="12"/>
          <w:u w:val="single" w:color="auto"/>
          <w:color w:val="auto"/>
        </w:rPr>
        <w:t>Financial Affiliate</w:t>
      </w:r>
      <w:r>
        <w:rPr>
          <w:rFonts w:ascii="Arial" w:cs="Arial" w:eastAsia="Arial" w:hAnsi="Arial"/>
          <w:sz w:val="12"/>
          <w:szCs w:val="12"/>
          <w:color w:val="auto"/>
        </w:rPr>
        <w:t>. A subsidiary of the bank holding company controlling any Bank, which subsidiary is engaging in any of the activities permitted by §4(e) of the Bank Holding Company Act of 1956 (12 U.S.C.</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§1843).</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Fronting Fee</w:t>
      </w:r>
      <w:r>
        <w:rPr>
          <w:rFonts w:ascii="Arial" w:cs="Arial" w:eastAsia="Arial" w:hAnsi="Arial"/>
          <w:sz w:val="13"/>
          <w:szCs w:val="13"/>
          <w:color w:val="auto"/>
        </w:rPr>
        <w:t>. See §3.6.</w:t>
      </w:r>
    </w:p>
    <w:p>
      <w:pPr>
        <w:spacing w:after="0" w:line="86" w:lineRule="exact"/>
        <w:rPr>
          <w:sz w:val="20"/>
          <w:szCs w:val="20"/>
          <w:color w:val="auto"/>
        </w:rPr>
      </w:pPr>
    </w:p>
    <w:p>
      <w:pPr>
        <w:ind w:right="40" w:firstLine="164"/>
        <w:spacing w:after="0" w:line="280" w:lineRule="auto"/>
        <w:rPr>
          <w:sz w:val="20"/>
          <w:szCs w:val="20"/>
          <w:color w:val="auto"/>
        </w:rPr>
      </w:pPr>
      <w:r>
        <w:rPr>
          <w:rFonts w:ascii="Arial" w:cs="Arial" w:eastAsia="Arial" w:hAnsi="Arial"/>
          <w:sz w:val="12"/>
          <w:szCs w:val="12"/>
          <w:u w:val="single" w:color="auto"/>
          <w:color w:val="auto"/>
        </w:rPr>
        <w:t>Generally accepted accounting principles</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GAAP</w:t>
      </w:r>
      <w:r>
        <w:rPr>
          <w:rFonts w:ascii="Arial" w:cs="Arial" w:eastAsia="Arial" w:hAnsi="Arial"/>
          <w:sz w:val="12"/>
          <w:szCs w:val="12"/>
          <w:color w:val="auto"/>
        </w:rPr>
        <w:t xml:space="preserve">. (i) When used in this Agreement, whether directly or indirectly through reference to a capitalized term used therein, means (A) principles that are consistent with the principles promulgated or adopted by the Financial Accounting Standards Board and its predecessors, in effect for the fiscal year ended on the Balance Sheet Date, and (B) to the extent consistent with such principles, the accounting practice of the Borrower reflected in its financial statements for the year ended on the Balance Sheet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with respect to any financial statements prepared after the Balance Sheet Date, such meaning in each of (A) and (B) shall include the application of revised consolidation guidance with respect to variable interest entities effective per FASB ASC 810 on January 1, 2010;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in each case referred to in this definition of “generally accepted accounting principles” a certified public accountant would, insofar as the use of such accounting principles is pertinent, be in a position to deliver an unqualified opinion (other than a qualification regarding changes in generally accepted accounting principles) as to financial statements in which such principles have been properly applied.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Guaranteed Obligations</w:t>
      </w:r>
      <w:r>
        <w:rPr>
          <w:rFonts w:ascii="Arial" w:cs="Arial" w:eastAsia="Arial" w:hAnsi="Arial"/>
          <w:sz w:val="13"/>
          <w:szCs w:val="13"/>
          <w:color w:val="auto"/>
        </w:rPr>
        <w:t>. See §28.1.</w:t>
      </w:r>
    </w:p>
    <w:p>
      <w:pPr>
        <w:spacing w:after="0" w:line="86" w:lineRule="exact"/>
        <w:rPr>
          <w:sz w:val="20"/>
          <w:szCs w:val="20"/>
          <w:color w:val="auto"/>
        </w:rPr>
      </w:pPr>
    </w:p>
    <w:p>
      <w:pPr>
        <w:ind w:right="120" w:firstLine="164"/>
        <w:spacing w:after="0" w:line="264" w:lineRule="auto"/>
        <w:rPr>
          <w:sz w:val="20"/>
          <w:szCs w:val="20"/>
          <w:color w:val="auto"/>
        </w:rPr>
      </w:pPr>
      <w:r>
        <w:rPr>
          <w:rFonts w:ascii="Arial" w:cs="Arial" w:eastAsia="Arial" w:hAnsi="Arial"/>
          <w:sz w:val="13"/>
          <w:szCs w:val="13"/>
          <w:u w:val="single" w:color="auto"/>
          <w:color w:val="auto"/>
        </w:rPr>
        <w:t>Guaranteed Pension Plan</w:t>
      </w:r>
      <w:r>
        <w:rPr>
          <w:rFonts w:ascii="Arial" w:cs="Arial" w:eastAsia="Arial" w:hAnsi="Arial"/>
          <w:sz w:val="13"/>
          <w:szCs w:val="13"/>
          <w:color w:val="auto"/>
        </w:rPr>
        <w:t>. Any employee pension benefit plan within the meaning of §3(2) of ERISA maintained or contributed to by the Borrower, its Subsidiaries or any ERISA Affiliate (or pursuant to which any such Person accrued an obligation to make contributions at any time during the preceding five plan years) the benefits of which are guaranteed on termination in full or in part by the PBGC pursuant to Title IV of ERISA, other than a Multiemployer Plan.</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Guarantor</w:t>
      </w:r>
      <w:r>
        <w:rPr>
          <w:rFonts w:ascii="Arial" w:cs="Arial" w:eastAsia="Arial" w:hAnsi="Arial"/>
          <w:sz w:val="13"/>
          <w:szCs w:val="13"/>
          <w:color w:val="auto"/>
        </w:rPr>
        <w:t>. See Preamble.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Guaranty</w:t>
      </w:r>
      <w:r>
        <w:rPr>
          <w:rFonts w:ascii="Arial" w:cs="Arial" w:eastAsia="Arial" w:hAnsi="Arial"/>
          <w:sz w:val="13"/>
          <w:szCs w:val="13"/>
          <w:color w:val="auto"/>
        </w:rPr>
        <w:t>. Any obligation, contingent or otherwise, of a Person guaranteeing or having the economic effect of guaranteeing any Indebtedness or other obligation of any other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05" w:name="page106"/>
    <w:bookmarkEnd w:id="105"/>
    <w:p>
      <w:pPr>
        <w:ind w:left="1" w:right="20"/>
        <w:spacing w:after="0" w:line="285" w:lineRule="auto"/>
        <w:rPr>
          <w:sz w:val="20"/>
          <w:szCs w:val="20"/>
          <w:color w:val="auto"/>
        </w:rPr>
      </w:pPr>
      <w:r>
        <w:rPr>
          <w:rFonts w:ascii="Arial" w:cs="Arial" w:eastAsia="Arial" w:hAnsi="Arial"/>
          <w:sz w:val="12"/>
          <w:szCs w:val="12"/>
          <w:color w:val="auto"/>
        </w:rPr>
        <w:t>Person (the “</w:t>
      </w:r>
      <w:r>
        <w:rPr>
          <w:rFonts w:ascii="Arial" w:cs="Arial" w:eastAsia="Arial" w:hAnsi="Arial"/>
          <w:sz w:val="12"/>
          <w:szCs w:val="12"/>
          <w:u w:val="single" w:color="auto"/>
          <w:color w:val="auto"/>
        </w:rPr>
        <w:t>primary obligor</w:t>
      </w:r>
      <w:r>
        <w:rPr>
          <w:rFonts w:ascii="Arial" w:cs="Arial" w:eastAsia="Arial" w:hAnsi="Arial"/>
          <w:sz w:val="12"/>
          <w:szCs w:val="12"/>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term Guaranty shall not include endorsements for collection or deposit in the ordinary course of business.</w:t>
      </w:r>
    </w:p>
    <w:p>
      <w:pPr>
        <w:spacing w:after="0" w:line="46" w:lineRule="exact"/>
        <w:rPr>
          <w:sz w:val="20"/>
          <w:szCs w:val="20"/>
          <w:color w:val="auto"/>
        </w:rPr>
      </w:pPr>
    </w:p>
    <w:p>
      <w:pPr>
        <w:ind w:left="161"/>
        <w:spacing w:after="0"/>
        <w:rPr>
          <w:sz w:val="20"/>
          <w:szCs w:val="20"/>
          <w:color w:val="auto"/>
        </w:rPr>
      </w:pPr>
      <w:r>
        <w:rPr>
          <w:rFonts w:ascii="Arial" w:cs="Arial" w:eastAsia="Arial" w:hAnsi="Arial"/>
          <w:sz w:val="13"/>
          <w:szCs w:val="13"/>
          <w:u w:val="single" w:color="auto"/>
          <w:color w:val="auto"/>
        </w:rPr>
        <w:t>Hazardous Substances</w:t>
      </w:r>
      <w:r>
        <w:rPr>
          <w:rFonts w:ascii="Arial" w:cs="Arial" w:eastAsia="Arial" w:hAnsi="Arial"/>
          <w:sz w:val="13"/>
          <w:szCs w:val="13"/>
          <w:color w:val="auto"/>
        </w:rPr>
        <w:t>. See §6.15(b).</w:t>
      </w:r>
    </w:p>
    <w:p>
      <w:pPr>
        <w:spacing w:after="0" w:line="86" w:lineRule="exact"/>
        <w:rPr>
          <w:sz w:val="20"/>
          <w:szCs w:val="20"/>
          <w:color w:val="auto"/>
        </w:rPr>
      </w:pPr>
    </w:p>
    <w:p>
      <w:pPr>
        <w:ind w:left="1" w:firstLine="164"/>
        <w:spacing w:after="0" w:line="275" w:lineRule="auto"/>
        <w:rPr>
          <w:sz w:val="20"/>
          <w:szCs w:val="20"/>
          <w:color w:val="auto"/>
        </w:rPr>
      </w:pPr>
      <w:r>
        <w:rPr>
          <w:rFonts w:ascii="Arial" w:cs="Arial" w:eastAsia="Arial" w:hAnsi="Arial"/>
          <w:sz w:val="12"/>
          <w:szCs w:val="12"/>
          <w:u w:val="single" w:color="auto"/>
          <w:color w:val="auto"/>
        </w:rPr>
        <w:t>Indebtedness</w:t>
      </w:r>
      <w:r>
        <w:rPr>
          <w:rFonts w:ascii="Arial" w:cs="Arial" w:eastAsia="Arial" w:hAnsi="Arial"/>
          <w:sz w:val="12"/>
          <w:szCs w:val="12"/>
          <w:color w:val="auto"/>
        </w:rPr>
        <w:t>. Collectively, without duplication, whether classified as indebtedness, an investment or otherwise on the obligor’s balance sheet, (a) all indebtedness for borrowed money, (b) all obligations for the deferred purchase price of property or services (other than trade payables incurred in the ordinary course of business which either (i) are not overdue by more than ninety (90) days, or (ii) are being disputed in good faith and for which adequate reserves have been established in accordance with GAAP), (c) all obligations evidenced by notes, bonds, debentures or other similar debt instruments, (d) all obligations created or arising under any conditional sale or other title retention agreement with respect to property acquired (even though the rights and remedies of the seller or lender under such agreement in the event of default are limited to repossession or sale of such property), (e) all obligations, liabilities and indebtedness under Capitalized Leases, (f) all obligations, liabilities or indebtedness arising from the making of a drawing under surety, performance bonds, or any other bonding arrangement, (g) Guaranties with respect to all Indebtedness of others referred to in clauses (a) through (f) above, and (h) all Indebtedness of others referred to in clauses</w:t>
      </w:r>
    </w:p>
    <w:p>
      <w:pPr>
        <w:spacing w:after="0" w:line="2" w:lineRule="exact"/>
        <w:rPr>
          <w:sz w:val="20"/>
          <w:szCs w:val="20"/>
          <w:color w:val="auto"/>
        </w:rPr>
      </w:pPr>
    </w:p>
    <w:p>
      <w:pPr>
        <w:jc w:val="both"/>
        <w:ind w:left="1" w:right="60" w:hanging="1"/>
        <w:spacing w:after="0" w:line="256" w:lineRule="auto"/>
        <w:tabs>
          <w:tab w:leader="none" w:pos="1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 xml:space="preserve">through (f) above secured or supported by (or for which the holder of such Indebtedness has an existing right, contingent or otherwise, to be secured or supported by) any Lien on the property or assets of the Borrower or any Subsidiary, even though the owner of the property has not assumed or become liable, contractually or otherwise, for the payment of such Indebtedness;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a Permitted Receivables Transaction is outstanding and is accounted for as a sale of accounts receivable under generally accepted accounting principles, Indebtedness shall also include the additional Indebtedness, determined on a consolidated basis, which would have been outstanding had such Permitted Receivables Transaction been accounted for as a borrowing.</w:t>
      </w:r>
    </w:p>
    <w:p>
      <w:pPr>
        <w:spacing w:after="0" w:line="62" w:lineRule="exact"/>
        <w:rPr>
          <w:sz w:val="20"/>
          <w:szCs w:val="20"/>
          <w:color w:val="auto"/>
        </w:rPr>
      </w:pPr>
    </w:p>
    <w:p>
      <w:pPr>
        <w:ind w:left="1" w:firstLine="164"/>
        <w:spacing w:after="0" w:line="289" w:lineRule="auto"/>
        <w:rPr>
          <w:sz w:val="20"/>
          <w:szCs w:val="20"/>
          <w:color w:val="auto"/>
        </w:rPr>
      </w:pPr>
      <w:r>
        <w:rPr>
          <w:rFonts w:ascii="Arial" w:cs="Arial" w:eastAsia="Arial" w:hAnsi="Arial"/>
          <w:sz w:val="12"/>
          <w:szCs w:val="12"/>
          <w:u w:val="single" w:color="auto"/>
          <w:color w:val="auto"/>
        </w:rPr>
        <w:t>Interest Period</w:t>
      </w:r>
      <w:r>
        <w:rPr>
          <w:rFonts w:ascii="Arial" w:cs="Arial" w:eastAsia="Arial" w:hAnsi="Arial"/>
          <w:sz w:val="12"/>
          <w:szCs w:val="12"/>
          <w:color w:val="auto"/>
        </w:rPr>
        <w:t xml:space="preserve">. With respect to each Loan (a) initially, the period commencing on the Drawdown Date of such Loan and ending on the last day of one of the periods set forth below, as selected by the Borrower in accordance with this Agreement (i) for any Eurodollar Loan, 1, 2, 3, or 6 months; (ii) for any Absolute Competitive Bid Loan, from 7 through 180 days; and (iii) for any Eurodollar Competitive Bid Loan, 1, 2, 3, 4, 5, or 6 months; and (b) thereafter, each period commencing on the last day of the next preceding Interest Period applicable to such Loan and ending on the last day of one of the periods set forth above, as selected by the Borrower in accordance with this Agreement or if such period has no numerically corresponding day, on the last Business Day of such period;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06" w:name="page107"/>
    <w:bookmarkEnd w:id="106"/>
    <w:p>
      <w:pPr>
        <w:ind w:right="200"/>
        <w:spacing w:after="0" w:line="264" w:lineRule="auto"/>
        <w:rPr>
          <w:sz w:val="20"/>
          <w:szCs w:val="20"/>
          <w:color w:val="auto"/>
        </w:rPr>
      </w:pPr>
      <w:r>
        <w:rPr>
          <w:rFonts w:ascii="Arial" w:cs="Arial" w:eastAsia="Arial" w:hAnsi="Arial"/>
          <w:sz w:val="13"/>
          <w:szCs w:val="13"/>
          <w:color w:val="auto"/>
        </w:rPr>
        <w:t xml:space="preserve">Interest Period which would otherwise end on a day which is not a Business Day shall be deemed to end on the next succeeding Business Day;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that for any Interest Period for any Eurodollar Loan or Eurodollar Competitive Bid Loan, if such next succeeding Business Day falls in the next succeeding calendar month, such Interest Period shall be deemed to end on the next preceding Business Day;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xml:space="preserve"> that no Interest Period shall extend beyond the Maturity Date.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Interim Balance Sheet Date</w:t>
      </w:r>
      <w:r>
        <w:rPr>
          <w:rFonts w:ascii="Arial" w:cs="Arial" w:eastAsia="Arial" w:hAnsi="Arial"/>
          <w:sz w:val="13"/>
          <w:szCs w:val="13"/>
          <w:color w:val="auto"/>
        </w:rPr>
        <w:t>. March 31, 2010.</w:t>
      </w:r>
    </w:p>
    <w:p>
      <w:pPr>
        <w:spacing w:after="0" w:line="86" w:lineRule="exact"/>
        <w:rPr>
          <w:sz w:val="20"/>
          <w:szCs w:val="20"/>
          <w:color w:val="auto"/>
        </w:rPr>
      </w:pPr>
    </w:p>
    <w:p>
      <w:pPr>
        <w:ind w:firstLine="164"/>
        <w:spacing w:after="0" w:line="279" w:lineRule="auto"/>
        <w:rPr>
          <w:sz w:val="20"/>
          <w:szCs w:val="20"/>
          <w:color w:val="auto"/>
        </w:rPr>
      </w:pPr>
      <w:r>
        <w:rPr>
          <w:rFonts w:ascii="Arial" w:cs="Arial" w:eastAsia="Arial" w:hAnsi="Arial"/>
          <w:sz w:val="12"/>
          <w:szCs w:val="12"/>
          <w:u w:val="single" w:color="auto"/>
          <w:color w:val="auto"/>
        </w:rPr>
        <w:t>Investments</w:t>
      </w:r>
      <w:r>
        <w:rPr>
          <w:rFonts w:ascii="Arial" w:cs="Arial" w:eastAsia="Arial" w:hAnsi="Arial"/>
          <w:sz w:val="12"/>
          <w:szCs w:val="12"/>
          <w:color w:val="auto"/>
        </w:rPr>
        <w:t>. All expenditures made by a Person and all liabilities incurred (contingently or otherwise) by a Person for the acquisition of stock of (other than the stock of Subsidiaries), or Indebtedness of, or for loans, advances, capital contributions or transfers of property to, or in respect of any Guaranties or other commitments as described under Indebtedness, or obligations of, any other Person, including without limitation, the funding of any captive insurance company (other than loans, advances, capital contributions or transfers of property to any Subsidiaries or variable interest entities consolidated in accordance with FASB ASC 810, or Guaranties with respect to Indebtedness of any Subsidiary or variable interest entities consolidated in accordance with FASB ASC 810). In determining the aggregate amount of Investments outstanding at any particular time: (a) the amount of any Investment represented by a Guaranty shall be taken at not less than the principal amount of the obligations guaranteed and still outstanding; (b) there shall be included as an Investment all interest accrued with respect to Indebtedness constituting an Investment unless and until such interest is paid; (c) there shall be deducted in respect of each such Investment any amount received as a return of capital (but only by partial or full repurchase, redemption, retirement, repayment, liquidating dividend or liquidating distribution); (d) there shall not be deducted in respect of any Investment any amounts received as earnings on such Investment, whether as dividends, interest or otherwise, except that accrued interest included as provided in the foregoing clause (b) may be deducted when paid; and (e) there shall not be deducted from the aggregate amount of Investments any decrease in the value thereof.</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ISP</w:t>
      </w:r>
      <w:r>
        <w:rPr>
          <w:rFonts w:ascii="Arial" w:cs="Arial" w:eastAsia="Arial" w:hAnsi="Arial"/>
          <w:sz w:val="13"/>
          <w:szCs w:val="13"/>
          <w:color w:val="auto"/>
        </w:rPr>
        <w:t>. The “International Standby Practices 1998” published by the Institute of International Banking Law &amp; Practice, Inc. (or such later version thereof as may be in effect at the time of issuance).</w:t>
      </w:r>
    </w:p>
    <w:p>
      <w:pPr>
        <w:spacing w:after="0" w:line="86" w:lineRule="exact"/>
        <w:rPr>
          <w:sz w:val="20"/>
          <w:szCs w:val="20"/>
          <w:color w:val="auto"/>
        </w:rPr>
      </w:pPr>
    </w:p>
    <w:p>
      <w:pPr>
        <w:ind w:right="120" w:firstLine="164"/>
        <w:spacing w:after="0" w:line="260" w:lineRule="auto"/>
        <w:rPr>
          <w:sz w:val="20"/>
          <w:szCs w:val="20"/>
          <w:color w:val="auto"/>
        </w:rPr>
      </w:pPr>
      <w:r>
        <w:rPr>
          <w:rFonts w:ascii="Arial" w:cs="Arial" w:eastAsia="Arial" w:hAnsi="Arial"/>
          <w:sz w:val="13"/>
          <w:szCs w:val="13"/>
          <w:u w:val="single" w:color="auto"/>
          <w:color w:val="auto"/>
        </w:rPr>
        <w:t>Issuing Banks</w:t>
      </w:r>
      <w:r>
        <w:rPr>
          <w:rFonts w:ascii="Arial" w:cs="Arial" w:eastAsia="Arial" w:hAnsi="Arial"/>
          <w:sz w:val="13"/>
          <w:szCs w:val="13"/>
          <w:color w:val="auto"/>
        </w:rPr>
        <w:t xml:space="preserve">. (i) the Banks listed on </w:t>
      </w:r>
      <w:r>
        <w:rPr>
          <w:rFonts w:ascii="Arial" w:cs="Arial" w:eastAsia="Arial" w:hAnsi="Arial"/>
          <w:sz w:val="13"/>
          <w:szCs w:val="13"/>
          <w:u w:val="single" w:color="auto"/>
          <w:color w:val="auto"/>
        </w:rPr>
        <w:t>Schedule 3.1</w:t>
      </w:r>
      <w:r>
        <w:rPr>
          <w:rFonts w:ascii="Arial" w:cs="Arial" w:eastAsia="Arial" w:hAnsi="Arial"/>
          <w:sz w:val="13"/>
          <w:szCs w:val="13"/>
          <w:color w:val="auto"/>
        </w:rPr>
        <w:t xml:space="preserve"> hereto, and (ii) any other Bank that agrees (in its sole discretion) to act as Issuing Bank pursuant to an instrument in writing in form and substance satisfactory to such Bank, the Borrower and the Administrative Agent and signed by them (which instrument shall set forth the maximum aggregate face amount of all Letters of Credit of such Issuing Bank and shall, as to such maximum amount, automatically be deemed to supplement </w:t>
      </w:r>
      <w:r>
        <w:rPr>
          <w:rFonts w:ascii="Arial" w:cs="Arial" w:eastAsia="Arial" w:hAnsi="Arial"/>
          <w:sz w:val="13"/>
          <w:szCs w:val="13"/>
          <w:u w:val="single" w:color="auto"/>
          <w:color w:val="auto"/>
        </w:rPr>
        <w:t>Schedule 3.1</w:t>
      </w:r>
      <w:r>
        <w:rPr>
          <w:rFonts w:ascii="Arial" w:cs="Arial" w:eastAsia="Arial" w:hAnsi="Arial"/>
          <w:sz w:val="13"/>
          <w:szCs w:val="13"/>
          <w:color w:val="auto"/>
        </w:rPr>
        <w:t xml:space="preserve"> hereto); </w:t>
      </w:r>
      <w:r>
        <w:rPr>
          <w:rFonts w:ascii="Arial" w:cs="Arial" w:eastAsia="Arial" w:hAnsi="Arial"/>
          <w:sz w:val="13"/>
          <w:szCs w:val="13"/>
          <w:u w:val="single" w:color="auto"/>
          <w:color w:val="auto"/>
        </w:rPr>
        <w:t>provided</w:t>
      </w:r>
      <w:r>
        <w:rPr>
          <w:rFonts w:ascii="Arial" w:cs="Arial" w:eastAsia="Arial" w:hAnsi="Arial"/>
          <w:sz w:val="13"/>
          <w:szCs w:val="13"/>
          <w:color w:val="auto"/>
        </w:rPr>
        <w:t>, that in the case of any Existing Letter of Credit that was issued through an Affiliate of an Issuing Bank, such Letter of Credit shall be deemed for purposes of §3.1(a) to have been issued by such Issuing Bank and the provisions of §3.1(g) shall apply.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7" w:name="page108"/>
    <w:bookmarkEnd w:id="107"/>
    <w:p>
      <w:pPr>
        <w:ind w:right="160" w:firstLine="164"/>
        <w:spacing w:after="0" w:line="276" w:lineRule="auto"/>
        <w:rPr>
          <w:sz w:val="20"/>
          <w:szCs w:val="20"/>
          <w:color w:val="auto"/>
        </w:rPr>
      </w:pPr>
      <w:r>
        <w:rPr>
          <w:rFonts w:ascii="Arial" w:cs="Arial" w:eastAsia="Arial" w:hAnsi="Arial"/>
          <w:sz w:val="13"/>
          <w:szCs w:val="13"/>
          <w:u w:val="single" w:color="auto"/>
          <w:color w:val="auto"/>
        </w:rPr>
        <w:t>Lead Arrangers</w:t>
      </w:r>
      <w:r>
        <w:rPr>
          <w:rFonts w:ascii="Arial" w:cs="Arial" w:eastAsia="Arial" w:hAnsi="Arial"/>
          <w:sz w:val="13"/>
          <w:szCs w:val="13"/>
          <w:color w:val="auto"/>
        </w:rPr>
        <w:t>. J.P. Morgan Securities Inc., Banc of America Securities LLC and Barclays Capital, the investment banking division of Barclays Bank PLC, as Lead Arrangers and Joint Bookrunners in connection with the credit facility provided herein.</w:t>
      </w:r>
    </w:p>
    <w:p>
      <w:pPr>
        <w:spacing w:after="0" w:line="49"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u w:val="single" w:color="auto"/>
          <w:color w:val="auto"/>
        </w:rPr>
        <w:t>Letter of Credit Applications</w:t>
      </w:r>
      <w:r>
        <w:rPr>
          <w:rFonts w:ascii="Arial" w:cs="Arial" w:eastAsia="Arial" w:hAnsi="Arial"/>
          <w:sz w:val="13"/>
          <w:szCs w:val="13"/>
          <w:color w:val="auto"/>
        </w:rPr>
        <w:t xml:space="preserve">. Letter of credit applications in such form or forms as may be agreed upon by the Borrower and the relevant Issuing Bank from time to time with respect to each Letter of Credit issued or deemed issued hereunder, as such Letter of Credit Applications may be amended, varied or supplemented from time to time;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in the event of any conflict or inconsistency between the terms of any Letter of Credit Application and this Agreement, the terms of this Agreement shall control.</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Letter of Credit Fee</w:t>
      </w:r>
      <w:r>
        <w:rPr>
          <w:rFonts w:ascii="Arial" w:cs="Arial" w:eastAsia="Arial" w:hAnsi="Arial"/>
          <w:sz w:val="13"/>
          <w:szCs w:val="13"/>
          <w:color w:val="auto"/>
        </w:rPr>
        <w:t>. See §3.6.</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Letter of Credit Participation</w:t>
      </w:r>
      <w:r>
        <w:rPr>
          <w:rFonts w:ascii="Arial" w:cs="Arial" w:eastAsia="Arial" w:hAnsi="Arial"/>
          <w:sz w:val="13"/>
          <w:szCs w:val="13"/>
          <w:color w:val="auto"/>
        </w:rPr>
        <w:t>. See §3.1(c).</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Letter of Credit Request</w:t>
      </w:r>
      <w:r>
        <w:rPr>
          <w:rFonts w:ascii="Arial" w:cs="Arial" w:eastAsia="Arial" w:hAnsi="Arial"/>
          <w:sz w:val="13"/>
          <w:szCs w:val="13"/>
          <w:color w:val="auto"/>
        </w:rPr>
        <w:t>. See §3.1(a).</w:t>
      </w:r>
    </w:p>
    <w:p>
      <w:pPr>
        <w:spacing w:after="0" w:line="86" w:lineRule="exact"/>
        <w:rPr>
          <w:sz w:val="20"/>
          <w:szCs w:val="20"/>
          <w:color w:val="auto"/>
        </w:rPr>
      </w:pPr>
    </w:p>
    <w:p>
      <w:pPr>
        <w:ind w:right="180" w:firstLine="164"/>
        <w:spacing w:after="0" w:line="276" w:lineRule="auto"/>
        <w:rPr>
          <w:sz w:val="20"/>
          <w:szCs w:val="20"/>
          <w:color w:val="auto"/>
        </w:rPr>
      </w:pPr>
      <w:r>
        <w:rPr>
          <w:rFonts w:ascii="Arial" w:cs="Arial" w:eastAsia="Arial" w:hAnsi="Arial"/>
          <w:sz w:val="13"/>
          <w:szCs w:val="13"/>
          <w:u w:val="single" w:color="auto"/>
          <w:color w:val="auto"/>
        </w:rPr>
        <w:t>Letters of Credit</w:t>
      </w:r>
      <w:r>
        <w:rPr>
          <w:rFonts w:ascii="Arial" w:cs="Arial" w:eastAsia="Arial" w:hAnsi="Arial"/>
          <w:sz w:val="13"/>
          <w:szCs w:val="13"/>
          <w:color w:val="auto"/>
        </w:rPr>
        <w:t>. Letters of credit issued or to be issued by the Issuing Banks under §3 hereof for the account of the Borrower (including without limitation any Canadian Dollar Letters of Credit), and the Existing Letters of Credit.</w:t>
      </w:r>
    </w:p>
    <w:p>
      <w:pPr>
        <w:spacing w:after="0" w:line="49" w:lineRule="exact"/>
        <w:rPr>
          <w:sz w:val="20"/>
          <w:szCs w:val="20"/>
          <w:color w:val="auto"/>
        </w:rPr>
      </w:pPr>
    </w:p>
    <w:p>
      <w:pPr>
        <w:jc w:val="both"/>
        <w:ind w:right="20" w:firstLine="164"/>
        <w:spacing w:after="0" w:line="296" w:lineRule="auto"/>
        <w:rPr>
          <w:sz w:val="20"/>
          <w:szCs w:val="20"/>
          <w:color w:val="auto"/>
        </w:rPr>
      </w:pPr>
      <w:r>
        <w:rPr>
          <w:rFonts w:ascii="Arial" w:cs="Arial" w:eastAsia="Arial" w:hAnsi="Arial"/>
          <w:sz w:val="12"/>
          <w:szCs w:val="12"/>
          <w:u w:val="single" w:color="auto"/>
          <w:color w:val="auto"/>
        </w:rPr>
        <w:t>Lien</w:t>
      </w:r>
      <w:r>
        <w:rPr>
          <w:rFonts w:ascii="Arial" w:cs="Arial" w:eastAsia="Arial" w:hAnsi="Arial"/>
          <w:sz w:val="12"/>
          <w:szCs w:val="12"/>
          <w:color w:val="auto"/>
        </w:rPr>
        <w:t>. With respect to any asset, (a) any mortgage, deed of trust, lien (statutory or otherwise), pledge, hypothecation, encumbrance, charge, security interest, assignment, deposit arrangement or other restriction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40" w:lineRule="exact"/>
        <w:rPr>
          <w:sz w:val="20"/>
          <w:szCs w:val="20"/>
          <w:color w:val="auto"/>
        </w:rPr>
      </w:pPr>
    </w:p>
    <w:p>
      <w:pPr>
        <w:ind w:right="500" w:firstLine="164"/>
        <w:spacing w:after="0" w:line="276" w:lineRule="auto"/>
        <w:rPr>
          <w:sz w:val="20"/>
          <w:szCs w:val="20"/>
          <w:color w:val="auto"/>
        </w:rPr>
      </w:pPr>
      <w:r>
        <w:rPr>
          <w:rFonts w:ascii="Arial" w:cs="Arial" w:eastAsia="Arial" w:hAnsi="Arial"/>
          <w:sz w:val="13"/>
          <w:szCs w:val="13"/>
          <w:u w:val="single" w:color="auto"/>
          <w:color w:val="auto"/>
        </w:rPr>
        <w:t>Loan Documents</w:t>
      </w:r>
      <w:r>
        <w:rPr>
          <w:rFonts w:ascii="Arial" w:cs="Arial" w:eastAsia="Arial" w:hAnsi="Arial"/>
          <w:sz w:val="13"/>
          <w:szCs w:val="13"/>
          <w:color w:val="auto"/>
        </w:rPr>
        <w:t>. This Agreement, the Letter of Credit Applications, the Letters of Credit and any documents, instruments or agreements executed in connection with any of the foregoing, each as amended, modified, supplemented, or replaced from time to time.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Loans</w:t>
      </w:r>
      <w:r>
        <w:rPr>
          <w:rFonts w:ascii="Arial" w:cs="Arial" w:eastAsia="Arial" w:hAnsi="Arial"/>
          <w:sz w:val="13"/>
          <w:szCs w:val="13"/>
          <w:color w:val="auto"/>
        </w:rPr>
        <w:t>. Collectively, the Syndicated Loans, the Swing Line Loans and the Competitive Bid Loans.</w:t>
      </w:r>
    </w:p>
    <w:p>
      <w:pPr>
        <w:spacing w:after="0" w:line="86" w:lineRule="exact"/>
        <w:rPr>
          <w:sz w:val="20"/>
          <w:szCs w:val="20"/>
          <w:color w:val="auto"/>
        </w:rPr>
      </w:pPr>
    </w:p>
    <w:p>
      <w:pPr>
        <w:ind w:right="120" w:firstLine="164"/>
        <w:spacing w:after="0" w:line="296" w:lineRule="auto"/>
        <w:rPr>
          <w:sz w:val="20"/>
          <w:szCs w:val="20"/>
          <w:color w:val="auto"/>
        </w:rPr>
      </w:pPr>
      <w:r>
        <w:rPr>
          <w:rFonts w:ascii="Arial" w:cs="Arial" w:eastAsia="Arial" w:hAnsi="Arial"/>
          <w:sz w:val="12"/>
          <w:szCs w:val="12"/>
          <w:u w:val="single" w:color="auto"/>
          <w:color w:val="auto"/>
        </w:rPr>
        <w:t>Majority Banks</w:t>
      </w:r>
      <w:r>
        <w:rPr>
          <w:rFonts w:ascii="Arial" w:cs="Arial" w:eastAsia="Arial" w:hAnsi="Arial"/>
          <w:sz w:val="12"/>
          <w:szCs w:val="12"/>
          <w:color w:val="auto"/>
        </w:rPr>
        <w:t xml:space="preserve">. At any date, Banks the aggregate amount of whose Commitments is greater than fifty percent (50%) of the Total Commitment;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the event that the Total Commitment has been terminated, the Majority Banks shall be Banks holding greater than fifty percent (50%) of the aggregate outstanding principal amount of the Obligations on such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Commitment of, and the portion of the outstanding principal amount of the Obligations held or deemed held by, any Defaulting Bank shall be excluded for purposes of making a determination of Majority Banks.</w:t>
      </w:r>
    </w:p>
    <w:p>
      <w:pPr>
        <w:spacing w:after="0" w:line="40" w:lineRule="exact"/>
        <w:rPr>
          <w:sz w:val="20"/>
          <w:szCs w:val="20"/>
          <w:color w:val="auto"/>
        </w:rPr>
      </w:pPr>
    </w:p>
    <w:p>
      <w:pPr>
        <w:ind w:right="60" w:firstLine="164"/>
        <w:spacing w:after="0" w:line="276" w:lineRule="auto"/>
        <w:rPr>
          <w:sz w:val="20"/>
          <w:szCs w:val="20"/>
          <w:color w:val="auto"/>
        </w:rPr>
      </w:pPr>
      <w:r>
        <w:rPr>
          <w:rFonts w:ascii="Arial" w:cs="Arial" w:eastAsia="Arial" w:hAnsi="Arial"/>
          <w:sz w:val="13"/>
          <w:szCs w:val="13"/>
          <w:u w:val="single" w:color="auto"/>
          <w:color w:val="auto"/>
        </w:rPr>
        <w:t>Material Adverse Effect</w:t>
      </w:r>
      <w:r>
        <w:rPr>
          <w:rFonts w:ascii="Arial" w:cs="Arial" w:eastAsia="Arial" w:hAnsi="Arial"/>
          <w:sz w:val="13"/>
          <w:szCs w:val="13"/>
          <w:color w:val="auto"/>
        </w:rPr>
        <w:t>. A material adverse effect on (a) the business, assets, operations, or financial condition of the Borrower and the Subsidiaries taken as a whole, (b) the ability of the Borrower or the Guarantor to perform any of its obligations under any Loan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8" w:name="page109"/>
    <w:bookmarkEnd w:id="108"/>
    <w:p>
      <w:pPr>
        <w:spacing w:after="0"/>
        <w:rPr>
          <w:sz w:val="20"/>
          <w:szCs w:val="20"/>
          <w:color w:val="auto"/>
        </w:rPr>
      </w:pPr>
      <w:r>
        <w:rPr>
          <w:rFonts w:ascii="Arial" w:cs="Arial" w:eastAsia="Arial" w:hAnsi="Arial"/>
          <w:sz w:val="13"/>
          <w:szCs w:val="13"/>
          <w:color w:val="auto"/>
        </w:rPr>
        <w:t>Document to which it is a party, or (c) the rights of, or remedies or benefits available to, the Administrative Agent or any Bank under any Loan Document.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Maturity Date</w:t>
      </w:r>
      <w:r>
        <w:rPr>
          <w:rFonts w:ascii="Arial" w:cs="Arial" w:eastAsia="Arial" w:hAnsi="Arial"/>
          <w:sz w:val="13"/>
          <w:szCs w:val="13"/>
          <w:color w:val="auto"/>
        </w:rPr>
        <w:t>. June 22, 2013.</w:t>
      </w:r>
    </w:p>
    <w:p>
      <w:pPr>
        <w:spacing w:after="0" w:line="86" w:lineRule="exact"/>
        <w:rPr>
          <w:sz w:val="20"/>
          <w:szCs w:val="20"/>
          <w:color w:val="auto"/>
        </w:rPr>
      </w:pPr>
    </w:p>
    <w:p>
      <w:pPr>
        <w:ind w:firstLine="164"/>
        <w:spacing w:after="0" w:line="281" w:lineRule="auto"/>
        <w:rPr>
          <w:sz w:val="20"/>
          <w:szCs w:val="20"/>
          <w:color w:val="auto"/>
        </w:rPr>
      </w:pPr>
      <w:r>
        <w:rPr>
          <w:rFonts w:ascii="Arial" w:cs="Arial" w:eastAsia="Arial" w:hAnsi="Arial"/>
          <w:sz w:val="12"/>
          <w:szCs w:val="12"/>
          <w:u w:val="single" w:color="auto"/>
          <w:color w:val="auto"/>
        </w:rPr>
        <w:t>Maximum Drawing Amount</w:t>
      </w:r>
      <w:r>
        <w:rPr>
          <w:rFonts w:ascii="Arial" w:cs="Arial" w:eastAsia="Arial" w:hAnsi="Arial"/>
          <w:sz w:val="12"/>
          <w:szCs w:val="12"/>
          <w:color w:val="auto"/>
        </w:rPr>
        <w:t xml:space="preserve">. At any time, the maximum aggregate amount from time to time that the beneficiaries may draw under outstanding Letters of Credit (using, in the case of Canadian Dollar Letters of Credit, the U.S. Dollar Equivalent of the aggregate undrawn face amount thereof on the relevant date) (plus, for purposes of computing amounts outstanding including under Sections 2.1(a), 2.2, 2.3.1(a), 2.6(a), 3.2(b), 4.1, 5.2 and 12.1, but without duplication, unpaid Reimbursement Obligations, if any). Unless otherwise specified herein, the outstanding amount of a Letter of Credit at any time shall be deemed to be the stated amount of such Letter of Credit in effect at such time; </w:t>
      </w:r>
      <w:r>
        <w:rPr>
          <w:rFonts w:ascii="Arial" w:cs="Arial" w:eastAsia="Arial" w:hAnsi="Arial"/>
          <w:sz w:val="12"/>
          <w:szCs w:val="12"/>
          <w:u w:val="single" w:color="auto"/>
          <w:color w:val="auto"/>
        </w:rPr>
        <w:t>provided</w:t>
      </w:r>
      <w:r>
        <w:rPr>
          <w:rFonts w:ascii="Arial" w:cs="Arial" w:eastAsia="Arial" w:hAnsi="Arial"/>
          <w:sz w:val="12"/>
          <w:szCs w:val="12"/>
          <w:color w:val="auto"/>
        </w:rPr>
        <w:t>, that with respect to any Letter of Credit that, by its terms or the terms of any document or agreement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Moody’s</w:t>
      </w:r>
      <w:r>
        <w:rPr>
          <w:rFonts w:ascii="Arial" w:cs="Arial" w:eastAsia="Arial" w:hAnsi="Arial"/>
          <w:sz w:val="13"/>
          <w:szCs w:val="13"/>
          <w:color w:val="auto"/>
        </w:rPr>
        <w:t>. Moody’s Investors Service, Inc.</w:t>
      </w:r>
    </w:p>
    <w:p>
      <w:pPr>
        <w:spacing w:after="0" w:line="86" w:lineRule="exact"/>
        <w:rPr>
          <w:sz w:val="20"/>
          <w:szCs w:val="20"/>
          <w:color w:val="auto"/>
        </w:rPr>
      </w:pPr>
    </w:p>
    <w:p>
      <w:pPr>
        <w:ind w:right="200" w:firstLine="164"/>
        <w:spacing w:after="0" w:line="276" w:lineRule="auto"/>
        <w:rPr>
          <w:sz w:val="20"/>
          <w:szCs w:val="20"/>
          <w:color w:val="auto"/>
        </w:rPr>
      </w:pPr>
      <w:r>
        <w:rPr>
          <w:rFonts w:ascii="Arial" w:cs="Arial" w:eastAsia="Arial" w:hAnsi="Arial"/>
          <w:sz w:val="13"/>
          <w:szCs w:val="13"/>
          <w:u w:val="single" w:color="auto"/>
          <w:color w:val="auto"/>
        </w:rPr>
        <w:t>Multiemployer Plan</w:t>
      </w:r>
      <w:r>
        <w:rPr>
          <w:rFonts w:ascii="Arial" w:cs="Arial" w:eastAsia="Arial" w:hAnsi="Arial"/>
          <w:sz w:val="13"/>
          <w:szCs w:val="13"/>
          <w:color w:val="auto"/>
        </w:rPr>
        <w:t>. Any multiemployer plan within the meaning of §3(37) of ERISA maintained or contributed to by the Borrower, any of its Subsidiaries, or any ERISA Affiliate (or pursuant to which any such Person accrued an obligation to make contributions at any time during the preceding five plan years).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New Lending Office</w:t>
      </w:r>
      <w:r>
        <w:rPr>
          <w:rFonts w:ascii="Arial" w:cs="Arial" w:eastAsia="Arial" w:hAnsi="Arial"/>
          <w:sz w:val="13"/>
          <w:szCs w:val="13"/>
          <w:color w:val="auto"/>
        </w:rPr>
        <w:t>. See §5.1(d).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Non-U.S. Bank</w:t>
      </w:r>
      <w:r>
        <w:rPr>
          <w:rFonts w:ascii="Arial" w:cs="Arial" w:eastAsia="Arial" w:hAnsi="Arial"/>
          <w:sz w:val="13"/>
          <w:szCs w:val="13"/>
          <w:color w:val="auto"/>
        </w:rPr>
        <w:t>. See §5.1(c).</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Note</w:t>
      </w:r>
      <w:r>
        <w:rPr>
          <w:rFonts w:ascii="Arial" w:cs="Arial" w:eastAsia="Arial" w:hAnsi="Arial"/>
          <w:sz w:val="13"/>
          <w:szCs w:val="13"/>
          <w:color w:val="auto"/>
        </w:rPr>
        <w:t>. Any promissory note issued according to §2.4(e).</w:t>
      </w:r>
    </w:p>
    <w:p>
      <w:pPr>
        <w:spacing w:after="0" w:line="86" w:lineRule="exact"/>
        <w:rPr>
          <w:sz w:val="20"/>
          <w:szCs w:val="20"/>
          <w:color w:val="auto"/>
        </w:rPr>
      </w:pPr>
    </w:p>
    <w:p>
      <w:pPr>
        <w:jc w:val="both"/>
        <w:ind w:right="40" w:firstLine="164"/>
        <w:spacing w:after="0" w:line="296" w:lineRule="auto"/>
        <w:rPr>
          <w:sz w:val="20"/>
          <w:szCs w:val="20"/>
          <w:color w:val="auto"/>
        </w:rPr>
      </w:pPr>
      <w:r>
        <w:rPr>
          <w:rFonts w:ascii="Arial" w:cs="Arial" w:eastAsia="Arial" w:hAnsi="Arial"/>
          <w:sz w:val="12"/>
          <w:szCs w:val="12"/>
          <w:u w:val="single" w:color="auto"/>
          <w:color w:val="auto"/>
        </w:rPr>
        <w:t>Obligations</w:t>
      </w:r>
      <w:r>
        <w:rPr>
          <w:rFonts w:ascii="Arial" w:cs="Arial" w:eastAsia="Arial" w:hAnsi="Arial"/>
          <w:sz w:val="12"/>
          <w:szCs w:val="12"/>
          <w:color w:val="auto"/>
        </w:rPr>
        <w:t>. All indebtedness, obligations and liabilities of the Borrower to any of the Banks and the Administrative Agent arising or incurred under this Agreement or any of the other Loan Documents or in respect of any of the Loans made or Reimbursement Obligations incurred or the Letters of Credit, or any other instrument at any time evidencing any thereof, individually or collectively, existing on the date of this Agreement or arising thereafter, whether direct or indirect, joint or several, absolute or contingent, matured or unmatured, liquidated or unliquidated, secured or unsecured, arising by contract, operation of law or otherwise.</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PBGC</w:t>
      </w:r>
      <w:r>
        <w:rPr>
          <w:rFonts w:ascii="Arial" w:cs="Arial" w:eastAsia="Arial" w:hAnsi="Arial"/>
          <w:sz w:val="13"/>
          <w:szCs w:val="13"/>
          <w:color w:val="auto"/>
        </w:rPr>
        <w:t>. The Pension Benefit Guaranty Corporation created by §4002 of ERISA and any successor entity or entities having similar responsibilities.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Permitted Liens</w:t>
      </w:r>
      <w:r>
        <w:rPr>
          <w:rFonts w:ascii="Arial" w:cs="Arial" w:eastAsia="Arial" w:hAnsi="Arial"/>
          <w:sz w:val="13"/>
          <w:szCs w:val="13"/>
          <w:color w:val="auto"/>
        </w:rPr>
        <w:t>. Any of the following Liens: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09" w:name="page110"/>
    <w:bookmarkEnd w:id="109"/>
    <w:p>
      <w:pPr>
        <w:ind w:left="340" w:hanging="178"/>
        <w:spacing w:after="0"/>
        <w:tabs>
          <w:tab w:leader="none" w:pos="340" w:val="left"/>
        </w:tabs>
        <w:numPr>
          <w:ilvl w:val="0"/>
          <w:numId w:val="80"/>
        </w:numPr>
        <w:rPr>
          <w:rFonts w:ascii="Arial" w:cs="Arial" w:eastAsia="Arial" w:hAnsi="Arial"/>
          <w:sz w:val="13"/>
          <w:szCs w:val="13"/>
          <w:color w:val="auto"/>
        </w:rPr>
      </w:pPr>
      <w:r>
        <w:rPr>
          <w:rFonts w:ascii="Arial" w:cs="Arial" w:eastAsia="Arial" w:hAnsi="Arial"/>
          <w:sz w:val="13"/>
          <w:szCs w:val="13"/>
          <w:color w:val="auto"/>
        </w:rPr>
        <w:t>Liens for taxes not yet due or that are being contested in compliance with §7.8;</w:t>
      </w:r>
    </w:p>
    <w:p>
      <w:pPr>
        <w:spacing w:after="0" w:line="86" w:lineRule="exact"/>
        <w:rPr>
          <w:rFonts w:ascii="Arial" w:cs="Arial" w:eastAsia="Arial" w:hAnsi="Arial"/>
          <w:sz w:val="13"/>
          <w:szCs w:val="13"/>
          <w:color w:val="auto"/>
        </w:rPr>
      </w:pPr>
    </w:p>
    <w:p>
      <w:pPr>
        <w:ind w:firstLine="162"/>
        <w:spacing w:after="0" w:line="276" w:lineRule="auto"/>
        <w:tabs>
          <w:tab w:leader="none" w:pos="349" w:val="left"/>
        </w:tabs>
        <w:numPr>
          <w:ilvl w:val="0"/>
          <w:numId w:val="80"/>
        </w:numPr>
        <w:rPr>
          <w:rFonts w:ascii="Arial" w:cs="Arial" w:eastAsia="Arial" w:hAnsi="Arial"/>
          <w:sz w:val="13"/>
          <w:szCs w:val="13"/>
          <w:color w:val="auto"/>
        </w:rPr>
      </w:pPr>
      <w:r>
        <w:rPr>
          <w:rFonts w:ascii="Arial" w:cs="Arial" w:eastAsia="Arial" w:hAnsi="Arial"/>
          <w:sz w:val="13"/>
          <w:szCs w:val="13"/>
          <w:color w:val="auto"/>
        </w:rPr>
        <w:t>carriers’, warehousemen’s, maritime, mechanics’, materialmen’s, repairmen’s or other like Liens arising in the ordinary course of business that are being contested in good faith by appropriate proceedings and for which adequate reserves with respect thereto have been set aside as required by GAAP;</w:t>
      </w:r>
    </w:p>
    <w:p>
      <w:pPr>
        <w:spacing w:after="0" w:line="49" w:lineRule="exact"/>
        <w:rPr>
          <w:rFonts w:ascii="Arial" w:cs="Arial" w:eastAsia="Arial" w:hAnsi="Arial"/>
          <w:sz w:val="13"/>
          <w:szCs w:val="13"/>
          <w:color w:val="auto"/>
        </w:rPr>
      </w:pPr>
    </w:p>
    <w:p>
      <w:pPr>
        <w:ind w:left="340" w:hanging="178"/>
        <w:spacing w:after="0"/>
        <w:tabs>
          <w:tab w:leader="none" w:pos="340" w:val="left"/>
        </w:tabs>
        <w:numPr>
          <w:ilvl w:val="0"/>
          <w:numId w:val="80"/>
        </w:numPr>
        <w:rPr>
          <w:rFonts w:ascii="Arial" w:cs="Arial" w:eastAsia="Arial" w:hAnsi="Arial"/>
          <w:sz w:val="13"/>
          <w:szCs w:val="13"/>
          <w:color w:val="auto"/>
        </w:rPr>
      </w:pPr>
      <w:r>
        <w:rPr>
          <w:rFonts w:ascii="Arial" w:cs="Arial" w:eastAsia="Arial" w:hAnsi="Arial"/>
          <w:sz w:val="13"/>
          <w:szCs w:val="13"/>
          <w:color w:val="auto"/>
        </w:rPr>
        <w:t>pledges and deposits made in the ordinary course of business in compliance with workmen’s compensation, unemployment insurance and other social security laws or regulations;</w:t>
      </w:r>
    </w:p>
    <w:p>
      <w:pPr>
        <w:spacing w:after="0" w:line="86" w:lineRule="exact"/>
        <w:rPr>
          <w:rFonts w:ascii="Arial" w:cs="Arial" w:eastAsia="Arial" w:hAnsi="Arial"/>
          <w:sz w:val="13"/>
          <w:szCs w:val="13"/>
          <w:color w:val="auto"/>
        </w:rPr>
      </w:pPr>
    </w:p>
    <w:p>
      <w:pPr>
        <w:ind w:right="380" w:firstLine="162"/>
        <w:spacing w:after="0" w:line="276" w:lineRule="auto"/>
        <w:tabs>
          <w:tab w:leader="none" w:pos="349" w:val="left"/>
        </w:tabs>
        <w:numPr>
          <w:ilvl w:val="0"/>
          <w:numId w:val="80"/>
        </w:numPr>
        <w:rPr>
          <w:rFonts w:ascii="Arial" w:cs="Arial" w:eastAsia="Arial" w:hAnsi="Arial"/>
          <w:sz w:val="13"/>
          <w:szCs w:val="13"/>
          <w:color w:val="auto"/>
        </w:rPr>
      </w:pPr>
      <w:r>
        <w:rPr>
          <w:rFonts w:ascii="Arial" w:cs="Arial" w:eastAsia="Arial" w:hAnsi="Arial"/>
          <w:sz w:val="13"/>
          <w:szCs w:val="13"/>
          <w:color w:val="auto"/>
        </w:rPr>
        <w:t>Liens to secure the performance of bids, trade contracts (other than for Indebtedness), leases (other than Capital Leases), statutory obligations, surety and appeal bonds, suretyship, performance and landfill closure bonds and other obligations of a like nature incurred in the ordinary course of business;</w:t>
      </w:r>
    </w:p>
    <w:p>
      <w:pPr>
        <w:spacing w:after="0" w:line="49" w:lineRule="exact"/>
        <w:rPr>
          <w:rFonts w:ascii="Arial" w:cs="Arial" w:eastAsia="Arial" w:hAnsi="Arial"/>
          <w:sz w:val="13"/>
          <w:szCs w:val="13"/>
          <w:color w:val="auto"/>
        </w:rPr>
      </w:pPr>
    </w:p>
    <w:p>
      <w:pPr>
        <w:ind w:right="100" w:firstLine="162"/>
        <w:spacing w:after="0" w:line="276" w:lineRule="auto"/>
        <w:tabs>
          <w:tab w:leader="none" w:pos="342" w:val="left"/>
        </w:tabs>
        <w:numPr>
          <w:ilvl w:val="0"/>
          <w:numId w:val="80"/>
        </w:numPr>
        <w:rPr>
          <w:rFonts w:ascii="Arial" w:cs="Arial" w:eastAsia="Arial" w:hAnsi="Arial"/>
          <w:sz w:val="13"/>
          <w:szCs w:val="13"/>
          <w:color w:val="auto"/>
        </w:rPr>
      </w:pPr>
      <w:r>
        <w:rPr>
          <w:rFonts w:ascii="Arial" w:cs="Arial" w:eastAsia="Arial" w:hAnsi="Arial"/>
          <w:sz w:val="13"/>
          <w:szCs w:val="13"/>
          <w:color w:val="auto"/>
        </w:rPr>
        <w:t>zoning restrictions, easements, rights-of-way, restrictions on use of property and other similar encumbrances incurred in the ordinary course of business which, in the aggregate, are not substantial in amount and do not materially detract from the value of the property subject thereto or interfere with the ordinary conduct of the business of the Borrower or any of its Subsidiaries;</w:t>
      </w:r>
    </w:p>
    <w:p>
      <w:pPr>
        <w:spacing w:after="0" w:line="49" w:lineRule="exact"/>
        <w:rPr>
          <w:rFonts w:ascii="Arial" w:cs="Arial" w:eastAsia="Arial" w:hAnsi="Arial"/>
          <w:sz w:val="13"/>
          <w:szCs w:val="13"/>
          <w:color w:val="auto"/>
        </w:rPr>
      </w:pPr>
    </w:p>
    <w:p>
      <w:pPr>
        <w:ind w:left="320" w:hanging="158"/>
        <w:spacing w:after="0"/>
        <w:tabs>
          <w:tab w:leader="none" w:pos="3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 xml:space="preserve">the Liens on </w:t>
      </w:r>
      <w:r>
        <w:rPr>
          <w:rFonts w:ascii="Arial" w:cs="Arial" w:eastAsia="Arial" w:hAnsi="Arial"/>
          <w:sz w:val="12"/>
          <w:szCs w:val="12"/>
          <w:u w:val="single" w:color="auto"/>
          <w:color w:val="auto"/>
        </w:rPr>
        <w:t>Schedule 1.1</w:t>
      </w:r>
      <w:r>
        <w:rPr>
          <w:rFonts w:ascii="Arial" w:cs="Arial" w:eastAsia="Arial" w:hAnsi="Arial"/>
          <w:sz w:val="12"/>
          <w:szCs w:val="12"/>
          <w:color w:val="auto"/>
        </w:rPr>
        <w:t xml:space="preserve"> hereto securing the obligations listed on such Schedule and any replacement Lien securing any renewal, extension or refunding of such obligations if the amount secured by such</w:t>
      </w:r>
    </w:p>
    <w:p>
      <w:pPr>
        <w:spacing w:after="0" w:line="26" w:lineRule="exact"/>
        <w:rPr>
          <w:rFonts w:ascii="Arial" w:cs="Arial" w:eastAsia="Arial" w:hAnsi="Arial"/>
          <w:sz w:val="12"/>
          <w:szCs w:val="12"/>
          <w:color w:val="auto"/>
        </w:rPr>
      </w:pPr>
    </w:p>
    <w:p>
      <w:pPr>
        <w:ind w:right="100"/>
        <w:spacing w:after="0" w:line="307" w:lineRule="auto"/>
        <w:rPr>
          <w:rFonts w:ascii="Arial" w:cs="Arial" w:eastAsia="Arial" w:hAnsi="Arial"/>
          <w:sz w:val="12"/>
          <w:szCs w:val="12"/>
          <w:color w:val="auto"/>
        </w:rPr>
      </w:pPr>
      <w:r>
        <w:rPr>
          <w:rFonts w:ascii="Arial" w:cs="Arial" w:eastAsia="Arial" w:hAnsi="Arial"/>
          <w:sz w:val="12"/>
          <w:szCs w:val="12"/>
          <w:color w:val="auto"/>
        </w:rPr>
        <w:t>renewal, extension or refunding Lien shall not exceed the amount of the outstanding obligations secured by the Lien being replaced at the time of such renewal, extension or refunding (plus transaction costs, including premiums and fees, related to such renewal, extension or refunding) and if such replacement Lien shall be limited to substantially the same property that secured the Lien so replaced;</w:t>
      </w:r>
    </w:p>
    <w:p>
      <w:pPr>
        <w:spacing w:after="0" w:line="32" w:lineRule="exact"/>
        <w:rPr>
          <w:rFonts w:ascii="Arial" w:cs="Arial" w:eastAsia="Arial" w:hAnsi="Arial"/>
          <w:sz w:val="12"/>
          <w:szCs w:val="12"/>
          <w:color w:val="auto"/>
        </w:rPr>
      </w:pPr>
    </w:p>
    <w:p>
      <w:pPr>
        <w:ind w:right="80" w:firstLine="162"/>
        <w:spacing w:after="0" w:line="276" w:lineRule="auto"/>
        <w:tabs>
          <w:tab w:leader="none" w:pos="349" w:val="left"/>
        </w:tabs>
        <w:numPr>
          <w:ilvl w:val="0"/>
          <w:numId w:val="80"/>
        </w:numPr>
        <w:rPr>
          <w:rFonts w:ascii="Arial" w:cs="Arial" w:eastAsia="Arial" w:hAnsi="Arial"/>
          <w:sz w:val="13"/>
          <w:szCs w:val="13"/>
          <w:color w:val="auto"/>
        </w:rPr>
      </w:pPr>
      <w:r>
        <w:rPr>
          <w:rFonts w:ascii="Arial" w:cs="Arial" w:eastAsia="Arial" w:hAnsi="Arial"/>
          <w:sz w:val="13"/>
          <w:szCs w:val="13"/>
          <w:color w:val="auto"/>
        </w:rPr>
        <w:t>legal or equitable encumbrances deemed to exist by reason of the existence of any litigation or other legal proceeding or arising out of a judgment or award with respect to which an appeal is being prosecuted in good faith by appropriate action and with respect to which adequate reserves are being maintained and, in the case of judgment liens, execution thereon is stayed;</w:t>
      </w:r>
    </w:p>
    <w:p>
      <w:pPr>
        <w:spacing w:after="0" w:line="49" w:lineRule="exact"/>
        <w:rPr>
          <w:rFonts w:ascii="Arial" w:cs="Arial" w:eastAsia="Arial" w:hAnsi="Arial"/>
          <w:sz w:val="13"/>
          <w:szCs w:val="13"/>
          <w:color w:val="auto"/>
        </w:rPr>
      </w:pPr>
    </w:p>
    <w:p>
      <w:pPr>
        <w:ind w:right="60" w:firstLine="162"/>
        <w:spacing w:after="0" w:line="276" w:lineRule="auto"/>
        <w:tabs>
          <w:tab w:leader="none" w:pos="349" w:val="left"/>
        </w:tabs>
        <w:numPr>
          <w:ilvl w:val="0"/>
          <w:numId w:val="80"/>
        </w:numPr>
        <w:rPr>
          <w:rFonts w:ascii="Arial" w:cs="Arial" w:eastAsia="Arial" w:hAnsi="Arial"/>
          <w:sz w:val="13"/>
          <w:szCs w:val="13"/>
          <w:color w:val="auto"/>
        </w:rPr>
      </w:pPr>
      <w:r>
        <w:rPr>
          <w:rFonts w:ascii="Arial" w:cs="Arial" w:eastAsia="Arial" w:hAnsi="Arial"/>
          <w:sz w:val="13"/>
          <w:szCs w:val="13"/>
          <w:color w:val="auto"/>
        </w:rPr>
        <w:t>rights reserved or vested in any municipality or governmental, statutory or public authority to control or regulate any property of the Borrower or any Subsidiary, or to use such property in a manner that does not materially impair the use of such property for the purposes for which it is held by the Borrower or such Subsidiary;</w:t>
      </w:r>
    </w:p>
    <w:p>
      <w:pPr>
        <w:spacing w:after="0" w:line="49" w:lineRule="exact"/>
        <w:rPr>
          <w:rFonts w:ascii="Arial" w:cs="Arial" w:eastAsia="Arial" w:hAnsi="Arial"/>
          <w:sz w:val="13"/>
          <w:szCs w:val="13"/>
          <w:color w:val="auto"/>
        </w:rPr>
      </w:pPr>
    </w:p>
    <w:p>
      <w:pPr>
        <w:ind w:left="320" w:hanging="158"/>
        <w:spacing w:after="0"/>
        <w:tabs>
          <w:tab w:leader="none" w:pos="3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any obligations or duties affecting the property of the Borrower or any of its Subsidiaries to any municipality, governmental, statutory or public authority with respect to any franchise, grant, license or permit;</w:t>
      </w:r>
    </w:p>
    <w:p>
      <w:pPr>
        <w:spacing w:after="0" w:line="97" w:lineRule="exact"/>
        <w:rPr>
          <w:rFonts w:ascii="Arial" w:cs="Arial" w:eastAsia="Arial" w:hAnsi="Arial"/>
          <w:sz w:val="12"/>
          <w:szCs w:val="12"/>
          <w:color w:val="auto"/>
        </w:rPr>
      </w:pPr>
    </w:p>
    <w:p>
      <w:pPr>
        <w:ind w:left="320" w:hanging="158"/>
        <w:spacing w:after="0"/>
        <w:tabs>
          <w:tab w:leader="none" w:pos="320" w:val="left"/>
        </w:tabs>
        <w:numPr>
          <w:ilvl w:val="0"/>
          <w:numId w:val="80"/>
        </w:numPr>
        <w:rPr>
          <w:rFonts w:ascii="Arial" w:cs="Arial" w:eastAsia="Arial" w:hAnsi="Arial"/>
          <w:sz w:val="13"/>
          <w:szCs w:val="13"/>
          <w:color w:val="auto"/>
        </w:rPr>
      </w:pPr>
      <w:r>
        <w:rPr>
          <w:rFonts w:ascii="Arial" w:cs="Arial" w:eastAsia="Arial" w:hAnsi="Arial"/>
          <w:sz w:val="13"/>
          <w:szCs w:val="13"/>
          <w:color w:val="auto"/>
        </w:rPr>
        <w:t>Liens filed in connection with sales of receivables by any of the Subsidiaries (other than the Guarantor) to a wholly-owned special purpose financing Subsidiary for</w:t>
      </w:r>
    </w:p>
    <w:p>
      <w:pPr>
        <w:spacing w:after="0" w:line="145" w:lineRule="exact"/>
        <w:rPr>
          <w:rFonts w:ascii="Arial" w:cs="Arial" w:eastAsia="Arial" w:hAnsi="Arial"/>
          <w:sz w:val="13"/>
          <w:szCs w:val="13"/>
          <w:color w:val="auto"/>
        </w:rPr>
      </w:pPr>
    </w:p>
    <w:p>
      <w:pPr>
        <w:ind w:left="5660" w:hanging="68"/>
        <w:spacing w:after="0"/>
        <w:tabs>
          <w:tab w:leader="none" w:pos="5660" w:val="left"/>
        </w:tabs>
        <w:numPr>
          <w:ilvl w:val="1"/>
          <w:numId w:val="80"/>
        </w:numPr>
        <w:rPr>
          <w:rFonts w:ascii="Arial" w:cs="Arial" w:eastAsia="Arial" w:hAnsi="Arial"/>
          <w:sz w:val="13"/>
          <w:szCs w:val="13"/>
          <w:color w:val="auto"/>
        </w:rPr>
      </w:pPr>
      <w:r>
        <w:rPr>
          <w:rFonts w:ascii="Arial" w:cs="Arial" w:eastAsia="Arial" w:hAnsi="Arial"/>
          <w:sz w:val="13"/>
          <w:szCs w:val="13"/>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10" w:name="page111"/>
    <w:bookmarkEnd w:id="110"/>
    <w:p>
      <w:pPr>
        <w:spacing w:after="0"/>
        <w:rPr>
          <w:sz w:val="20"/>
          <w:szCs w:val="20"/>
          <w:color w:val="auto"/>
        </w:rPr>
      </w:pPr>
      <w:r>
        <w:rPr>
          <w:rFonts w:ascii="Arial" w:cs="Arial" w:eastAsia="Arial" w:hAnsi="Arial"/>
          <w:sz w:val="13"/>
          <w:szCs w:val="13"/>
          <w:color w:val="auto"/>
        </w:rPr>
        <w:t xml:space="preserve">purposes of perfecting such sales,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third party has any rights with respect to such Liens or any assets subject thereto;</w:t>
      </w:r>
    </w:p>
    <w:p>
      <w:pPr>
        <w:spacing w:after="0" w:line="86" w:lineRule="exact"/>
        <w:rPr>
          <w:sz w:val="20"/>
          <w:szCs w:val="20"/>
          <w:color w:val="auto"/>
        </w:rPr>
      </w:pPr>
    </w:p>
    <w:p>
      <w:pPr>
        <w:ind w:right="260" w:firstLine="162"/>
        <w:spacing w:after="0" w:line="276" w:lineRule="auto"/>
        <w:tabs>
          <w:tab w:leader="none" w:pos="349" w:val="left"/>
        </w:tabs>
        <w:numPr>
          <w:ilvl w:val="0"/>
          <w:numId w:val="81"/>
        </w:numPr>
        <w:rPr>
          <w:rFonts w:ascii="Arial" w:cs="Arial" w:eastAsia="Arial" w:hAnsi="Arial"/>
          <w:sz w:val="13"/>
          <w:szCs w:val="13"/>
          <w:color w:val="auto"/>
        </w:rPr>
      </w:pPr>
      <w:r>
        <w:rPr>
          <w:rFonts w:ascii="Arial" w:cs="Arial" w:eastAsia="Arial" w:hAnsi="Arial"/>
          <w:sz w:val="13"/>
          <w:szCs w:val="13"/>
          <w:color w:val="auto"/>
        </w:rPr>
        <w:t>any interest or title of a lessor under any sale lease-back transaction entered into by the Borrower or any Subsidiary conveying only the assets so leased back to the extent the related Indebtedness is permitted under §8.1 hereof;</w:t>
      </w:r>
    </w:p>
    <w:p>
      <w:pPr>
        <w:spacing w:after="0" w:line="49" w:lineRule="exact"/>
        <w:rPr>
          <w:rFonts w:ascii="Arial" w:cs="Arial" w:eastAsia="Arial" w:hAnsi="Arial"/>
          <w:sz w:val="13"/>
          <w:szCs w:val="13"/>
          <w:color w:val="auto"/>
        </w:rPr>
      </w:pPr>
    </w:p>
    <w:p>
      <w:pPr>
        <w:ind w:right="120" w:firstLine="162"/>
        <w:spacing w:after="0" w:line="258" w:lineRule="auto"/>
        <w:tabs>
          <w:tab w:leader="none" w:pos="320" w:val="left"/>
        </w:tabs>
        <w:numPr>
          <w:ilvl w:val="0"/>
          <w:numId w:val="81"/>
        </w:numPr>
        <w:rPr>
          <w:rFonts w:ascii="Arial" w:cs="Arial" w:eastAsia="Arial" w:hAnsi="Arial"/>
          <w:sz w:val="13"/>
          <w:szCs w:val="13"/>
          <w:color w:val="auto"/>
        </w:rPr>
      </w:pPr>
      <w:r>
        <w:rPr>
          <w:rFonts w:ascii="Arial" w:cs="Arial" w:eastAsia="Arial" w:hAnsi="Arial"/>
          <w:sz w:val="13"/>
          <w:szCs w:val="13"/>
          <w:color w:val="auto"/>
        </w:rPr>
        <w:t>Liens created or deemed to be created under Permitted Receivables Transactions at any time provided such Liens do not extend to any property or assets other than the trade receivables sold pursuant to such Permitted Receivables Transactions, interests in the goods or products (including returned goods and products), if any, relating to the sales giving rise to such trade receivables; any security interests or other Liens and property subject thereto (other than on any leases or related lease payment rights or receivables between the Borrower and any of its Subsidiaries, as lessors or sublessors) from time to time purporting to secure the payment by the obligors of such trade receivables (together with any financing statements authorized by such obligors describing the collateral securing such trade receivables) pursuant to such Permitted Receivables Transactions; and</w:t>
      </w:r>
    </w:p>
    <w:p>
      <w:pPr>
        <w:spacing w:after="0" w:line="61" w:lineRule="exact"/>
        <w:rPr>
          <w:rFonts w:ascii="Arial" w:cs="Arial" w:eastAsia="Arial" w:hAnsi="Arial"/>
          <w:sz w:val="13"/>
          <w:szCs w:val="13"/>
          <w:color w:val="auto"/>
        </w:rPr>
      </w:pPr>
    </w:p>
    <w:p>
      <w:pPr>
        <w:ind w:right="60" w:firstLine="162"/>
        <w:spacing w:after="0" w:line="264" w:lineRule="auto"/>
        <w:tabs>
          <w:tab w:leader="none" w:pos="386" w:val="left"/>
        </w:tabs>
        <w:numPr>
          <w:ilvl w:val="0"/>
          <w:numId w:val="81"/>
        </w:numPr>
        <w:rPr>
          <w:rFonts w:ascii="Arial" w:cs="Arial" w:eastAsia="Arial" w:hAnsi="Arial"/>
          <w:sz w:val="13"/>
          <w:szCs w:val="13"/>
          <w:color w:val="auto"/>
        </w:rPr>
      </w:pPr>
      <w:r>
        <w:rPr>
          <w:rFonts w:ascii="Arial" w:cs="Arial" w:eastAsia="Arial" w:hAnsi="Arial"/>
          <w:sz w:val="13"/>
          <w:szCs w:val="13"/>
          <w:color w:val="auto"/>
        </w:rPr>
        <w:t xml:space="preserve">Liens securing other Indebtedness,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aggregate amount of all liabilities, including any Indebtedness, of the Borrower and its Subsidiaries secured by all Liens permitted in subsections (k), (1) and (m), when added (without duplication) to the aggregate amount of Indebtedness of the Borrower’s Subsidiaries permitted under §8.1(b) and Indebtedness with respect to Permitted Receivables Transactions, shall not exceed 15% of Consolidated Tangible Assets at any time.</w:t>
      </w:r>
    </w:p>
    <w:p>
      <w:pPr>
        <w:spacing w:after="0" w:line="57" w:lineRule="exact"/>
        <w:rPr>
          <w:sz w:val="20"/>
          <w:szCs w:val="20"/>
          <w:color w:val="auto"/>
        </w:rPr>
      </w:pPr>
    </w:p>
    <w:p>
      <w:pPr>
        <w:ind w:right="20" w:firstLine="164"/>
        <w:spacing w:after="0" w:line="296" w:lineRule="auto"/>
        <w:rPr>
          <w:sz w:val="20"/>
          <w:szCs w:val="20"/>
          <w:color w:val="auto"/>
        </w:rPr>
      </w:pPr>
      <w:r>
        <w:rPr>
          <w:rFonts w:ascii="Arial" w:cs="Arial" w:eastAsia="Arial" w:hAnsi="Arial"/>
          <w:sz w:val="12"/>
          <w:szCs w:val="12"/>
          <w:u w:val="single" w:color="auto"/>
          <w:color w:val="auto"/>
        </w:rPr>
        <w:t>Permitted Receivables Transaction</w:t>
      </w:r>
      <w:r>
        <w:rPr>
          <w:rFonts w:ascii="Arial" w:cs="Arial" w:eastAsia="Arial" w:hAnsi="Arial"/>
          <w:sz w:val="12"/>
          <w:szCs w:val="12"/>
          <w:color w:val="auto"/>
        </w:rPr>
        <w:t>. Any sale or sales of, and/or securitization of, any accounts receivable of the Borrower and/or any of its Subsidiaries (the “Receivables”) pursuant to which (a) the Borrower and its Subsidiaries realize aggregate net proceeds of not more than $750,000,000 at any one time outstanding, including, without limitation, any revolving purchase(s) of Receivables where the maximum aggregate uncollected purchase price (exclusive of any deferred purchase price) for such Receivables at any time outstanding does not exceed $750,000,000, and (b) which Receivables shall not be discounted more than 25%.</w:t>
      </w:r>
    </w:p>
    <w:p>
      <w:pPr>
        <w:spacing w:after="0" w:line="40"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u w:val="single" w:color="auto"/>
          <w:color w:val="auto"/>
        </w:rPr>
        <w:t>Person</w:t>
      </w:r>
      <w:r>
        <w:rPr>
          <w:rFonts w:ascii="Arial" w:cs="Arial" w:eastAsia="Arial" w:hAnsi="Arial"/>
          <w:sz w:val="13"/>
          <w:szCs w:val="13"/>
          <w:color w:val="auto"/>
        </w:rPr>
        <w:t>. Any individual, corporation, partnership, joint venture, limited liability company, trust, unincorporated association, business, or other legal entity, and any government or any governmental agency or political subdivision thereof.</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11" w:name="page112"/>
    <w:bookmarkEnd w:id="111"/>
    <w:p>
      <w:pPr>
        <w:ind w:left="160"/>
        <w:spacing w:after="0"/>
        <w:rPr>
          <w:sz w:val="20"/>
          <w:szCs w:val="20"/>
          <w:color w:val="auto"/>
        </w:rPr>
      </w:pPr>
      <w:r>
        <w:rPr>
          <w:rFonts w:ascii="Arial" w:cs="Arial" w:eastAsia="Arial" w:hAnsi="Arial"/>
          <w:sz w:val="13"/>
          <w:szCs w:val="13"/>
          <w:u w:val="single" w:color="auto"/>
          <w:color w:val="auto"/>
        </w:rPr>
        <w:t>Pricing Table</w:t>
      </w:r>
      <w:r>
        <w:rPr>
          <w:rFonts w:ascii="Arial" w:cs="Arial" w:eastAsia="Arial" w:hAnsi="Arial"/>
          <w:sz w:val="13"/>
          <w:szCs w:val="13"/>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0" w:type="dxa"/>
            <w:vAlign w:val="bottom"/>
            <w:gridSpan w:val="10"/>
            <w:vMerge w:val="restart"/>
          </w:tcPr>
          <w:p>
            <w:pPr>
              <w:jc w:val="center"/>
              <w:ind w:right="1520"/>
              <w:spacing w:after="0"/>
              <w:rPr>
                <w:sz w:val="20"/>
                <w:szCs w:val="20"/>
                <w:color w:val="auto"/>
              </w:rPr>
            </w:pPr>
            <w:r>
              <w:rPr>
                <w:rFonts w:ascii="Arial" w:cs="Arial" w:eastAsia="Arial" w:hAnsi="Arial"/>
                <w:sz w:val="10"/>
                <w:szCs w:val="10"/>
                <w:b w:val="1"/>
                <w:bCs w:val="1"/>
                <w:color w:val="auto"/>
                <w:w w:val="94"/>
              </w:rPr>
              <w:t>Senior Public Debt</w:t>
            </w:r>
          </w:p>
        </w:tc>
        <w:tc>
          <w:tcPr>
            <w:tcW w:w="240" w:type="dxa"/>
            <w:vAlign w:val="bottom"/>
          </w:tcPr>
          <w:p>
            <w:pPr>
              <w:spacing w:after="0"/>
              <w:rPr>
                <w:sz w:val="10"/>
                <w:szCs w:val="10"/>
                <w:color w:val="auto"/>
              </w:rPr>
            </w:pPr>
          </w:p>
        </w:tc>
        <w:tc>
          <w:tcPr>
            <w:tcW w:w="1480" w:type="dxa"/>
            <w:vAlign w:val="bottom"/>
          </w:tcPr>
          <w:p>
            <w:pPr>
              <w:jc w:val="center"/>
              <w:spacing w:after="0"/>
              <w:rPr>
                <w:sz w:val="20"/>
                <w:szCs w:val="20"/>
                <w:color w:val="auto"/>
              </w:rPr>
            </w:pPr>
            <w:r>
              <w:rPr>
                <w:rFonts w:ascii="Arial" w:cs="Arial" w:eastAsia="Arial" w:hAnsi="Arial"/>
                <w:sz w:val="10"/>
                <w:szCs w:val="10"/>
                <w:b w:val="1"/>
                <w:bCs w:val="1"/>
                <w:color w:val="auto"/>
                <w:w w:val="94"/>
              </w:rPr>
              <w:t>Applicable</w:t>
            </w:r>
          </w:p>
        </w:tc>
        <w:tc>
          <w:tcPr>
            <w:tcW w:w="24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Applicable</w:t>
            </w:r>
          </w:p>
        </w:tc>
        <w:tc>
          <w:tcPr>
            <w:tcW w:w="26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Applicable</w:t>
            </w:r>
          </w:p>
        </w:tc>
        <w:tc>
          <w:tcPr>
            <w:tcW w:w="260" w:type="dxa"/>
            <w:vAlign w:val="bottom"/>
          </w:tcPr>
          <w:p>
            <w:pPr>
              <w:spacing w:after="0"/>
              <w:rPr>
                <w:sz w:val="10"/>
                <w:szCs w:val="10"/>
                <w:color w:val="auto"/>
              </w:rPr>
            </w:pPr>
          </w:p>
        </w:tc>
        <w:tc>
          <w:tcPr>
            <w:tcW w:w="1480" w:type="dxa"/>
            <w:vAlign w:val="bottom"/>
          </w:tcPr>
          <w:p>
            <w:pPr>
              <w:jc w:val="center"/>
              <w:spacing w:after="0"/>
              <w:rPr>
                <w:sz w:val="20"/>
                <w:szCs w:val="20"/>
                <w:color w:val="auto"/>
              </w:rPr>
            </w:pPr>
            <w:r>
              <w:rPr>
                <w:rFonts w:ascii="Arial" w:cs="Arial" w:eastAsia="Arial" w:hAnsi="Arial"/>
                <w:sz w:val="10"/>
                <w:szCs w:val="10"/>
                <w:b w:val="1"/>
                <w:bCs w:val="1"/>
                <w:color w:val="auto"/>
                <w:w w:val="94"/>
              </w:rPr>
              <w:t>Applicable</w:t>
            </w:r>
          </w:p>
        </w:tc>
        <w:tc>
          <w:tcPr>
            <w:tcW w:w="0" w:type="dxa"/>
            <w:vAlign w:val="bottom"/>
          </w:tcPr>
          <w:p>
            <w:pPr>
              <w:spacing w:after="0"/>
              <w:rPr>
                <w:sz w:val="1"/>
                <w:szCs w:val="1"/>
                <w:color w:val="auto"/>
              </w:rPr>
            </w:pPr>
          </w:p>
        </w:tc>
      </w:tr>
      <w:tr>
        <w:trPr>
          <w:trHeight w:val="108"/>
        </w:trPr>
        <w:tc>
          <w:tcPr>
            <w:tcW w:w="360" w:type="dxa"/>
            <w:vAlign w:val="bottom"/>
            <w:vMerge w:val="restart"/>
          </w:tcPr>
          <w:p>
            <w:pPr>
              <w:spacing w:after="0"/>
              <w:rPr>
                <w:sz w:val="20"/>
                <w:szCs w:val="20"/>
                <w:color w:val="auto"/>
              </w:rPr>
            </w:pPr>
            <w:r>
              <w:rPr>
                <w:rFonts w:ascii="Arial" w:cs="Arial" w:eastAsia="Arial" w:hAnsi="Arial"/>
                <w:sz w:val="10"/>
                <w:szCs w:val="10"/>
                <w:b w:val="1"/>
                <w:bCs w:val="1"/>
                <w:color w:val="auto"/>
              </w:rPr>
              <w:t>Level</w:t>
            </w: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0" w:type="dxa"/>
            <w:vAlign w:val="bottom"/>
            <w:gridSpan w:val="10"/>
            <w:vMerge w:val="continue"/>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Facility Fee</w:t>
            </w:r>
          </w:p>
        </w:tc>
        <w:tc>
          <w:tcPr>
            <w:tcW w:w="24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4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Eurodollar</w:t>
            </w:r>
          </w:p>
        </w:tc>
        <w:tc>
          <w:tcPr>
            <w:tcW w:w="0" w:type="dxa"/>
            <w:vAlign w:val="bottom"/>
          </w:tcPr>
          <w:p>
            <w:pPr>
              <w:spacing w:after="0"/>
              <w:rPr>
                <w:sz w:val="1"/>
                <w:szCs w:val="1"/>
                <w:color w:val="auto"/>
              </w:rPr>
            </w:pPr>
          </w:p>
        </w:tc>
      </w:tr>
      <w:tr>
        <w:trPr>
          <w:trHeight w:val="125"/>
        </w:trPr>
        <w:tc>
          <w:tcPr>
            <w:tcW w:w="360" w:type="dxa"/>
            <w:vAlign w:val="bottom"/>
            <w:tcBorders>
              <w:bottom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gridSpan w:val="7"/>
          </w:tcPr>
          <w:p>
            <w:pPr>
              <w:jc w:val="center"/>
              <w:ind w:right="1640"/>
              <w:spacing w:after="0"/>
              <w:rPr>
                <w:sz w:val="20"/>
                <w:szCs w:val="20"/>
                <w:color w:val="auto"/>
              </w:rPr>
            </w:pPr>
            <w:r>
              <w:rPr>
                <w:rFonts w:ascii="Arial" w:cs="Arial" w:eastAsia="Arial" w:hAnsi="Arial"/>
                <w:sz w:val="10"/>
                <w:szCs w:val="10"/>
                <w:b w:val="1"/>
                <w:bCs w:val="1"/>
                <w:color w:val="auto"/>
                <w:w w:val="96"/>
              </w:rPr>
              <w:t>Rating</w:t>
            </w:r>
          </w:p>
        </w:tc>
        <w:tc>
          <w:tcPr>
            <w:tcW w:w="240" w:type="dxa"/>
            <w:vAlign w:val="bottom"/>
          </w:tcPr>
          <w:p>
            <w:pPr>
              <w:spacing w:after="0"/>
              <w:rPr>
                <w:sz w:val="10"/>
                <w:szCs w:val="1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Rate</w:t>
            </w:r>
          </w:p>
        </w:tc>
        <w:tc>
          <w:tcPr>
            <w:tcW w:w="240" w:type="dxa"/>
            <w:vAlign w:val="bottom"/>
          </w:tcPr>
          <w:p>
            <w:pPr>
              <w:spacing w:after="0"/>
              <w:rPr>
                <w:sz w:val="10"/>
                <w:szCs w:val="1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L/C Rate</w:t>
            </w:r>
          </w:p>
        </w:tc>
        <w:tc>
          <w:tcPr>
            <w:tcW w:w="260" w:type="dxa"/>
            <w:vAlign w:val="bottom"/>
          </w:tcPr>
          <w:p>
            <w:pPr>
              <w:spacing w:after="0"/>
              <w:rPr>
                <w:sz w:val="10"/>
                <w:szCs w:val="1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Base Rate</w:t>
            </w:r>
          </w:p>
        </w:tc>
        <w:tc>
          <w:tcPr>
            <w:tcW w:w="260" w:type="dxa"/>
            <w:vAlign w:val="bottom"/>
          </w:tcPr>
          <w:p>
            <w:pPr>
              <w:spacing w:after="0"/>
              <w:rPr>
                <w:sz w:val="10"/>
                <w:szCs w:val="1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Rate</w:t>
            </w:r>
          </w:p>
        </w:tc>
        <w:tc>
          <w:tcPr>
            <w:tcW w:w="0" w:type="dxa"/>
            <w:vAlign w:val="bottom"/>
          </w:tcPr>
          <w:p>
            <w:pPr>
              <w:spacing w:after="0"/>
              <w:rPr>
                <w:sz w:val="1"/>
                <w:szCs w:val="1"/>
                <w:color w:val="auto"/>
              </w:rPr>
            </w:pPr>
          </w:p>
        </w:tc>
      </w:tr>
      <w:tr>
        <w:trPr>
          <w:trHeight w:val="118"/>
        </w:trPr>
        <w:tc>
          <w:tcPr>
            <w:tcW w:w="360" w:type="dxa"/>
            <w:vAlign w:val="bottom"/>
          </w:tcPr>
          <w:p>
            <w:pPr>
              <w:spacing w:after="0" w:line="118" w:lineRule="exact"/>
              <w:rPr>
                <w:sz w:val="20"/>
                <w:szCs w:val="20"/>
                <w:color w:val="auto"/>
              </w:rPr>
            </w:pPr>
            <w:r>
              <w:rPr>
                <w:rFonts w:ascii="Arial" w:cs="Arial" w:eastAsia="Arial" w:hAnsi="Arial"/>
                <w:sz w:val="13"/>
                <w:szCs w:val="13"/>
                <w:color w:val="auto"/>
              </w:rPr>
              <w:t>1</w:t>
            </w:r>
          </w:p>
        </w:tc>
        <w:tc>
          <w:tcPr>
            <w:tcW w:w="240" w:type="dxa"/>
            <w:vAlign w:val="bottom"/>
          </w:tcPr>
          <w:p>
            <w:pPr>
              <w:spacing w:after="0"/>
              <w:rPr>
                <w:sz w:val="10"/>
                <w:szCs w:val="10"/>
                <w:color w:val="auto"/>
              </w:rPr>
            </w:pPr>
          </w:p>
        </w:tc>
        <w:tc>
          <w:tcPr>
            <w:tcW w:w="3940" w:type="dxa"/>
            <w:vAlign w:val="bottom"/>
            <w:gridSpan w:val="13"/>
          </w:tcPr>
          <w:p>
            <w:pPr>
              <w:spacing w:after="0" w:line="118" w:lineRule="exact"/>
              <w:rPr>
                <w:sz w:val="20"/>
                <w:szCs w:val="20"/>
                <w:color w:val="auto"/>
              </w:rPr>
            </w:pPr>
            <w:r>
              <w:rPr>
                <w:rFonts w:ascii="Arial" w:cs="Arial" w:eastAsia="Arial" w:hAnsi="Arial"/>
                <w:sz w:val="13"/>
                <w:szCs w:val="13"/>
                <w:color w:val="auto"/>
                <w:w w:val="93"/>
              </w:rPr>
              <w:t>Greater than or equal to A- by Standard &amp; Poor’s or greater than or equal</w:t>
            </w:r>
          </w:p>
        </w:tc>
        <w:tc>
          <w:tcPr>
            <w:tcW w:w="240" w:type="dxa"/>
            <w:vAlign w:val="bottom"/>
          </w:tcPr>
          <w:p>
            <w:pPr>
              <w:spacing w:after="0"/>
              <w:rPr>
                <w:sz w:val="10"/>
                <w:szCs w:val="10"/>
                <w:color w:val="auto"/>
              </w:rPr>
            </w:pPr>
          </w:p>
        </w:tc>
        <w:tc>
          <w:tcPr>
            <w:tcW w:w="1480" w:type="dxa"/>
            <w:vAlign w:val="bottom"/>
          </w:tcPr>
          <w:p>
            <w:pPr>
              <w:jc w:val="center"/>
              <w:spacing w:after="0" w:line="118" w:lineRule="exact"/>
              <w:rPr>
                <w:sz w:val="20"/>
                <w:szCs w:val="20"/>
                <w:color w:val="auto"/>
              </w:rPr>
            </w:pPr>
            <w:r>
              <w:rPr>
                <w:rFonts w:ascii="Arial" w:cs="Arial" w:eastAsia="Arial" w:hAnsi="Arial"/>
                <w:sz w:val="13"/>
                <w:szCs w:val="13"/>
                <w:color w:val="auto"/>
                <w:w w:val="89"/>
              </w:rPr>
              <w:t>0.2500%</w:t>
            </w:r>
          </w:p>
        </w:tc>
        <w:tc>
          <w:tcPr>
            <w:tcW w:w="240" w:type="dxa"/>
            <w:vAlign w:val="bottom"/>
          </w:tcPr>
          <w:p>
            <w:pPr>
              <w:spacing w:after="0"/>
              <w:rPr>
                <w:sz w:val="10"/>
                <w:szCs w:val="10"/>
                <w:color w:val="auto"/>
              </w:rPr>
            </w:pPr>
          </w:p>
        </w:tc>
        <w:tc>
          <w:tcPr>
            <w:tcW w:w="1480" w:type="dxa"/>
            <w:vAlign w:val="bottom"/>
          </w:tcPr>
          <w:p>
            <w:pPr>
              <w:jc w:val="center"/>
              <w:spacing w:after="0" w:line="118" w:lineRule="exact"/>
              <w:rPr>
                <w:sz w:val="20"/>
                <w:szCs w:val="20"/>
                <w:color w:val="auto"/>
              </w:rPr>
            </w:pPr>
            <w:r>
              <w:rPr>
                <w:rFonts w:ascii="Arial" w:cs="Arial" w:eastAsia="Arial" w:hAnsi="Arial"/>
                <w:sz w:val="13"/>
                <w:szCs w:val="13"/>
                <w:color w:val="auto"/>
                <w:w w:val="89"/>
              </w:rPr>
              <w:t>1.5000%</w:t>
            </w:r>
          </w:p>
        </w:tc>
        <w:tc>
          <w:tcPr>
            <w:tcW w:w="260" w:type="dxa"/>
            <w:vAlign w:val="bottom"/>
          </w:tcPr>
          <w:p>
            <w:pPr>
              <w:spacing w:after="0"/>
              <w:rPr>
                <w:sz w:val="10"/>
                <w:szCs w:val="10"/>
                <w:color w:val="auto"/>
              </w:rPr>
            </w:pPr>
          </w:p>
        </w:tc>
        <w:tc>
          <w:tcPr>
            <w:tcW w:w="1480" w:type="dxa"/>
            <w:vAlign w:val="bottom"/>
          </w:tcPr>
          <w:p>
            <w:pPr>
              <w:jc w:val="center"/>
              <w:spacing w:after="0" w:line="118" w:lineRule="exact"/>
              <w:rPr>
                <w:sz w:val="20"/>
                <w:szCs w:val="20"/>
                <w:color w:val="auto"/>
              </w:rPr>
            </w:pPr>
            <w:r>
              <w:rPr>
                <w:rFonts w:ascii="Arial" w:cs="Arial" w:eastAsia="Arial" w:hAnsi="Arial"/>
                <w:sz w:val="13"/>
                <w:szCs w:val="13"/>
                <w:color w:val="auto"/>
                <w:w w:val="85"/>
              </w:rPr>
              <w:t>Base Rate</w:t>
            </w:r>
          </w:p>
        </w:tc>
        <w:tc>
          <w:tcPr>
            <w:tcW w:w="260" w:type="dxa"/>
            <w:vAlign w:val="bottom"/>
          </w:tcPr>
          <w:p>
            <w:pPr>
              <w:spacing w:after="0"/>
              <w:rPr>
                <w:sz w:val="10"/>
                <w:szCs w:val="10"/>
                <w:color w:val="auto"/>
              </w:rPr>
            </w:pPr>
          </w:p>
        </w:tc>
        <w:tc>
          <w:tcPr>
            <w:tcW w:w="1480" w:type="dxa"/>
            <w:vAlign w:val="bottom"/>
          </w:tcPr>
          <w:p>
            <w:pPr>
              <w:jc w:val="center"/>
              <w:spacing w:after="0" w:line="118" w:lineRule="exact"/>
              <w:rPr>
                <w:sz w:val="20"/>
                <w:szCs w:val="20"/>
                <w:color w:val="auto"/>
              </w:rPr>
            </w:pPr>
            <w:r>
              <w:rPr>
                <w:rFonts w:ascii="Arial" w:cs="Arial" w:eastAsia="Arial" w:hAnsi="Arial"/>
                <w:sz w:val="13"/>
                <w:szCs w:val="13"/>
                <w:color w:val="auto"/>
                <w:w w:val="94"/>
              </w:rPr>
              <w:t>Eurodollar</w:t>
            </w:r>
          </w:p>
        </w:tc>
        <w:tc>
          <w:tcPr>
            <w:tcW w:w="0" w:type="dxa"/>
            <w:vAlign w:val="bottom"/>
          </w:tcPr>
          <w:p>
            <w:pPr>
              <w:spacing w:after="0"/>
              <w:rPr>
                <w:sz w:val="1"/>
                <w:szCs w:val="1"/>
                <w:color w:val="auto"/>
              </w:rPr>
            </w:pPr>
          </w:p>
        </w:tc>
      </w:tr>
      <w:tr>
        <w:trPr>
          <w:trHeight w:val="158"/>
        </w:trPr>
        <w:tc>
          <w:tcPr>
            <w:tcW w:w="360" w:type="dxa"/>
            <w:vAlign w:val="bottom"/>
          </w:tcPr>
          <w:p>
            <w:pPr>
              <w:spacing w:after="0"/>
              <w:rPr>
                <w:sz w:val="13"/>
                <w:szCs w:val="13"/>
                <w:color w:val="auto"/>
              </w:rPr>
            </w:pPr>
          </w:p>
        </w:tc>
        <w:tc>
          <w:tcPr>
            <w:tcW w:w="2860" w:type="dxa"/>
            <w:vAlign w:val="bottom"/>
            <w:gridSpan w:val="9"/>
          </w:tcPr>
          <w:p>
            <w:pPr>
              <w:ind w:left="240"/>
              <w:spacing w:after="0"/>
              <w:rPr>
                <w:sz w:val="20"/>
                <w:szCs w:val="20"/>
                <w:color w:val="auto"/>
              </w:rPr>
            </w:pPr>
            <w:r>
              <w:rPr>
                <w:rFonts w:ascii="Arial" w:cs="Arial" w:eastAsia="Arial" w:hAnsi="Arial"/>
                <w:sz w:val="13"/>
                <w:szCs w:val="13"/>
                <w:color w:val="auto"/>
              </w:rPr>
              <w:t>to A3 by Moody’s</w:t>
            </w:r>
          </w:p>
        </w:tc>
        <w:tc>
          <w:tcPr>
            <w:tcW w:w="100" w:type="dxa"/>
            <w:vAlign w:val="bottom"/>
            <w:tcBorders>
              <w:top w:val="single" w:sz="8" w:color="auto"/>
            </w:tcBorders>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0"/>
              </w:rPr>
              <w:t>per annum</w:t>
            </w:r>
          </w:p>
        </w:tc>
        <w:tc>
          <w:tcPr>
            <w:tcW w:w="24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0"/>
              </w:rPr>
              <w:t>per annum</w:t>
            </w:r>
          </w:p>
        </w:tc>
        <w:tc>
          <w:tcPr>
            <w:tcW w:w="2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1"/>
              </w:rPr>
              <w:t>plus 0.5000%</w:t>
            </w:r>
          </w:p>
        </w:tc>
        <w:tc>
          <w:tcPr>
            <w:tcW w:w="2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87"/>
              </w:rPr>
              <w:t>Rate plus</w:t>
            </w: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0"/>
              </w:rPr>
              <w:t>per annum</w:t>
            </w:r>
          </w:p>
        </w:tc>
        <w:tc>
          <w:tcPr>
            <w:tcW w:w="2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2"/>
              </w:rPr>
              <w:t>1.5000% per</w:t>
            </w: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0"/>
              </w:rPr>
              <w:t>annum</w:t>
            </w:r>
          </w:p>
        </w:tc>
        <w:tc>
          <w:tcPr>
            <w:tcW w:w="0" w:type="dxa"/>
            <w:vAlign w:val="bottom"/>
          </w:tcPr>
          <w:p>
            <w:pPr>
              <w:spacing w:after="0"/>
              <w:rPr>
                <w:sz w:val="1"/>
                <w:szCs w:val="1"/>
                <w:color w:val="auto"/>
              </w:rPr>
            </w:pPr>
          </w:p>
        </w:tc>
      </w:tr>
      <w:tr>
        <w:trPr>
          <w:trHeight w:val="286"/>
        </w:trPr>
        <w:tc>
          <w:tcPr>
            <w:tcW w:w="360" w:type="dxa"/>
            <w:vAlign w:val="bottom"/>
          </w:tcPr>
          <w:p>
            <w:pPr>
              <w:spacing w:after="0"/>
              <w:rPr>
                <w:sz w:val="20"/>
                <w:szCs w:val="20"/>
                <w:color w:val="auto"/>
              </w:rPr>
            </w:pPr>
            <w:r>
              <w:rPr>
                <w:rFonts w:ascii="Arial" w:cs="Arial" w:eastAsia="Arial" w:hAnsi="Arial"/>
                <w:sz w:val="13"/>
                <w:szCs w:val="13"/>
                <w:color w:val="auto"/>
              </w:rPr>
              <w:t>2</w:t>
            </w:r>
          </w:p>
        </w:tc>
        <w:tc>
          <w:tcPr>
            <w:tcW w:w="4180" w:type="dxa"/>
            <w:vAlign w:val="bottom"/>
            <w:gridSpan w:val="14"/>
          </w:tcPr>
          <w:p>
            <w:pPr>
              <w:ind w:left="240"/>
              <w:spacing w:after="0"/>
              <w:rPr>
                <w:sz w:val="20"/>
                <w:szCs w:val="20"/>
                <w:color w:val="auto"/>
              </w:rPr>
            </w:pPr>
            <w:r>
              <w:rPr>
                <w:rFonts w:ascii="Arial" w:cs="Arial" w:eastAsia="Arial" w:hAnsi="Arial"/>
                <w:sz w:val="13"/>
                <w:szCs w:val="13"/>
                <w:color w:val="auto"/>
              </w:rPr>
              <w:t>BBB+ by Standard &amp; Poor’s or Baa1 by Moody’s</w:t>
            </w:r>
          </w:p>
        </w:tc>
        <w:tc>
          <w:tcPr>
            <w:tcW w:w="1720" w:type="dxa"/>
            <w:vAlign w:val="bottom"/>
            <w:gridSpan w:val="2"/>
          </w:tcPr>
          <w:p>
            <w:pPr>
              <w:jc w:val="center"/>
              <w:ind w:left="194"/>
              <w:spacing w:after="0"/>
              <w:rPr>
                <w:sz w:val="20"/>
                <w:szCs w:val="20"/>
                <w:color w:val="auto"/>
              </w:rPr>
            </w:pPr>
            <w:r>
              <w:rPr>
                <w:rFonts w:ascii="Arial" w:cs="Arial" w:eastAsia="Arial" w:hAnsi="Arial"/>
                <w:sz w:val="13"/>
                <w:szCs w:val="13"/>
                <w:color w:val="auto"/>
                <w:w w:val="89"/>
              </w:rPr>
              <w:t>0.3000%</w:t>
            </w:r>
          </w:p>
        </w:tc>
        <w:tc>
          <w:tcPr>
            <w:tcW w:w="1720" w:type="dxa"/>
            <w:vAlign w:val="bottom"/>
            <w:gridSpan w:val="2"/>
          </w:tcPr>
          <w:p>
            <w:pPr>
              <w:jc w:val="center"/>
              <w:ind w:left="194"/>
              <w:spacing w:after="0"/>
              <w:rPr>
                <w:sz w:val="20"/>
                <w:szCs w:val="20"/>
                <w:color w:val="auto"/>
              </w:rPr>
            </w:pPr>
            <w:r>
              <w:rPr>
                <w:rFonts w:ascii="Arial" w:cs="Arial" w:eastAsia="Arial" w:hAnsi="Arial"/>
                <w:sz w:val="13"/>
                <w:szCs w:val="13"/>
                <w:color w:val="auto"/>
                <w:w w:val="89"/>
              </w:rPr>
              <w:t>1.7000%</w:t>
            </w:r>
          </w:p>
        </w:tc>
        <w:tc>
          <w:tcPr>
            <w:tcW w:w="2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85"/>
              </w:rPr>
              <w:t>Base Rate</w:t>
            </w:r>
          </w:p>
        </w:tc>
        <w:tc>
          <w:tcPr>
            <w:tcW w:w="2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4"/>
              </w:rPr>
              <w:t>Eurodollar</w:t>
            </w:r>
          </w:p>
        </w:tc>
        <w:tc>
          <w:tcPr>
            <w:tcW w:w="0" w:type="dxa"/>
            <w:vAlign w:val="bottom"/>
          </w:tcPr>
          <w:p>
            <w:pPr>
              <w:spacing w:after="0"/>
              <w:rPr>
                <w:sz w:val="1"/>
                <w:szCs w:val="1"/>
                <w:color w:val="auto"/>
              </w:rPr>
            </w:pPr>
          </w:p>
        </w:tc>
      </w:tr>
      <w:tr>
        <w:trPr>
          <w:trHeight w:val="158"/>
        </w:trPr>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0"/>
              </w:rPr>
              <w:t>per annum</w:t>
            </w:r>
          </w:p>
        </w:tc>
        <w:tc>
          <w:tcPr>
            <w:tcW w:w="24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0"/>
              </w:rPr>
              <w:t>per annum</w:t>
            </w:r>
          </w:p>
        </w:tc>
        <w:tc>
          <w:tcPr>
            <w:tcW w:w="2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1"/>
              </w:rPr>
              <w:t>plus 0.7000%</w:t>
            </w:r>
          </w:p>
        </w:tc>
        <w:tc>
          <w:tcPr>
            <w:tcW w:w="2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87"/>
              </w:rPr>
              <w:t>Rate plus</w:t>
            </w: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0"/>
              </w:rPr>
              <w:t>per annum</w:t>
            </w:r>
          </w:p>
        </w:tc>
        <w:tc>
          <w:tcPr>
            <w:tcW w:w="2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2"/>
              </w:rPr>
              <w:t>1.7000% per</w:t>
            </w: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0"/>
              </w:rPr>
              <w:t>annum</w:t>
            </w:r>
          </w:p>
        </w:tc>
        <w:tc>
          <w:tcPr>
            <w:tcW w:w="0" w:type="dxa"/>
            <w:vAlign w:val="bottom"/>
          </w:tcPr>
          <w:p>
            <w:pPr>
              <w:spacing w:after="0"/>
              <w:rPr>
                <w:sz w:val="1"/>
                <w:szCs w:val="1"/>
                <w:color w:val="auto"/>
              </w:rPr>
            </w:pPr>
          </w:p>
        </w:tc>
      </w:tr>
      <w:tr>
        <w:trPr>
          <w:trHeight w:val="286"/>
        </w:trPr>
        <w:tc>
          <w:tcPr>
            <w:tcW w:w="360" w:type="dxa"/>
            <w:vAlign w:val="bottom"/>
          </w:tcPr>
          <w:p>
            <w:pPr>
              <w:spacing w:after="0"/>
              <w:rPr>
                <w:sz w:val="20"/>
                <w:szCs w:val="20"/>
                <w:color w:val="auto"/>
              </w:rPr>
            </w:pPr>
            <w:r>
              <w:rPr>
                <w:rFonts w:ascii="Arial" w:cs="Arial" w:eastAsia="Arial" w:hAnsi="Arial"/>
                <w:sz w:val="13"/>
                <w:szCs w:val="13"/>
                <w:color w:val="auto"/>
              </w:rPr>
              <w:t>3</w:t>
            </w:r>
          </w:p>
        </w:tc>
        <w:tc>
          <w:tcPr>
            <w:tcW w:w="4180" w:type="dxa"/>
            <w:vAlign w:val="bottom"/>
            <w:gridSpan w:val="14"/>
          </w:tcPr>
          <w:p>
            <w:pPr>
              <w:ind w:left="240"/>
              <w:spacing w:after="0"/>
              <w:rPr>
                <w:sz w:val="20"/>
                <w:szCs w:val="20"/>
                <w:color w:val="auto"/>
              </w:rPr>
            </w:pPr>
            <w:r>
              <w:rPr>
                <w:rFonts w:ascii="Arial" w:cs="Arial" w:eastAsia="Arial" w:hAnsi="Arial"/>
                <w:sz w:val="13"/>
                <w:szCs w:val="13"/>
                <w:color w:val="auto"/>
              </w:rPr>
              <w:t>BBB by Standard &amp; Poor’s or Baa2 by Moody’s</w:t>
            </w:r>
          </w:p>
        </w:tc>
        <w:tc>
          <w:tcPr>
            <w:tcW w:w="1720" w:type="dxa"/>
            <w:vAlign w:val="bottom"/>
            <w:gridSpan w:val="2"/>
          </w:tcPr>
          <w:p>
            <w:pPr>
              <w:jc w:val="center"/>
              <w:ind w:left="194"/>
              <w:spacing w:after="0"/>
              <w:rPr>
                <w:sz w:val="20"/>
                <w:szCs w:val="20"/>
                <w:color w:val="auto"/>
              </w:rPr>
            </w:pPr>
            <w:r>
              <w:rPr>
                <w:rFonts w:ascii="Arial" w:cs="Arial" w:eastAsia="Arial" w:hAnsi="Arial"/>
                <w:sz w:val="13"/>
                <w:szCs w:val="13"/>
                <w:color w:val="auto"/>
                <w:w w:val="89"/>
              </w:rPr>
              <w:t>0.3750%</w:t>
            </w:r>
          </w:p>
        </w:tc>
        <w:tc>
          <w:tcPr>
            <w:tcW w:w="1720" w:type="dxa"/>
            <w:vAlign w:val="bottom"/>
            <w:gridSpan w:val="2"/>
          </w:tcPr>
          <w:p>
            <w:pPr>
              <w:jc w:val="center"/>
              <w:ind w:left="194"/>
              <w:spacing w:after="0"/>
              <w:rPr>
                <w:sz w:val="20"/>
                <w:szCs w:val="20"/>
                <w:color w:val="auto"/>
              </w:rPr>
            </w:pPr>
            <w:r>
              <w:rPr>
                <w:rFonts w:ascii="Arial" w:cs="Arial" w:eastAsia="Arial" w:hAnsi="Arial"/>
                <w:sz w:val="13"/>
                <w:szCs w:val="13"/>
                <w:color w:val="auto"/>
                <w:w w:val="89"/>
              </w:rPr>
              <w:t>1.7500%</w:t>
            </w:r>
          </w:p>
        </w:tc>
        <w:tc>
          <w:tcPr>
            <w:tcW w:w="2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85"/>
              </w:rPr>
              <w:t>Base Rate</w:t>
            </w:r>
          </w:p>
        </w:tc>
        <w:tc>
          <w:tcPr>
            <w:tcW w:w="2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4"/>
              </w:rPr>
              <w:t>Eurodollar</w:t>
            </w:r>
          </w:p>
        </w:tc>
        <w:tc>
          <w:tcPr>
            <w:tcW w:w="0" w:type="dxa"/>
            <w:vAlign w:val="bottom"/>
          </w:tcPr>
          <w:p>
            <w:pPr>
              <w:spacing w:after="0"/>
              <w:rPr>
                <w:sz w:val="1"/>
                <w:szCs w:val="1"/>
                <w:color w:val="auto"/>
              </w:rPr>
            </w:pPr>
          </w:p>
        </w:tc>
      </w:tr>
      <w:tr>
        <w:trPr>
          <w:trHeight w:val="158"/>
        </w:trPr>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0"/>
              </w:rPr>
              <w:t>per annum</w:t>
            </w:r>
          </w:p>
        </w:tc>
        <w:tc>
          <w:tcPr>
            <w:tcW w:w="24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0"/>
              </w:rPr>
              <w:t>per annum</w:t>
            </w:r>
          </w:p>
        </w:tc>
        <w:tc>
          <w:tcPr>
            <w:tcW w:w="2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1"/>
              </w:rPr>
              <w:t>plus 0.7500%</w:t>
            </w:r>
          </w:p>
        </w:tc>
        <w:tc>
          <w:tcPr>
            <w:tcW w:w="2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87"/>
              </w:rPr>
              <w:t>Rate plus</w:t>
            </w: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0"/>
              </w:rPr>
              <w:t>per annum</w:t>
            </w:r>
          </w:p>
        </w:tc>
        <w:tc>
          <w:tcPr>
            <w:tcW w:w="2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2"/>
              </w:rPr>
              <w:t>1.7500% per</w:t>
            </w: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0"/>
              </w:rPr>
              <w:t>annum</w:t>
            </w:r>
          </w:p>
        </w:tc>
        <w:tc>
          <w:tcPr>
            <w:tcW w:w="0" w:type="dxa"/>
            <w:vAlign w:val="bottom"/>
          </w:tcPr>
          <w:p>
            <w:pPr>
              <w:spacing w:after="0"/>
              <w:rPr>
                <w:sz w:val="1"/>
                <w:szCs w:val="1"/>
                <w:color w:val="auto"/>
              </w:rPr>
            </w:pPr>
          </w:p>
        </w:tc>
      </w:tr>
      <w:tr>
        <w:trPr>
          <w:trHeight w:val="286"/>
        </w:trPr>
        <w:tc>
          <w:tcPr>
            <w:tcW w:w="360" w:type="dxa"/>
            <w:vAlign w:val="bottom"/>
          </w:tcPr>
          <w:p>
            <w:pPr>
              <w:spacing w:after="0"/>
              <w:rPr>
                <w:sz w:val="20"/>
                <w:szCs w:val="20"/>
                <w:color w:val="auto"/>
              </w:rPr>
            </w:pPr>
            <w:r>
              <w:rPr>
                <w:rFonts w:ascii="Arial" w:cs="Arial" w:eastAsia="Arial" w:hAnsi="Arial"/>
                <w:sz w:val="13"/>
                <w:szCs w:val="13"/>
                <w:color w:val="auto"/>
              </w:rPr>
              <w:t>4</w:t>
            </w:r>
          </w:p>
        </w:tc>
        <w:tc>
          <w:tcPr>
            <w:tcW w:w="4180" w:type="dxa"/>
            <w:vAlign w:val="bottom"/>
            <w:gridSpan w:val="14"/>
          </w:tcPr>
          <w:p>
            <w:pPr>
              <w:ind w:left="240"/>
              <w:spacing w:after="0"/>
              <w:rPr>
                <w:sz w:val="20"/>
                <w:szCs w:val="20"/>
                <w:color w:val="auto"/>
              </w:rPr>
            </w:pPr>
            <w:r>
              <w:rPr>
                <w:rFonts w:ascii="Arial" w:cs="Arial" w:eastAsia="Arial" w:hAnsi="Arial"/>
                <w:sz w:val="13"/>
                <w:szCs w:val="13"/>
                <w:color w:val="auto"/>
              </w:rPr>
              <w:t>BBB- by Standard &amp; Poor’s or Baa3 by Moody’s</w:t>
            </w:r>
          </w:p>
        </w:tc>
        <w:tc>
          <w:tcPr>
            <w:tcW w:w="1720" w:type="dxa"/>
            <w:vAlign w:val="bottom"/>
            <w:gridSpan w:val="2"/>
          </w:tcPr>
          <w:p>
            <w:pPr>
              <w:jc w:val="center"/>
              <w:ind w:left="194"/>
              <w:spacing w:after="0"/>
              <w:rPr>
                <w:sz w:val="20"/>
                <w:szCs w:val="20"/>
                <w:color w:val="auto"/>
              </w:rPr>
            </w:pPr>
            <w:r>
              <w:rPr>
                <w:rFonts w:ascii="Arial" w:cs="Arial" w:eastAsia="Arial" w:hAnsi="Arial"/>
                <w:sz w:val="13"/>
                <w:szCs w:val="13"/>
                <w:color w:val="auto"/>
                <w:w w:val="89"/>
              </w:rPr>
              <w:t>0.4500%</w:t>
            </w:r>
          </w:p>
        </w:tc>
        <w:tc>
          <w:tcPr>
            <w:tcW w:w="1720" w:type="dxa"/>
            <w:vAlign w:val="bottom"/>
            <w:gridSpan w:val="2"/>
          </w:tcPr>
          <w:p>
            <w:pPr>
              <w:jc w:val="center"/>
              <w:ind w:left="194"/>
              <w:spacing w:after="0"/>
              <w:rPr>
                <w:sz w:val="20"/>
                <w:szCs w:val="20"/>
                <w:color w:val="auto"/>
              </w:rPr>
            </w:pPr>
            <w:r>
              <w:rPr>
                <w:rFonts w:ascii="Arial" w:cs="Arial" w:eastAsia="Arial" w:hAnsi="Arial"/>
                <w:sz w:val="13"/>
                <w:szCs w:val="13"/>
                <w:color w:val="auto"/>
                <w:w w:val="89"/>
              </w:rPr>
              <w:t>2.0500%</w:t>
            </w:r>
          </w:p>
        </w:tc>
        <w:tc>
          <w:tcPr>
            <w:tcW w:w="2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85"/>
              </w:rPr>
              <w:t>Base Rate</w:t>
            </w:r>
          </w:p>
        </w:tc>
        <w:tc>
          <w:tcPr>
            <w:tcW w:w="2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4"/>
              </w:rPr>
              <w:t>Eurodollar</w:t>
            </w:r>
          </w:p>
        </w:tc>
        <w:tc>
          <w:tcPr>
            <w:tcW w:w="0" w:type="dxa"/>
            <w:vAlign w:val="bottom"/>
          </w:tcPr>
          <w:p>
            <w:pPr>
              <w:spacing w:after="0"/>
              <w:rPr>
                <w:sz w:val="1"/>
                <w:szCs w:val="1"/>
                <w:color w:val="auto"/>
              </w:rPr>
            </w:pPr>
          </w:p>
        </w:tc>
      </w:tr>
      <w:tr>
        <w:trPr>
          <w:trHeight w:val="158"/>
        </w:trPr>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0"/>
              </w:rPr>
              <w:t>per annum</w:t>
            </w:r>
          </w:p>
        </w:tc>
        <w:tc>
          <w:tcPr>
            <w:tcW w:w="24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0"/>
              </w:rPr>
              <w:t>per annum</w:t>
            </w:r>
          </w:p>
        </w:tc>
        <w:tc>
          <w:tcPr>
            <w:tcW w:w="2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1"/>
              </w:rPr>
              <w:t>plus 1.0500%</w:t>
            </w:r>
          </w:p>
        </w:tc>
        <w:tc>
          <w:tcPr>
            <w:tcW w:w="2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87"/>
              </w:rPr>
              <w:t>Rate plus</w:t>
            </w: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0"/>
              </w:rPr>
              <w:t>per annum</w:t>
            </w:r>
          </w:p>
        </w:tc>
        <w:tc>
          <w:tcPr>
            <w:tcW w:w="2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2"/>
              </w:rPr>
              <w:t>2.0500% per</w:t>
            </w: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0"/>
              </w:rPr>
              <w:t>annum</w:t>
            </w:r>
          </w:p>
        </w:tc>
        <w:tc>
          <w:tcPr>
            <w:tcW w:w="0" w:type="dxa"/>
            <w:vAlign w:val="bottom"/>
          </w:tcPr>
          <w:p>
            <w:pPr>
              <w:spacing w:after="0"/>
              <w:rPr>
                <w:sz w:val="1"/>
                <w:szCs w:val="1"/>
                <w:color w:val="auto"/>
              </w:rPr>
            </w:pPr>
          </w:p>
        </w:tc>
      </w:tr>
      <w:tr>
        <w:trPr>
          <w:trHeight w:val="286"/>
        </w:trPr>
        <w:tc>
          <w:tcPr>
            <w:tcW w:w="360" w:type="dxa"/>
            <w:vAlign w:val="bottom"/>
          </w:tcPr>
          <w:p>
            <w:pPr>
              <w:spacing w:after="0"/>
              <w:rPr>
                <w:sz w:val="20"/>
                <w:szCs w:val="20"/>
                <w:color w:val="auto"/>
              </w:rPr>
            </w:pPr>
            <w:r>
              <w:rPr>
                <w:rFonts w:ascii="Arial" w:cs="Arial" w:eastAsia="Arial" w:hAnsi="Arial"/>
                <w:sz w:val="13"/>
                <w:szCs w:val="13"/>
                <w:color w:val="auto"/>
              </w:rPr>
              <w:t>5</w:t>
            </w:r>
          </w:p>
        </w:tc>
        <w:tc>
          <w:tcPr>
            <w:tcW w:w="4180" w:type="dxa"/>
            <w:vAlign w:val="bottom"/>
            <w:gridSpan w:val="14"/>
          </w:tcPr>
          <w:p>
            <w:pPr>
              <w:ind w:left="240"/>
              <w:spacing w:after="0"/>
              <w:rPr>
                <w:sz w:val="20"/>
                <w:szCs w:val="20"/>
                <w:color w:val="auto"/>
              </w:rPr>
            </w:pPr>
            <w:r>
              <w:rPr>
                <w:rFonts w:ascii="Arial" w:cs="Arial" w:eastAsia="Arial" w:hAnsi="Arial"/>
                <w:sz w:val="13"/>
                <w:szCs w:val="13"/>
                <w:color w:val="auto"/>
                <w:w w:val="95"/>
              </w:rPr>
              <w:t>Less than or equal to BB+ by Standard &amp; Poor’s or less than or equal to</w:t>
            </w:r>
          </w:p>
        </w:tc>
        <w:tc>
          <w:tcPr>
            <w:tcW w:w="1720" w:type="dxa"/>
            <w:vAlign w:val="bottom"/>
            <w:gridSpan w:val="2"/>
          </w:tcPr>
          <w:p>
            <w:pPr>
              <w:jc w:val="center"/>
              <w:ind w:left="194"/>
              <w:spacing w:after="0"/>
              <w:rPr>
                <w:sz w:val="20"/>
                <w:szCs w:val="20"/>
                <w:color w:val="auto"/>
              </w:rPr>
            </w:pPr>
            <w:r>
              <w:rPr>
                <w:rFonts w:ascii="Arial" w:cs="Arial" w:eastAsia="Arial" w:hAnsi="Arial"/>
                <w:sz w:val="13"/>
                <w:szCs w:val="13"/>
                <w:color w:val="auto"/>
                <w:w w:val="89"/>
              </w:rPr>
              <w:t>0.6000%</w:t>
            </w:r>
          </w:p>
        </w:tc>
        <w:tc>
          <w:tcPr>
            <w:tcW w:w="1720" w:type="dxa"/>
            <w:vAlign w:val="bottom"/>
            <w:gridSpan w:val="2"/>
          </w:tcPr>
          <w:p>
            <w:pPr>
              <w:jc w:val="center"/>
              <w:ind w:left="194"/>
              <w:spacing w:after="0"/>
              <w:rPr>
                <w:sz w:val="20"/>
                <w:szCs w:val="20"/>
                <w:color w:val="auto"/>
              </w:rPr>
            </w:pPr>
            <w:r>
              <w:rPr>
                <w:rFonts w:ascii="Arial" w:cs="Arial" w:eastAsia="Arial" w:hAnsi="Arial"/>
                <w:sz w:val="13"/>
                <w:szCs w:val="13"/>
                <w:color w:val="auto"/>
                <w:w w:val="89"/>
              </w:rPr>
              <w:t>2.4000%</w:t>
            </w:r>
          </w:p>
        </w:tc>
        <w:tc>
          <w:tcPr>
            <w:tcW w:w="2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85"/>
              </w:rPr>
              <w:t>Base Rate</w:t>
            </w:r>
          </w:p>
        </w:tc>
        <w:tc>
          <w:tcPr>
            <w:tcW w:w="2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4"/>
              </w:rPr>
              <w:t>Eurodollar</w:t>
            </w:r>
          </w:p>
        </w:tc>
        <w:tc>
          <w:tcPr>
            <w:tcW w:w="0" w:type="dxa"/>
            <w:vAlign w:val="bottom"/>
          </w:tcPr>
          <w:p>
            <w:pPr>
              <w:spacing w:after="0"/>
              <w:rPr>
                <w:sz w:val="1"/>
                <w:szCs w:val="1"/>
                <w:color w:val="auto"/>
              </w:rPr>
            </w:pPr>
          </w:p>
        </w:tc>
      </w:tr>
      <w:tr>
        <w:trPr>
          <w:trHeight w:val="158"/>
        </w:trPr>
        <w:tc>
          <w:tcPr>
            <w:tcW w:w="360" w:type="dxa"/>
            <w:vAlign w:val="bottom"/>
          </w:tcPr>
          <w:p>
            <w:pPr>
              <w:spacing w:after="0"/>
              <w:rPr>
                <w:sz w:val="13"/>
                <w:szCs w:val="13"/>
                <w:color w:val="auto"/>
              </w:rPr>
            </w:pPr>
          </w:p>
        </w:tc>
        <w:tc>
          <w:tcPr>
            <w:tcW w:w="2820" w:type="dxa"/>
            <w:vAlign w:val="bottom"/>
            <w:gridSpan w:val="8"/>
          </w:tcPr>
          <w:p>
            <w:pPr>
              <w:ind w:left="240"/>
              <w:spacing w:after="0"/>
              <w:rPr>
                <w:sz w:val="20"/>
                <w:szCs w:val="20"/>
                <w:color w:val="auto"/>
              </w:rPr>
            </w:pPr>
            <w:r>
              <w:rPr>
                <w:rFonts w:ascii="Arial" w:cs="Arial" w:eastAsia="Arial" w:hAnsi="Arial"/>
                <w:sz w:val="13"/>
                <w:szCs w:val="13"/>
                <w:color w:val="auto"/>
              </w:rPr>
              <w:t>Ba1 by Moody’s</w:t>
            </w:r>
          </w:p>
        </w:tc>
        <w:tc>
          <w:tcPr>
            <w:tcW w:w="100" w:type="dxa"/>
            <w:vAlign w:val="bottom"/>
            <w:tcBorders>
              <w:top w:val="single" w:sz="8" w:color="auto"/>
            </w:tcBorders>
            <w:gridSpan w:val="2"/>
          </w:tcPr>
          <w:p>
            <w:pPr>
              <w:spacing w:after="0"/>
              <w:rPr>
                <w:sz w:val="13"/>
                <w:szCs w:val="13"/>
                <w:color w:val="auto"/>
              </w:rPr>
            </w:pPr>
          </w:p>
        </w:tc>
        <w:tc>
          <w:tcPr>
            <w:tcW w:w="1260" w:type="dxa"/>
            <w:vAlign w:val="bottom"/>
            <w:gridSpan w:val="4"/>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0"/>
              </w:rPr>
              <w:t>per annum</w:t>
            </w:r>
          </w:p>
        </w:tc>
        <w:tc>
          <w:tcPr>
            <w:tcW w:w="24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0"/>
              </w:rPr>
              <w:t>per annum</w:t>
            </w:r>
          </w:p>
        </w:tc>
        <w:tc>
          <w:tcPr>
            <w:tcW w:w="2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1"/>
              </w:rPr>
              <w:t>plus 1.4000%</w:t>
            </w:r>
          </w:p>
        </w:tc>
        <w:tc>
          <w:tcPr>
            <w:tcW w:w="2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87"/>
              </w:rPr>
              <w:t>Rate plus</w:t>
            </w: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0"/>
              </w:rPr>
              <w:t>per annum</w:t>
            </w:r>
          </w:p>
        </w:tc>
        <w:tc>
          <w:tcPr>
            <w:tcW w:w="2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2"/>
              </w:rPr>
              <w:t>2.4000% per</w:t>
            </w: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0"/>
              </w:rPr>
              <w:t>annum</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100"/>
        <w:spacing w:after="0" w:line="276" w:lineRule="auto"/>
        <w:rPr>
          <w:sz w:val="20"/>
          <w:szCs w:val="20"/>
          <w:color w:val="auto"/>
        </w:rPr>
      </w:pPr>
      <w:r>
        <w:rPr>
          <w:rFonts w:ascii="Arial" w:cs="Arial" w:eastAsia="Arial" w:hAnsi="Arial"/>
          <w:sz w:val="13"/>
          <w:szCs w:val="13"/>
          <w:color w:val="auto"/>
        </w:rPr>
        <w:t xml:space="preserve">The applicable rates charged for any day shall be determined by the higher Senior Public Debt Rating in effect as of that day,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the higher Senior Public Debt Rating is more than one level higher than the lower Senior Public Debt Rating, the applicable rate shall be set at one level below the higher Senior Public Debt Rating.</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RCRA</w:t>
      </w:r>
      <w:r>
        <w:rPr>
          <w:rFonts w:ascii="Arial" w:cs="Arial" w:eastAsia="Arial" w:hAnsi="Arial"/>
          <w:sz w:val="13"/>
          <w:szCs w:val="13"/>
          <w:color w:val="auto"/>
        </w:rPr>
        <w:t>. See §6.15(a).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Real Property</w:t>
      </w:r>
      <w:r>
        <w:rPr>
          <w:rFonts w:ascii="Arial" w:cs="Arial" w:eastAsia="Arial" w:hAnsi="Arial"/>
          <w:sz w:val="13"/>
          <w:szCs w:val="13"/>
          <w:color w:val="auto"/>
        </w:rPr>
        <w:t>. All real property heretofore, now, or hereafter owned, operated, or leased by the Borrower or any of its Subsidiaries.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Reimbursement Obligation</w:t>
      </w:r>
      <w:r>
        <w:rPr>
          <w:rFonts w:ascii="Arial" w:cs="Arial" w:eastAsia="Arial" w:hAnsi="Arial"/>
          <w:sz w:val="13"/>
          <w:szCs w:val="13"/>
          <w:color w:val="auto"/>
        </w:rPr>
        <w:t>. The Borrower’s obligation to reimburse the applicable Issuing Bank and the Banks on account of any drawing under any Letter of Credit, all as provided in §3.2.</w:t>
      </w:r>
    </w:p>
    <w:p>
      <w:pPr>
        <w:spacing w:after="0" w:line="86" w:lineRule="exact"/>
        <w:rPr>
          <w:sz w:val="20"/>
          <w:szCs w:val="20"/>
          <w:color w:val="auto"/>
        </w:rPr>
      </w:pPr>
    </w:p>
    <w:p>
      <w:pPr>
        <w:ind w:right="220" w:firstLine="164"/>
        <w:spacing w:after="0" w:line="276" w:lineRule="auto"/>
        <w:rPr>
          <w:sz w:val="20"/>
          <w:szCs w:val="20"/>
          <w:color w:val="auto"/>
        </w:rPr>
      </w:pPr>
      <w:r>
        <w:rPr>
          <w:rFonts w:ascii="Arial" w:cs="Arial" w:eastAsia="Arial" w:hAnsi="Arial"/>
          <w:sz w:val="13"/>
          <w:szCs w:val="13"/>
          <w:u w:val="single" w:color="auto"/>
          <w:color w:val="auto"/>
        </w:rPr>
        <w:t>Release</w:t>
      </w:r>
      <w:r>
        <w:rPr>
          <w:rFonts w:ascii="Arial" w:cs="Arial" w:eastAsia="Arial" w:hAnsi="Arial"/>
          <w:sz w:val="13"/>
          <w:szCs w:val="13"/>
          <w:color w:val="auto"/>
        </w:rPr>
        <w:t xml:space="preserve">. Shall have the meaning specified in CERCLA and the term “Disposal” (or “Disposed”) shall have the meaning specified in the RCRA and regulations promulgated thereunder; </w:t>
      </w:r>
      <w:r>
        <w:rPr>
          <w:rFonts w:ascii="Arial" w:cs="Arial" w:eastAsia="Arial" w:hAnsi="Arial"/>
          <w:sz w:val="13"/>
          <w:szCs w:val="13"/>
          <w:u w:val="single" w:color="auto"/>
          <w:color w:val="auto"/>
        </w:rPr>
        <w:t>provided</w:t>
      </w:r>
      <w:r>
        <w:rPr>
          <w:rFonts w:ascii="Arial" w:cs="Arial" w:eastAsia="Arial" w:hAnsi="Arial"/>
          <w:sz w:val="13"/>
          <w:szCs w:val="13"/>
          <w:color w:val="auto"/>
        </w:rPr>
        <w:t>, that in the event either CERCLA or RCRA is amended so as to</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2" w:name="page113"/>
    <w:bookmarkEnd w:id="112"/>
    <w:p>
      <w:pPr>
        <w:spacing w:after="0" w:line="264" w:lineRule="auto"/>
        <w:rPr>
          <w:sz w:val="20"/>
          <w:szCs w:val="20"/>
          <w:color w:val="auto"/>
        </w:rPr>
      </w:pPr>
      <w:r>
        <w:rPr>
          <w:rFonts w:ascii="Arial" w:cs="Arial" w:eastAsia="Arial" w:hAnsi="Arial"/>
          <w:sz w:val="13"/>
          <w:szCs w:val="13"/>
          <w:color w:val="auto"/>
        </w:rPr>
        <w:t>broaden the meaning of any term defined thereby, such broader meaning shall apply as of the effective date of such amendment and provided further, to the extent that the laws of Canada or a state, province, territory or other political subdivision thereof wherein the property lies establish a meaning for “Release” or “Disposal” which is broader than specified in either CERCLA, or RCRA, such broader meaning shall apply to the Borrower’s or any of its Subsidiaries’ activities in that state, province, territory or political subdivision.</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Replacement Bank</w:t>
      </w:r>
      <w:r>
        <w:rPr>
          <w:rFonts w:ascii="Arial" w:cs="Arial" w:eastAsia="Arial" w:hAnsi="Arial"/>
          <w:sz w:val="13"/>
          <w:szCs w:val="13"/>
          <w:color w:val="auto"/>
        </w:rPr>
        <w:t>. See §5.12.</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Replacement Notice</w:t>
      </w:r>
      <w:r>
        <w:rPr>
          <w:rFonts w:ascii="Arial" w:cs="Arial" w:eastAsia="Arial" w:hAnsi="Arial"/>
          <w:sz w:val="13"/>
          <w:szCs w:val="13"/>
          <w:color w:val="auto"/>
        </w:rPr>
        <w:t>. See §5.12.</w:t>
      </w:r>
    </w:p>
    <w:p>
      <w:pPr>
        <w:spacing w:after="0" w:line="86" w:lineRule="exact"/>
        <w:rPr>
          <w:sz w:val="20"/>
          <w:szCs w:val="20"/>
          <w:color w:val="auto"/>
        </w:rPr>
      </w:pPr>
    </w:p>
    <w:p>
      <w:pPr>
        <w:ind w:right="180" w:firstLine="164"/>
        <w:spacing w:after="0" w:line="264" w:lineRule="auto"/>
        <w:rPr>
          <w:sz w:val="20"/>
          <w:szCs w:val="20"/>
          <w:color w:val="auto"/>
        </w:rPr>
      </w:pPr>
      <w:r>
        <w:rPr>
          <w:rFonts w:ascii="Arial" w:cs="Arial" w:eastAsia="Arial" w:hAnsi="Arial"/>
          <w:sz w:val="13"/>
          <w:szCs w:val="13"/>
          <w:u w:val="single" w:color="auto"/>
          <w:color w:val="auto"/>
        </w:rPr>
        <w:t>Revaluation Date</w:t>
      </w:r>
      <w:r>
        <w:rPr>
          <w:rFonts w:ascii="Arial" w:cs="Arial" w:eastAsia="Arial" w:hAnsi="Arial"/>
          <w:sz w:val="13"/>
          <w:szCs w:val="13"/>
          <w:color w:val="auto"/>
        </w:rPr>
        <w:t>. With respect to any Canadian Letter of Credit, each of the following: (i) each date of the issuance of , (ii) each date of an amendment thereof having the effect of increasing the amount thereof (solely with respect to the increased amount), (iii) each date of any payment by the applicable Issuing Bank thereunder, and (iv) such additional dates as the Administrative Agent or the applicable Issuing Bank shall determine or the Majority Banks shall require.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Senior Public Debt Rating</w:t>
      </w:r>
      <w:r>
        <w:rPr>
          <w:rFonts w:ascii="Arial" w:cs="Arial" w:eastAsia="Arial" w:hAnsi="Arial"/>
          <w:sz w:val="13"/>
          <w:szCs w:val="13"/>
          <w:color w:val="auto"/>
        </w:rPr>
        <w:t>. The ratings of the Borrower’s public unsecured long-term senior debt, without third party credit enhancement, issued by Moody’s and Standard &amp; Poor’s.</w:t>
      </w:r>
    </w:p>
    <w:p>
      <w:pPr>
        <w:spacing w:after="0" w:line="86" w:lineRule="exact"/>
        <w:rPr>
          <w:sz w:val="20"/>
          <w:szCs w:val="20"/>
          <w:color w:val="auto"/>
        </w:rPr>
      </w:pPr>
    </w:p>
    <w:p>
      <w:pPr>
        <w:ind w:right="220" w:firstLine="164"/>
        <w:spacing w:after="0" w:line="276" w:lineRule="auto"/>
        <w:rPr>
          <w:sz w:val="20"/>
          <w:szCs w:val="20"/>
          <w:color w:val="auto"/>
        </w:rPr>
      </w:pPr>
      <w:r>
        <w:rPr>
          <w:rFonts w:ascii="Arial" w:cs="Arial" w:eastAsia="Arial" w:hAnsi="Arial"/>
          <w:sz w:val="13"/>
          <w:szCs w:val="13"/>
          <w:u w:val="single" w:color="auto"/>
          <w:color w:val="auto"/>
        </w:rPr>
        <w:t>Significant Subsidiary</w:t>
      </w:r>
      <w:r>
        <w:rPr>
          <w:rFonts w:ascii="Arial" w:cs="Arial" w:eastAsia="Arial" w:hAnsi="Arial"/>
          <w:sz w:val="13"/>
          <w:szCs w:val="13"/>
          <w:color w:val="auto"/>
        </w:rPr>
        <w:t>. At any time, a Subsidiary that at such time meets the definition of “significant subsidiary” contained in Regulation S-X of the Securities and Exchange Commission as in effect on the date hereof, but as if each reference in said definition to the figure “10 percent” were a reference to the figure “3 percent”.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Standard &amp; Poor’s</w:t>
      </w:r>
      <w:r>
        <w:rPr>
          <w:rFonts w:ascii="Arial" w:cs="Arial" w:eastAsia="Arial" w:hAnsi="Arial"/>
          <w:sz w:val="13"/>
          <w:szCs w:val="13"/>
          <w:color w:val="auto"/>
        </w:rPr>
        <w:t>. Standard &amp; Poor’s Ratings Services, a division of The McGraw-Hill Companies, Inc.</w:t>
      </w:r>
    </w:p>
    <w:p>
      <w:pPr>
        <w:spacing w:after="0" w:line="86" w:lineRule="exact"/>
        <w:rPr>
          <w:sz w:val="20"/>
          <w:szCs w:val="20"/>
          <w:color w:val="auto"/>
        </w:rPr>
      </w:pPr>
    </w:p>
    <w:p>
      <w:pPr>
        <w:jc w:val="both"/>
        <w:ind w:firstLine="164"/>
        <w:spacing w:after="0" w:line="264" w:lineRule="auto"/>
        <w:rPr>
          <w:sz w:val="20"/>
          <w:szCs w:val="20"/>
          <w:color w:val="auto"/>
        </w:rPr>
      </w:pPr>
      <w:r>
        <w:rPr>
          <w:rFonts w:ascii="Arial" w:cs="Arial" w:eastAsia="Arial" w:hAnsi="Arial"/>
          <w:sz w:val="13"/>
          <w:szCs w:val="13"/>
          <w:u w:val="single" w:color="auto"/>
          <w:color w:val="auto"/>
        </w:rPr>
        <w:t>Subsidiary</w:t>
      </w:r>
      <w:r>
        <w:rPr>
          <w:rFonts w:ascii="Arial" w:cs="Arial" w:eastAsia="Arial" w:hAnsi="Arial"/>
          <w:sz w:val="13"/>
          <w:szCs w:val="13"/>
          <w:color w:val="auto"/>
        </w:rPr>
        <w:t>. As to any Person, any corporation, association, trust, or other business entity of which such Person shall at any time own, directly or indirectly, at least a majority of the outstanding capital stock or other interest entitled to vote generally and whose financial results are required to be consolidated with the financial results of the designated parent in accordance with GAAP. Unless otherwise specified herein or the context otherwise requires, any reference herein to a Subsidiary shall be deemed to refer to a Subsidiary of the Borrower.</w:t>
      </w:r>
    </w:p>
    <w:p>
      <w:pPr>
        <w:spacing w:after="0" w:line="57" w:lineRule="exact"/>
        <w:rPr>
          <w:sz w:val="20"/>
          <w:szCs w:val="20"/>
          <w:color w:val="auto"/>
        </w:rPr>
      </w:pPr>
    </w:p>
    <w:p>
      <w:pPr>
        <w:ind w:right="60" w:firstLine="164"/>
        <w:spacing w:after="0" w:line="276" w:lineRule="auto"/>
        <w:rPr>
          <w:sz w:val="20"/>
          <w:szCs w:val="20"/>
          <w:color w:val="auto"/>
        </w:rPr>
      </w:pPr>
      <w:r>
        <w:rPr>
          <w:rFonts w:ascii="Arial" w:cs="Arial" w:eastAsia="Arial" w:hAnsi="Arial"/>
          <w:sz w:val="13"/>
          <w:szCs w:val="13"/>
          <w:u w:val="single" w:color="auto"/>
          <w:color w:val="auto"/>
        </w:rPr>
        <w:t>Swap Contracts</w:t>
      </w:r>
      <w:r>
        <w:rPr>
          <w:rFonts w:ascii="Arial" w:cs="Arial" w:eastAsia="Arial" w:hAnsi="Arial"/>
          <w:sz w:val="13"/>
          <w:szCs w:val="13"/>
          <w:color w:val="auto"/>
        </w:rPr>
        <w:t>. All obligations in respect of interest rate, currency or commodity exchange, forward, swap, or futures contracts or similar transactions or arrangements entered into to protect or hedge the Borrower and its Subsidiaries against interest rate, exchange rate or commodity price risks or exposure, or to lower or diversify their funding costs.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Swing Line Bank</w:t>
      </w:r>
      <w:r>
        <w:rPr>
          <w:rFonts w:ascii="Arial" w:cs="Arial" w:eastAsia="Arial" w:hAnsi="Arial"/>
          <w:sz w:val="13"/>
          <w:szCs w:val="13"/>
          <w:color w:val="auto"/>
        </w:rPr>
        <w:t>. Bank of America.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Swing Line Loan</w:t>
      </w:r>
      <w:r>
        <w:rPr>
          <w:rFonts w:ascii="Arial" w:cs="Arial" w:eastAsia="Arial" w:hAnsi="Arial"/>
          <w:sz w:val="13"/>
          <w:szCs w:val="13"/>
          <w:color w:val="auto"/>
        </w:rPr>
        <w:t>. See §2.11(a).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Swing Line Loan Notice</w:t>
      </w:r>
      <w:r>
        <w:rPr>
          <w:rFonts w:ascii="Arial" w:cs="Arial" w:eastAsia="Arial" w:hAnsi="Arial"/>
          <w:sz w:val="13"/>
          <w:szCs w:val="13"/>
          <w:color w:val="auto"/>
        </w:rPr>
        <w:t>. A notice of a Swing Line Borrowing pursuant to §2.11, which, if in writing, shall be substantially in the form of Exhibit B.</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13" w:name="page114"/>
    <w:bookmarkEnd w:id="113"/>
    <w:p>
      <w:pPr>
        <w:ind w:left="160"/>
        <w:spacing w:after="0"/>
        <w:rPr>
          <w:sz w:val="20"/>
          <w:szCs w:val="20"/>
          <w:color w:val="auto"/>
        </w:rPr>
      </w:pPr>
      <w:r>
        <w:rPr>
          <w:rFonts w:ascii="Arial" w:cs="Arial" w:eastAsia="Arial" w:hAnsi="Arial"/>
          <w:sz w:val="13"/>
          <w:szCs w:val="13"/>
          <w:u w:val="single" w:color="auto"/>
          <w:color w:val="auto"/>
        </w:rPr>
        <w:t>Swing Line Sublimit</w:t>
      </w:r>
      <w:r>
        <w:rPr>
          <w:rFonts w:ascii="Arial" w:cs="Arial" w:eastAsia="Arial" w:hAnsi="Arial"/>
          <w:sz w:val="13"/>
          <w:szCs w:val="13"/>
          <w:color w:val="auto"/>
        </w:rPr>
        <w:t>. An amount equal to the lesser of (a) $100,000,000 and (b) the Total Commitments. The Swing Line Sublimit is part of, and not in addition to, the Total Commitments.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Syndicated Loan Request</w:t>
      </w:r>
      <w:r>
        <w:rPr>
          <w:rFonts w:ascii="Arial" w:cs="Arial" w:eastAsia="Arial" w:hAnsi="Arial"/>
          <w:sz w:val="13"/>
          <w:szCs w:val="13"/>
          <w:color w:val="auto"/>
        </w:rPr>
        <w:t>. See §2.6(a).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Syndicated Loans</w:t>
      </w:r>
      <w:r>
        <w:rPr>
          <w:rFonts w:ascii="Arial" w:cs="Arial" w:eastAsia="Arial" w:hAnsi="Arial"/>
          <w:sz w:val="13"/>
          <w:szCs w:val="13"/>
          <w:color w:val="auto"/>
        </w:rPr>
        <w:t>. A Borrowing hereunder consisting of one or more loans made by the Banks to the Borrower under the procedures described in §2.1(a).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Terminated Plans</w:t>
      </w:r>
      <w:r>
        <w:rPr>
          <w:rFonts w:ascii="Arial" w:cs="Arial" w:eastAsia="Arial" w:hAnsi="Arial"/>
          <w:sz w:val="13"/>
          <w:szCs w:val="13"/>
          <w:color w:val="auto"/>
        </w:rPr>
        <w:t>. The Waste Management, Inc. Pension Plan and The Waste Management of Alameda County, Inc. Retirement Plan.</w:t>
      </w:r>
    </w:p>
    <w:p>
      <w:pPr>
        <w:spacing w:after="0" w:line="86" w:lineRule="exact"/>
        <w:rPr>
          <w:sz w:val="20"/>
          <w:szCs w:val="20"/>
          <w:color w:val="auto"/>
        </w:rPr>
      </w:pPr>
    </w:p>
    <w:p>
      <w:pPr>
        <w:ind w:right="120" w:firstLine="164"/>
        <w:spacing w:after="0" w:line="276" w:lineRule="auto"/>
        <w:rPr>
          <w:sz w:val="20"/>
          <w:szCs w:val="20"/>
          <w:color w:val="auto"/>
        </w:rPr>
      </w:pPr>
      <w:r>
        <w:rPr>
          <w:rFonts w:ascii="Arial" w:cs="Arial" w:eastAsia="Arial" w:hAnsi="Arial"/>
          <w:sz w:val="13"/>
          <w:szCs w:val="13"/>
          <w:u w:val="single" w:color="auto"/>
          <w:color w:val="auto"/>
        </w:rPr>
        <w:t>Total Commitment</w:t>
      </w:r>
      <w:r>
        <w:rPr>
          <w:rFonts w:ascii="Arial" w:cs="Arial" w:eastAsia="Arial" w:hAnsi="Arial"/>
          <w:sz w:val="13"/>
          <w:szCs w:val="13"/>
          <w:color w:val="auto"/>
        </w:rPr>
        <w:t>. Initially $2,000,000,000, as such amount may be increased or reduced in accordance with the terms hereof, or, if such Total Commitment has been terminated pursuant to §2.3.1 or §12.2 hereof, zero.</w:t>
      </w:r>
    </w:p>
    <w:p>
      <w:pPr>
        <w:spacing w:after="0" w:line="49" w:lineRule="exact"/>
        <w:rPr>
          <w:sz w:val="20"/>
          <w:szCs w:val="20"/>
          <w:color w:val="auto"/>
        </w:rPr>
      </w:pPr>
    </w:p>
    <w:p>
      <w:pPr>
        <w:jc w:val="both"/>
        <w:ind w:right="80" w:firstLine="164"/>
        <w:spacing w:after="0" w:line="264" w:lineRule="auto"/>
        <w:rPr>
          <w:sz w:val="20"/>
          <w:szCs w:val="20"/>
          <w:color w:val="auto"/>
        </w:rPr>
      </w:pPr>
      <w:r>
        <w:rPr>
          <w:rFonts w:ascii="Arial" w:cs="Arial" w:eastAsia="Arial" w:hAnsi="Arial"/>
          <w:sz w:val="13"/>
          <w:szCs w:val="13"/>
          <w:u w:val="single" w:color="auto"/>
          <w:color w:val="auto"/>
        </w:rPr>
        <w:t>Total Debt</w:t>
      </w:r>
      <w:r>
        <w:rPr>
          <w:rFonts w:ascii="Arial" w:cs="Arial" w:eastAsia="Arial" w:hAnsi="Arial"/>
          <w:sz w:val="13"/>
          <w:szCs w:val="13"/>
          <w:color w:val="auto"/>
        </w:rPr>
        <w:t>. The sum, without duplication, of all (1) Indebtedness of the Borrower on a consolidated basis under subsections (a) through (h) of the definition of “Indebtedness” (provided, however, that Indebtedness with respect to Permitted Receivables Transactions shall not be included in such calculation), plus (2) non-contingent reimbursement obligations of the Borrower and its Subsidiaries with respect to drawings under any letters of credit.</w:t>
      </w:r>
    </w:p>
    <w:p>
      <w:pPr>
        <w:spacing w:after="0" w:line="57"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u w:val="single" w:color="auto"/>
          <w:color w:val="auto"/>
        </w:rPr>
        <w:t>Type</w:t>
      </w:r>
      <w:r>
        <w:rPr>
          <w:rFonts w:ascii="Arial" w:cs="Arial" w:eastAsia="Arial" w:hAnsi="Arial"/>
          <w:sz w:val="13"/>
          <w:szCs w:val="13"/>
          <w:color w:val="auto"/>
        </w:rPr>
        <w:t>. When used in reference to any Loan, refers to whether the rate of interest on such Loan is determined by reference to the Eurodollar Rate, the Base Rate or, in the case of a Competitive Bid Loan, whether it is a Eurodollar Competitive Bid Loan or Absolute Competitive Bid Loan.</w:t>
      </w:r>
    </w:p>
    <w:p>
      <w:pPr>
        <w:spacing w:after="0" w:line="49" w:lineRule="exact"/>
        <w:rPr>
          <w:sz w:val="20"/>
          <w:szCs w:val="20"/>
          <w:color w:val="auto"/>
        </w:rPr>
      </w:pPr>
    </w:p>
    <w:p>
      <w:pPr>
        <w:ind w:right="160" w:firstLine="164"/>
        <w:spacing w:after="0" w:line="276" w:lineRule="auto"/>
        <w:rPr>
          <w:sz w:val="20"/>
          <w:szCs w:val="20"/>
          <w:color w:val="auto"/>
        </w:rPr>
      </w:pPr>
      <w:r>
        <w:rPr>
          <w:rFonts w:ascii="Arial" w:cs="Arial" w:eastAsia="Arial" w:hAnsi="Arial"/>
          <w:sz w:val="13"/>
          <w:szCs w:val="13"/>
          <w:u w:val="single" w:color="auto"/>
          <w:color w:val="auto"/>
        </w:rPr>
        <w:t>U.S. Dollar Equivalent</w:t>
      </w:r>
      <w:r>
        <w:rPr>
          <w:rFonts w:ascii="Arial" w:cs="Arial" w:eastAsia="Arial" w:hAnsi="Arial"/>
          <w:sz w:val="13"/>
          <w:szCs w:val="13"/>
          <w:color w:val="auto"/>
        </w:rPr>
        <w:t>. With respect to any amount denominated in Canadian Dollars computed at any time, the equivalent amount thereof in U.S. Dollars as determined by the Administrative Agent or the Issuing Bank, as the case may be, at such time on the basis of the Applicable Spot Rate (determined in respect of the most recent Revaluation Date).</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§1.2. Rules of Interpretation</w:t>
      </w:r>
      <w:r>
        <w:rPr>
          <w:rFonts w:ascii="Arial" w:cs="Arial" w:eastAsia="Arial" w:hAnsi="Arial"/>
          <w:sz w:val="13"/>
          <w:szCs w:val="13"/>
          <w:color w:val="auto"/>
        </w:rPr>
        <w:t>.</w:t>
      </w:r>
    </w:p>
    <w:p>
      <w:pPr>
        <w:spacing w:after="0" w:line="90" w:lineRule="exact"/>
        <w:rPr>
          <w:sz w:val="20"/>
          <w:szCs w:val="20"/>
          <w:color w:val="auto"/>
        </w:rPr>
      </w:pPr>
    </w:p>
    <w:p>
      <w:pPr>
        <w:ind w:left="220" w:right="540" w:firstLine="172"/>
        <w:spacing w:after="0" w:line="276" w:lineRule="auto"/>
        <w:tabs>
          <w:tab w:leader="none" w:pos="562" w:val="left"/>
        </w:tabs>
        <w:numPr>
          <w:ilvl w:val="0"/>
          <w:numId w:val="82"/>
        </w:numPr>
        <w:rPr>
          <w:rFonts w:ascii="Arial" w:cs="Arial" w:eastAsia="Arial" w:hAnsi="Arial"/>
          <w:sz w:val="13"/>
          <w:szCs w:val="13"/>
          <w:color w:val="auto"/>
        </w:rPr>
      </w:pPr>
      <w:r>
        <w:rPr>
          <w:rFonts w:ascii="Arial" w:cs="Arial" w:eastAsia="Arial" w:hAnsi="Arial"/>
          <w:sz w:val="13"/>
          <w:szCs w:val="13"/>
          <w:color w:val="auto"/>
        </w:rPr>
        <w:t>Unless otherwise noted, a reference to any document or agreement (including this Agreement) shall include such document or agreement as amended, modified or supplemented from time to time in accordance with its terms and the terms of this Agreement.</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singular includes the plural and the plural includes the singular.</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82"/>
        </w:numPr>
        <w:rPr>
          <w:rFonts w:ascii="Arial" w:cs="Arial" w:eastAsia="Arial" w:hAnsi="Arial"/>
          <w:sz w:val="13"/>
          <w:szCs w:val="13"/>
          <w:color w:val="auto"/>
        </w:rPr>
      </w:pPr>
      <w:r>
        <w:rPr>
          <w:rFonts w:ascii="Arial" w:cs="Arial" w:eastAsia="Arial" w:hAnsi="Arial"/>
          <w:sz w:val="13"/>
          <w:szCs w:val="13"/>
          <w:color w:val="auto"/>
        </w:rPr>
        <w:t>A reference to any law includes any amendment or modification to such law.</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A reference to any Person includes its permitted successors and permitted assigns.</w:t>
      </w:r>
    </w:p>
    <w:p>
      <w:pPr>
        <w:spacing w:after="0" w:line="145" w:lineRule="exact"/>
        <w:rPr>
          <w:rFonts w:ascii="Arial" w:cs="Arial" w:eastAsia="Arial" w:hAnsi="Arial"/>
          <w:sz w:val="13"/>
          <w:szCs w:val="13"/>
          <w:color w:val="auto"/>
        </w:rPr>
      </w:pPr>
    </w:p>
    <w:p>
      <w:pPr>
        <w:ind w:left="5660" w:hanging="68"/>
        <w:spacing w:after="0"/>
        <w:tabs>
          <w:tab w:leader="none" w:pos="5660" w:val="left"/>
        </w:tabs>
        <w:numPr>
          <w:ilvl w:val="1"/>
          <w:numId w:val="82"/>
        </w:numPr>
        <w:rPr>
          <w:rFonts w:ascii="Arial" w:cs="Arial" w:eastAsia="Arial" w:hAnsi="Arial"/>
          <w:sz w:val="13"/>
          <w:szCs w:val="13"/>
          <w:color w:val="auto"/>
        </w:rPr>
      </w:pPr>
      <w:r>
        <w:rPr>
          <w:rFonts w:ascii="Arial" w:cs="Arial" w:eastAsia="Arial" w:hAnsi="Arial"/>
          <w:sz w:val="13"/>
          <w:szCs w:val="13"/>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4" w:name="page115"/>
    <w:bookmarkEnd w:id="114"/>
    <w:p>
      <w:pPr>
        <w:ind w:left="220" w:right="40" w:firstLine="172"/>
        <w:spacing w:after="0" w:line="276" w:lineRule="auto"/>
        <w:tabs>
          <w:tab w:leader="none" w:pos="562" w:val="left"/>
        </w:tabs>
        <w:numPr>
          <w:ilvl w:val="0"/>
          <w:numId w:val="83"/>
        </w:numPr>
        <w:rPr>
          <w:rFonts w:ascii="Arial" w:cs="Arial" w:eastAsia="Arial" w:hAnsi="Arial"/>
          <w:sz w:val="13"/>
          <w:szCs w:val="13"/>
          <w:color w:val="auto"/>
        </w:rPr>
      </w:pPr>
      <w:r>
        <w:rPr>
          <w:rFonts w:ascii="Arial" w:cs="Arial" w:eastAsia="Arial" w:hAnsi="Arial"/>
          <w:sz w:val="13"/>
          <w:szCs w:val="13"/>
          <w:color w:val="auto"/>
        </w:rPr>
        <w:t>Accounting terms capitalized but not otherwise defined herein have the meanings assigned to them by generally accepted accounting principles applied on a consistent basis by the accounting entity to which they refer.</w:t>
      </w:r>
    </w:p>
    <w:p>
      <w:pPr>
        <w:spacing w:after="0" w:line="49" w:lineRule="exact"/>
        <w:rPr>
          <w:rFonts w:ascii="Arial" w:cs="Arial" w:eastAsia="Arial" w:hAnsi="Arial"/>
          <w:sz w:val="13"/>
          <w:szCs w:val="13"/>
          <w:color w:val="auto"/>
        </w:rPr>
      </w:pPr>
    </w:p>
    <w:p>
      <w:pPr>
        <w:ind w:left="560" w:hanging="168"/>
        <w:spacing w:after="0"/>
        <w:tabs>
          <w:tab w:leader="none" w:pos="56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words “include”, “includes” and “including” are not limiting.</w:t>
      </w:r>
    </w:p>
    <w:p>
      <w:pPr>
        <w:spacing w:after="0" w:line="86" w:lineRule="exact"/>
        <w:rPr>
          <w:rFonts w:ascii="Arial" w:cs="Arial" w:eastAsia="Arial" w:hAnsi="Arial"/>
          <w:sz w:val="13"/>
          <w:szCs w:val="13"/>
          <w:color w:val="auto"/>
        </w:rPr>
      </w:pPr>
    </w:p>
    <w:p>
      <w:pPr>
        <w:ind w:left="220" w:right="160" w:firstLine="172"/>
        <w:spacing w:after="0" w:line="276" w:lineRule="auto"/>
        <w:tabs>
          <w:tab w:leader="none" w:pos="569" w:val="left"/>
        </w:tabs>
        <w:numPr>
          <w:ilvl w:val="0"/>
          <w:numId w:val="83"/>
        </w:numPr>
        <w:rPr>
          <w:rFonts w:ascii="Arial" w:cs="Arial" w:eastAsia="Arial" w:hAnsi="Arial"/>
          <w:sz w:val="13"/>
          <w:szCs w:val="13"/>
          <w:color w:val="auto"/>
        </w:rPr>
      </w:pPr>
      <w:r>
        <w:rPr>
          <w:rFonts w:ascii="Arial" w:cs="Arial" w:eastAsia="Arial" w:hAnsi="Arial"/>
          <w:sz w:val="13"/>
          <w:szCs w:val="13"/>
          <w:color w:val="auto"/>
        </w:rPr>
        <w:t>All terms not specifically defined herein or by generally accepted accounting principles, which terms are defined in the Uniform Commercial Code as in effect in the State of New York, have the meanings assigned to them therein.</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Reference to a particular “§” refers to that section of this Agreement unless otherwise indicated.</w:t>
      </w:r>
    </w:p>
    <w:p>
      <w:pPr>
        <w:spacing w:after="0" w:line="86" w:lineRule="exact"/>
        <w:rPr>
          <w:rFonts w:ascii="Arial" w:cs="Arial" w:eastAsia="Arial" w:hAnsi="Arial"/>
          <w:sz w:val="13"/>
          <w:szCs w:val="13"/>
          <w:color w:val="auto"/>
        </w:rPr>
      </w:pPr>
    </w:p>
    <w:p>
      <w:pPr>
        <w:ind w:left="540" w:hanging="148"/>
        <w:spacing w:after="0"/>
        <w:tabs>
          <w:tab w:leader="none" w:pos="54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words “herein”, “hereof’, “hereunder” and words of like import shall refer to this Agreement as a whole and not to any particular section or subdivision of this Agreement.</w:t>
      </w:r>
    </w:p>
    <w:p>
      <w:pPr>
        <w:spacing w:after="0" w:line="82" w:lineRule="exact"/>
        <w:rPr>
          <w:sz w:val="20"/>
          <w:szCs w:val="20"/>
          <w:color w:val="auto"/>
        </w:rPr>
      </w:pPr>
    </w:p>
    <w:p>
      <w:pPr>
        <w:ind w:right="140" w:firstLine="327"/>
        <w:spacing w:after="0" w:line="283" w:lineRule="auto"/>
        <w:rPr>
          <w:sz w:val="20"/>
          <w:szCs w:val="20"/>
          <w:color w:val="auto"/>
        </w:rPr>
      </w:pPr>
      <w:r>
        <w:rPr>
          <w:rFonts w:ascii="Arial" w:cs="Arial" w:eastAsia="Arial" w:hAnsi="Arial"/>
          <w:sz w:val="13"/>
          <w:szCs w:val="13"/>
          <w:b w:val="1"/>
          <w:bCs w:val="1"/>
          <w:color w:val="auto"/>
        </w:rPr>
        <w:t>§1.3. Classification of Loans and Borrowings</w:t>
      </w:r>
      <w:r>
        <w:rPr>
          <w:rFonts w:ascii="Arial" w:cs="Arial" w:eastAsia="Arial" w:hAnsi="Arial"/>
          <w:sz w:val="13"/>
          <w:szCs w:val="13"/>
          <w:color w:val="auto"/>
        </w:rPr>
        <w:t>. For purposes of this Agreement, Loans may be classified and referred to by Class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(e.g</w:t>
      </w:r>
      <w:r>
        <w:rPr>
          <w:rFonts w:ascii="Arial" w:cs="Arial" w:eastAsia="Arial" w:hAnsi="Arial"/>
          <w:sz w:val="13"/>
          <w:szCs w:val="13"/>
          <w:color w:val="auto"/>
        </w:rPr>
        <w:t>., a “Syndicated Loan”) or by Type</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(e.g</w:t>
      </w:r>
      <w:r>
        <w:rPr>
          <w:rFonts w:ascii="Arial" w:cs="Arial" w:eastAsia="Arial" w:hAnsi="Arial"/>
          <w:sz w:val="13"/>
          <w:szCs w:val="13"/>
          <w:color w:val="auto"/>
        </w:rPr>
        <w:t>., a “Eurodollar Loan”) or by Class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and Type </w:t>
      </w:r>
      <w:r>
        <w:rPr>
          <w:rFonts w:ascii="Arial" w:cs="Arial" w:eastAsia="Arial" w:hAnsi="Arial"/>
          <w:sz w:val="13"/>
          <w:szCs w:val="13"/>
          <w:u w:val="single" w:color="auto"/>
          <w:color w:val="auto"/>
        </w:rPr>
        <w:t>(e.g</w:t>
      </w:r>
      <w:r>
        <w:rPr>
          <w:rFonts w:ascii="Arial" w:cs="Arial" w:eastAsia="Arial" w:hAnsi="Arial"/>
          <w:sz w:val="13"/>
          <w:szCs w:val="13"/>
          <w:color w:val="auto"/>
        </w:rPr>
        <w:t>., a “Eurodollar Syndicated Loan”).</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 </w:t>
      </w:r>
      <w:r>
        <w:rPr>
          <w:rFonts w:ascii="Arial" w:cs="Arial" w:eastAsia="Arial" w:hAnsi="Arial"/>
          <w:sz w:val="13"/>
          <w:szCs w:val="13"/>
          <w:b w:val="1"/>
          <w:bCs w:val="1"/>
          <w:u w:val="single" w:color="auto"/>
          <w:color w:val="auto"/>
        </w:rPr>
        <w:t>THE LOAN FACILITIES</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§2.1. Commitment to Lend</w:t>
      </w:r>
      <w:r>
        <w:rPr>
          <w:rFonts w:ascii="Arial" w:cs="Arial" w:eastAsia="Arial" w:hAnsi="Arial"/>
          <w:sz w:val="13"/>
          <w:szCs w:val="13"/>
          <w:color w:val="auto"/>
        </w:rPr>
        <w:t>.</w:t>
      </w:r>
    </w:p>
    <w:p>
      <w:pPr>
        <w:spacing w:after="0" w:line="90" w:lineRule="exact"/>
        <w:rPr>
          <w:sz w:val="20"/>
          <w:szCs w:val="20"/>
          <w:color w:val="auto"/>
        </w:rPr>
      </w:pPr>
    </w:p>
    <w:p>
      <w:pPr>
        <w:ind w:left="220" w:right="120" w:firstLine="172"/>
        <w:spacing w:after="0" w:line="260" w:lineRule="auto"/>
        <w:tabs>
          <w:tab w:leader="none" w:pos="562" w:val="left"/>
        </w:tabs>
        <w:numPr>
          <w:ilvl w:val="0"/>
          <w:numId w:val="84"/>
        </w:numPr>
        <w:rPr>
          <w:rFonts w:ascii="Arial" w:cs="Arial" w:eastAsia="Arial" w:hAnsi="Arial"/>
          <w:sz w:val="13"/>
          <w:szCs w:val="13"/>
          <w:color w:val="auto"/>
        </w:rPr>
      </w:pPr>
      <w:r>
        <w:rPr>
          <w:rFonts w:ascii="Arial" w:cs="Arial" w:eastAsia="Arial" w:hAnsi="Arial"/>
          <w:sz w:val="13"/>
          <w:szCs w:val="13"/>
          <w:color w:val="auto"/>
        </w:rPr>
        <w:t xml:space="preserve">Subject to the terms and conditions set forth in this Agreement, each of the Banks severally agrees to lend to the Borrower and the Borrower may borrow, repay, and reborrow from time to time between the Effective Date and the Maturity Date, upon notice by the Borrower to the Administrative Agent given in accordance with this §2, its Commitment Percentage of the Syndicated Loans requested by the Borrower;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sum of the outstanding principal amount of the Syndicated Loans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the outstanding principal amount of the Swing Line Loans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the Maximum Drawing Amount of outstanding Letters of Credit shall not exceed the Total Commitment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the aggregate amount of Competitive Bid Loans outstanding at such time.</w:t>
      </w:r>
    </w:p>
    <w:p>
      <w:pPr>
        <w:spacing w:after="0" w:line="59" w:lineRule="exact"/>
        <w:rPr>
          <w:rFonts w:ascii="Arial" w:cs="Arial" w:eastAsia="Arial" w:hAnsi="Arial"/>
          <w:sz w:val="13"/>
          <w:szCs w:val="13"/>
          <w:color w:val="auto"/>
        </w:rPr>
      </w:pPr>
    </w:p>
    <w:p>
      <w:pPr>
        <w:ind w:left="220" w:right="20" w:firstLine="172"/>
        <w:spacing w:after="0" w:line="276" w:lineRule="auto"/>
        <w:tabs>
          <w:tab w:leader="none" w:pos="569" w:val="left"/>
        </w:tabs>
        <w:numPr>
          <w:ilvl w:val="0"/>
          <w:numId w:val="84"/>
        </w:numPr>
        <w:rPr>
          <w:rFonts w:ascii="Arial" w:cs="Arial" w:eastAsia="Arial" w:hAnsi="Arial"/>
          <w:sz w:val="13"/>
          <w:szCs w:val="13"/>
          <w:color w:val="auto"/>
        </w:rPr>
      </w:pPr>
      <w:r>
        <w:rPr>
          <w:rFonts w:ascii="Arial" w:cs="Arial" w:eastAsia="Arial" w:hAnsi="Arial"/>
          <w:sz w:val="13"/>
          <w:szCs w:val="13"/>
          <w:color w:val="auto"/>
        </w:rPr>
        <w:t>On the date of each request for a Loan or Letter of Credit hereunder, the Borrower shall be deemed to have made a representation and warranty that the conditions set forth in §10 and §11, as the case may be, have been satisfied on the date of such request. Any unpaid Reimbursement Obligation shall be a Base Rate Loan, as set forth in §3.2(a).</w:t>
      </w:r>
    </w:p>
    <w:p>
      <w:pPr>
        <w:spacing w:after="0" w:line="45" w:lineRule="exact"/>
        <w:rPr>
          <w:sz w:val="20"/>
          <w:szCs w:val="20"/>
          <w:color w:val="auto"/>
        </w:rPr>
      </w:pPr>
    </w:p>
    <w:p>
      <w:pPr>
        <w:ind w:firstLine="327"/>
        <w:spacing w:after="0" w:line="262" w:lineRule="auto"/>
        <w:rPr>
          <w:sz w:val="20"/>
          <w:szCs w:val="20"/>
          <w:color w:val="auto"/>
        </w:rPr>
      </w:pPr>
      <w:r>
        <w:rPr>
          <w:rFonts w:ascii="Arial" w:cs="Arial" w:eastAsia="Arial" w:hAnsi="Arial"/>
          <w:sz w:val="13"/>
          <w:szCs w:val="13"/>
          <w:b w:val="1"/>
          <w:bCs w:val="1"/>
          <w:color w:val="auto"/>
        </w:rPr>
        <w:t>§2.2. Facility Fee</w:t>
      </w:r>
      <w:r>
        <w:rPr>
          <w:rFonts w:ascii="Arial" w:cs="Arial" w:eastAsia="Arial" w:hAnsi="Arial"/>
          <w:sz w:val="13"/>
          <w:szCs w:val="13"/>
          <w:color w:val="auto"/>
        </w:rPr>
        <w:t>. The Borrower agrees to pay to the Administrative Agent for the account of the Banks a fee (the “Facility Fee”) on the Total Commitment (whether or not utilized) equal to the Applicable</w:t>
      </w:r>
      <w:r>
        <w:rPr>
          <w:rFonts w:ascii="Arial" w:cs="Arial" w:eastAsia="Arial" w:hAnsi="Arial"/>
          <w:sz w:val="13"/>
          <w:szCs w:val="13"/>
          <w:b w:val="1"/>
          <w:bCs w:val="1"/>
          <w:color w:val="auto"/>
        </w:rPr>
        <w:t xml:space="preserve"> </w:t>
      </w:r>
      <w:r>
        <w:rPr>
          <w:rFonts w:ascii="Arial" w:cs="Arial" w:eastAsia="Arial" w:hAnsi="Arial"/>
          <w:sz w:val="13"/>
          <w:szCs w:val="13"/>
          <w:color w:val="auto"/>
        </w:rPr>
        <w:t>Facility Fee Rate multiplied by the Total Commitment, provided that after the expiry or termination of the Total Commitment, the Facility Fee shall be computed on the sum of (A) the Maximum Drawing Amount of all Letters of Credit, if any, outstanding from time to time and (B) all Loans outstanding from time to time. The Facility Fee shall be payable for the period from and after the Effective Date quarterly in arrears on the first day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15" w:name="page116"/>
    <w:bookmarkEnd w:id="115"/>
    <w:p>
      <w:pPr>
        <w:ind w:left="1"/>
        <w:spacing w:after="0" w:line="264" w:lineRule="auto"/>
        <w:rPr>
          <w:sz w:val="20"/>
          <w:szCs w:val="20"/>
          <w:color w:val="auto"/>
        </w:rPr>
      </w:pPr>
      <w:r>
        <w:rPr>
          <w:rFonts w:ascii="Arial" w:cs="Arial" w:eastAsia="Arial" w:hAnsi="Arial"/>
          <w:sz w:val="13"/>
          <w:szCs w:val="13"/>
          <w:color w:val="auto"/>
        </w:rPr>
        <w:t>each calendar quarter for the immediately preceding calendar quarter (and, in the case of the first such payment, for the portion of the prior calendar quarter after the Effective Date) with the first such payment commencing on October 1, 2010 and on the Maturity Date (or on the date of termination in full of the Total Commitment, if earlier) and on the date of termination of all Letters of Credit and payment in full of all Loans. The Facility Fee shall be distributed pro rata among the Banks in accordance with each Bank’s Commitment Percentage.</w:t>
      </w:r>
    </w:p>
    <w:p>
      <w:pPr>
        <w:spacing w:after="0" w:line="53" w:lineRule="exact"/>
        <w:rPr>
          <w:sz w:val="20"/>
          <w:szCs w:val="20"/>
          <w:color w:val="auto"/>
        </w:rPr>
      </w:pPr>
    </w:p>
    <w:p>
      <w:pPr>
        <w:jc w:val="center"/>
        <w:ind w:right="7919"/>
        <w:spacing w:after="0"/>
        <w:rPr>
          <w:sz w:val="20"/>
          <w:szCs w:val="20"/>
          <w:color w:val="auto"/>
        </w:rPr>
      </w:pPr>
      <w:r>
        <w:rPr>
          <w:rFonts w:ascii="Arial" w:cs="Arial" w:eastAsia="Arial" w:hAnsi="Arial"/>
          <w:sz w:val="13"/>
          <w:szCs w:val="13"/>
          <w:b w:val="1"/>
          <w:bCs w:val="1"/>
          <w:color w:val="auto"/>
        </w:rPr>
        <w:t>§2.3. Reduction and Increase of Total Commitment</w:t>
      </w:r>
      <w:r>
        <w:rPr>
          <w:rFonts w:ascii="Arial" w:cs="Arial" w:eastAsia="Arial" w:hAnsi="Arial"/>
          <w:sz w:val="13"/>
          <w:szCs w:val="13"/>
          <w:color w:val="auto"/>
        </w:rPr>
        <w:t>.</w:t>
      </w:r>
    </w:p>
    <w:p>
      <w:pPr>
        <w:spacing w:after="0" w:line="86" w:lineRule="exact"/>
        <w:rPr>
          <w:sz w:val="20"/>
          <w:szCs w:val="20"/>
          <w:color w:val="auto"/>
        </w:rPr>
      </w:pPr>
    </w:p>
    <w:p>
      <w:pPr>
        <w:jc w:val="center"/>
        <w:ind w:right="7919"/>
        <w:spacing w:after="0"/>
        <w:rPr>
          <w:sz w:val="20"/>
          <w:szCs w:val="20"/>
          <w:color w:val="auto"/>
        </w:rPr>
      </w:pPr>
      <w:r>
        <w:rPr>
          <w:rFonts w:ascii="Arial" w:cs="Arial" w:eastAsia="Arial" w:hAnsi="Arial"/>
          <w:sz w:val="13"/>
          <w:szCs w:val="13"/>
          <w:b w:val="1"/>
          <w:bCs w:val="1"/>
          <w:color w:val="auto"/>
        </w:rPr>
        <w:t>§2.3.1. Reduction of Total Commitment</w:t>
      </w:r>
      <w:r>
        <w:rPr>
          <w:rFonts w:ascii="Arial" w:cs="Arial" w:eastAsia="Arial" w:hAnsi="Arial"/>
          <w:sz w:val="13"/>
          <w:szCs w:val="13"/>
          <w:color w:val="auto"/>
        </w:rPr>
        <w:t>.</w:t>
      </w:r>
    </w:p>
    <w:p>
      <w:pPr>
        <w:spacing w:after="0" w:line="90" w:lineRule="exact"/>
        <w:rPr>
          <w:sz w:val="20"/>
          <w:szCs w:val="20"/>
          <w:color w:val="auto"/>
        </w:rPr>
      </w:pPr>
    </w:p>
    <w:p>
      <w:pPr>
        <w:ind w:left="221" w:right="40" w:firstLine="172"/>
        <w:spacing w:after="0" w:line="334" w:lineRule="auto"/>
        <w:tabs>
          <w:tab w:leader="none" w:pos="563" w:val="left"/>
        </w:tabs>
        <w:numPr>
          <w:ilvl w:val="0"/>
          <w:numId w:val="85"/>
        </w:numPr>
        <w:rPr>
          <w:rFonts w:ascii="Arial" w:cs="Arial" w:eastAsia="Arial" w:hAnsi="Arial"/>
          <w:sz w:val="11"/>
          <w:szCs w:val="11"/>
          <w:color w:val="auto"/>
        </w:rPr>
      </w:pPr>
      <w:r>
        <w:rPr>
          <w:rFonts w:ascii="Arial" w:cs="Arial" w:eastAsia="Arial" w:hAnsi="Arial"/>
          <w:sz w:val="11"/>
          <w:szCs w:val="11"/>
          <w:color w:val="auto"/>
        </w:rPr>
        <w:t xml:space="preserve">The Borrower shall have the right at any time and from time to time upon three (3) Business Days’ prior written notice to the Administrative Agent to reduce by $25,000,000 or a greater amount, or terminate entirely, the Total Commitment, whereupon each Bank’s Commitment shall be reduced </w:t>
      </w:r>
      <w:r>
        <w:rPr>
          <w:rFonts w:ascii="Arial" w:cs="Arial" w:eastAsia="Arial" w:hAnsi="Arial"/>
          <w:sz w:val="11"/>
          <w:szCs w:val="11"/>
          <w:u w:val="single" w:color="auto"/>
          <w:color w:val="auto"/>
        </w:rPr>
        <w:t>pro rata</w:t>
      </w:r>
      <w:r>
        <w:rPr>
          <w:rFonts w:ascii="Arial" w:cs="Arial" w:eastAsia="Arial" w:hAnsi="Arial"/>
          <w:sz w:val="11"/>
          <w:szCs w:val="11"/>
          <w:color w:val="auto"/>
        </w:rPr>
        <w:t xml:space="preserve"> in accordance with such Bank’s Commitment Percentage of the amount specified in such notice or, as the case may be, terminated;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at no time may the Total Commitment be reduced to an amount less than the sum of (A) the Maximum Drawing Amount of all Letters of Credit, and (B) all Loans then outstanding.</w:t>
      </w:r>
    </w:p>
    <w:p>
      <w:pPr>
        <w:spacing w:after="0" w:line="22" w:lineRule="exact"/>
        <w:rPr>
          <w:rFonts w:ascii="Arial" w:cs="Arial" w:eastAsia="Arial" w:hAnsi="Arial"/>
          <w:sz w:val="11"/>
          <w:szCs w:val="11"/>
          <w:color w:val="auto"/>
        </w:rPr>
      </w:pPr>
    </w:p>
    <w:p>
      <w:pPr>
        <w:ind w:left="221" w:right="120" w:firstLine="172"/>
        <w:spacing w:after="0" w:line="276" w:lineRule="auto"/>
        <w:tabs>
          <w:tab w:leader="none" w:pos="571" w:val="left"/>
        </w:tabs>
        <w:numPr>
          <w:ilvl w:val="0"/>
          <w:numId w:val="85"/>
        </w:numPr>
        <w:rPr>
          <w:rFonts w:ascii="Arial" w:cs="Arial" w:eastAsia="Arial" w:hAnsi="Arial"/>
          <w:sz w:val="13"/>
          <w:szCs w:val="13"/>
          <w:color w:val="auto"/>
        </w:rPr>
      </w:pPr>
      <w:r>
        <w:rPr>
          <w:rFonts w:ascii="Arial" w:cs="Arial" w:eastAsia="Arial" w:hAnsi="Arial"/>
          <w:sz w:val="13"/>
          <w:szCs w:val="13"/>
          <w:color w:val="auto"/>
        </w:rPr>
        <w:t>No reduction or termination of the Total Commitment once made may be revoked; the portion of the Total Commitment reduced or terminated may not be reinstated; and amounts in respect of such reduced or terminated portion may not be reborrowed.</w:t>
      </w:r>
    </w:p>
    <w:p>
      <w:pPr>
        <w:spacing w:after="0" w:line="49" w:lineRule="exact"/>
        <w:rPr>
          <w:rFonts w:ascii="Arial" w:cs="Arial" w:eastAsia="Arial" w:hAnsi="Arial"/>
          <w:sz w:val="13"/>
          <w:szCs w:val="13"/>
          <w:color w:val="auto"/>
        </w:rPr>
      </w:pPr>
    </w:p>
    <w:p>
      <w:pPr>
        <w:ind w:left="561" w:hanging="168"/>
        <w:spacing w:after="0"/>
        <w:tabs>
          <w:tab w:leader="none" w:pos="561" w:val="left"/>
        </w:tabs>
        <w:numPr>
          <w:ilvl w:val="0"/>
          <w:numId w:val="85"/>
        </w:numPr>
        <w:rPr>
          <w:rFonts w:ascii="Arial" w:cs="Arial" w:eastAsia="Arial" w:hAnsi="Arial"/>
          <w:sz w:val="12"/>
          <w:szCs w:val="12"/>
          <w:color w:val="auto"/>
        </w:rPr>
      </w:pPr>
      <w:r>
        <w:rPr>
          <w:rFonts w:ascii="Arial" w:cs="Arial" w:eastAsia="Arial" w:hAnsi="Arial"/>
          <w:sz w:val="12"/>
          <w:szCs w:val="12"/>
          <w:color w:val="auto"/>
        </w:rPr>
        <w:t xml:space="preserve">The Administrative Agent will notify the Banks promptly after receiving any notice delivered by the Borrower pursuant to this §2.3.1 and will distribute to each Bank a revised </w:t>
      </w:r>
      <w:r>
        <w:rPr>
          <w:rFonts w:ascii="Arial" w:cs="Arial" w:eastAsia="Arial" w:hAnsi="Arial"/>
          <w:sz w:val="12"/>
          <w:szCs w:val="12"/>
          <w:u w:val="single" w:color="auto"/>
          <w:color w:val="auto"/>
        </w:rPr>
        <w:t>Schedule 1</w:t>
      </w:r>
      <w:r>
        <w:rPr>
          <w:rFonts w:ascii="Arial" w:cs="Arial" w:eastAsia="Arial" w:hAnsi="Arial"/>
          <w:sz w:val="12"/>
          <w:szCs w:val="12"/>
          <w:color w:val="auto"/>
        </w:rPr>
        <w:t xml:space="preserve"> to this Agreement.</w:t>
      </w:r>
    </w:p>
    <w:p>
      <w:pPr>
        <w:spacing w:after="0" w:line="94" w:lineRule="exact"/>
        <w:rPr>
          <w:sz w:val="20"/>
          <w:szCs w:val="20"/>
          <w:color w:val="auto"/>
        </w:rPr>
      </w:pPr>
    </w:p>
    <w:p>
      <w:pPr>
        <w:ind w:left="1" w:right="60" w:firstLine="655"/>
        <w:spacing w:after="0" w:line="303" w:lineRule="auto"/>
        <w:rPr>
          <w:sz w:val="20"/>
          <w:szCs w:val="20"/>
          <w:color w:val="auto"/>
        </w:rPr>
      </w:pPr>
      <w:r>
        <w:rPr>
          <w:rFonts w:ascii="Arial" w:cs="Arial" w:eastAsia="Arial" w:hAnsi="Arial"/>
          <w:sz w:val="11"/>
          <w:szCs w:val="11"/>
          <w:b w:val="1"/>
          <w:bCs w:val="1"/>
          <w:color w:val="auto"/>
        </w:rPr>
        <w:t>§2.3.2. Increase of Total Commitment</w:t>
      </w:r>
      <w:r>
        <w:rPr>
          <w:rFonts w:ascii="Arial" w:cs="Arial" w:eastAsia="Arial" w:hAnsi="Arial"/>
          <w:sz w:val="11"/>
          <w:szCs w:val="11"/>
          <w:color w:val="auto"/>
        </w:rPr>
        <w:t>. Unless a Default or Event of Default has occurred and is continuing, the Borrower may request, subject to the approval of the Administrative Agent, that the Total</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Commitment be increased,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Total Commitment shall not, except with the consent of the Majority Banks, in any event exceed $2,200,000,000 hereunder;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(i) any Bank which is a party to this Agreement prior to such increase shall have the first option, and may elect, to fund its pro rata share of the increase, thereby increasing its Commitment hereunder, but no Bank shall have any obligation to do so, (ii) in the event that it becomes necessary to include a new Bank to provide additional funding under this §2.3.2, such new Bank must be reasonably acceptable to the Administrative Agent and the Borrower, and</w:t>
      </w:r>
    </w:p>
    <w:p>
      <w:pPr>
        <w:spacing w:after="0" w:line="2" w:lineRule="exact"/>
        <w:rPr>
          <w:sz w:val="20"/>
          <w:szCs w:val="20"/>
          <w:color w:val="auto"/>
        </w:rPr>
      </w:pPr>
    </w:p>
    <w:p>
      <w:pPr>
        <w:ind w:left="1" w:right="140" w:hanging="1"/>
        <w:spacing w:after="0" w:line="256" w:lineRule="auto"/>
        <w:tabs>
          <w:tab w:leader="none" w:pos="231" w:val="left"/>
        </w:tabs>
        <w:numPr>
          <w:ilvl w:val="0"/>
          <w:numId w:val="86"/>
        </w:numPr>
        <w:rPr>
          <w:rFonts w:ascii="Arial" w:cs="Arial" w:eastAsia="Arial" w:hAnsi="Arial"/>
          <w:sz w:val="13"/>
          <w:szCs w:val="13"/>
          <w:color w:val="auto"/>
        </w:rPr>
      </w:pPr>
      <w:r>
        <w:rPr>
          <w:rFonts w:ascii="Arial" w:cs="Arial" w:eastAsia="Arial" w:hAnsi="Arial"/>
          <w:sz w:val="13"/>
          <w:szCs w:val="13"/>
          <w:color w:val="auto"/>
        </w:rPr>
        <w:t xml:space="preserve">the Banks’ Commitment Percentages shall be correspondingly adjusted, as necessary, to reflect any increase in the Total Commitment and </w:t>
      </w:r>
      <w:r>
        <w:rPr>
          <w:rFonts w:ascii="Arial" w:cs="Arial" w:eastAsia="Arial" w:hAnsi="Arial"/>
          <w:sz w:val="13"/>
          <w:szCs w:val="13"/>
          <w:u w:val="single" w:color="auto"/>
          <w:color w:val="auto"/>
        </w:rPr>
        <w:t>Schedule 1</w:t>
      </w:r>
      <w:r>
        <w:rPr>
          <w:rFonts w:ascii="Arial" w:cs="Arial" w:eastAsia="Arial" w:hAnsi="Arial"/>
          <w:sz w:val="13"/>
          <w:szCs w:val="13"/>
          <w:color w:val="auto"/>
        </w:rPr>
        <w:t xml:space="preserve"> shall be amended to reflect such adjustments. Any such increase in the Total Commitment shall require, among other things, the satisfaction of such conditions precedent as the Administrative Agent may reasonably require, including, without limitation, the Administrative Agent’s receipt of evidence of applicable corporate authorization and other corporate documentation from the Borrower and the Guarantor and the legal opinion of counsel to the Borrower and the Guarantor, each in form and substance satisfactory to the Administrative Agent and such Banks as are participating in such increase. The Borrower</w:t>
      </w:r>
    </w:p>
    <w:p>
      <w:pPr>
        <w:spacing w:after="0" w:line="121" w:lineRule="exact"/>
        <w:rPr>
          <w:rFonts w:ascii="Arial" w:cs="Arial" w:eastAsia="Arial" w:hAnsi="Arial"/>
          <w:sz w:val="13"/>
          <w:szCs w:val="13"/>
          <w:color w:val="auto"/>
        </w:rPr>
      </w:pPr>
    </w:p>
    <w:p>
      <w:pPr>
        <w:ind w:left="5661" w:hanging="68"/>
        <w:spacing w:after="0"/>
        <w:tabs>
          <w:tab w:leader="none" w:pos="5661" w:val="left"/>
        </w:tabs>
        <w:numPr>
          <w:ilvl w:val="1"/>
          <w:numId w:val="86"/>
        </w:numPr>
        <w:rPr>
          <w:rFonts w:ascii="Arial" w:cs="Arial" w:eastAsia="Arial" w:hAnsi="Arial"/>
          <w:sz w:val="13"/>
          <w:szCs w:val="13"/>
          <w:color w:val="auto"/>
        </w:rPr>
      </w:pPr>
      <w:r>
        <w:rPr>
          <w:rFonts w:ascii="Arial" w:cs="Arial" w:eastAsia="Arial" w:hAnsi="Arial"/>
          <w:sz w:val="13"/>
          <w:szCs w:val="13"/>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16" w:name="page117"/>
    <w:bookmarkEnd w:id="116"/>
    <w:p>
      <w:pPr>
        <w:ind w:right="560"/>
        <w:spacing w:after="0" w:line="276" w:lineRule="auto"/>
        <w:rPr>
          <w:sz w:val="20"/>
          <w:szCs w:val="20"/>
          <w:color w:val="auto"/>
        </w:rPr>
      </w:pPr>
      <w:r>
        <w:rPr>
          <w:rFonts w:ascii="Arial" w:cs="Arial" w:eastAsia="Arial" w:hAnsi="Arial"/>
          <w:sz w:val="13"/>
          <w:szCs w:val="13"/>
          <w:color w:val="auto"/>
        </w:rPr>
        <w:t>shall prepay that portion of any Syndicated Loans outstanding on the effective date of any such increase to the extent necessary to keep the outstanding Syndicated Loans ratable with any revised Commitment Percentages arising from any nonratable increase in the Total Commitments under this Section.</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§2.4. Repayment of Loans; Evidence of Debt</w:t>
      </w:r>
      <w:r>
        <w:rPr>
          <w:rFonts w:ascii="Arial" w:cs="Arial" w:eastAsia="Arial" w:hAnsi="Arial"/>
          <w:sz w:val="13"/>
          <w:szCs w:val="13"/>
          <w:color w:val="auto"/>
        </w:rPr>
        <w:t>.</w:t>
      </w:r>
    </w:p>
    <w:p>
      <w:pPr>
        <w:spacing w:after="0" w:line="90" w:lineRule="exact"/>
        <w:rPr>
          <w:sz w:val="20"/>
          <w:szCs w:val="20"/>
          <w:color w:val="auto"/>
        </w:rPr>
      </w:pPr>
    </w:p>
    <w:p>
      <w:pPr>
        <w:ind w:left="560" w:hanging="168"/>
        <w:spacing w:after="0"/>
        <w:tabs>
          <w:tab w:leader="none" w:pos="560" w:val="left"/>
        </w:tabs>
        <w:numPr>
          <w:ilvl w:val="1"/>
          <w:numId w:val="87"/>
        </w:numPr>
        <w:rPr>
          <w:rFonts w:ascii="Arial" w:cs="Arial" w:eastAsia="Arial" w:hAnsi="Arial"/>
          <w:sz w:val="12"/>
          <w:szCs w:val="12"/>
          <w:color w:val="auto"/>
        </w:rPr>
      </w:pPr>
      <w:r>
        <w:rPr>
          <w:rFonts w:ascii="Arial" w:cs="Arial" w:eastAsia="Arial" w:hAnsi="Arial"/>
          <w:sz w:val="12"/>
          <w:szCs w:val="12"/>
          <w:color w:val="auto"/>
        </w:rPr>
        <w:t>The Borrower hereby unconditionally promises to pay (i) to the Administrative Agent for the pro rata account of the Banks, the then unpaid principal amount of the Syndicated Loans on the Maturity Date,</w:t>
      </w:r>
    </w:p>
    <w:p>
      <w:pPr>
        <w:spacing w:after="0" w:line="26" w:lineRule="exact"/>
        <w:rPr>
          <w:rFonts w:ascii="Arial" w:cs="Arial" w:eastAsia="Arial" w:hAnsi="Arial"/>
          <w:sz w:val="12"/>
          <w:szCs w:val="12"/>
          <w:color w:val="auto"/>
        </w:rPr>
      </w:pPr>
    </w:p>
    <w:p>
      <w:pPr>
        <w:ind w:left="420" w:hanging="192"/>
        <w:spacing w:after="0"/>
        <w:tabs>
          <w:tab w:leader="none" w:pos="4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to the Administrative Agent for the account of the applicable Bank, the then unpaid principal amount of such Bank’s Competitive Bid Loan on the last day of the Interest Period applicable to such Loan, and</w:t>
      </w:r>
    </w:p>
    <w:p>
      <w:pPr>
        <w:spacing w:after="0" w:line="19" w:lineRule="exact"/>
        <w:rPr>
          <w:rFonts w:ascii="Arial" w:cs="Arial" w:eastAsia="Arial" w:hAnsi="Arial"/>
          <w:sz w:val="12"/>
          <w:szCs w:val="12"/>
          <w:color w:val="auto"/>
        </w:rPr>
      </w:pPr>
    </w:p>
    <w:p>
      <w:pPr>
        <w:ind w:left="220" w:right="60" w:firstLine="8"/>
        <w:spacing w:after="0" w:line="258" w:lineRule="auto"/>
        <w:tabs>
          <w:tab w:leader="none" w:pos="449" w:val="left"/>
        </w:tabs>
        <w:numPr>
          <w:ilvl w:val="0"/>
          <w:numId w:val="88"/>
        </w:numPr>
        <w:rPr>
          <w:rFonts w:ascii="Arial" w:cs="Arial" w:eastAsia="Arial" w:hAnsi="Arial"/>
          <w:sz w:val="13"/>
          <w:szCs w:val="13"/>
          <w:color w:val="auto"/>
        </w:rPr>
      </w:pPr>
      <w:r>
        <w:rPr>
          <w:rFonts w:ascii="Arial" w:cs="Arial" w:eastAsia="Arial" w:hAnsi="Arial"/>
          <w:sz w:val="13"/>
          <w:szCs w:val="13"/>
          <w:color w:val="auto"/>
        </w:rPr>
        <w:t>to the Swing Line Bank, for its account, the then unpaid principal amount of each Swing Line Loan on the earlier of the Maturity Date and the first date after such Swing Line Loan is made that is the 15</w:t>
      </w:r>
      <w:r>
        <w:rPr>
          <w:rFonts w:ascii="Arial" w:cs="Arial" w:eastAsia="Arial" w:hAnsi="Arial"/>
          <w:sz w:val="11"/>
          <w:szCs w:val="11"/>
          <w:color w:val="auto"/>
        </w:rPr>
        <w:t>th</w:t>
      </w:r>
      <w:r>
        <w:rPr>
          <w:rFonts w:ascii="Arial" w:cs="Arial" w:eastAsia="Arial" w:hAnsi="Arial"/>
          <w:sz w:val="13"/>
          <w:szCs w:val="13"/>
          <w:color w:val="auto"/>
        </w:rPr>
        <w:t xml:space="preserve"> or last day of a calendar month and is at least two Business Days after such Swing Line Loan is made;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on each date that a Syndicated Loan or Competitive Bid Loan is made, the Borrower shall repay all Swing Line Loans then outstanding.</w:t>
      </w:r>
    </w:p>
    <w:p>
      <w:pPr>
        <w:spacing w:after="0" w:line="60" w:lineRule="exact"/>
        <w:rPr>
          <w:rFonts w:ascii="Arial" w:cs="Arial" w:eastAsia="Arial" w:hAnsi="Arial"/>
          <w:sz w:val="13"/>
          <w:szCs w:val="13"/>
          <w:color w:val="auto"/>
        </w:rPr>
      </w:pPr>
    </w:p>
    <w:p>
      <w:pPr>
        <w:ind w:left="220" w:right="120" w:firstLine="172"/>
        <w:spacing w:after="0" w:line="276" w:lineRule="auto"/>
        <w:tabs>
          <w:tab w:leader="none" w:pos="569" w:val="left"/>
        </w:tabs>
        <w:numPr>
          <w:ilvl w:val="1"/>
          <w:numId w:val="88"/>
        </w:numPr>
        <w:rPr>
          <w:rFonts w:ascii="Arial" w:cs="Arial" w:eastAsia="Arial" w:hAnsi="Arial"/>
          <w:sz w:val="13"/>
          <w:szCs w:val="13"/>
          <w:color w:val="auto"/>
        </w:rPr>
      </w:pPr>
      <w:r>
        <w:rPr>
          <w:rFonts w:ascii="Arial" w:cs="Arial" w:eastAsia="Arial" w:hAnsi="Arial"/>
          <w:sz w:val="13"/>
          <w:szCs w:val="13"/>
          <w:color w:val="auto"/>
        </w:rPr>
        <w:t>Each Bank shall maintain in accordance with its usual practice an account or accounts evidencing the indebtedness of the Borrower to such Bank resulting from each Loan made by such Bank, including the amounts of principal and interest payable and paid to such Bank from time to time hereunder.</w:t>
      </w:r>
    </w:p>
    <w:p>
      <w:pPr>
        <w:spacing w:after="0" w:line="49" w:lineRule="exact"/>
        <w:rPr>
          <w:rFonts w:ascii="Arial" w:cs="Arial" w:eastAsia="Arial" w:hAnsi="Arial"/>
          <w:sz w:val="13"/>
          <w:szCs w:val="13"/>
          <w:color w:val="auto"/>
        </w:rPr>
      </w:pPr>
    </w:p>
    <w:p>
      <w:pPr>
        <w:ind w:left="220" w:right="20" w:firstLine="172"/>
        <w:spacing w:after="0" w:line="264" w:lineRule="auto"/>
        <w:tabs>
          <w:tab w:leader="none" w:pos="562" w:val="left"/>
        </w:tabs>
        <w:numPr>
          <w:ilvl w:val="1"/>
          <w:numId w:val="88"/>
        </w:numPr>
        <w:rPr>
          <w:rFonts w:ascii="Arial" w:cs="Arial" w:eastAsia="Arial" w:hAnsi="Arial"/>
          <w:sz w:val="13"/>
          <w:szCs w:val="13"/>
          <w:color w:val="auto"/>
        </w:rPr>
      </w:pPr>
      <w:r>
        <w:rPr>
          <w:rFonts w:ascii="Arial" w:cs="Arial" w:eastAsia="Arial" w:hAnsi="Arial"/>
          <w:sz w:val="13"/>
          <w:szCs w:val="13"/>
          <w:color w:val="auto"/>
        </w:rPr>
        <w:t>The Administrative Agent shall maintain accounts in which it shall record (i) the amount of each Loan made hereunder, the Class and Type thereof and the Interest Period (if any) applicable thereto, (ii) the amount of any principal or interest due and payable or to become due and payable from the Borrower to each Bank hereunder and (iii) the amount of any sum received by the Administrative Agent hereunder for the account of the Banks and each Bank’s share thereof.</w:t>
      </w:r>
    </w:p>
    <w:p>
      <w:pPr>
        <w:spacing w:after="0" w:line="57" w:lineRule="exact"/>
        <w:rPr>
          <w:rFonts w:ascii="Arial" w:cs="Arial" w:eastAsia="Arial" w:hAnsi="Arial"/>
          <w:sz w:val="13"/>
          <w:szCs w:val="13"/>
          <w:color w:val="auto"/>
        </w:rPr>
      </w:pPr>
    </w:p>
    <w:p>
      <w:pPr>
        <w:ind w:left="220" w:right="160" w:firstLine="172"/>
        <w:spacing w:after="0" w:line="264" w:lineRule="auto"/>
        <w:tabs>
          <w:tab w:leader="none" w:pos="569" w:val="left"/>
        </w:tabs>
        <w:numPr>
          <w:ilvl w:val="1"/>
          <w:numId w:val="88"/>
        </w:numPr>
        <w:rPr>
          <w:rFonts w:ascii="Arial" w:cs="Arial" w:eastAsia="Arial" w:hAnsi="Arial"/>
          <w:sz w:val="13"/>
          <w:szCs w:val="13"/>
          <w:color w:val="auto"/>
        </w:rPr>
      </w:pPr>
      <w:r>
        <w:rPr>
          <w:rFonts w:ascii="Arial" w:cs="Arial" w:eastAsia="Arial" w:hAnsi="Arial"/>
          <w:sz w:val="13"/>
          <w:szCs w:val="13"/>
          <w:color w:val="auto"/>
        </w:rPr>
        <w:t xml:space="preserve">The entries made in the accounts maintained pursuant to paragraph (b) or (c) of this §2.4 shall be </w:t>
      </w:r>
      <w:r>
        <w:rPr>
          <w:rFonts w:ascii="Arial" w:cs="Arial" w:eastAsia="Arial" w:hAnsi="Arial"/>
          <w:sz w:val="13"/>
          <w:szCs w:val="13"/>
          <w:u w:val="single" w:color="auto"/>
          <w:color w:val="auto"/>
        </w:rPr>
        <w:t>prima facie</w:t>
      </w:r>
      <w:r>
        <w:rPr>
          <w:rFonts w:ascii="Arial" w:cs="Arial" w:eastAsia="Arial" w:hAnsi="Arial"/>
          <w:sz w:val="13"/>
          <w:szCs w:val="13"/>
          <w:color w:val="auto"/>
        </w:rPr>
        <w:t xml:space="preserve"> evidence of the existence and amounts of the obligations recorded therein;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failure of any Bank or the Administrative Agent to maintain such accounts or any error therein shall not in any manner affect the obligation of the Borrower to repay the Loans in accordance with the terms of this Agreement.</w:t>
      </w:r>
    </w:p>
    <w:p>
      <w:pPr>
        <w:spacing w:after="0" w:line="57" w:lineRule="exact"/>
        <w:rPr>
          <w:rFonts w:ascii="Arial" w:cs="Arial" w:eastAsia="Arial" w:hAnsi="Arial"/>
          <w:sz w:val="13"/>
          <w:szCs w:val="13"/>
          <w:color w:val="auto"/>
        </w:rPr>
      </w:pPr>
    </w:p>
    <w:p>
      <w:pPr>
        <w:ind w:left="220" w:firstLine="172"/>
        <w:spacing w:after="0" w:line="260" w:lineRule="auto"/>
        <w:tabs>
          <w:tab w:leader="none" w:pos="562" w:val="left"/>
        </w:tabs>
        <w:numPr>
          <w:ilvl w:val="1"/>
          <w:numId w:val="88"/>
        </w:numPr>
        <w:rPr>
          <w:rFonts w:ascii="Arial" w:cs="Arial" w:eastAsia="Arial" w:hAnsi="Arial"/>
          <w:sz w:val="13"/>
          <w:szCs w:val="13"/>
          <w:color w:val="auto"/>
        </w:rPr>
      </w:pPr>
      <w:r>
        <w:rPr>
          <w:rFonts w:ascii="Arial" w:cs="Arial" w:eastAsia="Arial" w:hAnsi="Arial"/>
          <w:sz w:val="13"/>
          <w:szCs w:val="13"/>
          <w:color w:val="auto"/>
        </w:rPr>
        <w:t>Any Bank may request that any Loans made by it be evidenced by a promissory note. In such event, the Borrower shall prepare, execute and deliver to such Bank a promissory note payable to the order of such Bank (or, if requested by Bank, to such Bank and its registered assigns) and in a form approved by the Administrative Agent. Thereafter, the Loans evidenced by such promissory note and interest thereon shall at all times (including after assignment pursuant to §20) be represented by one or more promissory notes in such form payable to the order of the payee named therein (or, if such promissory note is a registered note, to such payee and its registered assigns).</w:t>
      </w:r>
    </w:p>
    <w:p>
      <w:pPr>
        <w:spacing w:after="0" w:line="118" w:lineRule="exact"/>
        <w:rPr>
          <w:rFonts w:ascii="Arial" w:cs="Arial" w:eastAsia="Arial" w:hAnsi="Arial"/>
          <w:sz w:val="13"/>
          <w:szCs w:val="13"/>
          <w:color w:val="auto"/>
        </w:rPr>
      </w:pPr>
    </w:p>
    <w:p>
      <w:pPr>
        <w:ind w:left="5660" w:hanging="68"/>
        <w:spacing w:after="0"/>
        <w:tabs>
          <w:tab w:leader="none" w:pos="5660" w:val="left"/>
        </w:tabs>
        <w:numPr>
          <w:ilvl w:val="2"/>
          <w:numId w:val="88"/>
        </w:numPr>
        <w:rPr>
          <w:rFonts w:ascii="Arial" w:cs="Arial" w:eastAsia="Arial" w:hAnsi="Arial"/>
          <w:sz w:val="13"/>
          <w:szCs w:val="13"/>
          <w:color w:val="auto"/>
        </w:rPr>
      </w:pPr>
      <w:r>
        <w:rPr>
          <w:rFonts w:ascii="Arial" w:cs="Arial" w:eastAsia="Arial" w:hAnsi="Arial"/>
          <w:sz w:val="13"/>
          <w:szCs w:val="13"/>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7" w:name="page118"/>
    <w:bookmarkEnd w:id="117"/>
    <w:p>
      <w:pPr>
        <w:ind w:left="92"/>
        <w:spacing w:after="0"/>
        <w:rPr>
          <w:sz w:val="20"/>
          <w:szCs w:val="20"/>
          <w:color w:val="auto"/>
        </w:rPr>
      </w:pPr>
      <w:r>
        <w:rPr>
          <w:rFonts w:ascii="Arial" w:cs="Arial" w:eastAsia="Arial" w:hAnsi="Arial"/>
          <w:sz w:val="13"/>
          <w:szCs w:val="13"/>
          <w:b w:val="1"/>
          <w:bCs w:val="1"/>
          <w:color w:val="auto"/>
        </w:rPr>
        <w:t>§2.5. Interest on Loans</w:t>
      </w:r>
      <w:r>
        <w:rPr>
          <w:rFonts w:ascii="Arial" w:cs="Arial" w:eastAsia="Arial" w:hAnsi="Arial"/>
          <w:sz w:val="13"/>
          <w:szCs w:val="13"/>
          <w:color w:val="auto"/>
        </w:rPr>
        <w:t>.</w:t>
      </w:r>
    </w:p>
    <w:p>
      <w:pPr>
        <w:spacing w:after="0" w:line="90" w:lineRule="exact"/>
        <w:rPr>
          <w:sz w:val="20"/>
          <w:szCs w:val="20"/>
          <w:color w:val="auto"/>
        </w:rPr>
      </w:pPr>
    </w:p>
    <w:p>
      <w:pPr>
        <w:ind w:left="-8" w:right="160" w:firstLine="172"/>
        <w:spacing w:after="0" w:line="276" w:lineRule="auto"/>
        <w:tabs>
          <w:tab w:leader="none" w:pos="334"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outstanding principal amount of Base Rate Syndicated Loans and Swing Line Loans shall bear interest at the rate per annum equal to the Applicable Base Rate. The outstanding principal amount of the Eurodollar Rate Syndicated Loans shall bear interest at the Applicable Eurodollar Rate.</w:t>
      </w:r>
    </w:p>
    <w:p>
      <w:pPr>
        <w:spacing w:after="0" w:line="49" w:lineRule="exact"/>
        <w:rPr>
          <w:rFonts w:ascii="Arial" w:cs="Arial" w:eastAsia="Arial" w:hAnsi="Arial"/>
          <w:sz w:val="13"/>
          <w:szCs w:val="13"/>
          <w:color w:val="auto"/>
        </w:rPr>
      </w:pPr>
    </w:p>
    <w:p>
      <w:pPr>
        <w:ind w:left="-8" w:right="180" w:firstLine="172"/>
        <w:spacing w:after="0" w:line="296" w:lineRule="auto"/>
        <w:tabs>
          <w:tab w:leader="none" w:pos="341" w:val="left"/>
        </w:tabs>
        <w:numPr>
          <w:ilvl w:val="0"/>
          <w:numId w:val="89"/>
        </w:numPr>
        <w:rPr>
          <w:rFonts w:ascii="Arial" w:cs="Arial" w:eastAsia="Arial" w:hAnsi="Arial"/>
          <w:sz w:val="12"/>
          <w:szCs w:val="12"/>
          <w:color w:val="auto"/>
        </w:rPr>
      </w:pPr>
      <w:r>
        <w:rPr>
          <w:rFonts w:ascii="Arial" w:cs="Arial" w:eastAsia="Arial" w:hAnsi="Arial"/>
          <w:sz w:val="12"/>
          <w:szCs w:val="12"/>
          <w:color w:val="auto"/>
        </w:rPr>
        <w:t>Interest shall be payable (i) quarterly in arrears on the first Business Day of each calendar quarter (and, in the case of the first such payment, including the portion of the prior calendar quarter after the Effective Date), with the first such payment commencing October 1, 2010, on Base Rate Loans, (ii) on the last day of the applicable Interest Period, and if such Interest Period is longer than three months, also on the last day of each three month period following the commencement of such Interest Period, on Eurodollar Loans, and (iii) on the Maturity Date for all Loans.</w:t>
      </w:r>
    </w:p>
    <w:p>
      <w:pPr>
        <w:spacing w:after="0" w:line="36" w:lineRule="exact"/>
        <w:rPr>
          <w:sz w:val="20"/>
          <w:szCs w:val="20"/>
          <w:color w:val="auto"/>
        </w:rPr>
      </w:pPr>
    </w:p>
    <w:p>
      <w:pPr>
        <w:ind w:left="92"/>
        <w:spacing w:after="0"/>
        <w:rPr>
          <w:sz w:val="20"/>
          <w:szCs w:val="20"/>
          <w:color w:val="auto"/>
        </w:rPr>
      </w:pPr>
      <w:r>
        <w:rPr>
          <w:rFonts w:ascii="Arial" w:cs="Arial" w:eastAsia="Arial" w:hAnsi="Arial"/>
          <w:sz w:val="13"/>
          <w:szCs w:val="13"/>
          <w:b w:val="1"/>
          <w:bCs w:val="1"/>
          <w:color w:val="auto"/>
        </w:rPr>
        <w:t>§2.6. Requests for Syndicated Loans</w:t>
      </w:r>
      <w:r>
        <w:rPr>
          <w:rFonts w:ascii="Arial" w:cs="Arial" w:eastAsia="Arial" w:hAnsi="Arial"/>
          <w:sz w:val="13"/>
          <w:szCs w:val="13"/>
          <w:color w:val="auto"/>
        </w:rPr>
        <w:t>.</w:t>
      </w:r>
    </w:p>
    <w:p>
      <w:pPr>
        <w:spacing w:after="0" w:line="90" w:lineRule="exact"/>
        <w:rPr>
          <w:sz w:val="20"/>
          <w:szCs w:val="20"/>
          <w:color w:val="auto"/>
        </w:rPr>
      </w:pPr>
    </w:p>
    <w:p>
      <w:pPr>
        <w:ind w:left="-8" w:firstLine="172"/>
        <w:spacing w:after="0" w:line="280" w:lineRule="auto"/>
        <w:tabs>
          <w:tab w:leader="none" w:pos="334" w:val="left"/>
        </w:tabs>
        <w:numPr>
          <w:ilvl w:val="1"/>
          <w:numId w:val="90"/>
        </w:numPr>
        <w:rPr>
          <w:rFonts w:ascii="Arial" w:cs="Arial" w:eastAsia="Arial" w:hAnsi="Arial"/>
          <w:sz w:val="12"/>
          <w:szCs w:val="12"/>
          <w:color w:val="auto"/>
        </w:rPr>
      </w:pPr>
      <w:r>
        <w:rPr>
          <w:rFonts w:ascii="Arial" w:cs="Arial" w:eastAsia="Arial" w:hAnsi="Arial"/>
          <w:sz w:val="12"/>
          <w:szCs w:val="12"/>
          <w:color w:val="auto"/>
        </w:rPr>
        <w:t xml:space="preserve">The Borrower shall give to the Administrative Agent written notice in the form of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hereto (or telephonic notice confirmed in writing or a facsimile in the form of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hereto) of each Syndicated Loan requested hereunder (a “Syndicated Loan Request”) not later than (a) 11:00 a.m. (New York time) on the proposed Drawdown Date of any Base Rate Loan, or (b) 11:00 a.m. (New York time) three</w:t>
      </w:r>
    </w:p>
    <w:p>
      <w:pPr>
        <w:ind w:left="-8" w:right="200" w:firstLine="8"/>
        <w:spacing w:after="0" w:line="255" w:lineRule="auto"/>
        <w:tabs>
          <w:tab w:leader="none" w:pos="177" w:val="left"/>
        </w:tabs>
        <w:numPr>
          <w:ilvl w:val="0"/>
          <w:numId w:val="91"/>
        </w:numPr>
        <w:rPr>
          <w:rFonts w:ascii="Arial" w:cs="Arial" w:eastAsia="Arial" w:hAnsi="Arial"/>
          <w:sz w:val="13"/>
          <w:szCs w:val="13"/>
          <w:color w:val="auto"/>
        </w:rPr>
      </w:pPr>
      <w:r>
        <w:rPr>
          <w:rFonts w:ascii="Arial" w:cs="Arial" w:eastAsia="Arial" w:hAnsi="Arial"/>
          <w:sz w:val="13"/>
          <w:szCs w:val="13"/>
          <w:color w:val="auto"/>
        </w:rPr>
        <w:t>Eurodollar Business Days prior to the proposed Drawdown Date of any Eurodollar Loan. Each such Syndicated Loan Request shall specify (A) the principal amount of the Syndicated Loan requested, (B) the proposed Drawdown Date of such Syndicated Loan, (C) whether such Syndicated Loan requested is to be a Base Rate Loan or a Eurodollar Loan, and (D) the Interest Period for such Syndicated Loan, if a Eurodollar Loan. Each Syndicated Loan requested shall be in a minimum amount of $10,000,000. Each such Syndicated Loan Request shall reflect the Maximum Drawing Amount of all Letters of Credit outstanding and the amount of all Loans outstanding (including Competitive Bid Loans and Swing Line Loans). Syndicated Loan Requests made hereunder shall be irrevocable and binding on the Borrower, and shall obligate the Borrower to accept the Syndicated Loan requested from the Banks on the proposed Drawdown Date.</w:t>
      </w:r>
    </w:p>
    <w:p>
      <w:pPr>
        <w:spacing w:after="0" w:line="63" w:lineRule="exact"/>
        <w:rPr>
          <w:rFonts w:ascii="Arial" w:cs="Arial" w:eastAsia="Arial" w:hAnsi="Arial"/>
          <w:sz w:val="13"/>
          <w:szCs w:val="13"/>
          <w:color w:val="auto"/>
        </w:rPr>
      </w:pPr>
    </w:p>
    <w:p>
      <w:pPr>
        <w:ind w:left="-8" w:right="40" w:firstLine="172"/>
        <w:spacing w:after="0" w:line="258" w:lineRule="auto"/>
        <w:tabs>
          <w:tab w:leader="none" w:pos="341" w:val="left"/>
        </w:tabs>
        <w:numPr>
          <w:ilvl w:val="1"/>
          <w:numId w:val="91"/>
        </w:numPr>
        <w:rPr>
          <w:rFonts w:ascii="Arial" w:cs="Arial" w:eastAsia="Arial" w:hAnsi="Arial"/>
          <w:sz w:val="13"/>
          <w:szCs w:val="13"/>
          <w:color w:val="auto"/>
        </w:rPr>
      </w:pPr>
      <w:r>
        <w:rPr>
          <w:rFonts w:ascii="Arial" w:cs="Arial" w:eastAsia="Arial" w:hAnsi="Arial"/>
          <w:sz w:val="13"/>
          <w:szCs w:val="13"/>
          <w:color w:val="auto"/>
        </w:rPr>
        <w:t>Each of the representations and warranties made by the Borrower to the Banks or the Administrative Agent in this Agreement or any other Loan Document shall be true and correct in all material respects when made and shall, for all purposes of this Agreement, be deemed to be repeated by the Borrower on and as of the date of the submission of a Syndicated Loan Request, Competitive Bid Quote Request, or Letter of Credit Application and on and as of the Drawdown Date of any Loan or the date of issuance of any Letter of Credit (except to the extent (i) of changes resulting from transactions contemplated or permitted by this Agreement and the other Loan Documents and changes occurring in the ordinary course of business that either individually or in the aggregate do not result in a Material Adverse Effect, or (ii) that such representations and warranties expressly relate only to an earlier date).</w:t>
      </w:r>
    </w:p>
    <w:p>
      <w:pPr>
        <w:spacing w:after="0" w:line="120" w:lineRule="exact"/>
        <w:rPr>
          <w:rFonts w:ascii="Arial" w:cs="Arial" w:eastAsia="Arial" w:hAnsi="Arial"/>
          <w:sz w:val="13"/>
          <w:szCs w:val="13"/>
          <w:color w:val="auto"/>
        </w:rPr>
      </w:pPr>
    </w:p>
    <w:p>
      <w:pPr>
        <w:ind w:left="5432" w:hanging="68"/>
        <w:spacing w:after="0"/>
        <w:tabs>
          <w:tab w:leader="none" w:pos="5432" w:val="left"/>
        </w:tabs>
        <w:numPr>
          <w:ilvl w:val="2"/>
          <w:numId w:val="91"/>
        </w:numPr>
        <w:rPr>
          <w:rFonts w:ascii="Arial" w:cs="Arial" w:eastAsia="Arial" w:hAnsi="Arial"/>
          <w:sz w:val="13"/>
          <w:szCs w:val="13"/>
          <w:color w:val="auto"/>
        </w:rPr>
      </w:pPr>
      <w:r>
        <w:rPr>
          <w:rFonts w:ascii="Arial" w:cs="Arial" w:eastAsia="Arial" w:hAnsi="Arial"/>
          <w:sz w:val="13"/>
          <w:szCs w:val="13"/>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32"/>
          </w:cols>
          <w:pgMar w:left="448" w:top="716" w:right="219" w:bottom="1440" w:gutter="0" w:footer="0" w:header="0"/>
        </w:sectPr>
      </w:pPr>
    </w:p>
    <w:bookmarkStart w:id="118" w:name="page119"/>
    <w:bookmarkEnd w:id="118"/>
    <w:p>
      <w:pPr>
        <w:ind w:left="340" w:hanging="168"/>
        <w:spacing w:after="0"/>
        <w:tabs>
          <w:tab w:leader="none" w:pos="340" w:val="left"/>
        </w:tabs>
        <w:numPr>
          <w:ilvl w:val="1"/>
          <w:numId w:val="92"/>
        </w:numPr>
        <w:rPr>
          <w:rFonts w:ascii="Arial" w:cs="Arial" w:eastAsia="Arial" w:hAnsi="Arial"/>
          <w:sz w:val="12"/>
          <w:szCs w:val="12"/>
          <w:color w:val="auto"/>
        </w:rPr>
      </w:pPr>
      <w:r>
        <w:rPr>
          <w:rFonts w:ascii="Arial" w:cs="Arial" w:eastAsia="Arial" w:hAnsi="Arial"/>
          <w:sz w:val="12"/>
          <w:szCs w:val="12"/>
          <w:color w:val="auto"/>
        </w:rPr>
        <w:t>The Administrative Agent shall promptly notify each Bank of each Syndicated Loan Request received by the Administrative Agent (i) on the proposed Drawdown Date of any Base Rate Loan, or (ii) three</w:t>
      </w:r>
    </w:p>
    <w:p>
      <w:pPr>
        <w:spacing w:after="0" w:line="26" w:lineRule="exact"/>
        <w:rPr>
          <w:rFonts w:ascii="Arial" w:cs="Arial" w:eastAsia="Arial" w:hAnsi="Arial"/>
          <w:sz w:val="12"/>
          <w:szCs w:val="12"/>
          <w:color w:val="auto"/>
        </w:rPr>
      </w:pPr>
    </w:p>
    <w:p>
      <w:pPr>
        <w:ind w:left="200" w:hanging="192"/>
        <w:spacing w:after="0"/>
        <w:tabs>
          <w:tab w:leader="none" w:pos="200" w:val="left"/>
        </w:tabs>
        <w:numPr>
          <w:ilvl w:val="0"/>
          <w:numId w:val="93"/>
        </w:numPr>
        <w:rPr>
          <w:rFonts w:ascii="Arial" w:cs="Arial" w:eastAsia="Arial" w:hAnsi="Arial"/>
          <w:sz w:val="13"/>
          <w:szCs w:val="13"/>
          <w:color w:val="auto"/>
        </w:rPr>
      </w:pPr>
      <w:r>
        <w:rPr>
          <w:rFonts w:ascii="Arial" w:cs="Arial" w:eastAsia="Arial" w:hAnsi="Arial"/>
          <w:sz w:val="13"/>
          <w:szCs w:val="13"/>
          <w:color w:val="auto"/>
        </w:rPr>
        <w:t>Eurodollar Business Days prior to the proposed Drawdown Date of any Eurodollar Loan.</w:t>
      </w:r>
    </w:p>
    <w:p>
      <w:pPr>
        <w:spacing w:after="0" w:line="75"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§2.7. Election of Eurodollar Rate; Notice of Election; Interest Periods; Minimum Amounts</w:t>
      </w:r>
      <w:r>
        <w:rPr>
          <w:rFonts w:ascii="Arial" w:cs="Arial" w:eastAsia="Arial" w:hAnsi="Arial"/>
          <w:sz w:val="13"/>
          <w:szCs w:val="13"/>
          <w:color w:val="auto"/>
        </w:rPr>
        <w:t>.</w:t>
      </w:r>
    </w:p>
    <w:p>
      <w:pPr>
        <w:spacing w:after="0" w:line="90" w:lineRule="exact"/>
        <w:rPr>
          <w:sz w:val="20"/>
          <w:szCs w:val="20"/>
          <w:color w:val="auto"/>
        </w:rPr>
      </w:pPr>
    </w:p>
    <w:p>
      <w:pPr>
        <w:ind w:left="340" w:hanging="168"/>
        <w:spacing w:after="0"/>
        <w:tabs>
          <w:tab w:leader="none" w:pos="340" w:val="left"/>
        </w:tabs>
        <w:numPr>
          <w:ilvl w:val="1"/>
          <w:numId w:val="94"/>
        </w:numPr>
        <w:rPr>
          <w:rFonts w:ascii="Arial" w:cs="Arial" w:eastAsia="Arial" w:hAnsi="Arial"/>
          <w:sz w:val="12"/>
          <w:szCs w:val="12"/>
          <w:color w:val="auto"/>
        </w:rPr>
      </w:pPr>
      <w:r>
        <w:rPr>
          <w:rFonts w:ascii="Arial" w:cs="Arial" w:eastAsia="Arial" w:hAnsi="Arial"/>
          <w:sz w:val="12"/>
          <w:szCs w:val="12"/>
          <w:color w:val="auto"/>
        </w:rPr>
        <w:t>At the Borrower’s option, so long as no Default or Event of Default has occurred and is then continuing, the Borrower may (i) elect to convert any Base Rate Syndicated Loan or a portion thereof to a</w:t>
      </w:r>
    </w:p>
    <w:p>
      <w:pPr>
        <w:spacing w:after="0" w:line="26" w:lineRule="exact"/>
        <w:rPr>
          <w:rFonts w:ascii="Arial" w:cs="Arial" w:eastAsia="Arial" w:hAnsi="Arial"/>
          <w:sz w:val="12"/>
          <w:szCs w:val="12"/>
          <w:color w:val="auto"/>
        </w:rPr>
      </w:pPr>
    </w:p>
    <w:p>
      <w:pPr>
        <w:ind w:right="100"/>
        <w:spacing w:after="0" w:line="290" w:lineRule="auto"/>
        <w:rPr>
          <w:rFonts w:ascii="Arial" w:cs="Arial" w:eastAsia="Arial" w:hAnsi="Arial"/>
          <w:sz w:val="12"/>
          <w:szCs w:val="12"/>
          <w:color w:val="auto"/>
        </w:rPr>
      </w:pPr>
      <w:r>
        <w:rPr>
          <w:rFonts w:ascii="Arial" w:cs="Arial" w:eastAsia="Arial" w:hAnsi="Arial"/>
          <w:sz w:val="12"/>
          <w:szCs w:val="12"/>
          <w:color w:val="auto"/>
        </w:rPr>
        <w:t xml:space="preserve">Eurodollar Loan, (ii) at the time of any Syndicated Loan Request, specify that such requested Loan shall be a Eurodollar Loan, or (iii) upon expiration of the applicable Interest Period, elect to maintain an existing Eurodollar Loan as such,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Borrower give notice to the Administrative Agent pursuant to §2.7(b) hereof. Upon determining any Eurodollar Rate, the Administrative Agent shall forthwith provide notice thereof to the Borrower and the Banks, and each such notice to the Borrower shall be considered </w:t>
      </w:r>
      <w:r>
        <w:rPr>
          <w:rFonts w:ascii="Arial" w:cs="Arial" w:eastAsia="Arial" w:hAnsi="Arial"/>
          <w:sz w:val="12"/>
          <w:szCs w:val="12"/>
          <w:u w:val="single" w:color="auto"/>
          <w:color w:val="auto"/>
        </w:rPr>
        <w:t>prima facie</w:t>
      </w:r>
      <w:r>
        <w:rPr>
          <w:rFonts w:ascii="Arial" w:cs="Arial" w:eastAsia="Arial" w:hAnsi="Arial"/>
          <w:sz w:val="12"/>
          <w:szCs w:val="12"/>
          <w:color w:val="auto"/>
        </w:rPr>
        <w:t xml:space="preserve"> correct and binding, absent manifest error.</w:t>
      </w:r>
    </w:p>
    <w:p>
      <w:pPr>
        <w:spacing w:after="0" w:line="42" w:lineRule="exact"/>
        <w:rPr>
          <w:rFonts w:ascii="Arial" w:cs="Arial" w:eastAsia="Arial" w:hAnsi="Arial"/>
          <w:sz w:val="12"/>
          <w:szCs w:val="12"/>
          <w:color w:val="auto"/>
        </w:rPr>
      </w:pPr>
    </w:p>
    <w:p>
      <w:pPr>
        <w:ind w:firstLine="172"/>
        <w:spacing w:after="0" w:line="256" w:lineRule="auto"/>
        <w:tabs>
          <w:tab w:leader="none" w:pos="349" w:val="left"/>
        </w:tabs>
        <w:numPr>
          <w:ilvl w:val="1"/>
          <w:numId w:val="94"/>
        </w:numPr>
        <w:rPr>
          <w:rFonts w:ascii="Arial" w:cs="Arial" w:eastAsia="Arial" w:hAnsi="Arial"/>
          <w:sz w:val="13"/>
          <w:szCs w:val="13"/>
          <w:color w:val="auto"/>
        </w:rPr>
      </w:pPr>
      <w:r>
        <w:rPr>
          <w:rFonts w:ascii="Arial" w:cs="Arial" w:eastAsia="Arial" w:hAnsi="Arial"/>
          <w:sz w:val="13"/>
          <w:szCs w:val="13"/>
          <w:color w:val="auto"/>
        </w:rPr>
        <w:t>Three (3) Eurodollar Business Days prior to the making of any Eurodollar Loan or the conversion of any Base Rate Syndicated Loan to a Eurodollar Loan, or, in the case of an outstanding Eurodollar Loan, the expiration date of the applicable Interest Period, the Borrower shall give written, telex or facsimile notice (or telephonic notice promptly confirmed in a writing or a facsimile) received by the Administrative Agent not later than 11:00 a.m. (New York time) of its election pursuant to §2.7(a). Each such notice delivered to the Administrative Agent shall specify the aggregate principal amount of the Syndicated Loans to be borrowed or maintained as or converted to Eurodollar Loans and the requested duration of the Interest Period that will be applicable to such Eurodollar Loan, and shall be irrevocable and binding upon the Borrower. If the Borrower shall fail to give the Administrative Agent notice of its election hereunder together with all of the other information required by this §2.7(b) with respect to any Syndicated Loan, whether at the end of an Interest Period or otherwise, such Syndicated Loan shall be deemed a Base Rate Loan. The Administrative Agent shall promptly notify the Banks in writing (or by telephone confirmed in writing or by facsimile) of such election.</w:t>
      </w:r>
    </w:p>
    <w:p>
      <w:pPr>
        <w:spacing w:after="0" w:line="63" w:lineRule="exact"/>
        <w:rPr>
          <w:rFonts w:ascii="Arial" w:cs="Arial" w:eastAsia="Arial" w:hAnsi="Arial"/>
          <w:sz w:val="13"/>
          <w:szCs w:val="13"/>
          <w:color w:val="auto"/>
        </w:rPr>
      </w:pPr>
    </w:p>
    <w:p>
      <w:pPr>
        <w:ind w:left="340" w:hanging="168"/>
        <w:spacing w:after="0"/>
        <w:tabs>
          <w:tab w:leader="none" w:pos="340" w:val="left"/>
        </w:tabs>
        <w:numPr>
          <w:ilvl w:val="1"/>
          <w:numId w:val="94"/>
        </w:numPr>
        <w:rPr>
          <w:rFonts w:ascii="Arial" w:cs="Arial" w:eastAsia="Arial" w:hAnsi="Arial"/>
          <w:sz w:val="13"/>
          <w:szCs w:val="13"/>
          <w:color w:val="auto"/>
        </w:rPr>
      </w:pPr>
      <w:r>
        <w:rPr>
          <w:rFonts w:ascii="Arial" w:cs="Arial" w:eastAsia="Arial" w:hAnsi="Arial"/>
          <w:sz w:val="13"/>
          <w:szCs w:val="13"/>
          <w:color w:val="auto"/>
        </w:rPr>
        <w:t>Notwithstanding anything herein to the contrary, the Borrower may not specify an Interest Period that would extend beyond the Maturity Date.</w:t>
      </w:r>
    </w:p>
    <w:p>
      <w:pPr>
        <w:spacing w:after="0" w:line="86" w:lineRule="exact"/>
        <w:rPr>
          <w:rFonts w:ascii="Arial" w:cs="Arial" w:eastAsia="Arial" w:hAnsi="Arial"/>
          <w:sz w:val="13"/>
          <w:szCs w:val="13"/>
          <w:color w:val="auto"/>
        </w:rPr>
      </w:pPr>
    </w:p>
    <w:p>
      <w:pPr>
        <w:ind w:right="460" w:firstLine="172"/>
        <w:spacing w:after="0" w:line="276" w:lineRule="auto"/>
        <w:tabs>
          <w:tab w:leader="none" w:pos="349" w:val="left"/>
        </w:tabs>
        <w:numPr>
          <w:ilvl w:val="1"/>
          <w:numId w:val="94"/>
        </w:numPr>
        <w:rPr>
          <w:rFonts w:ascii="Arial" w:cs="Arial" w:eastAsia="Arial" w:hAnsi="Arial"/>
          <w:sz w:val="13"/>
          <w:szCs w:val="13"/>
          <w:color w:val="auto"/>
        </w:rPr>
      </w:pPr>
      <w:r>
        <w:rPr>
          <w:rFonts w:ascii="Arial" w:cs="Arial" w:eastAsia="Arial" w:hAnsi="Arial"/>
          <w:sz w:val="13"/>
          <w:szCs w:val="13"/>
          <w:color w:val="auto"/>
        </w:rPr>
        <w:t>No conversion of Loans pursuant to this §2.7 may result in any Eurodollar Borrowing that is less than $5,000,000. In no event shall the Borrower have more than ten (10) different Interest Periods for Borrowings of Eurodollar Loans outstanding at any time.</w:t>
      </w:r>
    </w:p>
    <w:p>
      <w:pPr>
        <w:spacing w:after="0" w:line="49" w:lineRule="exact"/>
        <w:rPr>
          <w:rFonts w:ascii="Arial" w:cs="Arial" w:eastAsia="Arial" w:hAnsi="Arial"/>
          <w:sz w:val="13"/>
          <w:szCs w:val="13"/>
          <w:color w:val="auto"/>
        </w:rPr>
      </w:pPr>
    </w:p>
    <w:p>
      <w:pPr>
        <w:ind w:left="340" w:hanging="168"/>
        <w:spacing w:after="0"/>
        <w:tabs>
          <w:tab w:leader="none" w:pos="340" w:val="left"/>
        </w:tabs>
        <w:numPr>
          <w:ilvl w:val="1"/>
          <w:numId w:val="94"/>
        </w:numPr>
        <w:rPr>
          <w:rFonts w:ascii="Arial" w:cs="Arial" w:eastAsia="Arial" w:hAnsi="Arial"/>
          <w:sz w:val="12"/>
          <w:szCs w:val="12"/>
          <w:color w:val="auto"/>
        </w:rPr>
      </w:pPr>
      <w:r>
        <w:rPr>
          <w:rFonts w:ascii="Arial" w:cs="Arial" w:eastAsia="Arial" w:hAnsi="Arial"/>
          <w:sz w:val="12"/>
          <w:szCs w:val="12"/>
          <w:color w:val="auto"/>
        </w:rPr>
        <w:t>Subject to the terms and conditions of §5.8 hereof, if any Affected Bank demands compensation under §5.5(c) or (d) with respect to any Eurodollar Loan, the Borrower may at any time, upon at least three</w:t>
      </w:r>
    </w:p>
    <w:p>
      <w:pPr>
        <w:spacing w:after="0" w:line="26" w:lineRule="exact"/>
        <w:rPr>
          <w:rFonts w:ascii="Arial" w:cs="Arial" w:eastAsia="Arial" w:hAnsi="Arial"/>
          <w:sz w:val="12"/>
          <w:szCs w:val="12"/>
          <w:color w:val="auto"/>
        </w:rPr>
      </w:pPr>
    </w:p>
    <w:p>
      <w:pPr>
        <w:ind w:left="200" w:hanging="192"/>
        <w:spacing w:after="0"/>
        <w:tabs>
          <w:tab w:leader="none" w:pos="200" w:val="left"/>
        </w:tabs>
        <w:numPr>
          <w:ilvl w:val="0"/>
          <w:numId w:val="95"/>
        </w:numPr>
        <w:rPr>
          <w:rFonts w:ascii="Arial" w:cs="Arial" w:eastAsia="Arial" w:hAnsi="Arial"/>
          <w:sz w:val="13"/>
          <w:szCs w:val="13"/>
          <w:color w:val="auto"/>
        </w:rPr>
      </w:pPr>
      <w:r>
        <w:rPr>
          <w:rFonts w:ascii="Arial" w:cs="Arial" w:eastAsia="Arial" w:hAnsi="Arial"/>
          <w:sz w:val="13"/>
          <w:szCs w:val="13"/>
          <w:color w:val="auto"/>
        </w:rPr>
        <w:t>Business Days’ prior written notice to</w:t>
      </w:r>
    </w:p>
    <w:p>
      <w:pPr>
        <w:spacing w:after="0" w:line="137" w:lineRule="exact"/>
        <w:rPr>
          <w:rFonts w:ascii="Arial" w:cs="Arial" w:eastAsia="Arial" w:hAnsi="Arial"/>
          <w:sz w:val="13"/>
          <w:szCs w:val="13"/>
          <w:color w:val="auto"/>
        </w:rPr>
      </w:pPr>
    </w:p>
    <w:p>
      <w:pPr>
        <w:ind w:left="5440" w:hanging="68"/>
        <w:spacing w:after="0"/>
        <w:tabs>
          <w:tab w:leader="none" w:pos="5440" w:val="left"/>
        </w:tabs>
        <w:numPr>
          <w:ilvl w:val="2"/>
          <w:numId w:val="95"/>
        </w:numPr>
        <w:rPr>
          <w:rFonts w:ascii="Arial" w:cs="Arial" w:eastAsia="Arial" w:hAnsi="Arial"/>
          <w:sz w:val="13"/>
          <w:szCs w:val="13"/>
          <w:color w:val="auto"/>
        </w:rPr>
      </w:pPr>
      <w:r>
        <w:rPr>
          <w:rFonts w:ascii="Arial" w:cs="Arial" w:eastAsia="Arial" w:hAnsi="Arial"/>
          <w:sz w:val="13"/>
          <w:szCs w:val="13"/>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19" w:name="page120"/>
    <w:bookmarkEnd w:id="119"/>
    <w:p>
      <w:pPr>
        <w:ind w:left="220" w:right="20"/>
        <w:spacing w:after="0" w:line="258" w:lineRule="auto"/>
        <w:rPr>
          <w:sz w:val="20"/>
          <w:szCs w:val="20"/>
          <w:color w:val="auto"/>
        </w:rPr>
      </w:pPr>
      <w:r>
        <w:rPr>
          <w:rFonts w:ascii="Arial" w:cs="Arial" w:eastAsia="Arial" w:hAnsi="Arial"/>
          <w:sz w:val="13"/>
          <w:szCs w:val="13"/>
          <w:color w:val="auto"/>
        </w:rPr>
        <w:t>the applicable Administrative Agent, elect to convert such Eurodollar Loan into a Base Rate Loan (on which interest and principal shall be payable contemporaneously with the related Eurodollar Loans of the other Banks). Thereafter, and until such time as the Affected Bank notifies the Administrative Agent that the circumstances giving rise to the demand for compensation under §5.5(c) or (d) no longer exist, all requests for Eurodollar Loans from such Affected Bank shall be deemed to be requests for Base Rate Loans. Once the Affected Bank notifies the Administrative Agent that such circumstances no longer exist, the Borrower may elect that the principal amount of each such Loan converted hereunder shall again bear interest as Eurodollar Loans beginning on the first day of the next succeeding Interest Period applicable to the related Eurodollar Loans of the other Banks.</w:t>
      </w:r>
    </w:p>
    <w:p>
      <w:pPr>
        <w:spacing w:after="0" w:line="57" w:lineRule="exact"/>
        <w:rPr>
          <w:sz w:val="20"/>
          <w:szCs w:val="20"/>
          <w:color w:val="auto"/>
        </w:rPr>
      </w:pPr>
    </w:p>
    <w:p>
      <w:pPr>
        <w:ind w:right="240" w:firstLine="327"/>
        <w:spacing w:after="0" w:line="258" w:lineRule="auto"/>
        <w:rPr>
          <w:sz w:val="20"/>
          <w:szCs w:val="20"/>
          <w:color w:val="auto"/>
        </w:rPr>
      </w:pPr>
      <w:r>
        <w:rPr>
          <w:rFonts w:ascii="Arial" w:cs="Arial" w:eastAsia="Arial" w:hAnsi="Arial"/>
          <w:sz w:val="13"/>
          <w:szCs w:val="13"/>
          <w:b w:val="1"/>
          <w:bCs w:val="1"/>
          <w:color w:val="auto"/>
        </w:rPr>
        <w:t>§2.8. Funds for Syndicated Loans</w:t>
      </w:r>
      <w:r>
        <w:rPr>
          <w:rFonts w:ascii="Arial" w:cs="Arial" w:eastAsia="Arial" w:hAnsi="Arial"/>
          <w:sz w:val="13"/>
          <w:szCs w:val="13"/>
          <w:color w:val="auto"/>
        </w:rPr>
        <w:t>. Not later than 1:00 p.m. (New York time) on the proposed Drawdown Date of Syndicated Loans, each of the Banks will make available to the Administrative Agent at the</w:t>
      </w:r>
      <w:r>
        <w:rPr>
          <w:rFonts w:ascii="Arial" w:cs="Arial" w:eastAsia="Arial" w:hAnsi="Arial"/>
          <w:sz w:val="13"/>
          <w:szCs w:val="13"/>
          <w:b w:val="1"/>
          <w:bCs w:val="1"/>
          <w:color w:val="auto"/>
        </w:rPr>
        <w:t xml:space="preserve"> </w:t>
      </w:r>
      <w:r>
        <w:rPr>
          <w:rFonts w:ascii="Arial" w:cs="Arial" w:eastAsia="Arial" w:hAnsi="Arial"/>
          <w:sz w:val="13"/>
          <w:szCs w:val="13"/>
          <w:color w:val="auto"/>
        </w:rPr>
        <w:t>Administrative Agent’s Office, in immediately available funds, the amount of its Commitment Percentage of the amount of the requested Loan. Upon receipt from each Bank of such amount, and upon receipt of the documents required by §10 and §11 and the satisfaction of the other conditions set forth therein, the Administrative Agent will make available to the Borrower the aggregate amount of such Syndicated Loans made available by the Banks. The failure or refusal of any Bank to make available to the Administrative Agent at the aforesaid time and place on any Drawdown Date the amount of its Commitment Percentage of the requested Syndicated Loan shall not relieve any other Bank from its several obligations hereunder to make available to the Administrative Agent the amount of such Bank’s Commitment Percentage of the requested Loan.</w:t>
      </w:r>
    </w:p>
    <w:p>
      <w:pPr>
        <w:spacing w:after="0" w:line="58" w:lineRule="exact"/>
        <w:rPr>
          <w:sz w:val="20"/>
          <w:szCs w:val="20"/>
          <w:color w:val="auto"/>
        </w:rPr>
      </w:pPr>
    </w:p>
    <w:p>
      <w:pPr>
        <w:ind w:firstLine="327"/>
        <w:spacing w:after="0" w:line="283" w:lineRule="auto"/>
        <w:rPr>
          <w:sz w:val="20"/>
          <w:szCs w:val="20"/>
          <w:color w:val="auto"/>
        </w:rPr>
      </w:pPr>
      <w:r>
        <w:rPr>
          <w:rFonts w:ascii="Arial" w:cs="Arial" w:eastAsia="Arial" w:hAnsi="Arial"/>
          <w:sz w:val="13"/>
          <w:szCs w:val="13"/>
          <w:b w:val="1"/>
          <w:bCs w:val="1"/>
          <w:color w:val="auto"/>
        </w:rPr>
        <w:t>§2.9. Maturity of the Loans and Reimbursement Obligations</w:t>
      </w:r>
      <w:r>
        <w:rPr>
          <w:rFonts w:ascii="Arial" w:cs="Arial" w:eastAsia="Arial" w:hAnsi="Arial"/>
          <w:sz w:val="13"/>
          <w:szCs w:val="13"/>
          <w:color w:val="auto"/>
        </w:rPr>
        <w:t>. The Borrower promises to pay on the Maturity Date, and there shall become absolutely due and payable on the Maturity Date, all of the Loans and</w:t>
      </w:r>
      <w:r>
        <w:rPr>
          <w:rFonts w:ascii="Arial" w:cs="Arial" w:eastAsia="Arial" w:hAnsi="Arial"/>
          <w:sz w:val="13"/>
          <w:szCs w:val="13"/>
          <w:b w:val="1"/>
          <w:bCs w:val="1"/>
          <w:color w:val="auto"/>
        </w:rPr>
        <w:t xml:space="preserve"> </w:t>
      </w:r>
      <w:r>
        <w:rPr>
          <w:rFonts w:ascii="Arial" w:cs="Arial" w:eastAsia="Arial" w:hAnsi="Arial"/>
          <w:sz w:val="13"/>
          <w:szCs w:val="13"/>
          <w:color w:val="auto"/>
        </w:rPr>
        <w:t>unpaid Reimbursement Obligations outstanding on such date, together with any and all accrued and unpaid interest thereon and any fees and other amounts owing hereunder.</w:t>
      </w:r>
    </w:p>
    <w:p>
      <w:pPr>
        <w:spacing w:after="0" w:line="41" w:lineRule="exact"/>
        <w:rPr>
          <w:sz w:val="20"/>
          <w:szCs w:val="20"/>
          <w:color w:val="auto"/>
        </w:rPr>
      </w:pPr>
    </w:p>
    <w:p>
      <w:pPr>
        <w:ind w:firstLine="327"/>
        <w:spacing w:after="0" w:line="258" w:lineRule="auto"/>
        <w:rPr>
          <w:sz w:val="20"/>
          <w:szCs w:val="20"/>
          <w:color w:val="auto"/>
        </w:rPr>
      </w:pPr>
      <w:r>
        <w:rPr>
          <w:rFonts w:ascii="Arial" w:cs="Arial" w:eastAsia="Arial" w:hAnsi="Arial"/>
          <w:sz w:val="13"/>
          <w:szCs w:val="13"/>
          <w:b w:val="1"/>
          <w:bCs w:val="1"/>
          <w:color w:val="auto"/>
        </w:rPr>
        <w:t>§2.10. Optional Prepayments or Repayments of Loans</w:t>
      </w:r>
      <w:r>
        <w:rPr>
          <w:rFonts w:ascii="Arial" w:cs="Arial" w:eastAsia="Arial" w:hAnsi="Arial"/>
          <w:sz w:val="13"/>
          <w:szCs w:val="13"/>
          <w:color w:val="auto"/>
        </w:rPr>
        <w:t>. Subject to the terms and conditions of §5.8, the Borrower shall have the right, at its election, to repay or prepay the outstanding amount of the Loans, as a</w:t>
      </w:r>
      <w:r>
        <w:rPr>
          <w:rFonts w:ascii="Arial" w:cs="Arial" w:eastAsia="Arial" w:hAnsi="Arial"/>
          <w:sz w:val="13"/>
          <w:szCs w:val="13"/>
          <w:b w:val="1"/>
          <w:bCs w:val="1"/>
          <w:color w:val="auto"/>
        </w:rPr>
        <w:t xml:space="preserve"> </w:t>
      </w:r>
      <w:r>
        <w:rPr>
          <w:rFonts w:ascii="Arial" w:cs="Arial" w:eastAsia="Arial" w:hAnsi="Arial"/>
          <w:sz w:val="13"/>
          <w:szCs w:val="13"/>
          <w:color w:val="auto"/>
        </w:rPr>
        <w:t>whole or in part, at any time without penalty or premium. The Borrower shall give the Administrative Agent no later than 11:00 a.m. (New York time) (a) on the proposed date of prepayment or repayment of Base Rate Loans, and (b) three (3) Eurodollar Business Day prior to the proposed date of prepayment or repayment of all other Loans, written notice (or telephonic notice confirmed in writing or by facsimile) of any proposed prepayment or repayment pursuant to this §2.10, specifying the proposed date of prepayment or repayment of Loans and the principal amount to be paid. Notwithstanding the foregoing, the Borrower may not prepay any Competitive Bid Loans without the consent of the applicable Bank. The Administrative Agent shall promptly notify each Bank by written notice (or telephonic notice confirmed in writing or by facsimile) of such notice of payment.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0" w:name="page121"/>
    <w:bookmarkEnd w:id="120"/>
    <w:p>
      <w:pPr>
        <w:ind w:left="92"/>
        <w:spacing w:after="0"/>
        <w:rPr>
          <w:sz w:val="20"/>
          <w:szCs w:val="20"/>
          <w:color w:val="auto"/>
        </w:rPr>
      </w:pPr>
      <w:r>
        <w:rPr>
          <w:rFonts w:ascii="Arial" w:cs="Arial" w:eastAsia="Arial" w:hAnsi="Arial"/>
          <w:sz w:val="13"/>
          <w:szCs w:val="13"/>
          <w:b w:val="1"/>
          <w:bCs w:val="1"/>
          <w:color w:val="auto"/>
        </w:rPr>
        <w:t>§2.11. Swing Line Loans; Participations</w:t>
      </w:r>
      <w:r>
        <w:rPr>
          <w:rFonts w:ascii="Arial" w:cs="Arial" w:eastAsia="Arial" w:hAnsi="Arial"/>
          <w:sz w:val="13"/>
          <w:szCs w:val="13"/>
          <w:color w:val="auto"/>
        </w:rPr>
        <w:t>.</w:t>
      </w:r>
    </w:p>
    <w:p>
      <w:pPr>
        <w:spacing w:after="0" w:line="90" w:lineRule="exact"/>
        <w:rPr>
          <w:sz w:val="20"/>
          <w:szCs w:val="20"/>
          <w:color w:val="auto"/>
        </w:rPr>
      </w:pPr>
    </w:p>
    <w:p>
      <w:pPr>
        <w:ind w:left="-8" w:right="20" w:firstLine="172"/>
        <w:spacing w:after="0" w:line="276" w:lineRule="auto"/>
        <w:tabs>
          <w:tab w:leader="none" w:pos="334" w:val="left"/>
        </w:tabs>
        <w:numPr>
          <w:ilvl w:val="1"/>
          <w:numId w:val="96"/>
        </w:numPr>
        <w:rPr>
          <w:rFonts w:ascii="Arial" w:cs="Arial" w:eastAsia="Arial" w:hAnsi="Arial"/>
          <w:sz w:val="12"/>
          <w:szCs w:val="12"/>
          <w:color w:val="auto"/>
        </w:rPr>
      </w:pPr>
      <w:r>
        <w:rPr>
          <w:rFonts w:ascii="Arial" w:cs="Arial" w:eastAsia="Arial" w:hAnsi="Arial"/>
          <w:sz w:val="12"/>
          <w:szCs w:val="12"/>
          <w:color w:val="auto"/>
        </w:rPr>
        <w:t xml:space="preserve">Subject to the terms and conditions set forth herein, the Swing Line Bank, in reliance upon the agreements of the other Banks set forth in this §2.11, may in its sole discretion make loans (each such loan, a “Swing Line Loan”) to the Borrower on any Business Day from time to time between the Effective Date and the Maturity Date, upon notice by the Borrower to the Administrative Agent in an aggregate amount not to exceed at any time outstanding the amount of the Swing Line Sublimit, notwithstanding the fact that such Swing Line Loans, when aggregated with the Commitment Percentage of the Syndicated Loans and Maximum Drawing Amount of outstanding Letters of Credit of the Bank acting as Swing Line Bank, may exceed the amount of such Bank’s Commitment; </w:t>
      </w:r>
      <w:r>
        <w:rPr>
          <w:rFonts w:ascii="Arial" w:cs="Arial" w:eastAsia="Arial" w:hAnsi="Arial"/>
          <w:sz w:val="12"/>
          <w:szCs w:val="12"/>
          <w:u w:val="single" w:color="auto"/>
          <w:color w:val="auto"/>
        </w:rPr>
        <w:t>provided</w:t>
      </w:r>
      <w:r>
        <w:rPr>
          <w:rFonts w:ascii="Arial" w:cs="Arial" w:eastAsia="Arial" w:hAnsi="Arial"/>
          <w:sz w:val="12"/>
          <w:szCs w:val="12"/>
          <w:color w:val="auto"/>
        </w:rPr>
        <w:t>, that after giving effect to any Swing Line Loan,</w:t>
      </w:r>
    </w:p>
    <w:p>
      <w:pPr>
        <w:spacing w:after="0" w:line="1" w:lineRule="exact"/>
        <w:rPr>
          <w:rFonts w:ascii="Arial" w:cs="Arial" w:eastAsia="Arial" w:hAnsi="Arial"/>
          <w:sz w:val="12"/>
          <w:szCs w:val="12"/>
          <w:color w:val="auto"/>
        </w:rPr>
      </w:pPr>
    </w:p>
    <w:p>
      <w:pPr>
        <w:ind w:left="-8" w:right="20" w:firstLine="8"/>
        <w:spacing w:after="0" w:line="279" w:lineRule="auto"/>
        <w:tabs>
          <w:tab w:leader="none" w:pos="148" w:val="left"/>
        </w:tabs>
        <w:numPr>
          <w:ilvl w:val="0"/>
          <w:numId w:val="97"/>
        </w:numPr>
        <w:rPr>
          <w:rFonts w:ascii="Arial" w:cs="Arial" w:eastAsia="Arial" w:hAnsi="Arial"/>
          <w:sz w:val="12"/>
          <w:szCs w:val="12"/>
          <w:color w:val="auto"/>
        </w:rPr>
      </w:pPr>
      <w:r>
        <w:rPr>
          <w:rFonts w:ascii="Arial" w:cs="Arial" w:eastAsia="Arial" w:hAnsi="Arial"/>
          <w:sz w:val="12"/>
          <w:szCs w:val="12"/>
          <w:color w:val="auto"/>
        </w:rPr>
        <w:t xml:space="preserve">the sum of the outstanding principal amount of the Syndicated Loans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the outstanding principal amount of the Swing Line Loans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the Maximum Drawing Amount of outstanding Letters of Credit shall not exceed the Total Commitment </w:t>
      </w:r>
      <w:r>
        <w:rPr>
          <w:rFonts w:ascii="Arial" w:cs="Arial" w:eastAsia="Arial" w:hAnsi="Arial"/>
          <w:sz w:val="12"/>
          <w:szCs w:val="12"/>
          <w:u w:val="single" w:color="auto"/>
          <w:color w:val="auto"/>
        </w:rPr>
        <w:t>minus</w:t>
      </w:r>
      <w:r>
        <w:rPr>
          <w:rFonts w:ascii="Arial" w:cs="Arial" w:eastAsia="Arial" w:hAnsi="Arial"/>
          <w:sz w:val="12"/>
          <w:szCs w:val="12"/>
          <w:color w:val="auto"/>
        </w:rPr>
        <w:t xml:space="preserve"> the aggregate amount of Competitive Bid Loans outstanding at such time, and (ii) the aggregate outstanding principal amount of the Syndicated Loans of any Bank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such Bank’s Commitment Percentage of the outstanding principal amount of the Swing Line Loans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such Bank’s Commitment Percentage of the outstanding principal amount of the Maximum Drawing Amount of outstanding Letters of Credit shall not exceed such Bank’s Commitment, and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the Borrower shall not use the proceeds of any Swing Line Loan to refinance any outstanding Swing Line Loan. Within the foregoing limits, and subject to the other terms and conditions hereof, the Borrower may borrow under this §2.11, prepay under §2.10, and reborrow under this §2.11. Each Swing Line Loan shall be a Base Rate Loan. Immediately upon the making of a Swing Line Loan, each Bank shall be deemed to, and hereby irrevocably and unconditionally agrees to, purchase from the Swing Line Bank a risk participation in such Swing Line Loan in an amount equal to the product of such Bank’s Commitment Percentage times the amount of such Swing Line Loan.</w:t>
      </w:r>
    </w:p>
    <w:p>
      <w:pPr>
        <w:spacing w:after="0" w:line="49" w:lineRule="exact"/>
        <w:rPr>
          <w:rFonts w:ascii="Arial" w:cs="Arial" w:eastAsia="Arial" w:hAnsi="Arial"/>
          <w:sz w:val="12"/>
          <w:szCs w:val="12"/>
          <w:color w:val="auto"/>
        </w:rPr>
      </w:pPr>
    </w:p>
    <w:p>
      <w:pPr>
        <w:ind w:left="-8" w:firstLine="172"/>
        <w:spacing w:after="0" w:line="280" w:lineRule="auto"/>
        <w:tabs>
          <w:tab w:leader="none" w:pos="341" w:val="left"/>
        </w:tabs>
        <w:numPr>
          <w:ilvl w:val="1"/>
          <w:numId w:val="97"/>
        </w:numPr>
        <w:rPr>
          <w:rFonts w:ascii="Arial" w:cs="Arial" w:eastAsia="Arial" w:hAnsi="Arial"/>
          <w:sz w:val="12"/>
          <w:szCs w:val="12"/>
          <w:color w:val="auto"/>
        </w:rPr>
      </w:pPr>
      <w:r>
        <w:rPr>
          <w:rFonts w:ascii="Arial" w:cs="Arial" w:eastAsia="Arial" w:hAnsi="Arial"/>
          <w:sz w:val="12"/>
          <w:szCs w:val="12"/>
          <w:color w:val="auto"/>
        </w:rPr>
        <w:t>Each Swing Line Borrowing shall be made upon the Borrower’s irrevocable notice to the Swing Line Bank and the Administrative Agent, which may be given by telephone. Each such notice must be received by the Swing Line Bank and the Administrative Agent not later than 1:00 p.m (New York time). on the requested borrowing date, and shall specify (i) the amount to be borrowed, which shall be a minimum of $100,000, and (ii) the requested borrowing date, which shall be a Business Day. Each such telephonic notice must be confirmed promptly by delivery to the Swing Line Bank and the Administrative Agent of a written Swing Line Loan Request, appropriately completed and signed by an authorized officer of the Borrower. Promptly after receipt by the Swing Line Bank of any telephonic Swing Line Loan Request, the Swing Line Bank will confirm with the Administrative Agent (by telephone or in writing) that the Administrative Agent has also received such Swing Line Loan Request and, if not, the Swing Line Bank will notify the Administrative Agent (by telephone or in writing) of the contents thereof. Unless the Swing Line Bank has received notice (by telephone or in writing) from the Administrative Agent (including at the request of any Bank) prior to 2:00 p.m. on the date of the proposed Swing Line Borrowing (A) directing the Swing Line Bank not to make such Swing Line Loan as a result of the limitations set forth in the first proviso to the first sentence of §2.11(a), or (B) that one or more of the applicable conditions specified in §11 is not then satisfied, then, subject to the terms and conditions hereof,</w:t>
      </w:r>
    </w:p>
    <w:p>
      <w:pPr>
        <w:spacing w:after="0" w:line="107" w:lineRule="exact"/>
        <w:rPr>
          <w:rFonts w:ascii="Arial" w:cs="Arial" w:eastAsia="Arial" w:hAnsi="Arial"/>
          <w:sz w:val="12"/>
          <w:szCs w:val="12"/>
          <w:color w:val="auto"/>
        </w:rPr>
      </w:pPr>
    </w:p>
    <w:p>
      <w:pPr>
        <w:ind w:left="5432" w:hanging="68"/>
        <w:spacing w:after="0"/>
        <w:tabs>
          <w:tab w:leader="none" w:pos="5432" w:val="left"/>
        </w:tabs>
        <w:numPr>
          <w:ilvl w:val="2"/>
          <w:numId w:val="97"/>
        </w:numPr>
        <w:rPr>
          <w:rFonts w:ascii="Arial" w:cs="Arial" w:eastAsia="Arial" w:hAnsi="Arial"/>
          <w:sz w:val="13"/>
          <w:szCs w:val="13"/>
          <w:color w:val="auto"/>
        </w:rPr>
      </w:pPr>
      <w:r>
        <w:rPr>
          <w:rFonts w:ascii="Arial" w:cs="Arial" w:eastAsia="Arial" w:hAnsi="Arial"/>
          <w:sz w:val="13"/>
          <w:szCs w:val="13"/>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32"/>
          </w:cols>
          <w:pgMar w:left="448" w:top="716" w:right="219" w:bottom="1440" w:gutter="0" w:footer="0" w:header="0"/>
        </w:sectPr>
      </w:pPr>
    </w:p>
    <w:bookmarkStart w:id="121" w:name="page122"/>
    <w:bookmarkEnd w:id="121"/>
    <w:p>
      <w:pPr>
        <w:ind w:right="60"/>
        <w:spacing w:after="0" w:line="276" w:lineRule="auto"/>
        <w:rPr>
          <w:sz w:val="20"/>
          <w:szCs w:val="20"/>
          <w:color w:val="auto"/>
        </w:rPr>
      </w:pPr>
      <w:r>
        <w:rPr>
          <w:rFonts w:ascii="Arial" w:cs="Arial" w:eastAsia="Arial" w:hAnsi="Arial"/>
          <w:sz w:val="13"/>
          <w:szCs w:val="13"/>
          <w:color w:val="auto"/>
        </w:rPr>
        <w:t>the Swing Line Bank will, not later than 3:00 p.m. on the borrowing date specified in such Swing Line Loan Request, make the amount of its Swing Line Loan available to the Borrower at its office by crediting the account of the Borrower on the books of the Swing Line Bank in immediately available funds.</w:t>
      </w:r>
    </w:p>
    <w:p>
      <w:pPr>
        <w:spacing w:after="0" w:line="49" w:lineRule="exact"/>
        <w:rPr>
          <w:sz w:val="20"/>
          <w:szCs w:val="20"/>
          <w:color w:val="auto"/>
        </w:rPr>
      </w:pPr>
    </w:p>
    <w:p>
      <w:pPr>
        <w:ind w:firstLine="172"/>
        <w:spacing w:after="0" w:line="280" w:lineRule="auto"/>
        <w:tabs>
          <w:tab w:leader="none" w:pos="342" w:val="left"/>
        </w:tabs>
        <w:numPr>
          <w:ilvl w:val="0"/>
          <w:numId w:val="98"/>
        </w:numPr>
        <w:rPr>
          <w:rFonts w:ascii="Arial" w:cs="Arial" w:eastAsia="Arial" w:hAnsi="Arial"/>
          <w:sz w:val="12"/>
          <w:szCs w:val="12"/>
          <w:color w:val="auto"/>
        </w:rPr>
      </w:pPr>
      <w:r>
        <w:rPr>
          <w:rFonts w:ascii="Arial" w:cs="Arial" w:eastAsia="Arial" w:hAnsi="Arial"/>
          <w:sz w:val="12"/>
          <w:szCs w:val="12"/>
          <w:color w:val="auto"/>
        </w:rPr>
        <w:t>The Swing Line Bank at any time in its sole discretion may request, on behalf of the Borrower (which hereby irrevocably authorizes the Swing Line Bank to so request on its behalf), that each Bank make a Base Rate Syndicated Loan in an amount equal to such Bank’s Commitment Percentage of the amount of Swing Line Loans then outstanding. Such request shall be made in writing (which written request shall be deemed to be a Syndicated Loan Request for purposes hereof) and in accordance with the requirements of §2.6, without regard to the minimum and multiples specified therein, but subject to the unutilized portion of the Total Aggregate Commitments and the conditions set forth in §11. The Swing Line Bank shall furnish the Borrower with a copy of the applicable Syndicated Loan Request promptly after delivering such notice to the Administrative Agent. Each Bank shall make an amount equal to its Commitment Percentage of the amount specified in such Syndicated Loan Request available to the Administrative Agent in immediately available funds (and the Administrative Agent may apply any cash collateral or other credit support available with respect to the applicable Swing Line Loan) for the account of the Swing Line Bank at the Administrative Agent’s Office not later than 1:00 p.m. on the day specified in such Syndicated Loan Request, whereupon, subject to §2.11(d), each Bank that so makes funds available shall be deemed to have made a Base Rate Syndicated Loan to the Borrower in such amount. The Administrative Agent shall remit the funds so received to the Swing Line Bank.</w:t>
      </w:r>
    </w:p>
    <w:p>
      <w:pPr>
        <w:spacing w:after="0" w:line="48" w:lineRule="exact"/>
        <w:rPr>
          <w:rFonts w:ascii="Arial" w:cs="Arial" w:eastAsia="Arial" w:hAnsi="Arial"/>
          <w:sz w:val="12"/>
          <w:szCs w:val="12"/>
          <w:color w:val="auto"/>
        </w:rPr>
      </w:pPr>
    </w:p>
    <w:p>
      <w:pPr>
        <w:jc w:val="both"/>
        <w:ind w:right="120" w:firstLine="172"/>
        <w:spacing w:after="0" w:line="264" w:lineRule="auto"/>
        <w:tabs>
          <w:tab w:leader="none" w:pos="349" w:val="left"/>
        </w:tabs>
        <w:numPr>
          <w:ilvl w:val="0"/>
          <w:numId w:val="98"/>
        </w:numPr>
        <w:rPr>
          <w:rFonts w:ascii="Arial" w:cs="Arial" w:eastAsia="Arial" w:hAnsi="Arial"/>
          <w:sz w:val="13"/>
          <w:szCs w:val="13"/>
          <w:color w:val="auto"/>
        </w:rPr>
      </w:pPr>
      <w:r>
        <w:rPr>
          <w:rFonts w:ascii="Arial" w:cs="Arial" w:eastAsia="Arial" w:hAnsi="Arial"/>
          <w:sz w:val="13"/>
          <w:szCs w:val="13"/>
          <w:color w:val="auto"/>
        </w:rPr>
        <w:t>If for any reason any Swing Line Loan cannot be refinanced by such a Syndicated Borrowing in accordance with §2.11(c), the request for Base Rate Syndicated Loans submitted by the Swing Line Bank as set forth herein shall be deemed to be a request by the Swing Line Bank that each of the Banks fund its risk participation in the relevant Swing Line Loan and each Bank’s payment to the Administrative Agent for the account of the Swing Line Bank pursuant to §2.11(c) shall be deemed payment in respect of such participation.</w:t>
      </w:r>
    </w:p>
    <w:p>
      <w:pPr>
        <w:spacing w:after="0" w:line="57" w:lineRule="exact"/>
        <w:rPr>
          <w:rFonts w:ascii="Arial" w:cs="Arial" w:eastAsia="Arial" w:hAnsi="Arial"/>
          <w:sz w:val="13"/>
          <w:szCs w:val="13"/>
          <w:color w:val="auto"/>
        </w:rPr>
      </w:pPr>
    </w:p>
    <w:p>
      <w:pPr>
        <w:ind w:right="60" w:firstLine="172"/>
        <w:spacing w:after="0" w:line="316" w:lineRule="auto"/>
        <w:tabs>
          <w:tab w:leader="none" w:pos="342" w:val="left"/>
        </w:tabs>
        <w:numPr>
          <w:ilvl w:val="0"/>
          <w:numId w:val="98"/>
        </w:numPr>
        <w:rPr>
          <w:rFonts w:ascii="Arial" w:cs="Arial" w:eastAsia="Arial" w:hAnsi="Arial"/>
          <w:sz w:val="11"/>
          <w:szCs w:val="11"/>
          <w:color w:val="auto"/>
        </w:rPr>
      </w:pPr>
      <w:r>
        <w:rPr>
          <w:rFonts w:ascii="Arial" w:cs="Arial" w:eastAsia="Arial" w:hAnsi="Arial"/>
          <w:sz w:val="11"/>
          <w:szCs w:val="11"/>
          <w:color w:val="auto"/>
        </w:rPr>
        <w:t>If any Bank fails to make available to the Administrative Agent for the account of the Swing Line Bank any amount required to be paid by such Bank pursuant to the foregoing provisions of this §2.11 by the time specified herein, the Swing Line Bank shall be entitled to recover from such Bank (acting through the Administrative Agent), on demand, such amount with interest thereon for the period from the date such payment is required to the date on which such payment is immediately available to the Swing Line Bank at a rate per annum equal to the greater of the Federal Funds Rate and a rate determined by the Swing Line Bank in accordance with banking industry practice on interbank compensation, plus any administrative, processing or similar fees customarily charged by the Swing Line Bank in connection with the foregoing. If such Bank pays such amount (with interest and fees as aforesaid), the amount so paid shall constitute such Bank’s Syndicated Loan included in the relevant Syndicated Borrowing or funded participation in the</w:t>
      </w:r>
    </w:p>
    <w:p>
      <w:pPr>
        <w:spacing w:after="0" w:line="91" w:lineRule="exact"/>
        <w:rPr>
          <w:rFonts w:ascii="Arial" w:cs="Arial" w:eastAsia="Arial" w:hAnsi="Arial"/>
          <w:sz w:val="11"/>
          <w:szCs w:val="11"/>
          <w:color w:val="auto"/>
        </w:rPr>
      </w:pPr>
    </w:p>
    <w:p>
      <w:pPr>
        <w:ind w:left="5440" w:hanging="68"/>
        <w:spacing w:after="0"/>
        <w:tabs>
          <w:tab w:leader="none" w:pos="5440" w:val="left"/>
        </w:tabs>
        <w:numPr>
          <w:ilvl w:val="1"/>
          <w:numId w:val="98"/>
        </w:numPr>
        <w:rPr>
          <w:rFonts w:ascii="Arial" w:cs="Arial" w:eastAsia="Arial" w:hAnsi="Arial"/>
          <w:sz w:val="13"/>
          <w:szCs w:val="13"/>
          <w:color w:val="auto"/>
        </w:rPr>
      </w:pPr>
      <w:r>
        <w:rPr>
          <w:rFonts w:ascii="Arial" w:cs="Arial" w:eastAsia="Arial" w:hAnsi="Arial"/>
          <w:sz w:val="13"/>
          <w:szCs w:val="13"/>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22" w:name="page123"/>
    <w:bookmarkEnd w:id="122"/>
    <w:p>
      <w:pPr>
        <w:ind w:left="220" w:right="320"/>
        <w:spacing w:after="0" w:line="276" w:lineRule="auto"/>
        <w:rPr>
          <w:sz w:val="20"/>
          <w:szCs w:val="20"/>
          <w:color w:val="auto"/>
        </w:rPr>
      </w:pPr>
      <w:r>
        <w:rPr>
          <w:rFonts w:ascii="Arial" w:cs="Arial" w:eastAsia="Arial" w:hAnsi="Arial"/>
          <w:sz w:val="13"/>
          <w:szCs w:val="13"/>
          <w:color w:val="auto"/>
        </w:rPr>
        <w:t>relevant Swing Line Loan, as the case may be. A certificate of the Swing Line Bank submitted to any Bank (through the Administrative Agent) with respect to any amounts owing under this paragraph shall be conclusive absent manifest error.</w:t>
      </w:r>
    </w:p>
    <w:p>
      <w:pPr>
        <w:spacing w:after="0" w:line="49" w:lineRule="exact"/>
        <w:rPr>
          <w:sz w:val="20"/>
          <w:szCs w:val="20"/>
          <w:color w:val="auto"/>
        </w:rPr>
      </w:pPr>
    </w:p>
    <w:p>
      <w:pPr>
        <w:ind w:left="220" w:right="140" w:firstLine="172"/>
        <w:spacing w:after="0" w:line="305" w:lineRule="auto"/>
        <w:tabs>
          <w:tab w:leader="none" w:pos="547" w:val="left"/>
        </w:tabs>
        <w:numPr>
          <w:ilvl w:val="1"/>
          <w:numId w:val="99"/>
        </w:numPr>
        <w:rPr>
          <w:rFonts w:ascii="Arial" w:cs="Arial" w:eastAsia="Arial" w:hAnsi="Arial"/>
          <w:sz w:val="11"/>
          <w:szCs w:val="11"/>
          <w:color w:val="auto"/>
        </w:rPr>
      </w:pPr>
      <w:r>
        <w:rPr>
          <w:rFonts w:ascii="Arial" w:cs="Arial" w:eastAsia="Arial" w:hAnsi="Arial"/>
          <w:sz w:val="11"/>
          <w:szCs w:val="11"/>
          <w:color w:val="auto"/>
        </w:rPr>
        <w:t>Each Bank’s obligation to make Syndicated Loans or to purchase and fund risk participations in Swing Line Loans pursuant to this §2.11 shall be absolute and unconditional and shall not be affected by any circumstance, including (A) any setoff, counterclaim, recoupment, defense or other right which such Bank may have against the Swing Line Bank, the Borrower or any other Person for any reason whatsoever,</w:t>
      </w:r>
    </w:p>
    <w:p>
      <w:pPr>
        <w:ind w:left="220" w:right="220" w:firstLine="8"/>
        <w:spacing w:after="0" w:line="258" w:lineRule="auto"/>
        <w:tabs>
          <w:tab w:leader="none" w:pos="427"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 occurrence or continuance of a Default, or (C) any other occurrence, event or condition, whether or not similar to any of the foregoing; provided, that each Bank’s obligation to make Syndicated Loans pursuant to this §2.11 is subject to the conditions set forth in §11. No such funding of risk participations shall relieve or otherwise impair the obligation of the Borrower to repay Swing Line Loans, together with interest as provided herein.</w:t>
      </w:r>
    </w:p>
    <w:p>
      <w:pPr>
        <w:spacing w:after="0" w:line="60" w:lineRule="exact"/>
        <w:rPr>
          <w:rFonts w:ascii="Arial" w:cs="Arial" w:eastAsia="Arial" w:hAnsi="Arial"/>
          <w:sz w:val="13"/>
          <w:szCs w:val="13"/>
          <w:color w:val="auto"/>
        </w:rPr>
      </w:pPr>
    </w:p>
    <w:p>
      <w:pPr>
        <w:ind w:left="220" w:right="60" w:firstLine="172"/>
        <w:spacing w:after="0" w:line="276" w:lineRule="auto"/>
        <w:tabs>
          <w:tab w:leader="none" w:pos="569" w:val="left"/>
        </w:tabs>
        <w:numPr>
          <w:ilvl w:val="1"/>
          <w:numId w:val="100"/>
        </w:numPr>
        <w:rPr>
          <w:rFonts w:ascii="Arial" w:cs="Arial" w:eastAsia="Arial" w:hAnsi="Arial"/>
          <w:sz w:val="13"/>
          <w:szCs w:val="13"/>
          <w:color w:val="auto"/>
        </w:rPr>
      </w:pPr>
      <w:r>
        <w:rPr>
          <w:rFonts w:ascii="Arial" w:cs="Arial" w:eastAsia="Arial" w:hAnsi="Arial"/>
          <w:sz w:val="13"/>
          <w:szCs w:val="13"/>
          <w:color w:val="auto"/>
        </w:rPr>
        <w:t>At any time after any Bank has purchased and funded a risk participation in a Swing Line Loan, if the Swing Line Bank receives any payment on account of such Swing Line Loan, the Swing Line Bank will distribute to such Bank its Commitment Percentage thereof in the same funds as those received by the Swing Line Bank.</w:t>
      </w:r>
    </w:p>
    <w:p>
      <w:pPr>
        <w:spacing w:after="0" w:line="49" w:lineRule="exact"/>
        <w:rPr>
          <w:rFonts w:ascii="Arial" w:cs="Arial" w:eastAsia="Arial" w:hAnsi="Arial"/>
          <w:sz w:val="13"/>
          <w:szCs w:val="13"/>
          <w:color w:val="auto"/>
        </w:rPr>
      </w:pPr>
    </w:p>
    <w:p>
      <w:pPr>
        <w:jc w:val="both"/>
        <w:ind w:left="220" w:firstLine="172"/>
        <w:spacing w:after="0" w:line="289" w:lineRule="auto"/>
        <w:tabs>
          <w:tab w:leader="none" w:pos="569" w:val="left"/>
        </w:tabs>
        <w:numPr>
          <w:ilvl w:val="1"/>
          <w:numId w:val="100"/>
        </w:numPr>
        <w:rPr>
          <w:rFonts w:ascii="Arial" w:cs="Arial" w:eastAsia="Arial" w:hAnsi="Arial"/>
          <w:sz w:val="12"/>
          <w:szCs w:val="12"/>
          <w:color w:val="auto"/>
        </w:rPr>
      </w:pPr>
      <w:r>
        <w:rPr>
          <w:rFonts w:ascii="Arial" w:cs="Arial" w:eastAsia="Arial" w:hAnsi="Arial"/>
          <w:sz w:val="12"/>
          <w:szCs w:val="12"/>
          <w:color w:val="auto"/>
        </w:rPr>
        <w:t>If any payment received by the Swing Line Bank in respect of principal or interest on any Swing Line Loan is required to be returned by the Swing Line Bank under any of the circumstances described in §33 (including pursuant to any settlement entered into by the Swing Line Bank in its discretion), each Bank shall pay to the Swing Line Bank its Commitment Percentage thereof on demand of the Administrative Agent, plus interest thereon from the date of such demand to the date such amount is returned, at a rate per annum equal to the Federal Funds Rate. The Administrative Agent will make such demand upon the request of the Swing Line Bank. The obligations of the Banks under this clause shall survive the payment in full of the Obligations and the termination of this Agreement.</w:t>
      </w:r>
    </w:p>
    <w:p>
      <w:pPr>
        <w:spacing w:after="0" w:line="43" w:lineRule="exact"/>
        <w:rPr>
          <w:rFonts w:ascii="Arial" w:cs="Arial" w:eastAsia="Arial" w:hAnsi="Arial"/>
          <w:sz w:val="12"/>
          <w:szCs w:val="12"/>
          <w:color w:val="auto"/>
        </w:rPr>
      </w:pPr>
    </w:p>
    <w:p>
      <w:pPr>
        <w:ind w:left="220" w:right="60" w:firstLine="172"/>
        <w:spacing w:after="0" w:line="320" w:lineRule="auto"/>
        <w:tabs>
          <w:tab w:leader="none" w:pos="540" w:val="left"/>
        </w:tabs>
        <w:numPr>
          <w:ilvl w:val="1"/>
          <w:numId w:val="100"/>
        </w:numPr>
        <w:rPr>
          <w:rFonts w:ascii="Arial" w:cs="Arial" w:eastAsia="Arial" w:hAnsi="Arial"/>
          <w:sz w:val="12"/>
          <w:szCs w:val="12"/>
          <w:color w:val="auto"/>
        </w:rPr>
      </w:pPr>
      <w:r>
        <w:rPr>
          <w:rFonts w:ascii="Arial" w:cs="Arial" w:eastAsia="Arial" w:hAnsi="Arial"/>
          <w:sz w:val="12"/>
          <w:szCs w:val="12"/>
          <w:color w:val="auto"/>
        </w:rPr>
        <w:t>The Swing Line Bank shall be responsible for invoicing the Borrower for interest on the Swing Line Loans. Until each Bank funds its Base Rate Syndicated Loan or risk participation pursuant to this §2.11 to refinance such Bank’s Commitment Percentage of any Swing Line Loan, interest in respect of such Commitment Percentage shall be solely for the account of the Swing Line Bank.</w:t>
      </w:r>
    </w:p>
    <w:p>
      <w:pPr>
        <w:spacing w:after="0" w:line="25" w:lineRule="exact"/>
        <w:rPr>
          <w:rFonts w:ascii="Arial" w:cs="Arial" w:eastAsia="Arial" w:hAnsi="Arial"/>
          <w:sz w:val="12"/>
          <w:szCs w:val="12"/>
          <w:color w:val="auto"/>
        </w:rPr>
      </w:pPr>
    </w:p>
    <w:p>
      <w:pPr>
        <w:ind w:left="540" w:hanging="148"/>
        <w:spacing w:after="0"/>
        <w:tabs>
          <w:tab w:leader="none" w:pos="540" w:val="left"/>
        </w:tabs>
        <w:numPr>
          <w:ilvl w:val="1"/>
          <w:numId w:val="100"/>
        </w:numPr>
        <w:rPr>
          <w:rFonts w:ascii="Arial" w:cs="Arial" w:eastAsia="Arial" w:hAnsi="Arial"/>
          <w:sz w:val="13"/>
          <w:szCs w:val="13"/>
          <w:color w:val="auto"/>
        </w:rPr>
      </w:pPr>
      <w:r>
        <w:rPr>
          <w:rFonts w:ascii="Arial" w:cs="Arial" w:eastAsia="Arial" w:hAnsi="Arial"/>
          <w:sz w:val="13"/>
          <w:szCs w:val="13"/>
          <w:color w:val="auto"/>
        </w:rPr>
        <w:t>The Borrower shall make all payments of principal and interest in respect of the Swing Line Loans directly to the Swing Line Bank.</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§3. </w:t>
      </w:r>
      <w:r>
        <w:rPr>
          <w:rFonts w:ascii="Arial" w:cs="Arial" w:eastAsia="Arial" w:hAnsi="Arial"/>
          <w:sz w:val="13"/>
          <w:szCs w:val="13"/>
          <w:b w:val="1"/>
          <w:bCs w:val="1"/>
          <w:u w:val="single" w:color="auto"/>
          <w:color w:val="auto"/>
        </w:rPr>
        <w:t>LETTERS OF CREDIT</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§3.1. Letter of Credit Commitments</w:t>
      </w:r>
      <w:r>
        <w:rPr>
          <w:rFonts w:ascii="Arial" w:cs="Arial" w:eastAsia="Arial" w:hAnsi="Arial"/>
          <w:sz w:val="13"/>
          <w:szCs w:val="13"/>
          <w:color w:val="auto"/>
        </w:rPr>
        <w:t>.</w:t>
      </w:r>
    </w:p>
    <w:p>
      <w:pPr>
        <w:spacing w:after="0" w:line="90" w:lineRule="exact"/>
        <w:rPr>
          <w:sz w:val="20"/>
          <w:szCs w:val="20"/>
          <w:color w:val="auto"/>
        </w:rPr>
      </w:pPr>
    </w:p>
    <w:p>
      <w:pPr>
        <w:ind w:left="560" w:hanging="168"/>
        <w:spacing w:after="0"/>
        <w:tabs>
          <w:tab w:leader="none" w:pos="56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 xml:space="preserve">Subject to the terms and conditions hereof and the receipt by the Administrative Agent of a written notice in the form of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hereto (a “Letter of</w:t>
      </w:r>
    </w:p>
    <w:p>
      <w:pPr>
        <w:spacing w:after="0" w:line="145" w:lineRule="exact"/>
        <w:rPr>
          <w:rFonts w:ascii="Arial" w:cs="Arial" w:eastAsia="Arial" w:hAnsi="Arial"/>
          <w:sz w:val="13"/>
          <w:szCs w:val="13"/>
          <w:color w:val="auto"/>
        </w:rPr>
      </w:pPr>
    </w:p>
    <w:p>
      <w:pPr>
        <w:ind w:left="5660" w:hanging="68"/>
        <w:spacing w:after="0"/>
        <w:tabs>
          <w:tab w:leader="none" w:pos="5660" w:val="left"/>
        </w:tabs>
        <w:numPr>
          <w:ilvl w:val="1"/>
          <w:numId w:val="101"/>
        </w:numPr>
        <w:rPr>
          <w:rFonts w:ascii="Arial" w:cs="Arial" w:eastAsia="Arial" w:hAnsi="Arial"/>
          <w:sz w:val="13"/>
          <w:szCs w:val="13"/>
          <w:color w:val="auto"/>
        </w:rPr>
      </w:pPr>
      <w:r>
        <w:rPr>
          <w:rFonts w:ascii="Arial" w:cs="Arial" w:eastAsia="Arial" w:hAnsi="Arial"/>
          <w:sz w:val="13"/>
          <w:szCs w:val="13"/>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3" w:name="page124"/>
    <w:bookmarkEnd w:id="123"/>
    <w:p>
      <w:pPr>
        <w:ind w:right="40"/>
        <w:spacing w:after="0" w:line="300" w:lineRule="auto"/>
        <w:rPr>
          <w:sz w:val="20"/>
          <w:szCs w:val="20"/>
          <w:color w:val="auto"/>
        </w:rPr>
      </w:pPr>
      <w:r>
        <w:rPr>
          <w:rFonts w:ascii="Arial" w:cs="Arial" w:eastAsia="Arial" w:hAnsi="Arial"/>
          <w:sz w:val="11"/>
          <w:szCs w:val="11"/>
          <w:color w:val="auto"/>
        </w:rPr>
        <w:t xml:space="preserve">Credit Request”) reflecting the Maximum Drawing Amount of all Letters of Credit (including the requested Letter of Credit), and receipt by an Issuing Bank, with a copy to the Administrative Agent, of a Letter of Credit Application, such Issuing Bank, on behalf of the Banks and in reliance upon the representations and warranties of the Borrower contained herein and the agreement of the Banks contained in §3.1(c) hereof, agrees to issue standby Letters of Credit (including so-called “direct pay” standby Letters of Credit) for the account of the Borrower (which may, with such Issuing Bank’s consent, incorporate automatic renewals for periods of up to twelve (12) months), in such form as may be requested from time to time by the Borrower and agreed to by such Issuing Bank;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after giving effect to such request, the aggregate Maximum Drawing Amount of all Letters of Credit issued at any time shall not exceed the Total Commitment </w:t>
      </w:r>
      <w:r>
        <w:rPr>
          <w:rFonts w:ascii="Arial" w:cs="Arial" w:eastAsia="Arial" w:hAnsi="Arial"/>
          <w:sz w:val="11"/>
          <w:szCs w:val="11"/>
          <w:u w:val="single" w:color="auto"/>
          <w:color w:val="auto"/>
        </w:rPr>
        <w:t>minus</w:t>
      </w:r>
      <w:r>
        <w:rPr>
          <w:rFonts w:ascii="Arial" w:cs="Arial" w:eastAsia="Arial" w:hAnsi="Arial"/>
          <w:sz w:val="11"/>
          <w:szCs w:val="11"/>
          <w:color w:val="auto"/>
        </w:rPr>
        <w:t xml:space="preserve"> the aggregate outstanding amount of the Loans; </w:t>
      </w:r>
      <w:r>
        <w:rPr>
          <w:rFonts w:ascii="Arial" w:cs="Arial" w:eastAsia="Arial" w:hAnsi="Arial"/>
          <w:sz w:val="11"/>
          <w:szCs w:val="11"/>
          <w:u w:val="single" w:color="auto"/>
          <w:color w:val="auto"/>
        </w:rPr>
        <w:t>provided further</w:t>
      </w:r>
      <w:r>
        <w:rPr>
          <w:rFonts w:ascii="Arial" w:cs="Arial" w:eastAsia="Arial" w:hAnsi="Arial"/>
          <w:sz w:val="11"/>
          <w:szCs w:val="11"/>
          <w:color w:val="auto"/>
        </w:rPr>
        <w:t>, that (i) no Letter of Credit shall have an expiration date later than the earlier of (A) eighteen (18) months after the date of issuance (which may incorporate automatic renewals for periods of up to twelve (12) months), or (B) five</w:t>
      </w:r>
    </w:p>
    <w:p>
      <w:pPr>
        <w:spacing w:after="0" w:line="2" w:lineRule="exact"/>
        <w:rPr>
          <w:sz w:val="20"/>
          <w:szCs w:val="20"/>
          <w:color w:val="auto"/>
        </w:rPr>
      </w:pPr>
    </w:p>
    <w:p>
      <w:pPr>
        <w:ind w:firstLine="8"/>
        <w:spacing w:after="0" w:line="298" w:lineRule="auto"/>
        <w:tabs>
          <w:tab w:leader="none" w:pos="185" w:val="left"/>
        </w:tabs>
        <w:numPr>
          <w:ilvl w:val="0"/>
          <w:numId w:val="102"/>
        </w:numPr>
        <w:rPr>
          <w:rFonts w:ascii="Arial" w:cs="Arial" w:eastAsia="Arial" w:hAnsi="Arial"/>
          <w:sz w:val="11"/>
          <w:szCs w:val="11"/>
          <w:color w:val="auto"/>
        </w:rPr>
      </w:pPr>
      <w:r>
        <w:rPr>
          <w:rFonts w:ascii="Arial" w:cs="Arial" w:eastAsia="Arial" w:hAnsi="Arial"/>
          <w:sz w:val="11"/>
          <w:szCs w:val="11"/>
          <w:color w:val="auto"/>
        </w:rPr>
        <w:t>Business Days prior to the Maturity Date; (ii) no Issuing Bank shall be under any obligation to issue any Letter of Credit if (A) any order, judgment or decree of any governmental authority or arbitrator shall by its terms purport to enjoin or restrain such Issuing Bank from issuing the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the Letter of Credit in particular or shall impose upon such Issuing Bank with respect to the Letter of Credit any restriction, reserve or capital requirement (for which such Issuing Bank is not otherwise compensated hereunder or otherwise) not in effect on the Effective Date, or shall impose upon such Issuing Bank any unreimbursed loss, cost or expense which was not applicable on the Effective Date and which such Issuing Bank in good faith deems material to it,</w:t>
      </w:r>
    </w:p>
    <w:p>
      <w:pPr>
        <w:spacing w:after="0" w:line="1" w:lineRule="exact"/>
        <w:rPr>
          <w:rFonts w:ascii="Arial" w:cs="Arial" w:eastAsia="Arial" w:hAnsi="Arial"/>
          <w:sz w:val="11"/>
          <w:szCs w:val="11"/>
          <w:color w:val="auto"/>
        </w:rPr>
      </w:pPr>
    </w:p>
    <w:p>
      <w:pPr>
        <w:spacing w:after="0" w:line="278" w:lineRule="auto"/>
        <w:rPr>
          <w:rFonts w:ascii="Arial" w:cs="Arial" w:eastAsia="Arial" w:hAnsi="Arial"/>
          <w:sz w:val="11"/>
          <w:szCs w:val="11"/>
          <w:color w:val="auto"/>
        </w:rPr>
      </w:pPr>
      <w:r>
        <w:rPr>
          <w:rFonts w:ascii="Arial" w:cs="Arial" w:eastAsia="Arial" w:hAnsi="Arial"/>
          <w:sz w:val="12"/>
          <w:szCs w:val="12"/>
          <w:color w:val="auto"/>
        </w:rPr>
        <w:t xml:space="preserve">(B) the issuance of the Letter of Credit would violate one or more material policies of such Issuing Bank applicable to letters of credit generally applied on a consistent basis to similarly situated letter of credit applicants, or (C) any Bank is at that time a Defaulting Bank, unless (x) such Issuing Bank has entered into arrangements, including the delivery of cash collateral or other credit support, satisfactory to such Issuing Bank (in its sole discretion), with the Borrower or such Bank to eliminate such Issuing Bank’s actual or potential fronting exposure with respect to such Defaulting Bank, or (y) such actual or potential fronting exposure with respect to such Defaulting Bank has been reallocated to Banks that are non-Defaulting Banks pursuant to clause (iv) of §5.14 and (iii) the aggregate face amount of all Letters of Credit issued by any one Issuing Bank shall not at any time exceed the amount set forth opposite the name of such Issuing Bank on </w:t>
      </w:r>
      <w:r>
        <w:rPr>
          <w:rFonts w:ascii="Arial" w:cs="Arial" w:eastAsia="Arial" w:hAnsi="Arial"/>
          <w:sz w:val="12"/>
          <w:szCs w:val="12"/>
          <w:u w:val="single" w:color="auto"/>
          <w:color w:val="auto"/>
        </w:rPr>
        <w:t>Schedule 3.1</w:t>
      </w:r>
      <w:r>
        <w:rPr>
          <w:rFonts w:ascii="Arial" w:cs="Arial" w:eastAsia="Arial" w:hAnsi="Arial"/>
          <w:sz w:val="12"/>
          <w:szCs w:val="12"/>
          <w:color w:val="auto"/>
        </w:rPr>
        <w:t xml:space="preserve"> hereto, as such amount may be increased (in the sole discretion of such Issuing Bank) or decreased (if so agreed by such Issuing Bank and the Borrower by the execution and delivery by such Issuing Bank, the Borrower, the Guarantor and the Administrative Agent of an instrument in substantially the form of </w:t>
      </w:r>
      <w:r>
        <w:rPr>
          <w:rFonts w:ascii="Arial" w:cs="Arial" w:eastAsia="Arial" w:hAnsi="Arial"/>
          <w:sz w:val="12"/>
          <w:szCs w:val="12"/>
          <w:u w:val="single" w:color="auto"/>
          <w:color w:val="auto"/>
        </w:rPr>
        <w:t>Schedule 3.1.1</w:t>
      </w:r>
      <w:r>
        <w:rPr>
          <w:rFonts w:ascii="Arial" w:cs="Arial" w:eastAsia="Arial" w:hAnsi="Arial"/>
          <w:sz w:val="12"/>
          <w:szCs w:val="12"/>
          <w:color w:val="auto"/>
        </w:rPr>
        <w:t xml:space="preserve"> hereto. Each Issuing Bank will promptly confirm to the Administrative Agent the issuance of each Letter of Credit specifying the face amount thereof or any increase thereto, and the Administrative Agent will transmit such information to the Banks.</w:t>
      </w:r>
    </w:p>
    <w:p>
      <w:pPr>
        <w:spacing w:after="0" w:line="109" w:lineRule="exact"/>
        <w:rPr>
          <w:rFonts w:ascii="Arial" w:cs="Arial" w:eastAsia="Arial" w:hAnsi="Arial"/>
          <w:sz w:val="11"/>
          <w:szCs w:val="11"/>
          <w:color w:val="auto"/>
        </w:rPr>
      </w:pPr>
    </w:p>
    <w:p>
      <w:pPr>
        <w:ind w:left="5440" w:hanging="68"/>
        <w:spacing w:after="0"/>
        <w:tabs>
          <w:tab w:leader="none" w:pos="5440" w:val="left"/>
        </w:tabs>
        <w:numPr>
          <w:ilvl w:val="1"/>
          <w:numId w:val="102"/>
        </w:numPr>
        <w:rPr>
          <w:rFonts w:ascii="Arial" w:cs="Arial" w:eastAsia="Arial" w:hAnsi="Arial"/>
          <w:sz w:val="13"/>
          <w:szCs w:val="13"/>
          <w:color w:val="auto"/>
        </w:rPr>
      </w:pPr>
      <w:r>
        <w:rPr>
          <w:rFonts w:ascii="Arial" w:cs="Arial" w:eastAsia="Arial" w:hAnsi="Arial"/>
          <w:sz w:val="13"/>
          <w:szCs w:val="13"/>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00"/>
          </w:cols>
          <w:pgMar w:left="440" w:top="720" w:right="259" w:bottom="1440" w:gutter="0" w:footer="0" w:header="0"/>
        </w:sectPr>
      </w:pPr>
    </w:p>
    <w:bookmarkStart w:id="124" w:name="page125"/>
    <w:bookmarkEnd w:id="124"/>
    <w:p>
      <w:pPr>
        <w:ind w:left="188" w:hanging="188"/>
        <w:spacing w:after="0"/>
        <w:tabs>
          <w:tab w:leader="none" w:pos="188" w:val="left"/>
        </w:tabs>
        <w:numPr>
          <w:ilvl w:val="0"/>
          <w:numId w:val="103"/>
        </w:numPr>
        <w:rPr>
          <w:rFonts w:ascii="Arial" w:cs="Arial" w:eastAsia="Arial" w:hAnsi="Arial"/>
          <w:sz w:val="13"/>
          <w:szCs w:val="13"/>
          <w:color w:val="auto"/>
        </w:rPr>
      </w:pPr>
      <w:r>
        <w:rPr>
          <w:rFonts w:ascii="Arial" w:cs="Arial" w:eastAsia="Arial" w:hAnsi="Arial"/>
          <w:sz w:val="13"/>
          <w:szCs w:val="13"/>
          <w:color w:val="auto"/>
        </w:rPr>
        <w:t>Each Letter of Credit shall be denominated in Dollars or, in accordance with and subject to the terms of §3.1(e) hereof, in Canadian Dollars.</w:t>
      </w:r>
    </w:p>
    <w:p>
      <w:pPr>
        <w:spacing w:after="0" w:line="86" w:lineRule="exact"/>
        <w:rPr>
          <w:rFonts w:ascii="Arial" w:cs="Arial" w:eastAsia="Arial" w:hAnsi="Arial"/>
          <w:sz w:val="13"/>
          <w:szCs w:val="13"/>
          <w:color w:val="auto"/>
        </w:rPr>
      </w:pPr>
    </w:p>
    <w:p>
      <w:pPr>
        <w:ind w:left="-172" w:firstLine="172"/>
        <w:spacing w:after="0" w:line="256" w:lineRule="auto"/>
        <w:tabs>
          <w:tab w:leader="none" w:pos="17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 xml:space="preserve">Each Bank severally agrees that it shall be absolutely liable, without regard to the occurrence of any Default or Event of Default, the termination of the Total Commitment pursuant to §12.2, or any other condition precedent or circumstance whatsoever (other than as stated in the next sentence hereof), to the extent of such Bank’s Commitment Percentage (computed after the termination of the Total Commitment in accordance with the Commitment Percentage in effect immediately prior to such Termination), to reimburse each Issuing Bank on demand for the amount of each draft paid by such Issuing Bank under each Letter of Credit issued by such Issuing Bank to the extent that such amount is not reimbursed by the Borrower pursuant to §3.2 (such agreement of a Bank being called herein the “Letter of Credit Participation” of such Bank). Each Bank agrees that its obligation to reimburse each Issuing Bank pursuant to this §3.1(c) shall not be affected in any way by any circumstance whatsoever other than the gross negligence or willful misconduct of such Issuing Bank,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making of a payment under a Letter of Credit against documents that appear on their face to substantially comply with the terms and conditions of such Letter of Credit shall not be deemed to be gross negligence or willful misconduct.</w:t>
      </w:r>
    </w:p>
    <w:p>
      <w:pPr>
        <w:spacing w:after="0" w:line="63" w:lineRule="exact"/>
        <w:rPr>
          <w:rFonts w:ascii="Arial" w:cs="Arial" w:eastAsia="Arial" w:hAnsi="Arial"/>
          <w:sz w:val="13"/>
          <w:szCs w:val="13"/>
          <w:color w:val="auto"/>
        </w:rPr>
      </w:pPr>
    </w:p>
    <w:p>
      <w:pPr>
        <w:jc w:val="both"/>
        <w:ind w:left="-172" w:firstLine="172"/>
        <w:spacing w:after="0" w:line="264" w:lineRule="auto"/>
        <w:tabs>
          <w:tab w:leader="none" w:pos="178" w:val="left"/>
        </w:tabs>
        <w:numPr>
          <w:ilvl w:val="0"/>
          <w:numId w:val="103"/>
        </w:numPr>
        <w:rPr>
          <w:rFonts w:ascii="Arial" w:cs="Arial" w:eastAsia="Arial" w:hAnsi="Arial"/>
          <w:sz w:val="13"/>
          <w:szCs w:val="13"/>
          <w:color w:val="auto"/>
        </w:rPr>
      </w:pPr>
      <w:r>
        <w:rPr>
          <w:rFonts w:ascii="Arial" w:cs="Arial" w:eastAsia="Arial" w:hAnsi="Arial"/>
          <w:sz w:val="13"/>
          <w:szCs w:val="13"/>
          <w:color w:val="auto"/>
        </w:rPr>
        <w:t>Each such reimbursement payment made by a Bank to an Issuing Bank shall be made to an account of such Issuing Bank in the United States of America and shall be treated as the purchase by such Bank of a participating interest in the applicable Reimbursement Obligation under §3.2 in an amount equal to such payment. Each Bank shall share in accordance with its participating interest in any interest which accrues pursuant to §3.2.</w:t>
      </w:r>
    </w:p>
    <w:p>
      <w:pPr>
        <w:spacing w:after="0" w:line="57" w:lineRule="exact"/>
        <w:rPr>
          <w:rFonts w:ascii="Arial" w:cs="Arial" w:eastAsia="Arial" w:hAnsi="Arial"/>
          <w:sz w:val="13"/>
          <w:szCs w:val="13"/>
          <w:color w:val="auto"/>
        </w:rPr>
      </w:pPr>
    </w:p>
    <w:p>
      <w:pPr>
        <w:ind w:left="-172" w:right="120" w:firstLine="172"/>
        <w:spacing w:after="0" w:line="260" w:lineRule="auto"/>
        <w:tabs>
          <w:tab w:leader="none" w:pos="17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 xml:space="preserve">(i) The Borrower shall be entitled to request that one or more Letters of Credit be denominated in Canadian Dollars for the account of any Canadian Subsidiary of the Borrower (each a “Canadian Dollar Letter of Credit”);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the aggregate undrawn face amount of all Canadian Dollar Letters of Credit may not exceed C$200,000,000 at any time and (ii) each Canadian Dollar Letter of Credit shall provide for payment of any drawing thereunder on a date not earlier than three Business Days after the relevant Issuing Bank determines that the documents submitted in connection with such drawing appear on their face to substantially comply with the terms and conditions of such Letter of Credit.</w:t>
      </w:r>
    </w:p>
    <w:p>
      <w:pPr>
        <w:spacing w:after="0" w:line="60" w:lineRule="exact"/>
        <w:rPr>
          <w:sz w:val="20"/>
          <w:szCs w:val="20"/>
          <w:color w:val="auto"/>
        </w:rPr>
      </w:pPr>
    </w:p>
    <w:p>
      <w:pPr>
        <w:ind w:left="-172" w:right="140" w:firstLine="172"/>
        <w:spacing w:after="0" w:line="276" w:lineRule="auto"/>
        <w:tabs>
          <w:tab w:leader="none" w:pos="185" w:val="left"/>
        </w:tabs>
        <w:numPr>
          <w:ilvl w:val="0"/>
          <w:numId w:val="104"/>
        </w:numPr>
        <w:rPr>
          <w:rFonts w:ascii="Arial" w:cs="Arial" w:eastAsia="Arial" w:hAnsi="Arial"/>
          <w:sz w:val="13"/>
          <w:szCs w:val="13"/>
          <w:color w:val="auto"/>
        </w:rPr>
      </w:pPr>
      <w:r>
        <w:rPr>
          <w:rFonts w:ascii="Arial" w:cs="Arial" w:eastAsia="Arial" w:hAnsi="Arial"/>
          <w:sz w:val="13"/>
          <w:szCs w:val="13"/>
          <w:color w:val="auto"/>
        </w:rPr>
        <w:t xml:space="preserve">The Letter of Credit Application in respect of each Canadian Dollar Letter of Credit shall be signed by the Borrower;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nothing therein shall be deemed to alter the obligations of the Borrower under this Agreement in respect of any drawing under any such Letter of Credit.</w:t>
      </w:r>
    </w:p>
    <w:p>
      <w:pPr>
        <w:spacing w:after="0" w:line="49" w:lineRule="exact"/>
        <w:rPr>
          <w:rFonts w:ascii="Arial" w:cs="Arial" w:eastAsia="Arial" w:hAnsi="Arial"/>
          <w:sz w:val="13"/>
          <w:szCs w:val="13"/>
          <w:color w:val="auto"/>
        </w:rPr>
      </w:pPr>
    </w:p>
    <w:p>
      <w:pPr>
        <w:ind w:left="-172" w:right="120" w:firstLine="172"/>
        <w:spacing w:after="0" w:line="320" w:lineRule="auto"/>
        <w:tabs>
          <w:tab w:leader="none" w:pos="221" w:val="left"/>
        </w:tabs>
        <w:numPr>
          <w:ilvl w:val="0"/>
          <w:numId w:val="104"/>
        </w:numPr>
        <w:rPr>
          <w:rFonts w:ascii="Arial" w:cs="Arial" w:eastAsia="Arial" w:hAnsi="Arial"/>
          <w:sz w:val="12"/>
          <w:szCs w:val="12"/>
          <w:color w:val="auto"/>
        </w:rPr>
      </w:pPr>
      <w:r>
        <w:rPr>
          <w:rFonts w:ascii="Arial" w:cs="Arial" w:eastAsia="Arial" w:hAnsi="Arial"/>
          <w:sz w:val="12"/>
          <w:szCs w:val="12"/>
          <w:color w:val="auto"/>
        </w:rPr>
        <w:t>If an Issuing Bank makes a payment in Canadian Dollars pursuant to a Canadian Dollar Letter of Credit, the amount of such payment shall, for all purposes of this Agreement (but without prejudice to the terms of such Letter of Credit), immediately be deemed converted into the U.S. Dollar Equivalent thereof and shall for all purposes hereof be deemed to have been made in U.S. Dollars in said amount.</w:t>
      </w:r>
    </w:p>
    <w:p>
      <w:pPr>
        <w:spacing w:after="0" w:line="84" w:lineRule="exact"/>
        <w:rPr>
          <w:rFonts w:ascii="Arial" w:cs="Arial" w:eastAsia="Arial" w:hAnsi="Arial"/>
          <w:sz w:val="12"/>
          <w:szCs w:val="12"/>
          <w:color w:val="auto"/>
        </w:rPr>
      </w:pPr>
    </w:p>
    <w:p>
      <w:pPr>
        <w:ind w:left="5268" w:hanging="68"/>
        <w:spacing w:after="0"/>
        <w:tabs>
          <w:tab w:leader="none" w:pos="5268" w:val="left"/>
        </w:tabs>
        <w:numPr>
          <w:ilvl w:val="1"/>
          <w:numId w:val="104"/>
        </w:numPr>
        <w:rPr>
          <w:rFonts w:ascii="Arial" w:cs="Arial" w:eastAsia="Arial" w:hAnsi="Arial"/>
          <w:sz w:val="13"/>
          <w:szCs w:val="13"/>
          <w:color w:val="auto"/>
        </w:rPr>
      </w:pPr>
      <w:r>
        <w:rPr>
          <w:rFonts w:ascii="Arial" w:cs="Arial" w:eastAsia="Arial" w:hAnsi="Arial"/>
          <w:sz w:val="13"/>
          <w:szCs w:val="13"/>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107315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88"/>
          </w:cols>
          <w:pgMar w:left="612" w:top="720" w:right="299" w:bottom="1440" w:gutter="0" w:footer="0" w:header="0"/>
        </w:sectPr>
      </w:pPr>
    </w:p>
    <w:bookmarkStart w:id="125" w:name="page126"/>
    <w:bookmarkEnd w:id="125"/>
    <w:p>
      <w:pPr>
        <w:ind w:left="220" w:right="20" w:firstLine="172"/>
        <w:spacing w:after="0" w:line="276" w:lineRule="auto"/>
        <w:tabs>
          <w:tab w:leader="none" w:pos="547" w:val="left"/>
        </w:tabs>
        <w:numPr>
          <w:ilvl w:val="0"/>
          <w:numId w:val="105"/>
        </w:numPr>
        <w:rPr>
          <w:rFonts w:ascii="Arial" w:cs="Arial" w:eastAsia="Arial" w:hAnsi="Arial"/>
          <w:sz w:val="13"/>
          <w:szCs w:val="13"/>
          <w:color w:val="auto"/>
        </w:rPr>
      </w:pPr>
      <w:r>
        <w:rPr>
          <w:rFonts w:ascii="Arial" w:cs="Arial" w:eastAsia="Arial" w:hAnsi="Arial"/>
          <w:sz w:val="13"/>
          <w:szCs w:val="13"/>
          <w:color w:val="auto"/>
        </w:rPr>
        <w:t xml:space="preserve">As of the Effective Date, the Existing Letters of Credit shall automatically be deemed to be Letters of Credit for all purposes of this Agreement, having the respective face amounts specified in </w:t>
      </w:r>
      <w:r>
        <w:rPr>
          <w:rFonts w:ascii="Arial" w:cs="Arial" w:eastAsia="Arial" w:hAnsi="Arial"/>
          <w:sz w:val="13"/>
          <w:szCs w:val="13"/>
          <w:u w:val="single" w:color="auto"/>
          <w:color w:val="auto"/>
        </w:rPr>
        <w:t>Schedule 3.1.2</w:t>
      </w:r>
      <w:r>
        <w:rPr>
          <w:rFonts w:ascii="Arial" w:cs="Arial" w:eastAsia="Arial" w:hAnsi="Arial"/>
          <w:sz w:val="13"/>
          <w:szCs w:val="13"/>
          <w:color w:val="auto"/>
        </w:rPr>
        <w:t xml:space="preserve"> hereof.</w:t>
      </w:r>
    </w:p>
    <w:p>
      <w:pPr>
        <w:spacing w:after="0" w:line="49" w:lineRule="exact"/>
        <w:rPr>
          <w:rFonts w:ascii="Arial" w:cs="Arial" w:eastAsia="Arial" w:hAnsi="Arial"/>
          <w:sz w:val="13"/>
          <w:szCs w:val="13"/>
          <w:color w:val="auto"/>
        </w:rPr>
      </w:pPr>
    </w:p>
    <w:p>
      <w:pPr>
        <w:ind w:left="220" w:firstLine="172"/>
        <w:spacing w:after="0" w:line="278" w:lineRule="auto"/>
        <w:tabs>
          <w:tab w:leader="none" w:pos="569" w:val="left"/>
        </w:tabs>
        <w:numPr>
          <w:ilvl w:val="0"/>
          <w:numId w:val="105"/>
        </w:numPr>
        <w:rPr>
          <w:rFonts w:ascii="Arial" w:cs="Arial" w:eastAsia="Arial" w:hAnsi="Arial"/>
          <w:sz w:val="12"/>
          <w:szCs w:val="12"/>
          <w:color w:val="auto"/>
        </w:rPr>
      </w:pPr>
      <w:r>
        <w:rPr>
          <w:rFonts w:ascii="Arial" w:cs="Arial" w:eastAsia="Arial" w:hAnsi="Arial"/>
          <w:sz w:val="12"/>
          <w:szCs w:val="12"/>
          <w:color w:val="auto"/>
        </w:rPr>
        <w:t xml:space="preserve">The parties acknowledge and agree that (i) certain of the Existing Letters of Credit have been issued by Affiliates of Issuing Banks identified in </w:t>
      </w:r>
      <w:r>
        <w:rPr>
          <w:rFonts w:ascii="Arial" w:cs="Arial" w:eastAsia="Arial" w:hAnsi="Arial"/>
          <w:sz w:val="12"/>
          <w:szCs w:val="12"/>
          <w:u w:val="single" w:color="auto"/>
          <w:color w:val="auto"/>
        </w:rPr>
        <w:t>Schedule 3.1.2</w:t>
      </w:r>
      <w:r>
        <w:rPr>
          <w:rFonts w:ascii="Arial" w:cs="Arial" w:eastAsia="Arial" w:hAnsi="Arial"/>
          <w:sz w:val="12"/>
          <w:szCs w:val="12"/>
          <w:color w:val="auto"/>
        </w:rPr>
        <w:t xml:space="preserve"> hereof, and that (ii) an Issuing Bank may hereafter comply with the provisions of §3.1 in respect of the issuance of Canadian Dollar Letters of Credit by arranging for an Affiliate of such Issuing Bank organized under the laws of Canada to issue such Canadian Dollar Letter of Credit (each Letter of Credit issued by an Affiliate of an Issuing Bank as provided herein being herein referred to as a “Bank Affiliate Letter of Credit”),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Issuing Bank shall, prior to such issuance, have notified the Administrative Agent and the Borrower of the identity of such Affiliate. The parties agree that (1) each Bank Affiliate Letter of Credit is and shall be a “Letter of Credit” for all purposes of this Agreement; (2) each reference in the definition of “Reimbursement Obligation” and in §3.2, §3.3 and §3.4 to an Issuing Bank shall be deemed to include the issuer of each such Bank Affiliate Letter of Credit; (3) notwithstanding the foregoing, the issuance, extension or renewal of each Letter of Credit shall remain subject to the conditions and requirements of §3.1 and §11, and each provision of this Agreement, including without limitation the last sentence of §3.1(a) and §3.5, requiring the giving of a notice hereunder by or to an Issuing Bank shall be deemed to refer to such Issuing Bank and not to such Affiliate; and (4) the obligations of the Banks, the Borrower and the Guarantor to each Issuing Bank shall, in the case of each Bank Affiliate Letter of Credit, inure to the benefit of the Affiliate issuing or having issued such Bank Affiliate Letter of Credit and be enforceable by such Affiliate and/or by such Issuing Bank on behalf of such Affiliate. Each Canadian Dollar Letter of Credit issued by a Canadian Affiliate of an Issuing Bank shall be issued on a Business Day which is not a day on which banking institutions in Toronto and Montreal, Canada are authorized by law to close.</w:t>
      </w:r>
    </w:p>
    <w:p>
      <w:pPr>
        <w:spacing w:after="0" w:line="52" w:lineRule="exact"/>
        <w:rPr>
          <w:rFonts w:ascii="Arial" w:cs="Arial" w:eastAsia="Arial" w:hAnsi="Arial"/>
          <w:sz w:val="12"/>
          <w:szCs w:val="12"/>
          <w:color w:val="auto"/>
        </w:rPr>
      </w:pPr>
    </w:p>
    <w:p>
      <w:pPr>
        <w:ind w:left="220" w:right="80" w:firstLine="172"/>
        <w:spacing w:after="0" w:line="276" w:lineRule="auto"/>
        <w:tabs>
          <w:tab w:leader="none" w:pos="569" w:val="left"/>
        </w:tabs>
        <w:numPr>
          <w:ilvl w:val="0"/>
          <w:numId w:val="105"/>
        </w:numPr>
        <w:rPr>
          <w:rFonts w:ascii="Arial" w:cs="Arial" w:eastAsia="Arial" w:hAnsi="Arial"/>
          <w:sz w:val="13"/>
          <w:szCs w:val="13"/>
          <w:color w:val="auto"/>
        </w:rPr>
      </w:pPr>
      <w:r>
        <w:rPr>
          <w:rFonts w:ascii="Arial" w:cs="Arial" w:eastAsia="Arial" w:hAnsi="Arial"/>
          <w:sz w:val="13"/>
          <w:szCs w:val="13"/>
          <w:color w:val="auto"/>
        </w:rPr>
        <w:t>Unless otherwise expressly agreed by the Issuing Bank and the Borrower when a Letter of Credit is issued (including any such agreement applicable to an Existing Letter of Credit), the rules of the ISP shall apply to each standby Letter of Credit.</w:t>
      </w:r>
    </w:p>
    <w:p>
      <w:pPr>
        <w:spacing w:after="0" w:line="45" w:lineRule="exact"/>
        <w:rPr>
          <w:sz w:val="20"/>
          <w:szCs w:val="20"/>
          <w:color w:val="auto"/>
        </w:rPr>
      </w:pPr>
    </w:p>
    <w:p>
      <w:pPr>
        <w:ind w:right="140" w:firstLine="327"/>
        <w:spacing w:after="0" w:line="283" w:lineRule="auto"/>
        <w:rPr>
          <w:sz w:val="20"/>
          <w:szCs w:val="20"/>
          <w:color w:val="auto"/>
        </w:rPr>
      </w:pPr>
      <w:r>
        <w:rPr>
          <w:rFonts w:ascii="Arial" w:cs="Arial" w:eastAsia="Arial" w:hAnsi="Arial"/>
          <w:sz w:val="13"/>
          <w:szCs w:val="13"/>
          <w:b w:val="1"/>
          <w:bCs w:val="1"/>
          <w:color w:val="auto"/>
        </w:rPr>
        <w:t>§3.2. Reimbursement Obligation of the Borrower</w:t>
      </w:r>
      <w:r>
        <w:rPr>
          <w:rFonts w:ascii="Arial" w:cs="Arial" w:eastAsia="Arial" w:hAnsi="Arial"/>
          <w:sz w:val="13"/>
          <w:szCs w:val="13"/>
          <w:color w:val="auto"/>
        </w:rPr>
        <w:t>. In order to induce the Issuing Banks to issue, extend and renew each Letter of Credit, the Borrower hereby agrees to reimburse or pay to each Issuing Bank,</w:t>
      </w:r>
      <w:r>
        <w:rPr>
          <w:rFonts w:ascii="Arial" w:cs="Arial" w:eastAsia="Arial" w:hAnsi="Arial"/>
          <w:sz w:val="13"/>
          <w:szCs w:val="13"/>
          <w:b w:val="1"/>
          <w:bCs w:val="1"/>
          <w:color w:val="auto"/>
        </w:rPr>
        <w:t xml:space="preserve"> </w:t>
      </w:r>
      <w:r>
        <w:rPr>
          <w:rFonts w:ascii="Arial" w:cs="Arial" w:eastAsia="Arial" w:hAnsi="Arial"/>
          <w:sz w:val="13"/>
          <w:szCs w:val="13"/>
          <w:color w:val="auto"/>
        </w:rPr>
        <w:t>with respect to each Letter of Credit issued, extended or renewed by such Issuing Bank hereunder, as follows:</w:t>
      </w:r>
    </w:p>
    <w:p>
      <w:pPr>
        <w:spacing w:after="0" w:line="45" w:lineRule="exact"/>
        <w:rPr>
          <w:sz w:val="20"/>
          <w:szCs w:val="20"/>
          <w:color w:val="auto"/>
        </w:rPr>
      </w:pPr>
    </w:p>
    <w:p>
      <w:pPr>
        <w:ind w:left="220" w:firstLine="172"/>
        <w:spacing w:after="0" w:line="260" w:lineRule="auto"/>
        <w:tabs>
          <w:tab w:leader="none" w:pos="562" w:val="left"/>
        </w:tabs>
        <w:numPr>
          <w:ilvl w:val="0"/>
          <w:numId w:val="106"/>
        </w:numPr>
        <w:rPr>
          <w:rFonts w:ascii="Arial" w:cs="Arial" w:eastAsia="Arial" w:hAnsi="Arial"/>
          <w:sz w:val="13"/>
          <w:szCs w:val="13"/>
          <w:color w:val="auto"/>
        </w:rPr>
      </w:pPr>
      <w:r>
        <w:rPr>
          <w:rFonts w:ascii="Arial" w:cs="Arial" w:eastAsia="Arial" w:hAnsi="Arial"/>
          <w:sz w:val="13"/>
          <w:szCs w:val="13"/>
          <w:color w:val="auto"/>
        </w:rPr>
        <w:t xml:space="preserve">if any draft presented under any Letter of Credit is honored by such Issuing Bank or such Issuing Bank otherwise makes payment with respect thereto, the sum of (i) the amount paid by such Issuing Bank under or with respect to such Letter of Credit (except that in the case of a payment in Canadian Dollars, it shall reimburse or pay the U.S. Dollar Equivalent thereof), and (ii) the amount of any taxes, fees, charges or other costs and expenses whatsoever incurred by such Issuing Bank in connection with any payment made by such Issuing Bank under, or with respect to, such Letter of Credit;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if the Borrower does not reimburse such Issuing Bank on the Drawdown Date, such amount shall, provided that no Event of Default under §§12.1(g) or</w:t>
      </w:r>
    </w:p>
    <w:p>
      <w:pPr>
        <w:spacing w:after="0" w:line="118" w:lineRule="exact"/>
        <w:rPr>
          <w:rFonts w:ascii="Arial" w:cs="Arial" w:eastAsia="Arial" w:hAnsi="Arial"/>
          <w:sz w:val="13"/>
          <w:szCs w:val="13"/>
          <w:color w:val="auto"/>
        </w:rPr>
      </w:pPr>
    </w:p>
    <w:p>
      <w:pPr>
        <w:ind w:left="5660" w:hanging="68"/>
        <w:spacing w:after="0"/>
        <w:tabs>
          <w:tab w:leader="none" w:pos="566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26" w:name="page127"/>
    <w:bookmarkEnd w:id="126"/>
    <w:p>
      <w:pPr>
        <w:ind w:left="220"/>
        <w:spacing w:after="0" w:line="276" w:lineRule="auto"/>
        <w:rPr>
          <w:sz w:val="20"/>
          <w:szCs w:val="20"/>
          <w:color w:val="auto"/>
        </w:rPr>
      </w:pPr>
      <w:r>
        <w:rPr>
          <w:rFonts w:ascii="Arial" w:cs="Arial" w:eastAsia="Arial" w:hAnsi="Arial"/>
          <w:sz w:val="13"/>
          <w:szCs w:val="13"/>
          <w:color w:val="auto"/>
        </w:rPr>
        <w:t>12.1(h) has occurred, become automatically a Base Rate Syndicated Loan advanced hereunder in an amount equal to such sum (and the Administrative Agent shall notify the Banks upon receipt of the notice thereof from the applicable Issuing Bank pursuant to §3.5, which notice shall be deemed to constitute a Syndicated Loan Request and satisfy the requirements of §2.6); and</w:t>
      </w:r>
    </w:p>
    <w:p>
      <w:pPr>
        <w:spacing w:after="0" w:line="49" w:lineRule="exact"/>
        <w:rPr>
          <w:sz w:val="20"/>
          <w:szCs w:val="20"/>
          <w:color w:val="auto"/>
        </w:rPr>
      </w:pPr>
    </w:p>
    <w:p>
      <w:pPr>
        <w:ind w:left="220" w:right="140" w:firstLine="172"/>
        <w:spacing w:after="0" w:line="264" w:lineRule="auto"/>
        <w:tabs>
          <w:tab w:leader="none" w:pos="569" w:val="left"/>
        </w:tabs>
        <w:numPr>
          <w:ilvl w:val="0"/>
          <w:numId w:val="107"/>
        </w:numPr>
        <w:rPr>
          <w:rFonts w:ascii="Arial" w:cs="Arial" w:eastAsia="Arial" w:hAnsi="Arial"/>
          <w:sz w:val="13"/>
          <w:szCs w:val="13"/>
          <w:color w:val="auto"/>
        </w:rPr>
      </w:pPr>
      <w:r>
        <w:rPr>
          <w:rFonts w:ascii="Arial" w:cs="Arial" w:eastAsia="Arial" w:hAnsi="Arial"/>
          <w:sz w:val="13"/>
          <w:szCs w:val="13"/>
          <w:color w:val="auto"/>
        </w:rPr>
        <w:t>upon the date that is five (5) Business Days prior to the Maturity Date (or, if such day is not a Business Day, the next preceding Business Day) or the acceleration of the Reimbursement Obligations with respect to all Letters of Credit in accordance with §12, an amount equal to the then Maximum Drawing Amount of all outstanding Letters of Credit shall be paid by the Borrower to the Administrative Agent to be held as cash collateral for the applicable Reimbursement Obligations, and the Borrower hereby grants to the Administrative Agent a security interest therein.</w:t>
      </w:r>
    </w:p>
    <w:p>
      <w:pPr>
        <w:spacing w:after="0" w:line="53" w:lineRule="exact"/>
        <w:rPr>
          <w:sz w:val="20"/>
          <w:szCs w:val="20"/>
          <w:color w:val="auto"/>
        </w:rPr>
      </w:pPr>
    </w:p>
    <w:p>
      <w:pPr>
        <w:ind w:right="40" w:firstLine="327"/>
        <w:spacing w:after="0" w:line="279" w:lineRule="auto"/>
        <w:rPr>
          <w:sz w:val="20"/>
          <w:szCs w:val="20"/>
          <w:color w:val="auto"/>
        </w:rPr>
      </w:pPr>
      <w:r>
        <w:rPr>
          <w:rFonts w:ascii="Arial" w:cs="Arial" w:eastAsia="Arial" w:hAnsi="Arial"/>
          <w:sz w:val="12"/>
          <w:szCs w:val="12"/>
          <w:b w:val="1"/>
          <w:bCs w:val="1"/>
          <w:color w:val="auto"/>
        </w:rPr>
        <w:t>§3.3. Obligations Absolute</w:t>
      </w:r>
      <w:r>
        <w:rPr>
          <w:rFonts w:ascii="Arial" w:cs="Arial" w:eastAsia="Arial" w:hAnsi="Arial"/>
          <w:sz w:val="12"/>
          <w:szCs w:val="12"/>
          <w:color w:val="auto"/>
        </w:rPr>
        <w:t>. The Borrower’s obligations under this §3 shall be absolute and unconditional under any and all circumstances and irrespective of the occurrence of any Default or Event of Default or</w:t>
      </w:r>
      <w:r>
        <w:rPr>
          <w:rFonts w:ascii="Arial" w:cs="Arial" w:eastAsia="Arial" w:hAnsi="Arial"/>
          <w:sz w:val="12"/>
          <w:szCs w:val="12"/>
          <w:b w:val="1"/>
          <w:bCs w:val="1"/>
          <w:color w:val="auto"/>
        </w:rPr>
        <w:t xml:space="preserve"> </w:t>
      </w:r>
      <w:r>
        <w:rPr>
          <w:rFonts w:ascii="Arial" w:cs="Arial" w:eastAsia="Arial" w:hAnsi="Arial"/>
          <w:sz w:val="12"/>
          <w:szCs w:val="12"/>
          <w:color w:val="auto"/>
        </w:rPr>
        <w:t>any condition precedent whatsoever or any setoff, counterclaim or defense to payment which the Borrower may have or have had against any Issuing Bank, any Bank or any beneficiary of a Letter of Credit, and the Borrower expressly waives any such rights that it may have with respect thereto. The Borrower further agrees with each Issuing Bank and the Banks that such Issuing Bank and the Banks (i) shall not be responsible for, and the Borrower’s Reimbursement Obligations under §3.2 shall not be affected by, among other things, the validity or genuineness of documents or of any endorsements thereon, even if such documents should in fact prove to be in any or all respects invalid, fraudulent or forged (unless due to the willful misconduct of such Issuing Bank or any other Bank), or any dispute between or among the Borrower and the beneficiary of any Letter of Credit or any financing institution or other party to which any Letter of Credit may be transferred or any claims or defenses whatsoever of the Borrower against the beneficiary of any Letter of Credit or any such transferee, and (ii) shall not be liable for any error, omission, interruption or delay in transmission, dispatch or delivery of any message or advice, however transmitted, in connection with any Letter of Credit except to the extent of their own willful misconduct. The Borrower agrees that any action taken or omitted by any Issuing Bank or any Bank in good faith under or in connection with any Letter of Credit and the related drafts and documents shall be binding upon the Borrower and shall not result in any liability on the part of such Issuing Bank or any Bank (or their respective affiliates) to the Borrower. Nothing herein shall constitute a waiver by the Borrower of any of its rights against any beneficiary of a Letter of Credit.</w:t>
      </w:r>
    </w:p>
    <w:p>
      <w:pPr>
        <w:spacing w:after="0" w:line="47" w:lineRule="exact"/>
        <w:rPr>
          <w:sz w:val="20"/>
          <w:szCs w:val="20"/>
          <w:color w:val="auto"/>
        </w:rPr>
      </w:pPr>
    </w:p>
    <w:p>
      <w:pPr>
        <w:ind w:firstLine="327"/>
        <w:spacing w:after="0" w:line="300" w:lineRule="auto"/>
        <w:rPr>
          <w:sz w:val="20"/>
          <w:szCs w:val="20"/>
          <w:color w:val="auto"/>
        </w:rPr>
      </w:pPr>
      <w:r>
        <w:rPr>
          <w:rFonts w:ascii="Arial" w:cs="Arial" w:eastAsia="Arial" w:hAnsi="Arial"/>
          <w:sz w:val="12"/>
          <w:szCs w:val="12"/>
          <w:b w:val="1"/>
          <w:bCs w:val="1"/>
          <w:color w:val="auto"/>
        </w:rPr>
        <w:t>§3.4. Reliance by the Issuing Banks</w:t>
      </w:r>
      <w:r>
        <w:rPr>
          <w:rFonts w:ascii="Arial" w:cs="Arial" w:eastAsia="Arial" w:hAnsi="Arial"/>
          <w:sz w:val="12"/>
          <w:szCs w:val="12"/>
          <w:color w:val="auto"/>
        </w:rPr>
        <w:t>. To the extent not inconsistent with §3.3, each Issuing Bank shall be entitled to rely, and shall be fully protected in relying, upon any Letter of Credit, draft, writing,</w:t>
      </w:r>
      <w:r>
        <w:rPr>
          <w:rFonts w:ascii="Arial" w:cs="Arial" w:eastAsia="Arial" w:hAnsi="Arial"/>
          <w:sz w:val="12"/>
          <w:szCs w:val="12"/>
          <w:b w:val="1"/>
          <w:bCs w:val="1"/>
          <w:color w:val="auto"/>
        </w:rPr>
        <w:t xml:space="preserve"> </w:t>
      </w:r>
      <w:r>
        <w:rPr>
          <w:rFonts w:ascii="Arial" w:cs="Arial" w:eastAsia="Arial" w:hAnsi="Arial"/>
          <w:sz w:val="12"/>
          <w:szCs w:val="12"/>
          <w:color w:val="auto"/>
        </w:rPr>
        <w:t>resolution, notice, consent, certificate, affidavit, letter, cablegram, telegram, facsimile, telex or teletype message, statement, order or other document believed by such Issuing Bank in good faith to be genuine and correct and to have been signed, sent or made by the proper Person or Persons and upon advice and statements of legal counsel, independent accountants and other experts selected by such Issuing Bank.</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7" w:name="page128"/>
    <w:bookmarkEnd w:id="127"/>
    <w:p>
      <w:pPr>
        <w:ind w:right="100" w:firstLine="327"/>
        <w:spacing w:after="0" w:line="280" w:lineRule="auto"/>
        <w:rPr>
          <w:sz w:val="20"/>
          <w:szCs w:val="20"/>
          <w:color w:val="auto"/>
        </w:rPr>
      </w:pPr>
      <w:r>
        <w:rPr>
          <w:rFonts w:ascii="Arial" w:cs="Arial" w:eastAsia="Arial" w:hAnsi="Arial"/>
          <w:sz w:val="12"/>
          <w:szCs w:val="12"/>
          <w:b w:val="1"/>
          <w:bCs w:val="1"/>
          <w:color w:val="auto"/>
        </w:rPr>
        <w:t>§3.5. Notice Regarding Letters of Credit</w:t>
      </w:r>
      <w:r>
        <w:rPr>
          <w:rFonts w:ascii="Arial" w:cs="Arial" w:eastAsia="Arial" w:hAnsi="Arial"/>
          <w:sz w:val="12"/>
          <w:szCs w:val="12"/>
          <w:color w:val="auto"/>
        </w:rPr>
        <w:t>. One (1) Business Day prior to the issuance of any Letter of Credit or any amendment, extension or termination thereof, the applicable Issuing Bank shall notify the</w:t>
      </w:r>
      <w:r>
        <w:rPr>
          <w:rFonts w:ascii="Arial" w:cs="Arial" w:eastAsia="Arial" w:hAnsi="Arial"/>
          <w:sz w:val="12"/>
          <w:szCs w:val="12"/>
          <w:b w:val="1"/>
          <w:bCs w:val="1"/>
          <w:color w:val="auto"/>
        </w:rPr>
        <w:t xml:space="preserve"> </w:t>
      </w:r>
      <w:r>
        <w:rPr>
          <w:rFonts w:ascii="Arial" w:cs="Arial" w:eastAsia="Arial" w:hAnsi="Arial"/>
          <w:sz w:val="12"/>
          <w:szCs w:val="12"/>
          <w:color w:val="auto"/>
        </w:rPr>
        <w:t>Administrative Agent of the terms of such Letter of Credit, amendment, extension or termination. In the case of any such issuance, amendment or extension, the Administrative Agent will promptly notify such Issuing Bank whether such issuance, amendment or extension is permissible under the limitation set forth in the proviso to §2.1(a). On the day of any drawing under any Letter of Credit, such Issuing Bank shall notify the Administrative Agent of such drawing, specifying the amount thereof, and on the day of any payment under any Letter of Credit (or failure of the Borrower to reimburse such drawing in accordance with §3.2), such Issuing Bank shall notify the Administrative Agent of such payment (or failure), specifying the amount thereof and, in the case of a payment (or failure) under a Canadian Dollar Letter of Credit, the U.S. Dollar Equivalent thereof. Additionally, each Issuing Bank shall no later than the third Business Day following the last day of each month, provide to Administrative Agent a schedule of the Letters of Credit issued by it, in form and substance reasonably satisfactory to Administrative Agent, showing the date of issuance of each Letter of Credit, the account party, the original face amount (if any), the Maximum Drawing Amount, the expiration date, and the reference number of any Letter of Credit outstanding at any time during each month, and showing the aggregate amount (if any) payable by the Borrower to such Issuing Bank during such month. Promptly after the receipt of such schedule from each Issuing Bank, the Administrative Agent shall provide to all Banks a summary aggregating the schedules received from each of the Issuing Banks.</w:t>
      </w:r>
    </w:p>
    <w:p>
      <w:pPr>
        <w:spacing w:after="0" w:line="45" w:lineRule="exact"/>
        <w:rPr>
          <w:sz w:val="20"/>
          <w:szCs w:val="20"/>
          <w:color w:val="auto"/>
        </w:rPr>
      </w:pPr>
    </w:p>
    <w:p>
      <w:pPr>
        <w:ind w:firstLine="327"/>
        <w:spacing w:after="0" w:line="256" w:lineRule="auto"/>
        <w:rPr>
          <w:sz w:val="20"/>
          <w:szCs w:val="20"/>
          <w:color w:val="auto"/>
        </w:rPr>
      </w:pPr>
      <w:r>
        <w:rPr>
          <w:rFonts w:ascii="Arial" w:cs="Arial" w:eastAsia="Arial" w:hAnsi="Arial"/>
          <w:sz w:val="13"/>
          <w:szCs w:val="13"/>
          <w:b w:val="1"/>
          <w:bCs w:val="1"/>
          <w:color w:val="auto"/>
        </w:rPr>
        <w:t>§3.6. Letter of Credit Fee; Fronting Fee</w:t>
      </w:r>
      <w:r>
        <w:rPr>
          <w:rFonts w:ascii="Arial" w:cs="Arial" w:eastAsia="Arial" w:hAnsi="Arial"/>
          <w:sz w:val="13"/>
          <w:szCs w:val="13"/>
          <w:color w:val="auto"/>
        </w:rPr>
        <w:t>. The Borrower shall pay a fee (the “Letter of Credit Fee”) equal to the Applicable L/C Rate on the Maximum Drawing Amount to the Administrative Agent for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account of the Banks, to be shared </w:t>
      </w:r>
      <w:r>
        <w:rPr>
          <w:rFonts w:ascii="Arial" w:cs="Arial" w:eastAsia="Arial" w:hAnsi="Arial"/>
          <w:sz w:val="13"/>
          <w:szCs w:val="13"/>
          <w:u w:val="single" w:color="auto"/>
          <w:color w:val="auto"/>
        </w:rPr>
        <w:t>pro rata</w:t>
      </w:r>
      <w:r>
        <w:rPr>
          <w:rFonts w:ascii="Arial" w:cs="Arial" w:eastAsia="Arial" w:hAnsi="Arial"/>
          <w:sz w:val="13"/>
          <w:szCs w:val="13"/>
          <w:color w:val="auto"/>
        </w:rPr>
        <w:t xml:space="preserve"> by the Banks in accordance with their respective Commitment Percentages; </w:t>
      </w:r>
      <w:r>
        <w:rPr>
          <w:rFonts w:ascii="Arial" w:cs="Arial" w:eastAsia="Arial" w:hAnsi="Arial"/>
          <w:sz w:val="13"/>
          <w:szCs w:val="13"/>
          <w:u w:val="single" w:color="auto"/>
          <w:color w:val="auto"/>
        </w:rPr>
        <w:t>provided</w:t>
      </w:r>
      <w:r>
        <w:rPr>
          <w:rFonts w:ascii="Arial" w:cs="Arial" w:eastAsia="Arial" w:hAnsi="Arial"/>
          <w:sz w:val="13"/>
          <w:szCs w:val="13"/>
          <w:color w:val="auto"/>
        </w:rPr>
        <w:t>, that any Letter of Credit Fees otherwise payable for the account of a Defaulting Bank with respect to any Letter of Credit as to which such Defaulting Bank has not provided cash collateral or other credit support satisfactory to the applicable Issuing Bank shall be payable, to the maximum extent permitted by applicable Law, to the other Banks in accordance with the upward adjustments in their respective Commitment Percentages allocable to such Letter of Credit pursuant to § 5.14(iv), with the balance of such fee, if any, payable to the Issuing Bank for its own account. The Letter of Credit Fee shall be payable quarterly in arrears on the third Business Day of each calendar quarter for the quarter just ended (and, in the case of the first such payment, for the portion of the prior calendar quarter after the Effective Date), with the first such payment being due on October 5, 2010, and on the Maturity Date. In addition, a fronting fee (the “Fronting Fee”) with respect to each Letter of Credit as agreed upon between the Borrower and each Issuing Bank shall be payable by the Borrower to such Issuing Bank for its account, and the Borrower shall pay directly to each applicable Issuing Bank for its own account the customary issuance, presentation, amendment and other processing fees, and other standard costs and charges, of such Issuing Bank relating to letters of credit as from time to time in effect.</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§4. </w:t>
      </w:r>
      <w:r>
        <w:rPr>
          <w:rFonts w:ascii="Arial" w:cs="Arial" w:eastAsia="Arial" w:hAnsi="Arial"/>
          <w:sz w:val="13"/>
          <w:szCs w:val="13"/>
          <w:b w:val="1"/>
          <w:bCs w:val="1"/>
          <w:u w:val="single" w:color="auto"/>
          <w:color w:val="auto"/>
        </w:rPr>
        <w:t>COMPETITIVE BID LOANS</w:t>
      </w:r>
      <w:r>
        <w:rPr>
          <w:rFonts w:ascii="Arial" w:cs="Arial" w:eastAsia="Arial" w:hAnsi="Arial"/>
          <w:sz w:val="13"/>
          <w:szCs w:val="13"/>
          <w:color w:val="auto"/>
        </w:rPr>
        <w:t>.</w:t>
      </w:r>
    </w:p>
    <w:p>
      <w:pPr>
        <w:spacing w:after="0" w:line="86" w:lineRule="exact"/>
        <w:rPr>
          <w:sz w:val="20"/>
          <w:szCs w:val="20"/>
          <w:color w:val="auto"/>
        </w:rPr>
      </w:pPr>
    </w:p>
    <w:p>
      <w:pPr>
        <w:ind w:right="100" w:firstLine="327"/>
        <w:spacing w:after="0" w:line="283" w:lineRule="auto"/>
        <w:rPr>
          <w:sz w:val="20"/>
          <w:szCs w:val="20"/>
          <w:color w:val="auto"/>
        </w:rPr>
      </w:pPr>
      <w:r>
        <w:rPr>
          <w:rFonts w:ascii="Arial" w:cs="Arial" w:eastAsia="Arial" w:hAnsi="Arial"/>
          <w:sz w:val="13"/>
          <w:szCs w:val="13"/>
          <w:b w:val="1"/>
          <w:bCs w:val="1"/>
          <w:color w:val="auto"/>
        </w:rPr>
        <w:t>§4.1. The Competitive Bid Option</w:t>
      </w:r>
      <w:r>
        <w:rPr>
          <w:rFonts w:ascii="Arial" w:cs="Arial" w:eastAsia="Arial" w:hAnsi="Arial"/>
          <w:sz w:val="13"/>
          <w:szCs w:val="13"/>
          <w:color w:val="auto"/>
        </w:rPr>
        <w:t>. In addition to the Syndicated Loans made pursuant to §2 hereof, the Borrower may request Competitive Bid Loans pursuant to the terms of this §4. The Banks may, but shall</w:t>
      </w:r>
      <w:r>
        <w:rPr>
          <w:rFonts w:ascii="Arial" w:cs="Arial" w:eastAsia="Arial" w:hAnsi="Arial"/>
          <w:sz w:val="13"/>
          <w:szCs w:val="13"/>
          <w:b w:val="1"/>
          <w:bCs w:val="1"/>
          <w:color w:val="auto"/>
        </w:rPr>
        <w:t xml:space="preserve"> </w:t>
      </w:r>
      <w:r>
        <w:rPr>
          <w:rFonts w:ascii="Arial" w:cs="Arial" w:eastAsia="Arial" w:hAnsi="Arial"/>
          <w:sz w:val="13"/>
          <w:szCs w:val="13"/>
          <w:color w:val="auto"/>
        </w:rPr>
        <w:t>have no obligation to, make offers for Competitive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16" w:right="239" w:bottom="1440" w:gutter="0" w:footer="0" w:header="0"/>
        </w:sectPr>
      </w:pPr>
    </w:p>
    <w:bookmarkStart w:id="128" w:name="page129"/>
    <w:bookmarkEnd w:id="128"/>
    <w:p>
      <w:pPr>
        <w:ind w:right="360"/>
        <w:spacing w:after="0" w:line="334" w:lineRule="auto"/>
        <w:rPr>
          <w:sz w:val="20"/>
          <w:szCs w:val="20"/>
          <w:color w:val="auto"/>
        </w:rPr>
      </w:pPr>
      <w:r>
        <w:rPr>
          <w:rFonts w:ascii="Arial" w:cs="Arial" w:eastAsia="Arial" w:hAnsi="Arial"/>
          <w:sz w:val="11"/>
          <w:szCs w:val="11"/>
          <w:color w:val="auto"/>
        </w:rPr>
        <w:t xml:space="preserve">Bid Loans and the Borrower may, but shall have no obligation to, accept such offers in the manner set forth in this §4. Notwithstanding any other provision herein to the contrary, at no time shall (x) the aggregate principal amount of Competitive Bid Loans outstanding at any time exceed the Total Commitment </w:t>
      </w:r>
      <w:r>
        <w:rPr>
          <w:rFonts w:ascii="Arial" w:cs="Arial" w:eastAsia="Arial" w:hAnsi="Arial"/>
          <w:sz w:val="11"/>
          <w:szCs w:val="11"/>
          <w:u w:val="single" w:color="auto"/>
          <w:color w:val="auto"/>
        </w:rPr>
        <w:t>minus</w:t>
      </w:r>
      <w:r>
        <w:rPr>
          <w:rFonts w:ascii="Arial" w:cs="Arial" w:eastAsia="Arial" w:hAnsi="Arial"/>
          <w:sz w:val="11"/>
          <w:szCs w:val="11"/>
          <w:color w:val="auto"/>
        </w:rPr>
        <w:t xml:space="preserve"> the sum of (a) the aggregate outstanding principal amount of Syndicated Loans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(b) the aggregate outstanding principal amount of Swing Loans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(c) the Maximum Drawing Amount of Letters of Credit, outstanding at such time, and (y) there be more than 10 Competitive Bid Loans outstanding at any time.</w:t>
      </w:r>
    </w:p>
    <w:p>
      <w:pPr>
        <w:spacing w:after="0" w:line="18"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§4.2. Competitive Bid Loan Accounts; Competitive Bid Loans</w:t>
      </w:r>
      <w:r>
        <w:rPr>
          <w:rFonts w:ascii="Arial" w:cs="Arial" w:eastAsia="Arial" w:hAnsi="Arial"/>
          <w:sz w:val="13"/>
          <w:szCs w:val="13"/>
          <w:color w:val="auto"/>
        </w:rPr>
        <w:t>.</w:t>
      </w:r>
    </w:p>
    <w:p>
      <w:pPr>
        <w:spacing w:after="0" w:line="90" w:lineRule="exact"/>
        <w:rPr>
          <w:sz w:val="20"/>
          <w:szCs w:val="20"/>
          <w:color w:val="auto"/>
        </w:rPr>
      </w:pPr>
    </w:p>
    <w:p>
      <w:pPr>
        <w:ind w:left="220" w:firstLine="172"/>
        <w:spacing w:after="0" w:line="260" w:lineRule="auto"/>
        <w:tabs>
          <w:tab w:leader="none" w:pos="562"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 obligation of the Borrower to repay the outstanding principal amount of any and all Competitive Bid Loans, plus interest at the applicable rate accrued thereon, shall be evidenced by this Agreement and by individual loan accounts (the “Competitive Bid Loan Accounts” and individually, a “Competitive Bid Loan Account”) maintained by the Administrative Agent on its books for each of the Banks, it being the intention of the parties hereto that, except as provided for in paragraph (b) of this §4.2, the Borrower’s obligations with respect to Competitive Bid Loans are to be evidenced only as stated herein and not by separate promissory notes.</w:t>
      </w:r>
    </w:p>
    <w:p>
      <w:pPr>
        <w:spacing w:after="0" w:line="59" w:lineRule="exact"/>
        <w:rPr>
          <w:rFonts w:ascii="Arial" w:cs="Arial" w:eastAsia="Arial" w:hAnsi="Arial"/>
          <w:sz w:val="13"/>
          <w:szCs w:val="13"/>
          <w:color w:val="auto"/>
        </w:rPr>
      </w:pPr>
    </w:p>
    <w:p>
      <w:pPr>
        <w:ind w:left="220" w:right="540" w:firstLine="172"/>
        <w:spacing w:after="0" w:line="276" w:lineRule="auto"/>
        <w:tabs>
          <w:tab w:leader="none" w:pos="569" w:val="left"/>
        </w:tabs>
        <w:numPr>
          <w:ilvl w:val="0"/>
          <w:numId w:val="108"/>
        </w:numPr>
        <w:rPr>
          <w:rFonts w:ascii="Arial" w:cs="Arial" w:eastAsia="Arial" w:hAnsi="Arial"/>
          <w:sz w:val="13"/>
          <w:szCs w:val="13"/>
          <w:color w:val="auto"/>
        </w:rPr>
      </w:pPr>
      <w:r>
        <w:rPr>
          <w:rFonts w:ascii="Arial" w:cs="Arial" w:eastAsia="Arial" w:hAnsi="Arial"/>
          <w:sz w:val="13"/>
          <w:szCs w:val="13"/>
          <w:color w:val="auto"/>
        </w:rPr>
        <w:t>Any Bank may at any time, and from time to time, request that any Competitive Bid Loans outstanding to such Bank be evidenced by a promissory note of the Borrower in the form approved by the Administrative Agent, dated as of the Effective Date and completed with appropriate insertions.</w:t>
      </w:r>
    </w:p>
    <w:p>
      <w:pPr>
        <w:spacing w:after="0" w:line="49" w:lineRule="exact"/>
        <w:rPr>
          <w:rFonts w:ascii="Arial" w:cs="Arial" w:eastAsia="Arial" w:hAnsi="Arial"/>
          <w:sz w:val="13"/>
          <w:szCs w:val="13"/>
          <w:color w:val="auto"/>
        </w:rPr>
      </w:pPr>
    </w:p>
    <w:p>
      <w:pPr>
        <w:ind w:left="220" w:right="60" w:firstLine="172"/>
        <w:spacing w:after="0" w:line="258" w:lineRule="auto"/>
        <w:tabs>
          <w:tab w:leader="none" w:pos="562" w:val="left"/>
        </w:tabs>
        <w:numPr>
          <w:ilvl w:val="0"/>
          <w:numId w:val="108"/>
        </w:numPr>
        <w:rPr>
          <w:rFonts w:ascii="Arial" w:cs="Arial" w:eastAsia="Arial" w:hAnsi="Arial"/>
          <w:sz w:val="13"/>
          <w:szCs w:val="13"/>
          <w:color w:val="auto"/>
        </w:rPr>
      </w:pPr>
      <w:r>
        <w:rPr>
          <w:rFonts w:ascii="Arial" w:cs="Arial" w:eastAsia="Arial" w:hAnsi="Arial"/>
          <w:sz w:val="13"/>
          <w:szCs w:val="13"/>
          <w:color w:val="auto"/>
        </w:rPr>
        <w:t xml:space="preserve">The Borrower irrevocably authorizes the Administrative Agent to make or cause to be made, in connection with a Drawdown Date of any Competitive Bid Loan or at the time of receipt of any payment of principal on the applicable Bank’s Competitive Bid Loan Account, an appropriate notation on the Administrative Agent’s records, reflecting the making of the Competitive Bid Loan, or the receipt of such payment (as the case may be). The outstanding amount of the Competitive Bid Loans set forth on the Administrative Agent’s records, shall be </w:t>
      </w:r>
      <w:r>
        <w:rPr>
          <w:rFonts w:ascii="Arial" w:cs="Arial" w:eastAsia="Arial" w:hAnsi="Arial"/>
          <w:sz w:val="13"/>
          <w:szCs w:val="13"/>
          <w:u w:val="single" w:color="auto"/>
          <w:color w:val="auto"/>
        </w:rPr>
        <w:t>prima facie</w:t>
      </w:r>
      <w:r>
        <w:rPr>
          <w:rFonts w:ascii="Arial" w:cs="Arial" w:eastAsia="Arial" w:hAnsi="Arial"/>
          <w:sz w:val="13"/>
          <w:szCs w:val="13"/>
          <w:color w:val="auto"/>
        </w:rPr>
        <w:t xml:space="preserve"> evidence of the principal amount thereof owing and unpaid to such Bank, but the failure to record, or any error in so recording, any such amount shall not limit or otherwise affect the obligations of the Borrower hereunder to make payments of principal of or interest on any Competitive Bid Loan when due.</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§4.3. Competitive Bid Quote Request; Invitation for Competitive Bid Quotes</w:t>
      </w:r>
      <w:r>
        <w:rPr>
          <w:rFonts w:ascii="Arial" w:cs="Arial" w:eastAsia="Arial" w:hAnsi="Arial"/>
          <w:sz w:val="13"/>
          <w:szCs w:val="13"/>
          <w:color w:val="auto"/>
        </w:rPr>
        <w:t>.</w:t>
      </w:r>
    </w:p>
    <w:p>
      <w:pPr>
        <w:spacing w:after="0" w:line="90" w:lineRule="exact"/>
        <w:rPr>
          <w:sz w:val="20"/>
          <w:szCs w:val="20"/>
          <w:color w:val="auto"/>
        </w:rPr>
      </w:pPr>
    </w:p>
    <w:p>
      <w:pPr>
        <w:ind w:left="220" w:right="40" w:firstLine="172"/>
        <w:spacing w:after="0" w:line="296" w:lineRule="auto"/>
        <w:tabs>
          <w:tab w:leader="none" w:pos="562" w:val="left"/>
        </w:tabs>
        <w:numPr>
          <w:ilvl w:val="0"/>
          <w:numId w:val="109"/>
        </w:numPr>
        <w:rPr>
          <w:rFonts w:ascii="Arial" w:cs="Arial" w:eastAsia="Arial" w:hAnsi="Arial"/>
          <w:sz w:val="12"/>
          <w:szCs w:val="12"/>
          <w:color w:val="auto"/>
        </w:rPr>
      </w:pPr>
      <w:r>
        <w:rPr>
          <w:rFonts w:ascii="Arial" w:cs="Arial" w:eastAsia="Arial" w:hAnsi="Arial"/>
          <w:sz w:val="12"/>
          <w:szCs w:val="12"/>
          <w:color w:val="auto"/>
        </w:rPr>
        <w:t xml:space="preserve">When the Borrower wishes to request offers to make Competitive Bid Loans under this §4, it shall transmit to the Administrative Agent by telex or facsimile a Competitive Bid Quote Request substantially in the form of </w:t>
      </w:r>
      <w:r>
        <w:rPr>
          <w:rFonts w:ascii="Arial" w:cs="Arial" w:eastAsia="Arial" w:hAnsi="Arial"/>
          <w:sz w:val="12"/>
          <w:szCs w:val="12"/>
          <w:u w:val="single" w:color="auto"/>
          <w:color w:val="auto"/>
        </w:rPr>
        <w:t>Exhibit F</w:t>
      </w:r>
      <w:r>
        <w:rPr>
          <w:rFonts w:ascii="Arial" w:cs="Arial" w:eastAsia="Arial" w:hAnsi="Arial"/>
          <w:sz w:val="12"/>
          <w:szCs w:val="12"/>
          <w:color w:val="auto"/>
        </w:rPr>
        <w:t xml:space="preserve"> hereto (a “Competitive Bid Quote Request”) so as to be received no later than 1:00 p.m. (New York time) (x) five (5) Eurodollar Business Days prior to the requested Drawdown Date in the case of a Eurodollar Competitive Bid Loan or (y) two (2) Business Days prior to the requested Drawdown Date in the case of an Absolute Competitive Bid Loan, specifying:</w:t>
      </w:r>
    </w:p>
    <w:p>
      <w:pPr>
        <w:spacing w:after="0" w:line="98" w:lineRule="exact"/>
        <w:rPr>
          <w:rFonts w:ascii="Arial" w:cs="Arial" w:eastAsia="Arial" w:hAnsi="Arial"/>
          <w:sz w:val="12"/>
          <w:szCs w:val="12"/>
          <w:color w:val="auto"/>
        </w:rPr>
      </w:pPr>
    </w:p>
    <w:p>
      <w:pPr>
        <w:ind w:left="5660" w:hanging="68"/>
        <w:spacing w:after="0"/>
        <w:tabs>
          <w:tab w:leader="none" w:pos="5660" w:val="left"/>
        </w:tabs>
        <w:numPr>
          <w:ilvl w:val="1"/>
          <w:numId w:val="109"/>
        </w:numPr>
        <w:rPr>
          <w:rFonts w:ascii="Arial" w:cs="Arial" w:eastAsia="Arial" w:hAnsi="Arial"/>
          <w:sz w:val="13"/>
          <w:szCs w:val="13"/>
          <w:color w:val="auto"/>
        </w:rPr>
      </w:pPr>
      <w:r>
        <w:rPr>
          <w:rFonts w:ascii="Arial" w:cs="Arial" w:eastAsia="Arial" w:hAnsi="Arial"/>
          <w:sz w:val="13"/>
          <w:szCs w:val="13"/>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9" w:name="page130"/>
    <w:bookmarkEnd w:id="129"/>
    <w:p>
      <w:pPr>
        <w:ind w:left="1000" w:hanging="149"/>
        <w:spacing w:after="0"/>
        <w:tabs>
          <w:tab w:leader="none" w:pos="100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requested Drawdown Date (which must be a Eurodollar Business Day in the case of a Eurodollar Competitive Bid Loan or a Business Day in the case of an Absolute Competitive Bid Loan);</w:t>
      </w:r>
    </w:p>
    <w:p>
      <w:pPr>
        <w:spacing w:after="0" w:line="97" w:lineRule="exact"/>
        <w:rPr>
          <w:rFonts w:ascii="Arial" w:cs="Arial" w:eastAsia="Arial" w:hAnsi="Arial"/>
          <w:sz w:val="12"/>
          <w:szCs w:val="12"/>
          <w:color w:val="auto"/>
        </w:rPr>
      </w:pPr>
    </w:p>
    <w:p>
      <w:pPr>
        <w:ind w:left="1040" w:hanging="189"/>
        <w:spacing w:after="0"/>
        <w:tabs>
          <w:tab w:leader="none" w:pos="104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the aggregate amount of such Competitive Bid Loans, which shall be $10,000,000 or larger multiple of $1,000,000;</w:t>
      </w:r>
    </w:p>
    <w:p>
      <w:pPr>
        <w:spacing w:after="0" w:line="86" w:lineRule="exact"/>
        <w:rPr>
          <w:rFonts w:ascii="Arial" w:cs="Arial" w:eastAsia="Arial" w:hAnsi="Arial"/>
          <w:sz w:val="13"/>
          <w:szCs w:val="13"/>
          <w:color w:val="auto"/>
        </w:rPr>
      </w:pPr>
    </w:p>
    <w:p>
      <w:pPr>
        <w:ind w:left="1080" w:hanging="229"/>
        <w:spacing w:after="0"/>
        <w:tabs>
          <w:tab w:leader="none" w:pos="10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the duration of the Interest Period(s) applicable thereto, subject to the provisions of the definition of Interest Period; and</w:t>
      </w:r>
    </w:p>
    <w:p>
      <w:pPr>
        <w:spacing w:after="0" w:line="86" w:lineRule="exact"/>
        <w:rPr>
          <w:rFonts w:ascii="Arial" w:cs="Arial" w:eastAsia="Arial" w:hAnsi="Arial"/>
          <w:sz w:val="13"/>
          <w:szCs w:val="13"/>
          <w:color w:val="auto"/>
        </w:rPr>
      </w:pPr>
    </w:p>
    <w:p>
      <w:pPr>
        <w:ind w:left="1080" w:hanging="229"/>
        <w:spacing w:after="0"/>
        <w:tabs>
          <w:tab w:leader="none" w:pos="10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whether the Competitive Bid Quotes requested are for Eurodollar Competitive Bid Loans or Absolute Competitive Bid Loans.</w:t>
      </w:r>
    </w:p>
    <w:p>
      <w:pPr>
        <w:spacing w:after="0" w:line="86" w:lineRule="exact"/>
        <w:rPr>
          <w:sz w:val="20"/>
          <w:szCs w:val="20"/>
          <w:color w:val="auto"/>
        </w:rPr>
      </w:pPr>
    </w:p>
    <w:p>
      <w:pPr>
        <w:ind w:left="220" w:right="300"/>
        <w:spacing w:after="0" w:line="320" w:lineRule="auto"/>
        <w:rPr>
          <w:sz w:val="20"/>
          <w:szCs w:val="20"/>
          <w:color w:val="auto"/>
        </w:rPr>
      </w:pPr>
      <w:r>
        <w:rPr>
          <w:rFonts w:ascii="Arial" w:cs="Arial" w:eastAsia="Arial" w:hAnsi="Arial"/>
          <w:sz w:val="12"/>
          <w:szCs w:val="12"/>
          <w:color w:val="auto"/>
        </w:rPr>
        <w:t>The Borrower may request offers to make Competitive Bid Loans for more than one Interest Period in a single Competitive Bid Quote Request. No new Competitive Bid Quote Request shall be given until the Borrower has notified the Administrative Agent of its acceptance or non-acceptance of the Competitive Bid Quotes relating to any outstanding Competitive Bid Quote Request.</w:t>
      </w:r>
    </w:p>
    <w:p>
      <w:pPr>
        <w:spacing w:after="0" w:line="25" w:lineRule="exact"/>
        <w:rPr>
          <w:sz w:val="20"/>
          <w:szCs w:val="20"/>
          <w:color w:val="auto"/>
        </w:rPr>
      </w:pPr>
    </w:p>
    <w:p>
      <w:pPr>
        <w:ind w:left="220" w:right="100" w:firstLine="172"/>
        <w:spacing w:after="0" w:line="276" w:lineRule="auto"/>
        <w:tabs>
          <w:tab w:leader="none" w:pos="569" w:val="left"/>
        </w:tabs>
        <w:numPr>
          <w:ilvl w:val="0"/>
          <w:numId w:val="111"/>
        </w:numPr>
        <w:rPr>
          <w:rFonts w:ascii="Arial" w:cs="Arial" w:eastAsia="Arial" w:hAnsi="Arial"/>
          <w:sz w:val="13"/>
          <w:szCs w:val="13"/>
          <w:color w:val="auto"/>
        </w:rPr>
      </w:pPr>
      <w:r>
        <w:rPr>
          <w:rFonts w:ascii="Arial" w:cs="Arial" w:eastAsia="Arial" w:hAnsi="Arial"/>
          <w:sz w:val="13"/>
          <w:szCs w:val="13"/>
          <w:color w:val="auto"/>
        </w:rPr>
        <w:t xml:space="preserve">Promptly upon receipt of a Competitive Bid Quote Request, the Administrative Agent shall send to the Banks by telecopy or facsimile transmission an Invitation for Competitive Bid Quotes substantially in the form of </w:t>
      </w:r>
      <w:r>
        <w:rPr>
          <w:rFonts w:ascii="Arial" w:cs="Arial" w:eastAsia="Arial" w:hAnsi="Arial"/>
          <w:sz w:val="13"/>
          <w:szCs w:val="13"/>
          <w:u w:val="single" w:color="auto"/>
          <w:color w:val="auto"/>
        </w:rPr>
        <w:t>Exhibit G</w:t>
      </w:r>
      <w:r>
        <w:rPr>
          <w:rFonts w:ascii="Arial" w:cs="Arial" w:eastAsia="Arial" w:hAnsi="Arial"/>
          <w:sz w:val="13"/>
          <w:szCs w:val="13"/>
          <w:color w:val="auto"/>
        </w:rPr>
        <w:t xml:space="preserve"> hereto, which shall constitute an invitation by the Borrower to each Bank to submit Competitive Bid Quotes in accordance with this §4.</w:t>
      </w:r>
    </w:p>
    <w:p>
      <w:pPr>
        <w:spacing w:after="0" w:line="45" w:lineRule="exact"/>
        <w:rPr>
          <w:sz w:val="20"/>
          <w:szCs w:val="20"/>
          <w:color w:val="auto"/>
        </w:rPr>
      </w:pPr>
    </w:p>
    <w:p>
      <w:pPr>
        <w:ind w:right="100" w:firstLine="327"/>
        <w:spacing w:after="0" w:line="262" w:lineRule="auto"/>
        <w:rPr>
          <w:sz w:val="20"/>
          <w:szCs w:val="20"/>
          <w:color w:val="auto"/>
        </w:rPr>
      </w:pPr>
      <w:r>
        <w:rPr>
          <w:rFonts w:ascii="Arial" w:cs="Arial" w:eastAsia="Arial" w:hAnsi="Arial"/>
          <w:sz w:val="13"/>
          <w:szCs w:val="13"/>
          <w:b w:val="1"/>
          <w:bCs w:val="1"/>
          <w:color w:val="auto"/>
        </w:rPr>
        <w:t>§4.4. Alternative Manner of Procedure</w:t>
      </w:r>
      <w:r>
        <w:rPr>
          <w:rFonts w:ascii="Arial" w:cs="Arial" w:eastAsia="Arial" w:hAnsi="Arial"/>
          <w:sz w:val="13"/>
          <w:szCs w:val="13"/>
          <w:color w:val="auto"/>
        </w:rPr>
        <w:t>. If, after receipt by the Administrative Agent and each of the Banks of a Competitive Bid Quote Request from the Borrower in accordance with §4.3, the Administrative</w:t>
      </w:r>
      <w:r>
        <w:rPr>
          <w:rFonts w:ascii="Arial" w:cs="Arial" w:eastAsia="Arial" w:hAnsi="Arial"/>
          <w:sz w:val="13"/>
          <w:szCs w:val="13"/>
          <w:b w:val="1"/>
          <w:bCs w:val="1"/>
          <w:color w:val="auto"/>
        </w:rPr>
        <w:t xml:space="preserve"> </w:t>
      </w:r>
      <w:r>
        <w:rPr>
          <w:rFonts w:ascii="Arial" w:cs="Arial" w:eastAsia="Arial" w:hAnsi="Arial"/>
          <w:sz w:val="13"/>
          <w:szCs w:val="13"/>
          <w:color w:val="auto"/>
        </w:rPr>
        <w:t>Agent or any Bank shall be unable to complete any procedure of the auction process described in §§4.5 through 4.6 (inclusive) due to the inability of such Person to transmit or receive communications through the means specified therein, such Person may rely on telephonic notice for the transmission or receipt of such communications. In any case where such Person shall rely on telephone transmission or receipt, any communication made by telephone shall, as soon as possible thereafter, be followed by written confirmation thereof.</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§4.5. Submission and Contents of Competitive Bid Quotes</w:t>
      </w:r>
      <w:r>
        <w:rPr>
          <w:rFonts w:ascii="Arial" w:cs="Arial" w:eastAsia="Arial" w:hAnsi="Arial"/>
          <w:sz w:val="13"/>
          <w:szCs w:val="13"/>
          <w:color w:val="auto"/>
        </w:rPr>
        <w:t>.</w:t>
      </w:r>
    </w:p>
    <w:p>
      <w:pPr>
        <w:spacing w:after="0" w:line="90" w:lineRule="exact"/>
        <w:rPr>
          <w:sz w:val="20"/>
          <w:szCs w:val="20"/>
          <w:color w:val="auto"/>
        </w:rPr>
      </w:pPr>
    </w:p>
    <w:p>
      <w:pPr>
        <w:ind w:left="220" w:firstLine="172"/>
        <w:spacing w:after="0" w:line="258" w:lineRule="auto"/>
        <w:tabs>
          <w:tab w:leader="none" w:pos="562" w:val="left"/>
        </w:tabs>
        <w:numPr>
          <w:ilvl w:val="0"/>
          <w:numId w:val="112"/>
        </w:numPr>
        <w:rPr>
          <w:rFonts w:ascii="Arial" w:cs="Arial" w:eastAsia="Arial" w:hAnsi="Arial"/>
          <w:sz w:val="13"/>
          <w:szCs w:val="13"/>
          <w:color w:val="auto"/>
        </w:rPr>
      </w:pPr>
      <w:r>
        <w:rPr>
          <w:rFonts w:ascii="Arial" w:cs="Arial" w:eastAsia="Arial" w:hAnsi="Arial"/>
          <w:sz w:val="13"/>
          <w:szCs w:val="13"/>
          <w:color w:val="auto"/>
        </w:rPr>
        <w:t xml:space="preserve">Each Bank may, but shall be under no obligation to, submit a Competitive Bid Quote containing an offer or offers to make Competitive Bid Loans in response to any Competitive Bid Quote Request. Each Competitive Bid Quote must comply with the requirements of this §4.5 and must be submitted to the Administrative Agent by telex or facsimile transmission at its offices as specified in or pursuant to §22 not later than (x) 2:00 p.m. (New York time) on the fourth Eurodollar Business Day prior to the proposed Drawdown Date, in the case of a Eurodollar Competitive Bid Loan or (y) 10:00 a.m. (New York time) one Business Day prior to the proposed Drawdown Date, in the case of an Absolute Competitive Bid Loan;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Competitive Bid Quotes may be submitted by the Administrative Agent in its capacity as a Bank only if it submits its Competitive Bid Quote to the Borrower not later than (x) one hour prior to the deadline</w:t>
      </w:r>
    </w:p>
    <w:p>
      <w:pPr>
        <w:spacing w:after="0" w:line="120" w:lineRule="exact"/>
        <w:rPr>
          <w:rFonts w:ascii="Arial" w:cs="Arial" w:eastAsia="Arial" w:hAnsi="Arial"/>
          <w:sz w:val="13"/>
          <w:szCs w:val="13"/>
          <w:color w:val="auto"/>
        </w:rPr>
      </w:pPr>
    </w:p>
    <w:p>
      <w:pPr>
        <w:ind w:left="5660" w:hanging="68"/>
        <w:spacing w:after="0"/>
        <w:tabs>
          <w:tab w:leader="none" w:pos="5660" w:val="left"/>
        </w:tabs>
        <w:numPr>
          <w:ilvl w:val="1"/>
          <w:numId w:val="112"/>
        </w:numPr>
        <w:rPr>
          <w:rFonts w:ascii="Arial" w:cs="Arial" w:eastAsia="Arial" w:hAnsi="Arial"/>
          <w:sz w:val="13"/>
          <w:szCs w:val="13"/>
          <w:color w:val="auto"/>
        </w:rPr>
      </w:pPr>
      <w:r>
        <w:rPr>
          <w:rFonts w:ascii="Arial" w:cs="Arial" w:eastAsia="Arial" w:hAnsi="Arial"/>
          <w:sz w:val="13"/>
          <w:szCs w:val="13"/>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30" w:name="page131"/>
    <w:bookmarkEnd w:id="130"/>
    <w:p>
      <w:pPr>
        <w:ind w:right="60"/>
        <w:spacing w:after="0" w:line="276" w:lineRule="auto"/>
        <w:rPr>
          <w:sz w:val="20"/>
          <w:szCs w:val="20"/>
          <w:color w:val="auto"/>
        </w:rPr>
      </w:pPr>
      <w:r>
        <w:rPr>
          <w:rFonts w:ascii="Arial" w:cs="Arial" w:eastAsia="Arial" w:hAnsi="Arial"/>
          <w:sz w:val="13"/>
          <w:szCs w:val="13"/>
          <w:color w:val="auto"/>
        </w:rPr>
        <w:t>for the other Banks, in the case of a Eurodollar Competitive Bid Loan or (y) 15 minutes prior to the deadline for the other Banks, in the case of an Absolute Competitive Bid Loan. Subject to the provisions of §§10 and 11 hereof, any Competitive Bid Quote so made shall be irrevocable except with the written consent of the Administrative Agent given on the instructions of the Borrower.</w:t>
      </w:r>
    </w:p>
    <w:p>
      <w:pPr>
        <w:spacing w:after="0" w:line="49" w:lineRule="exact"/>
        <w:rPr>
          <w:sz w:val="20"/>
          <w:szCs w:val="20"/>
          <w:color w:val="auto"/>
        </w:rPr>
      </w:pPr>
    </w:p>
    <w:p>
      <w:pPr>
        <w:ind w:left="360" w:hanging="188"/>
        <w:spacing w:after="0"/>
        <w:tabs>
          <w:tab w:leader="none" w:pos="36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 xml:space="preserve">Each Competitive Bid Quote shall be in substantially the form of </w:t>
      </w:r>
      <w:r>
        <w:rPr>
          <w:rFonts w:ascii="Arial" w:cs="Arial" w:eastAsia="Arial" w:hAnsi="Arial"/>
          <w:sz w:val="13"/>
          <w:szCs w:val="13"/>
          <w:u w:val="single" w:color="auto"/>
          <w:color w:val="auto"/>
        </w:rPr>
        <w:t>Exhibit H</w:t>
      </w:r>
      <w:r>
        <w:rPr>
          <w:rFonts w:ascii="Arial" w:cs="Arial" w:eastAsia="Arial" w:hAnsi="Arial"/>
          <w:sz w:val="13"/>
          <w:szCs w:val="13"/>
          <w:color w:val="auto"/>
        </w:rPr>
        <w:t xml:space="preserve"> hereto and shall in any case specify:</w:t>
      </w:r>
    </w:p>
    <w:p>
      <w:pPr>
        <w:spacing w:after="0" w:line="86" w:lineRule="exact"/>
        <w:rPr>
          <w:rFonts w:ascii="Arial" w:cs="Arial" w:eastAsia="Arial" w:hAnsi="Arial"/>
          <w:sz w:val="13"/>
          <w:szCs w:val="13"/>
          <w:color w:val="auto"/>
        </w:rPr>
      </w:pPr>
    </w:p>
    <w:p>
      <w:pPr>
        <w:ind w:left="780" w:hanging="149"/>
        <w:spacing w:after="0"/>
        <w:tabs>
          <w:tab w:leader="none" w:pos="78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the proposed Drawdown Date;</w:t>
      </w:r>
    </w:p>
    <w:p>
      <w:pPr>
        <w:spacing w:after="0" w:line="86" w:lineRule="exact"/>
        <w:rPr>
          <w:rFonts w:ascii="Arial" w:cs="Arial" w:eastAsia="Arial" w:hAnsi="Arial"/>
          <w:sz w:val="13"/>
          <w:szCs w:val="13"/>
          <w:color w:val="auto"/>
        </w:rPr>
      </w:pPr>
    </w:p>
    <w:p>
      <w:pPr>
        <w:ind w:left="460" w:firstLine="171"/>
        <w:spacing w:after="0" w:line="264" w:lineRule="auto"/>
        <w:tabs>
          <w:tab w:leader="none" w:pos="817" w:val="left"/>
        </w:tabs>
        <w:numPr>
          <w:ilvl w:val="1"/>
          <w:numId w:val="113"/>
        </w:numPr>
        <w:rPr>
          <w:rFonts w:ascii="Arial" w:cs="Arial" w:eastAsia="Arial" w:hAnsi="Arial"/>
          <w:sz w:val="13"/>
          <w:szCs w:val="13"/>
          <w:color w:val="auto"/>
        </w:rPr>
      </w:pPr>
      <w:r>
        <w:rPr>
          <w:rFonts w:ascii="Arial" w:cs="Arial" w:eastAsia="Arial" w:hAnsi="Arial"/>
          <w:sz w:val="13"/>
          <w:szCs w:val="13"/>
          <w:color w:val="auto"/>
        </w:rPr>
        <w:t>the principal amount of the Competitive Bid Loan for which each proposal is being made, which principal amount (w) may be greater than or less than the Commitment of the quoting Bank, (x) must be $5,000,000 or a larger multiple of $1,000,000, (y) may not exceed the aggregate principal amount of Competitive Bid Loans for which offers were requested and (z) may be subject to an aggregate limitation as to the principal amount of Competitive Bid Loans for which offers being made by such quoting Bank may be accepted;</w:t>
      </w:r>
    </w:p>
    <w:p>
      <w:pPr>
        <w:spacing w:after="0" w:line="57" w:lineRule="exact"/>
        <w:rPr>
          <w:rFonts w:ascii="Arial" w:cs="Arial" w:eastAsia="Arial" w:hAnsi="Arial"/>
          <w:sz w:val="13"/>
          <w:szCs w:val="13"/>
          <w:color w:val="auto"/>
        </w:rPr>
      </w:pPr>
    </w:p>
    <w:p>
      <w:pPr>
        <w:ind w:left="860" w:hanging="229"/>
        <w:spacing w:after="0"/>
        <w:tabs>
          <w:tab w:leader="none" w:pos="86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the Interest Period(s) for which Competitive Bid Quotes are being submitted;</w:t>
      </w:r>
    </w:p>
    <w:p>
      <w:pPr>
        <w:spacing w:after="0" w:line="86" w:lineRule="exact"/>
        <w:rPr>
          <w:rFonts w:ascii="Arial" w:cs="Arial" w:eastAsia="Arial" w:hAnsi="Arial"/>
          <w:sz w:val="13"/>
          <w:szCs w:val="13"/>
          <w:color w:val="auto"/>
        </w:rPr>
      </w:pPr>
    </w:p>
    <w:p>
      <w:pPr>
        <w:ind w:left="460" w:right="40" w:firstLine="171"/>
        <w:spacing w:after="0" w:line="276" w:lineRule="auto"/>
        <w:tabs>
          <w:tab w:leader="none" w:pos="846" w:val="left"/>
        </w:tabs>
        <w:numPr>
          <w:ilvl w:val="1"/>
          <w:numId w:val="113"/>
        </w:numPr>
        <w:rPr>
          <w:rFonts w:ascii="Arial" w:cs="Arial" w:eastAsia="Arial" w:hAnsi="Arial"/>
          <w:sz w:val="13"/>
          <w:szCs w:val="13"/>
          <w:color w:val="auto"/>
        </w:rPr>
      </w:pPr>
      <w:r>
        <w:rPr>
          <w:rFonts w:ascii="Arial" w:cs="Arial" w:eastAsia="Arial" w:hAnsi="Arial"/>
          <w:sz w:val="13"/>
          <w:szCs w:val="13"/>
          <w:color w:val="auto"/>
        </w:rPr>
        <w:t>in the case of a Eurodollar Competitive Bid Loan, the margin above or below the applicable Eurodollar Rate (the “Competitive Bid Margin”) offered for each such Competitive Bid Loan, expressed as a percentage (specified to the nearest 1/10,000th of 1%) to be added to or subtracted from such Eurodollar Rate;</w:t>
      </w:r>
    </w:p>
    <w:p>
      <w:pPr>
        <w:spacing w:after="0" w:line="49" w:lineRule="exact"/>
        <w:rPr>
          <w:rFonts w:ascii="Arial" w:cs="Arial" w:eastAsia="Arial" w:hAnsi="Arial"/>
          <w:sz w:val="13"/>
          <w:szCs w:val="13"/>
          <w:color w:val="auto"/>
        </w:rPr>
      </w:pPr>
    </w:p>
    <w:p>
      <w:pPr>
        <w:ind w:left="460" w:right="80" w:firstLine="171"/>
        <w:spacing w:after="0" w:line="276" w:lineRule="auto"/>
        <w:tabs>
          <w:tab w:leader="none" w:pos="809" w:val="left"/>
        </w:tabs>
        <w:numPr>
          <w:ilvl w:val="1"/>
          <w:numId w:val="113"/>
        </w:numPr>
        <w:rPr>
          <w:rFonts w:ascii="Arial" w:cs="Arial" w:eastAsia="Arial" w:hAnsi="Arial"/>
          <w:sz w:val="13"/>
          <w:szCs w:val="13"/>
          <w:color w:val="auto"/>
        </w:rPr>
      </w:pPr>
      <w:r>
        <w:rPr>
          <w:rFonts w:ascii="Arial" w:cs="Arial" w:eastAsia="Arial" w:hAnsi="Arial"/>
          <w:sz w:val="13"/>
          <w:szCs w:val="13"/>
          <w:color w:val="auto"/>
        </w:rPr>
        <w:t>in the case of an Absolute Competitive Bid Loan, the rate of interest per annum (specified to the nearest 1/10,000th of 1%) (the “Competitive Bid Rate”) offered for each such Absolute Competitive Bid Loan; and</w:t>
      </w:r>
    </w:p>
    <w:p>
      <w:pPr>
        <w:spacing w:after="0" w:line="49" w:lineRule="exact"/>
        <w:rPr>
          <w:rFonts w:ascii="Arial" w:cs="Arial" w:eastAsia="Arial" w:hAnsi="Arial"/>
          <w:sz w:val="13"/>
          <w:szCs w:val="13"/>
          <w:color w:val="auto"/>
        </w:rPr>
      </w:pPr>
    </w:p>
    <w:p>
      <w:pPr>
        <w:ind w:left="860" w:hanging="229"/>
        <w:spacing w:after="0"/>
        <w:tabs>
          <w:tab w:leader="none" w:pos="86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the identity of the quoting Bank.</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 Competitive Bid Quote may include up to five separate offers by the quoting Bank with respect to each Interest Period specified in the related Competitive Bid Quote Request.</w:t>
      </w:r>
    </w:p>
    <w:p>
      <w:pPr>
        <w:spacing w:after="0" w:line="86" w:lineRule="exact"/>
        <w:rPr>
          <w:sz w:val="20"/>
          <w:szCs w:val="20"/>
          <w:color w:val="auto"/>
        </w:rPr>
      </w:pPr>
    </w:p>
    <w:p>
      <w:pPr>
        <w:ind w:left="340" w:hanging="168"/>
        <w:spacing w:after="0"/>
        <w:tabs>
          <w:tab w:leader="none" w:pos="34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Any Competitive Bid Quote shall be disregarded if it:</w:t>
      </w:r>
    </w:p>
    <w:p>
      <w:pPr>
        <w:spacing w:after="0" w:line="86" w:lineRule="exact"/>
        <w:rPr>
          <w:rFonts w:ascii="Arial" w:cs="Arial" w:eastAsia="Arial" w:hAnsi="Arial"/>
          <w:sz w:val="13"/>
          <w:szCs w:val="13"/>
          <w:color w:val="auto"/>
        </w:rPr>
      </w:pPr>
    </w:p>
    <w:p>
      <w:pPr>
        <w:ind w:left="780" w:hanging="149"/>
        <w:spacing w:after="0"/>
        <w:tabs>
          <w:tab w:leader="none" w:pos="780" w:val="left"/>
        </w:tabs>
        <w:numPr>
          <w:ilvl w:val="1"/>
          <w:numId w:val="114"/>
        </w:numPr>
        <w:rPr>
          <w:rFonts w:ascii="Arial" w:cs="Arial" w:eastAsia="Arial" w:hAnsi="Arial"/>
          <w:sz w:val="13"/>
          <w:szCs w:val="13"/>
          <w:color w:val="auto"/>
        </w:rPr>
      </w:pPr>
      <w:r>
        <w:rPr>
          <w:rFonts w:ascii="Arial" w:cs="Arial" w:eastAsia="Arial" w:hAnsi="Arial"/>
          <w:sz w:val="13"/>
          <w:szCs w:val="13"/>
          <w:color w:val="auto"/>
        </w:rPr>
        <w:t xml:space="preserve">is not substantially in the form of </w:t>
      </w:r>
      <w:r>
        <w:rPr>
          <w:rFonts w:ascii="Arial" w:cs="Arial" w:eastAsia="Arial" w:hAnsi="Arial"/>
          <w:sz w:val="13"/>
          <w:szCs w:val="13"/>
          <w:u w:val="single" w:color="auto"/>
          <w:color w:val="auto"/>
        </w:rPr>
        <w:t>Exhibit H</w:t>
      </w:r>
      <w:r>
        <w:rPr>
          <w:rFonts w:ascii="Arial" w:cs="Arial" w:eastAsia="Arial" w:hAnsi="Arial"/>
          <w:sz w:val="13"/>
          <w:szCs w:val="13"/>
          <w:color w:val="auto"/>
        </w:rPr>
        <w:t xml:space="preserve"> hereto;</w:t>
      </w:r>
    </w:p>
    <w:p>
      <w:pPr>
        <w:spacing w:after="0" w:line="86" w:lineRule="exact"/>
        <w:rPr>
          <w:rFonts w:ascii="Arial" w:cs="Arial" w:eastAsia="Arial" w:hAnsi="Arial"/>
          <w:sz w:val="13"/>
          <w:szCs w:val="13"/>
          <w:color w:val="auto"/>
        </w:rPr>
      </w:pPr>
    </w:p>
    <w:p>
      <w:pPr>
        <w:ind w:left="820" w:hanging="189"/>
        <w:spacing w:after="0"/>
        <w:tabs>
          <w:tab w:leader="none" w:pos="820" w:val="left"/>
        </w:tabs>
        <w:numPr>
          <w:ilvl w:val="1"/>
          <w:numId w:val="114"/>
        </w:numPr>
        <w:rPr>
          <w:rFonts w:ascii="Arial" w:cs="Arial" w:eastAsia="Arial" w:hAnsi="Arial"/>
          <w:sz w:val="13"/>
          <w:szCs w:val="13"/>
          <w:color w:val="auto"/>
        </w:rPr>
      </w:pPr>
      <w:r>
        <w:rPr>
          <w:rFonts w:ascii="Arial" w:cs="Arial" w:eastAsia="Arial" w:hAnsi="Arial"/>
          <w:sz w:val="13"/>
          <w:szCs w:val="13"/>
          <w:color w:val="auto"/>
        </w:rPr>
        <w:t>contains qualifying, conditional or similar language;</w:t>
      </w:r>
    </w:p>
    <w:p>
      <w:pPr>
        <w:spacing w:after="0" w:line="86" w:lineRule="exact"/>
        <w:rPr>
          <w:rFonts w:ascii="Arial" w:cs="Arial" w:eastAsia="Arial" w:hAnsi="Arial"/>
          <w:sz w:val="13"/>
          <w:szCs w:val="13"/>
          <w:color w:val="auto"/>
        </w:rPr>
      </w:pPr>
    </w:p>
    <w:p>
      <w:pPr>
        <w:ind w:left="860" w:hanging="229"/>
        <w:spacing w:after="0"/>
        <w:tabs>
          <w:tab w:leader="none" w:pos="860" w:val="left"/>
        </w:tabs>
        <w:numPr>
          <w:ilvl w:val="1"/>
          <w:numId w:val="114"/>
        </w:numPr>
        <w:rPr>
          <w:rFonts w:ascii="Arial" w:cs="Arial" w:eastAsia="Arial" w:hAnsi="Arial"/>
          <w:sz w:val="13"/>
          <w:szCs w:val="13"/>
          <w:color w:val="auto"/>
        </w:rPr>
      </w:pPr>
      <w:r>
        <w:rPr>
          <w:rFonts w:ascii="Arial" w:cs="Arial" w:eastAsia="Arial" w:hAnsi="Arial"/>
          <w:sz w:val="13"/>
          <w:szCs w:val="13"/>
          <w:color w:val="auto"/>
        </w:rPr>
        <w:t>proposes terms other than or in addition to those set forth in the applicable Invitation for Competitive Bid Quotes; or</w:t>
      </w:r>
    </w:p>
    <w:p>
      <w:pPr>
        <w:spacing w:after="0" w:line="145" w:lineRule="exact"/>
        <w:rPr>
          <w:rFonts w:ascii="Arial" w:cs="Arial" w:eastAsia="Arial" w:hAnsi="Arial"/>
          <w:sz w:val="13"/>
          <w:szCs w:val="13"/>
          <w:color w:val="auto"/>
        </w:rPr>
      </w:pPr>
    </w:p>
    <w:p>
      <w:pPr>
        <w:ind w:left="5440" w:hanging="68"/>
        <w:spacing w:after="0"/>
        <w:tabs>
          <w:tab w:leader="none" w:pos="5440" w:val="left"/>
        </w:tabs>
        <w:numPr>
          <w:ilvl w:val="2"/>
          <w:numId w:val="114"/>
        </w:numPr>
        <w:rPr>
          <w:rFonts w:ascii="Arial" w:cs="Arial" w:eastAsia="Arial" w:hAnsi="Arial"/>
          <w:sz w:val="13"/>
          <w:szCs w:val="13"/>
          <w:color w:val="auto"/>
        </w:rPr>
      </w:pPr>
      <w:r>
        <w:rPr>
          <w:rFonts w:ascii="Arial" w:cs="Arial" w:eastAsia="Arial" w:hAnsi="Arial"/>
          <w:sz w:val="13"/>
          <w:szCs w:val="13"/>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131" w:name="page132"/>
    <w:bookmarkEnd w:id="131"/>
    <w:p>
      <w:pPr>
        <w:ind w:left="860"/>
        <w:spacing w:after="0"/>
        <w:rPr>
          <w:sz w:val="20"/>
          <w:szCs w:val="20"/>
          <w:color w:val="auto"/>
        </w:rPr>
      </w:pPr>
      <w:r>
        <w:rPr>
          <w:rFonts w:ascii="Arial" w:cs="Arial" w:eastAsia="Arial" w:hAnsi="Arial"/>
          <w:sz w:val="13"/>
          <w:szCs w:val="13"/>
          <w:color w:val="auto"/>
        </w:rPr>
        <w:t>(iv) arrives after the time set forth in §4.5(a) hereof.</w:t>
      </w:r>
    </w:p>
    <w:p>
      <w:pPr>
        <w:spacing w:after="0" w:line="82" w:lineRule="exact"/>
        <w:rPr>
          <w:sz w:val="20"/>
          <w:szCs w:val="20"/>
          <w:color w:val="auto"/>
        </w:rPr>
      </w:pPr>
    </w:p>
    <w:p>
      <w:pPr>
        <w:ind w:right="20" w:firstLine="327"/>
        <w:spacing w:after="0" w:line="284" w:lineRule="auto"/>
        <w:rPr>
          <w:sz w:val="20"/>
          <w:szCs w:val="20"/>
          <w:color w:val="auto"/>
        </w:rPr>
      </w:pPr>
      <w:r>
        <w:rPr>
          <w:rFonts w:ascii="Arial" w:cs="Arial" w:eastAsia="Arial" w:hAnsi="Arial"/>
          <w:sz w:val="12"/>
          <w:szCs w:val="12"/>
          <w:b w:val="1"/>
          <w:bCs w:val="1"/>
          <w:color w:val="auto"/>
        </w:rPr>
        <w:t>§4.6. Notice to Borrower</w:t>
      </w:r>
      <w:r>
        <w:rPr>
          <w:rFonts w:ascii="Arial" w:cs="Arial" w:eastAsia="Arial" w:hAnsi="Arial"/>
          <w:sz w:val="12"/>
          <w:szCs w:val="12"/>
          <w:color w:val="auto"/>
        </w:rPr>
        <w:t>. The Administrative Agent shall promptly notify the Borrower of the terms (x) of any Competitive Bid Quote submitted by a Bank that is in accordance with §4.5 and (y) of any</w:t>
      </w:r>
      <w:r>
        <w:rPr>
          <w:rFonts w:ascii="Arial" w:cs="Arial" w:eastAsia="Arial" w:hAnsi="Arial"/>
          <w:sz w:val="12"/>
          <w:szCs w:val="12"/>
          <w:b w:val="1"/>
          <w:bCs w:val="1"/>
          <w:color w:val="auto"/>
        </w:rPr>
        <w:t xml:space="preserve"> </w:t>
      </w:r>
      <w:r>
        <w:rPr>
          <w:rFonts w:ascii="Arial" w:cs="Arial" w:eastAsia="Arial" w:hAnsi="Arial"/>
          <w:sz w:val="12"/>
          <w:szCs w:val="12"/>
          <w:color w:val="auto"/>
        </w:rPr>
        <w:t>Competitive Bid Quote that amends, modifies or is otherwise inconsistent with a previous Competitive Bid Quote submitted by such Bank with respect to the same Competitive Bid Quote Request. Any such subsequent Competitive Bid Quote shall be disregarded by the Administrative Agent unless such subsequent Competitive Bid Quote is submitted solely to correct a manifest error in such former Competitive Bid Quote. The Administrative Agent’s notice to the Borrower shall specify (A) the aggregate principal amount of Competitive Bid Loans for which offers have been received for each Interest Period specified in the related Competitive Bid Quote Request, (B) the respective principal amounts and Competitive Bid Margins or Competitive Bid Rates, as the case may be, so offered, and the identity of the respective Banks submitting such offers, and (C) if applicable, limitations on the aggregate principal amount of Competitive Bid Loans for which offers in any single Competitive Bid Quote may be accepted.</w:t>
      </w:r>
    </w:p>
    <w:p>
      <w:pPr>
        <w:spacing w:after="0" w:line="43" w:lineRule="exact"/>
        <w:rPr>
          <w:sz w:val="20"/>
          <w:szCs w:val="20"/>
          <w:color w:val="auto"/>
        </w:rPr>
      </w:pPr>
    </w:p>
    <w:p>
      <w:pPr>
        <w:ind w:firstLine="327"/>
        <w:spacing w:after="0" w:line="300" w:lineRule="auto"/>
        <w:rPr>
          <w:sz w:val="20"/>
          <w:szCs w:val="20"/>
          <w:color w:val="auto"/>
        </w:rPr>
      </w:pPr>
      <w:r>
        <w:rPr>
          <w:rFonts w:ascii="Arial" w:cs="Arial" w:eastAsia="Arial" w:hAnsi="Arial"/>
          <w:sz w:val="12"/>
          <w:szCs w:val="12"/>
          <w:b w:val="1"/>
          <w:bCs w:val="1"/>
          <w:color w:val="auto"/>
        </w:rPr>
        <w:t>§4.7. Acceptance and Notice by Borrower and Administrative Agent</w:t>
      </w:r>
      <w:r>
        <w:rPr>
          <w:rFonts w:ascii="Arial" w:cs="Arial" w:eastAsia="Arial" w:hAnsi="Arial"/>
          <w:sz w:val="12"/>
          <w:szCs w:val="12"/>
          <w:color w:val="auto"/>
        </w:rPr>
        <w:t>. Not later than (x) 11:00 a.m. (New York time) on the third Eurodollar Business Day prior to the proposed Drawdown Date, in the case of a</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Eurodollar Competitive Bid Loan or (y) 11:00 a.m. (New York time) on the proposed Drawdown Date, in the case of an Absolute Competitive Bid Loan, the Borrower shall notify the Administrative Agent of its acceptance or non-acceptance of each Competitive Bid Quote in substantially the form of </w:t>
      </w:r>
      <w:r>
        <w:rPr>
          <w:rFonts w:ascii="Arial" w:cs="Arial" w:eastAsia="Arial" w:hAnsi="Arial"/>
          <w:sz w:val="12"/>
          <w:szCs w:val="12"/>
          <w:u w:val="single" w:color="auto"/>
          <w:color w:val="auto"/>
        </w:rPr>
        <w:t>Exhibit H</w:t>
      </w:r>
      <w:r>
        <w:rPr>
          <w:rFonts w:ascii="Arial" w:cs="Arial" w:eastAsia="Arial" w:hAnsi="Arial"/>
          <w:sz w:val="12"/>
          <w:szCs w:val="12"/>
          <w:color w:val="auto"/>
        </w:rPr>
        <w:t xml:space="preserve"> hereto. The Borrower may accept any Competitive Bid Quote in whole or in part;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w:t>
      </w:r>
    </w:p>
    <w:p>
      <w:pPr>
        <w:spacing w:after="0" w:line="37" w:lineRule="exact"/>
        <w:rPr>
          <w:sz w:val="20"/>
          <w:szCs w:val="20"/>
          <w:color w:val="auto"/>
        </w:rPr>
      </w:pPr>
    </w:p>
    <w:p>
      <w:pPr>
        <w:ind w:left="540" w:hanging="148"/>
        <w:spacing w:after="0"/>
        <w:tabs>
          <w:tab w:leader="none" w:pos="54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the aggregate principal amount of each Competitive Bid Loan may not exceed the applicable amount set forth in the related Competitive Bid Quote Request;</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acceptance of offers may only be made on the basis of ascending Competitive Bid Margins or Competitive Bid Rates, as the case may be, and</w:t>
      </w:r>
    </w:p>
    <w:p>
      <w:pPr>
        <w:spacing w:after="0" w:line="86" w:lineRule="exact"/>
        <w:rPr>
          <w:rFonts w:ascii="Arial" w:cs="Arial" w:eastAsia="Arial" w:hAnsi="Arial"/>
          <w:sz w:val="13"/>
          <w:szCs w:val="13"/>
          <w:color w:val="auto"/>
        </w:rPr>
      </w:pPr>
    </w:p>
    <w:p>
      <w:pPr>
        <w:ind w:left="620" w:hanging="228"/>
        <w:spacing w:after="0"/>
        <w:tabs>
          <w:tab w:leader="none" w:pos="62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the Borrower may not accept any offer that is described in subsection 4.5(c) or that otherwise fails to comply with the requirements of this Agreement.</w:t>
      </w:r>
    </w:p>
    <w:p>
      <w:pPr>
        <w:spacing w:after="0" w:line="86"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The Administrative Agent shall promptly notify each Bank which submitted a Competitive Bid Quote of the Borrower’s acceptance or non-acceptance thereof. At the request of any Bank which submitted a Competitive Bid Quote and with the consent of the Borrower, the Administrative Agent will promptly notify all Banks which submitted Competitive Bid Quotes of (a) the aggregate principal amount of, and (b) the range of Competitive Bid Rates or Competitive Bid Margins of, the accepted Competitive Bid Loans for each requested Interest Period.</w:t>
      </w:r>
    </w:p>
    <w:p>
      <w:pPr>
        <w:spacing w:after="0" w:line="53" w:lineRule="exact"/>
        <w:rPr>
          <w:sz w:val="20"/>
          <w:szCs w:val="20"/>
          <w:color w:val="auto"/>
        </w:rPr>
      </w:pPr>
    </w:p>
    <w:p>
      <w:pPr>
        <w:jc w:val="both"/>
        <w:ind w:firstLine="327"/>
        <w:spacing w:after="0" w:line="267" w:lineRule="auto"/>
        <w:rPr>
          <w:sz w:val="20"/>
          <w:szCs w:val="20"/>
          <w:color w:val="auto"/>
        </w:rPr>
      </w:pPr>
      <w:r>
        <w:rPr>
          <w:rFonts w:ascii="Arial" w:cs="Arial" w:eastAsia="Arial" w:hAnsi="Arial"/>
          <w:sz w:val="13"/>
          <w:szCs w:val="13"/>
          <w:b w:val="1"/>
          <w:bCs w:val="1"/>
          <w:color w:val="auto"/>
        </w:rPr>
        <w:t>§4.8. Allocation by Administrative Agent</w:t>
      </w:r>
      <w:r>
        <w:rPr>
          <w:rFonts w:ascii="Arial" w:cs="Arial" w:eastAsia="Arial" w:hAnsi="Arial"/>
          <w:sz w:val="13"/>
          <w:szCs w:val="13"/>
          <w:color w:val="auto"/>
        </w:rPr>
        <w:t>. If offers are made by two or more Banks with the same Competitive Bid Margin or Competitive Bid Rate, as the case may be, for a greater aggregate principal amount</w:t>
      </w:r>
      <w:r>
        <w:rPr>
          <w:rFonts w:ascii="Arial" w:cs="Arial" w:eastAsia="Arial" w:hAnsi="Arial"/>
          <w:sz w:val="13"/>
          <w:szCs w:val="13"/>
          <w:b w:val="1"/>
          <w:bCs w:val="1"/>
          <w:color w:val="auto"/>
        </w:rPr>
        <w:t xml:space="preserve"> </w:t>
      </w:r>
      <w:r>
        <w:rPr>
          <w:rFonts w:ascii="Arial" w:cs="Arial" w:eastAsia="Arial" w:hAnsi="Arial"/>
          <w:sz w:val="13"/>
          <w:szCs w:val="13"/>
          <w:color w:val="auto"/>
        </w:rPr>
        <w:t>than the amount in respect of which offers are accepted for the related Interest Period, the principal amount of Competitive Bid Loans in respect of which such offers are accepted shall be allocated by the Administrative Agent among such Banks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2" w:name="page133"/>
    <w:bookmarkEnd w:id="132"/>
    <w:p>
      <w:pPr>
        <w:ind w:right="800"/>
        <w:spacing w:after="0" w:line="276" w:lineRule="auto"/>
        <w:rPr>
          <w:sz w:val="20"/>
          <w:szCs w:val="20"/>
          <w:color w:val="auto"/>
        </w:rPr>
      </w:pPr>
      <w:r>
        <w:rPr>
          <w:rFonts w:ascii="Arial" w:cs="Arial" w:eastAsia="Arial" w:hAnsi="Arial"/>
          <w:sz w:val="13"/>
          <w:szCs w:val="13"/>
          <w:color w:val="auto"/>
        </w:rPr>
        <w:t>as nearly as possible (in such multiples, not less than $1,000,000, as the Administrative Agent may deem appropriate) in proportion to the aggregate principal amounts of such offers. Determination by the Administrative Agent of the amounts of Competitive Bid Loans shall be conclusive in the absence of manifest error.</w:t>
      </w:r>
    </w:p>
    <w:p>
      <w:pPr>
        <w:spacing w:after="0" w:line="45" w:lineRule="exact"/>
        <w:rPr>
          <w:sz w:val="20"/>
          <w:szCs w:val="20"/>
          <w:color w:val="auto"/>
        </w:rPr>
      </w:pPr>
    </w:p>
    <w:p>
      <w:pPr>
        <w:ind w:right="60" w:firstLine="327"/>
        <w:spacing w:after="0" w:line="262" w:lineRule="auto"/>
        <w:rPr>
          <w:sz w:val="20"/>
          <w:szCs w:val="20"/>
          <w:color w:val="auto"/>
        </w:rPr>
      </w:pPr>
      <w:r>
        <w:rPr>
          <w:rFonts w:ascii="Arial" w:cs="Arial" w:eastAsia="Arial" w:hAnsi="Arial"/>
          <w:sz w:val="13"/>
          <w:szCs w:val="13"/>
          <w:b w:val="1"/>
          <w:bCs w:val="1"/>
          <w:color w:val="auto"/>
        </w:rPr>
        <w:t>§4.9. Funding of Competitive Bid Loans</w:t>
      </w:r>
      <w:r>
        <w:rPr>
          <w:rFonts w:ascii="Arial" w:cs="Arial" w:eastAsia="Arial" w:hAnsi="Arial"/>
          <w:sz w:val="13"/>
          <w:szCs w:val="13"/>
          <w:color w:val="auto"/>
        </w:rPr>
        <w:t>. If, on or prior to the Drawdown Date of any Competitive Bid Loan, the Total Commitment has not terminated in full and if, on such Drawdown Date, the applicable</w:t>
      </w:r>
      <w:r>
        <w:rPr>
          <w:rFonts w:ascii="Arial" w:cs="Arial" w:eastAsia="Arial" w:hAnsi="Arial"/>
          <w:sz w:val="13"/>
          <w:szCs w:val="13"/>
          <w:b w:val="1"/>
          <w:bCs w:val="1"/>
          <w:color w:val="auto"/>
        </w:rPr>
        <w:t xml:space="preserve"> </w:t>
      </w:r>
      <w:r>
        <w:rPr>
          <w:rFonts w:ascii="Arial" w:cs="Arial" w:eastAsia="Arial" w:hAnsi="Arial"/>
          <w:sz w:val="13"/>
          <w:szCs w:val="13"/>
          <w:color w:val="auto"/>
        </w:rPr>
        <w:t>conditions of §§10 and 11 hereof are satisfied, the Bank or Banks whose offers the Borrower has accepted will fund each Competitive Bid Loan so accepted. Such Bank or Banks will make such Competitive Bid Loans by crediting the Administrative Agent for further credit to the Borrower’s specified account with the Administrative Agent, in immediately available funds not later than 1:00 p.m. (New York time) on such Drawdown Date.</w:t>
      </w:r>
    </w:p>
    <w:p>
      <w:pPr>
        <w:spacing w:after="0" w:line="55" w:lineRule="exact"/>
        <w:rPr>
          <w:sz w:val="20"/>
          <w:szCs w:val="20"/>
          <w:color w:val="auto"/>
        </w:rPr>
      </w:pPr>
    </w:p>
    <w:p>
      <w:pPr>
        <w:ind w:firstLine="327"/>
        <w:spacing w:after="0" w:line="262" w:lineRule="auto"/>
        <w:rPr>
          <w:sz w:val="20"/>
          <w:szCs w:val="20"/>
          <w:color w:val="auto"/>
        </w:rPr>
      </w:pPr>
      <w:r>
        <w:rPr>
          <w:rFonts w:ascii="Arial" w:cs="Arial" w:eastAsia="Arial" w:hAnsi="Arial"/>
          <w:sz w:val="13"/>
          <w:szCs w:val="13"/>
          <w:b w:val="1"/>
          <w:bCs w:val="1"/>
          <w:color w:val="auto"/>
        </w:rPr>
        <w:t>§4.10. Funding Losses</w:t>
      </w:r>
      <w:r>
        <w:rPr>
          <w:rFonts w:ascii="Arial" w:cs="Arial" w:eastAsia="Arial" w:hAnsi="Arial"/>
          <w:sz w:val="13"/>
          <w:szCs w:val="13"/>
          <w:color w:val="auto"/>
        </w:rPr>
        <w:t>. If, after acceptance of any Competitive Bid Quote pursuant to §4, the Borrower (i) fails to borrow any Competitive Bid Loan so accepted on the date specified therefor, or (ii) repays the</w:t>
      </w:r>
      <w:r>
        <w:rPr>
          <w:rFonts w:ascii="Arial" w:cs="Arial" w:eastAsia="Arial" w:hAnsi="Arial"/>
          <w:sz w:val="13"/>
          <w:szCs w:val="13"/>
          <w:b w:val="1"/>
          <w:bCs w:val="1"/>
          <w:color w:val="auto"/>
        </w:rPr>
        <w:t xml:space="preserve"> </w:t>
      </w:r>
      <w:r>
        <w:rPr>
          <w:rFonts w:ascii="Arial" w:cs="Arial" w:eastAsia="Arial" w:hAnsi="Arial"/>
          <w:sz w:val="13"/>
          <w:szCs w:val="13"/>
          <w:color w:val="auto"/>
        </w:rPr>
        <w:t>outstanding amount of the Competitive Bid Loan prior to the last day of the Interest Period relating thereto, the Borrower shall indemnify the Bank making such Competitive Bid Quote or funding such Competitive Bid Loan against any loss or expense incurred by reason of the liquidation or reemployment of deposits or other funds acquired by such Bank to fund or maintain such unborrowed Competitive Bid Loans, including, without limitation compensation as provided in §5.8.</w:t>
      </w:r>
    </w:p>
    <w:p>
      <w:pPr>
        <w:spacing w:after="0" w:line="55" w:lineRule="exact"/>
        <w:rPr>
          <w:sz w:val="20"/>
          <w:szCs w:val="20"/>
          <w:color w:val="auto"/>
        </w:rPr>
      </w:pPr>
    </w:p>
    <w:p>
      <w:pPr>
        <w:ind w:right="120" w:firstLine="327"/>
        <w:spacing w:after="0" w:line="258" w:lineRule="auto"/>
        <w:rPr>
          <w:sz w:val="20"/>
          <w:szCs w:val="20"/>
          <w:color w:val="auto"/>
        </w:rPr>
      </w:pPr>
      <w:r>
        <w:rPr>
          <w:rFonts w:ascii="Arial" w:cs="Arial" w:eastAsia="Arial" w:hAnsi="Arial"/>
          <w:sz w:val="13"/>
          <w:szCs w:val="13"/>
          <w:b w:val="1"/>
          <w:bCs w:val="1"/>
          <w:color w:val="auto"/>
        </w:rPr>
        <w:t>§4.11. Repayment of Competitive Bid Loans; Interest</w:t>
      </w:r>
      <w:r>
        <w:rPr>
          <w:rFonts w:ascii="Arial" w:cs="Arial" w:eastAsia="Arial" w:hAnsi="Arial"/>
          <w:sz w:val="13"/>
          <w:szCs w:val="13"/>
          <w:color w:val="auto"/>
        </w:rPr>
        <w:t>. The principal of each Competitive Bid Loan shall become absolutely due and payable by the Borrower on the last day of the Interest Period relating</w:t>
      </w:r>
      <w:r>
        <w:rPr>
          <w:rFonts w:ascii="Arial" w:cs="Arial" w:eastAsia="Arial" w:hAnsi="Arial"/>
          <w:sz w:val="13"/>
          <w:szCs w:val="13"/>
          <w:b w:val="1"/>
          <w:bCs w:val="1"/>
          <w:color w:val="auto"/>
        </w:rPr>
        <w:t xml:space="preserve"> </w:t>
      </w:r>
      <w:r>
        <w:rPr>
          <w:rFonts w:ascii="Arial" w:cs="Arial" w:eastAsia="Arial" w:hAnsi="Arial"/>
          <w:sz w:val="13"/>
          <w:szCs w:val="13"/>
          <w:color w:val="auto"/>
        </w:rPr>
        <w:t>thereto, and the Borrower hereby absolutely and unconditionally promises to pay to the Administrative Agent for the account of the relevant Banks at or before 1:00 p.m. (New York time) on the last day of the Interest Periods relating thereto the principal amount of all such Competitive Bid Loans, plus interest thereon at the applicable rates. The Competitive Bid Loans shall bear interest at the rate per annum specified in the applicable Competitive Bid Quotes. Interest on the Competitive Bid Loans shall be payable (a) on the last day of the applicable Interest Periods, and if any such Interest Period is longer than three months, also on the last day of the third month following the commencement of such Interest Period, and (b) on the Maturity Date for all Loans. Subject to the terms of this Agreement, the Borrower may make Competitive Bid Quote Requests with respect to new Borrowings of any amounts so repaid prior to the Maturity Date.</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§5. </w:t>
      </w:r>
      <w:r>
        <w:rPr>
          <w:rFonts w:ascii="Arial" w:cs="Arial" w:eastAsia="Arial" w:hAnsi="Arial"/>
          <w:sz w:val="13"/>
          <w:szCs w:val="13"/>
          <w:b w:val="1"/>
          <w:bCs w:val="1"/>
          <w:u w:val="single" w:color="auto"/>
          <w:color w:val="auto"/>
        </w:rPr>
        <w:t>PROVISIONS RELATING TO ALL LOANS AND LETTERS OF CREDIT</w:t>
      </w:r>
      <w:r>
        <w:rPr>
          <w:rFonts w:ascii="Arial" w:cs="Arial" w:eastAsia="Arial" w:hAnsi="Arial"/>
          <w:sz w:val="13"/>
          <w:szCs w:val="13"/>
          <w:b w:val="1"/>
          <w:bCs w:val="1"/>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§5.1. Payments.</w:t>
      </w:r>
    </w:p>
    <w:p>
      <w:pPr>
        <w:spacing w:after="0" w:line="90" w:lineRule="exact"/>
        <w:rPr>
          <w:sz w:val="20"/>
          <w:szCs w:val="20"/>
          <w:color w:val="auto"/>
        </w:rPr>
      </w:pPr>
    </w:p>
    <w:p>
      <w:pPr>
        <w:ind w:left="220" w:right="400" w:firstLine="172"/>
        <w:spacing w:after="0" w:line="264" w:lineRule="auto"/>
        <w:tabs>
          <w:tab w:leader="none" w:pos="562" w:val="left"/>
        </w:tabs>
        <w:numPr>
          <w:ilvl w:val="0"/>
          <w:numId w:val="116"/>
        </w:numPr>
        <w:rPr>
          <w:rFonts w:ascii="Arial" w:cs="Arial" w:eastAsia="Arial" w:hAnsi="Arial"/>
          <w:sz w:val="13"/>
          <w:szCs w:val="13"/>
          <w:color w:val="auto"/>
        </w:rPr>
      </w:pPr>
      <w:r>
        <w:rPr>
          <w:rFonts w:ascii="Arial" w:cs="Arial" w:eastAsia="Arial" w:hAnsi="Arial"/>
          <w:sz w:val="13"/>
          <w:szCs w:val="13"/>
          <w:color w:val="auto"/>
        </w:rPr>
        <w:t>All payments of principal, interest, Reimbursement Obligations, fees (other than the Fronting Fee) and any other amounts due hereunder or under any of the other Loan Documents shall be made to the Administrative Agent at the Administrative Agent’s Office in immediately available funds by 11:00 a.m. (New York time) on any due date. Subject to the provisions of §29, if a payment is received by the Administrative Agent at or before 1:00 p.m. (New York time) on any Business Day, the Administrative</w:t>
      </w:r>
    </w:p>
    <w:p>
      <w:pPr>
        <w:spacing w:after="0" w:line="116" w:lineRule="exact"/>
        <w:rPr>
          <w:rFonts w:ascii="Arial" w:cs="Arial" w:eastAsia="Arial" w:hAnsi="Arial"/>
          <w:sz w:val="13"/>
          <w:szCs w:val="13"/>
          <w:color w:val="auto"/>
        </w:rPr>
      </w:pPr>
    </w:p>
    <w:p>
      <w:pPr>
        <w:ind w:left="5660" w:hanging="68"/>
        <w:spacing w:after="0"/>
        <w:tabs>
          <w:tab w:leader="none" w:pos="5660" w:val="left"/>
        </w:tabs>
        <w:numPr>
          <w:ilvl w:val="1"/>
          <w:numId w:val="116"/>
        </w:numPr>
        <w:rPr>
          <w:rFonts w:ascii="Arial" w:cs="Arial" w:eastAsia="Arial" w:hAnsi="Arial"/>
          <w:sz w:val="13"/>
          <w:szCs w:val="13"/>
          <w:color w:val="auto"/>
        </w:rPr>
      </w:pPr>
      <w:r>
        <w:rPr>
          <w:rFonts w:ascii="Arial" w:cs="Arial" w:eastAsia="Arial" w:hAnsi="Arial"/>
          <w:sz w:val="13"/>
          <w:szCs w:val="13"/>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3" w:name="page134"/>
    <w:bookmarkEnd w:id="133"/>
    <w:p>
      <w:pPr>
        <w:ind w:right="80"/>
        <w:spacing w:after="0" w:line="260" w:lineRule="auto"/>
        <w:rPr>
          <w:sz w:val="20"/>
          <w:szCs w:val="20"/>
          <w:color w:val="auto"/>
        </w:rPr>
      </w:pPr>
      <w:r>
        <w:rPr>
          <w:rFonts w:ascii="Arial" w:cs="Arial" w:eastAsia="Arial" w:hAnsi="Arial"/>
          <w:sz w:val="13"/>
          <w:szCs w:val="13"/>
          <w:color w:val="auto"/>
        </w:rPr>
        <w:t>Agent shall on the same Business Day transfer in immediately available funds, as applicable, to (1) each of the Banks, their pro rata portion of such payment in accordance with their respective Commitment Percentages, in the case of payments with respect to Syndicated Loans and Letters of Credit, (2) the Swing Line Bank in the case of payments with respect to Swing Line Loans, and (3) the appropriate Bank(s), in the case of payments with respect to Competitive Bid Loans. If such payment is received by the Administrative Agent after 1:00 p.m. (New York time) on any Business Day, such transfer shall be made by the Administrative Agent to the applicable Bank(s) on the next Business Day.</w:t>
      </w:r>
    </w:p>
    <w:p>
      <w:pPr>
        <w:spacing w:after="0" w:line="60" w:lineRule="exact"/>
        <w:rPr>
          <w:sz w:val="20"/>
          <w:szCs w:val="20"/>
          <w:color w:val="auto"/>
        </w:rPr>
      </w:pPr>
    </w:p>
    <w:p>
      <w:pPr>
        <w:ind w:firstLine="172"/>
        <w:spacing w:after="0" w:line="280" w:lineRule="auto"/>
        <w:tabs>
          <w:tab w:leader="none" w:pos="349" w:val="left"/>
        </w:tabs>
        <w:numPr>
          <w:ilvl w:val="0"/>
          <w:numId w:val="117"/>
        </w:numPr>
        <w:rPr>
          <w:rFonts w:ascii="Arial" w:cs="Arial" w:eastAsia="Arial" w:hAnsi="Arial"/>
          <w:sz w:val="12"/>
          <w:szCs w:val="12"/>
          <w:color w:val="auto"/>
        </w:rPr>
      </w:pPr>
      <w:r>
        <w:rPr>
          <w:rFonts w:ascii="Arial" w:cs="Arial" w:eastAsia="Arial" w:hAnsi="Arial"/>
          <w:sz w:val="12"/>
          <w:szCs w:val="12"/>
          <w:color w:val="auto"/>
        </w:rPr>
        <w:t>All payments by the Borrower and the Guarantor hereunder and under any of the other Loan Documents shall be made without recoupment, setoff or counterclaim and free and clear of and without deduction for any taxes, levies, imposts, duties, charges, fees, deductions, withholdings, compulsory loans, restrictions or conditions of any nature now or hereafter imposed or levied by any jurisdiction or any political subdivision thereof or taxing or other authority therein unless the Borrower or the Guarantor is compelled by law to make such deduction or withholding. If any such obligation is imposed upon the Borrower or the Guarantor with respect to any amount payable by it hereunder or under any of the other Loan Documents, the Borrower or the Guarantor, as the case may be, will pay to the Administrative Agent, for the account of the Banks or (as the case may be) the Administrative Agent, on the date on which such amount is due and payable hereunder or under such other Loan Document, such additional amount in Dollars as shall be necessary to enable the Banks or the Administrative Agent to receive the same net amount which the Banks or the Administrative Agent would have received on such due date had no such obligation been imposed upon the Borrower or the Guarantor. The Borrower and the Guarantor will deliver promptly to the Administrative Agent certificates or other valid vouchers for all taxes or other charges deducted from or paid with respect to payments made by it hereunder or under such other Loan Document.</w:t>
      </w:r>
    </w:p>
    <w:p>
      <w:pPr>
        <w:spacing w:after="0" w:line="48" w:lineRule="exact"/>
        <w:rPr>
          <w:rFonts w:ascii="Arial" w:cs="Arial" w:eastAsia="Arial" w:hAnsi="Arial"/>
          <w:sz w:val="12"/>
          <w:szCs w:val="12"/>
          <w:color w:val="auto"/>
        </w:rPr>
      </w:pPr>
    </w:p>
    <w:p>
      <w:pPr>
        <w:ind w:right="20" w:firstLine="172"/>
        <w:spacing w:after="0" w:line="255" w:lineRule="auto"/>
        <w:tabs>
          <w:tab w:leader="none" w:pos="342" w:val="left"/>
        </w:tabs>
        <w:numPr>
          <w:ilvl w:val="0"/>
          <w:numId w:val="117"/>
        </w:numPr>
        <w:rPr>
          <w:rFonts w:ascii="Arial" w:cs="Arial" w:eastAsia="Arial" w:hAnsi="Arial"/>
          <w:sz w:val="13"/>
          <w:szCs w:val="13"/>
          <w:color w:val="auto"/>
        </w:rPr>
      </w:pPr>
      <w:r>
        <w:rPr>
          <w:rFonts w:ascii="Arial" w:cs="Arial" w:eastAsia="Arial" w:hAnsi="Arial"/>
          <w:sz w:val="13"/>
          <w:szCs w:val="13"/>
          <w:color w:val="auto"/>
        </w:rPr>
        <w:t>Each Bank that is not incorporated or organized under the laws of the United States of America or a state thereof or the District of Columbia (a “Non-U.S. Bank”) agrees that, prior to the first date on which any payment is due to it hereunder, it will deliver to the Borrower and the Administrative Agent two duly completed copies of United States Internal Revenue Service Form W-8BEN or W-8ECI or successor applicable form, as the case may be, certifying in each case that such Non-U.S. Bank is entitled to receive payments under this Agreement, without deduction or withholding of any United States federal income taxes. Each Non-U.S. Bank that so delivers a Form W-8BEN or W-8ECI pursuant to the preceding sentence further undertakes to deliver to each of the Borrower and the Administrative Agent two further copies of Form W-8BEN or W-8ECI or successor applicable form, or other manner of certification, as the case may be, on or before the date that any such letter or form expires or becomes obsolete or after the occurrence of any event requiring a change in the most recent form previously delivered by it to the Borrower, and such extensions or renewals thereof as may reasonably be requested by the Borrower, certifying in the case of a Form W-8BEN or W-8ECI that such Non-U.S. Bank is entitled to receive payments under this Agreement without deduction or withholding of any United States federal income taxes, unless in any such case an event</w:t>
      </w:r>
    </w:p>
    <w:p>
      <w:pPr>
        <w:spacing w:after="0" w:line="125" w:lineRule="exact"/>
        <w:rPr>
          <w:rFonts w:ascii="Arial" w:cs="Arial" w:eastAsia="Arial" w:hAnsi="Arial"/>
          <w:sz w:val="13"/>
          <w:szCs w:val="13"/>
          <w:color w:val="auto"/>
        </w:rPr>
      </w:pPr>
    </w:p>
    <w:p>
      <w:pPr>
        <w:ind w:left="5440" w:hanging="68"/>
        <w:spacing w:after="0"/>
        <w:tabs>
          <w:tab w:leader="none" w:pos="5440" w:val="left"/>
        </w:tabs>
        <w:numPr>
          <w:ilvl w:val="1"/>
          <w:numId w:val="117"/>
        </w:numPr>
        <w:rPr>
          <w:rFonts w:ascii="Arial" w:cs="Arial" w:eastAsia="Arial" w:hAnsi="Arial"/>
          <w:sz w:val="13"/>
          <w:szCs w:val="13"/>
          <w:color w:val="auto"/>
        </w:rPr>
      </w:pPr>
      <w:r>
        <w:rPr>
          <w:rFonts w:ascii="Arial" w:cs="Arial" w:eastAsia="Arial" w:hAnsi="Arial"/>
          <w:sz w:val="13"/>
          <w:szCs w:val="13"/>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00"/>
          </w:cols>
          <w:pgMar w:left="440" w:top="720" w:right="259" w:bottom="1440" w:gutter="0" w:footer="0" w:header="0"/>
        </w:sectPr>
      </w:pPr>
    </w:p>
    <w:bookmarkStart w:id="134" w:name="page135"/>
    <w:bookmarkEnd w:id="134"/>
    <w:p>
      <w:pPr>
        <w:jc w:val="both"/>
        <w:ind w:left="220" w:right="280"/>
        <w:spacing w:after="0" w:line="264" w:lineRule="auto"/>
        <w:rPr>
          <w:sz w:val="20"/>
          <w:szCs w:val="20"/>
          <w:color w:val="auto"/>
        </w:rPr>
      </w:pPr>
      <w:r>
        <w:rPr>
          <w:rFonts w:ascii="Arial" w:cs="Arial" w:eastAsia="Arial" w:hAnsi="Arial"/>
          <w:sz w:val="13"/>
          <w:szCs w:val="13"/>
          <w:color w:val="auto"/>
        </w:rPr>
        <w:t>(including, without limitation, any change in treaty, law or regulation) has occurred prior to the date on which any such delivery would otherwise be required which renders all such forms inapplicable or which would prevent such Non-U.S. Bank from duly completing and delivering any such form with respect to it and such Non-U.S. Bank advises the Borrower that it is not capable of receiving payments without any deduction or withholding of United States federal income tax.</w:t>
      </w:r>
    </w:p>
    <w:p>
      <w:pPr>
        <w:spacing w:after="0" w:line="57" w:lineRule="exact"/>
        <w:rPr>
          <w:sz w:val="20"/>
          <w:szCs w:val="20"/>
          <w:color w:val="auto"/>
        </w:rPr>
      </w:pPr>
    </w:p>
    <w:p>
      <w:pPr>
        <w:ind w:left="220" w:firstLine="172"/>
        <w:spacing w:after="0" w:line="281" w:lineRule="auto"/>
        <w:tabs>
          <w:tab w:leader="none" w:pos="569" w:val="left"/>
        </w:tabs>
        <w:numPr>
          <w:ilvl w:val="0"/>
          <w:numId w:val="118"/>
        </w:numPr>
        <w:rPr>
          <w:rFonts w:ascii="Arial" w:cs="Arial" w:eastAsia="Arial" w:hAnsi="Arial"/>
          <w:sz w:val="12"/>
          <w:szCs w:val="12"/>
          <w:color w:val="auto"/>
        </w:rPr>
      </w:pPr>
      <w:r>
        <w:rPr>
          <w:rFonts w:ascii="Arial" w:cs="Arial" w:eastAsia="Arial" w:hAnsi="Arial"/>
          <w:sz w:val="12"/>
          <w:szCs w:val="12"/>
          <w:color w:val="auto"/>
        </w:rPr>
        <w:t xml:space="preserve">The Borrower shall not be required to pay any additional amounts to any Non-U.S. Bank in respect of United States Federal withholding tax pursuant to §17 to the extent that (i) the obligation to withhold amounts with respect to United States Federal withholding tax existed on the date such Non-U.S. Bank became a party to this Agreement or, with respect to payments to a different lending office designated by the Non-U.S. Bank as its applicable lending office (a “New Lending Office”), the date such Non-U.S. Bank designated such New Lending Office with respect to a Loan;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this clause (i) shall not apply to any transferee or New Lending Office as a result of an assignment, transfer or designation made at the request of the Borrower; and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this clause (i) shall not apply to the extent the indemnity payment or additional amounts any transferee, or Bank through a New Lending Office, would be entitled to receive without regard to this clause (i) do not exceed the indemnity payment or additional amounts that the Person making the assignment or transfer to such transferee, or Bank making the designation of such New Lending Office, would have been entitled to receive in the absence of such assignment, transfer or designation; or (ii) the obligation to pay such additional amounts would not have arisen but for a failure by such Non-U.S. Bank to comply with the provisions of paragraph (b) above.</w:t>
      </w:r>
    </w:p>
    <w:p>
      <w:pPr>
        <w:spacing w:after="0" w:line="48" w:lineRule="exact"/>
        <w:rPr>
          <w:rFonts w:ascii="Arial" w:cs="Arial" w:eastAsia="Arial" w:hAnsi="Arial"/>
          <w:sz w:val="12"/>
          <w:szCs w:val="12"/>
          <w:color w:val="auto"/>
        </w:rPr>
      </w:pPr>
    </w:p>
    <w:p>
      <w:pPr>
        <w:ind w:left="220" w:right="420" w:firstLine="172"/>
        <w:spacing w:after="0" w:line="320" w:lineRule="auto"/>
        <w:tabs>
          <w:tab w:leader="none" w:pos="562" w:val="left"/>
        </w:tabs>
        <w:numPr>
          <w:ilvl w:val="0"/>
          <w:numId w:val="118"/>
        </w:numPr>
        <w:rPr>
          <w:rFonts w:ascii="Arial" w:cs="Arial" w:eastAsia="Arial" w:hAnsi="Arial"/>
          <w:sz w:val="12"/>
          <w:szCs w:val="12"/>
          <w:color w:val="auto"/>
        </w:rPr>
      </w:pPr>
      <w:r>
        <w:rPr>
          <w:rFonts w:ascii="Arial" w:cs="Arial" w:eastAsia="Arial" w:hAnsi="Arial"/>
          <w:sz w:val="12"/>
          <w:szCs w:val="12"/>
          <w:color w:val="auto"/>
        </w:rPr>
        <w:t>Notwithstanding the foregoing, each Bank agrees to use reasonable efforts (consistent with legal and regulatory restrictions) to change its lending office to avoid or to minimize any amounts otherwise payable under §17 in each case solely if such change can be made in a manner so that such Bank, in its sole determination, suffers no legal, economic or regulatory disadvantage.</w:t>
      </w:r>
    </w:p>
    <w:p>
      <w:pPr>
        <w:spacing w:after="0" w:line="21" w:lineRule="exact"/>
        <w:rPr>
          <w:sz w:val="20"/>
          <w:szCs w:val="20"/>
          <w:color w:val="auto"/>
        </w:rPr>
      </w:pPr>
    </w:p>
    <w:p>
      <w:pPr>
        <w:ind w:right="20" w:firstLine="327"/>
        <w:spacing w:after="0" w:line="284" w:lineRule="auto"/>
        <w:rPr>
          <w:sz w:val="20"/>
          <w:szCs w:val="20"/>
          <w:color w:val="auto"/>
        </w:rPr>
      </w:pPr>
      <w:r>
        <w:rPr>
          <w:rFonts w:ascii="Arial" w:cs="Arial" w:eastAsia="Arial" w:hAnsi="Arial"/>
          <w:sz w:val="12"/>
          <w:szCs w:val="12"/>
          <w:b w:val="1"/>
          <w:bCs w:val="1"/>
          <w:color w:val="auto"/>
        </w:rPr>
        <w:t>§5.2. Mandatory Repayments of the Loans</w:t>
      </w:r>
      <w:r>
        <w:rPr>
          <w:rFonts w:ascii="Arial" w:cs="Arial" w:eastAsia="Arial" w:hAnsi="Arial"/>
          <w:sz w:val="12"/>
          <w:szCs w:val="12"/>
          <w:color w:val="auto"/>
        </w:rPr>
        <w:t>. If at any time (including without limitation by reason of fluctuation in the rate of exchange between the Canadian Dollar and the U.S. Dollar) the sum of the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outstanding principal amount of the Loans plus the Maximum Drawing Amount of all outstanding Letters of Credit exceeds the Total Commitment, whether by reduction of the Total Commitment or otherwise, then the Borrower shall immediately pay the amount of such excess to the Administrative Agent, (i) for application to the Loans, </w:t>
      </w:r>
      <w:r>
        <w:rPr>
          <w:rFonts w:ascii="Arial" w:cs="Arial" w:eastAsia="Arial" w:hAnsi="Arial"/>
          <w:sz w:val="12"/>
          <w:szCs w:val="12"/>
          <w:u w:val="single" w:color="auto"/>
          <w:color w:val="auto"/>
        </w:rPr>
        <w:t>first</w:t>
      </w:r>
      <w:r>
        <w:rPr>
          <w:rFonts w:ascii="Arial" w:cs="Arial" w:eastAsia="Arial" w:hAnsi="Arial"/>
          <w:sz w:val="12"/>
          <w:szCs w:val="12"/>
          <w:color w:val="auto"/>
        </w:rPr>
        <w:t xml:space="preserve"> to Swing Line Loans, </w:t>
      </w:r>
      <w:r>
        <w:rPr>
          <w:rFonts w:ascii="Arial" w:cs="Arial" w:eastAsia="Arial" w:hAnsi="Arial"/>
          <w:sz w:val="12"/>
          <w:szCs w:val="12"/>
          <w:u w:val="single" w:color="auto"/>
          <w:color w:val="auto"/>
        </w:rPr>
        <w:t>second</w:t>
      </w:r>
      <w:r>
        <w:rPr>
          <w:rFonts w:ascii="Arial" w:cs="Arial" w:eastAsia="Arial" w:hAnsi="Arial"/>
          <w:sz w:val="12"/>
          <w:szCs w:val="12"/>
          <w:color w:val="auto"/>
        </w:rPr>
        <w:t xml:space="preserve"> to Syndicated Loans, then to Competitive Bid Loans, subject to §5.8, or (ii) if no Loans shall be outstanding, to be held by the Administrative Agent for the benefit of the Banks as collateral security for such excess Maximum Drawing Amount and the Borrower hereby grants a security interest in such amount to the Administrative Agent for the benefit of the Banks;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if the amount of cash collateral held by the Administrative Agent pursuant to this §5.2 exceeds the Maximum Drawing Amount required to be collateralized from time to time, the Administrative Agent shall return such excess to the Borrower.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5" w:name="page136"/>
    <w:bookmarkEnd w:id="135"/>
    <w:p>
      <w:pPr>
        <w:ind w:right="20" w:firstLine="327"/>
        <w:spacing w:after="0" w:line="260" w:lineRule="auto"/>
        <w:rPr>
          <w:sz w:val="20"/>
          <w:szCs w:val="20"/>
          <w:color w:val="auto"/>
        </w:rPr>
      </w:pPr>
      <w:r>
        <w:rPr>
          <w:rFonts w:ascii="Arial" w:cs="Arial" w:eastAsia="Arial" w:hAnsi="Arial"/>
          <w:sz w:val="13"/>
          <w:szCs w:val="13"/>
          <w:b w:val="1"/>
          <w:bCs w:val="1"/>
          <w:color w:val="auto"/>
        </w:rPr>
        <w:t>§5.3. Computations</w:t>
      </w:r>
      <w:r>
        <w:rPr>
          <w:rFonts w:ascii="Arial" w:cs="Arial" w:eastAsia="Arial" w:hAnsi="Arial"/>
          <w:sz w:val="13"/>
          <w:szCs w:val="13"/>
          <w:color w:val="auto"/>
        </w:rPr>
        <w:t>. Except as otherwise expressly provided herein, all computations of interest, Facility Fees, Letter of Credit Fees or other fees shall be based on a 360-day year and paid for the actual number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of days elapsed, except that computations based on the Base Rate (including Base Rate Loans determined by reference to the Eurodollar Rate) shall be based on a 365 or 366, as applicable, day year and paid for the actual number of days elapsed. Whenever a payment hereunder or under any of the other Loan Documents becomes due on a day that is not a Business Day, the due date for such payment shall be extended to the next succeeding Business Day, and interest shall accrue during such extension;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for any Interest Period for any Eurodollar Loan if such next succeeding Business Day falls in the next succeeding calendar month or after the Maturity Date, it shall be deemed to end on the next preceding Business Day.</w:t>
      </w:r>
    </w:p>
    <w:p>
      <w:pPr>
        <w:spacing w:after="0" w:line="55" w:lineRule="exact"/>
        <w:rPr>
          <w:sz w:val="20"/>
          <w:szCs w:val="20"/>
          <w:color w:val="auto"/>
        </w:rPr>
      </w:pPr>
    </w:p>
    <w:p>
      <w:pPr>
        <w:ind w:firstLine="327"/>
        <w:spacing w:after="0" w:line="278" w:lineRule="auto"/>
        <w:rPr>
          <w:sz w:val="20"/>
          <w:szCs w:val="20"/>
          <w:color w:val="auto"/>
        </w:rPr>
      </w:pPr>
      <w:r>
        <w:rPr>
          <w:rFonts w:ascii="Arial" w:cs="Arial" w:eastAsia="Arial" w:hAnsi="Arial"/>
          <w:sz w:val="12"/>
          <w:szCs w:val="12"/>
          <w:b w:val="1"/>
          <w:bCs w:val="1"/>
          <w:color w:val="auto"/>
        </w:rPr>
        <w:t>§5.4. Illegality; Inability to Determine Eurodollar Rate</w:t>
      </w:r>
      <w:r>
        <w:rPr>
          <w:rFonts w:ascii="Arial" w:cs="Arial" w:eastAsia="Arial" w:hAnsi="Arial"/>
          <w:sz w:val="12"/>
          <w:szCs w:val="12"/>
          <w:color w:val="auto"/>
        </w:rPr>
        <w:t>. Notwithstanding any other provision of this Agreement (other than §5.10), if (a) the introduction of, any change in, or any change in the interpretation</w:t>
      </w:r>
      <w:r>
        <w:rPr>
          <w:rFonts w:ascii="Arial" w:cs="Arial" w:eastAsia="Arial" w:hAnsi="Arial"/>
          <w:sz w:val="12"/>
          <w:szCs w:val="12"/>
          <w:b w:val="1"/>
          <w:bCs w:val="1"/>
          <w:color w:val="auto"/>
        </w:rPr>
        <w:t xml:space="preserve"> </w:t>
      </w:r>
      <w:r>
        <w:rPr>
          <w:rFonts w:ascii="Arial" w:cs="Arial" w:eastAsia="Arial" w:hAnsi="Arial"/>
          <w:sz w:val="12"/>
          <w:szCs w:val="12"/>
          <w:color w:val="auto"/>
        </w:rPr>
        <w:t>of, any law or regulation applicable to any Bank or the Administrative Agent shall make it unlawful, or any central bank or other governmental authority having jurisdiction thereof shall assert that it is unlawful, for any Bank or the Administrative Agent to perform its obligations in respect of any Eurodollar Loans or in connection with an existing or proposed Base Rate Loan bearing interest at the rate described in clause (c) of the definition of Base Rate, or (b) if the Majority Banks or the Administrative Agent, as applicable, shall reasonably determine with respect to Eurodollar Loans that (i) by reason of circumstances affecting any Eurodollar interbank market, adequate and reasonable methods do not exist for ascertaining the Eurodollar Rate which would otherwise be applicable during any Interest Period, or (ii) deposits of Dollars in the relevant amount for the relevant Interest Period are not available to such Banks or the Administrative Agent in any Eurodollar interbank market, or (iii) the Eurodollar Rate does not or will not accurately reflect the cost to such Banks or the Administrative Agent of obtaining or maintaining the Eurodollar Loans during any Interest Period, then such Banks (through the Administrative Agent) or the Administrative Agent shall promptly give telephonic, telex or cable notice of such determination to the Borrower (which notice shall be conclusive and binding upon the Borrower). Upon such notification, the obligation of the Banks and the Administrative Agent to make Eurodollar Loans shall be suspended and, in the event of clauses (a) or (b)(i) or (ii) of the immediately preceding sentence, the utilization of the Eurodollar Rate component in determining the Base Rate shall be suspended, in each case until the Banks or the Administrative Agent, as the case may be, determine that such circumstances no longer exist, and to the extent permitted by law the outstanding Eurodollar Loans shall continue to bear interest at the applicable rate based on the Eurodollar Rate until the end of the applicable Interest Period, and thereafter shall be deemed converted to Base Rate Loans in equal principal amounts to such former Eurodollar Loans.</w:t>
      </w:r>
    </w:p>
    <w:p>
      <w:pPr>
        <w:spacing w:after="0" w:line="48" w:lineRule="exact"/>
        <w:rPr>
          <w:sz w:val="20"/>
          <w:szCs w:val="20"/>
          <w:color w:val="auto"/>
        </w:rPr>
      </w:pPr>
    </w:p>
    <w:p>
      <w:pPr>
        <w:jc w:val="both"/>
        <w:ind w:right="80" w:firstLine="327"/>
        <w:spacing w:after="0" w:line="267" w:lineRule="auto"/>
        <w:rPr>
          <w:sz w:val="20"/>
          <w:szCs w:val="20"/>
          <w:color w:val="auto"/>
        </w:rPr>
      </w:pPr>
      <w:r>
        <w:rPr>
          <w:rFonts w:ascii="Arial" w:cs="Arial" w:eastAsia="Arial" w:hAnsi="Arial"/>
          <w:sz w:val="13"/>
          <w:szCs w:val="13"/>
          <w:b w:val="1"/>
          <w:bCs w:val="1"/>
          <w:color w:val="auto"/>
        </w:rPr>
        <w:t>§5.5. Additional Costs, Etc</w:t>
      </w:r>
      <w:r>
        <w:rPr>
          <w:rFonts w:ascii="Arial" w:cs="Arial" w:eastAsia="Arial" w:hAnsi="Arial"/>
          <w:sz w:val="13"/>
          <w:szCs w:val="13"/>
          <w:color w:val="auto"/>
        </w:rPr>
        <w:t>. If any present or future applicable law (which expression, as used herein, includes statutes, rules and regulations thereunder and interpretations thereof by any competent court or by</w:t>
      </w:r>
      <w:r>
        <w:rPr>
          <w:rFonts w:ascii="Arial" w:cs="Arial" w:eastAsia="Arial" w:hAnsi="Arial"/>
          <w:sz w:val="13"/>
          <w:szCs w:val="13"/>
          <w:b w:val="1"/>
          <w:bCs w:val="1"/>
          <w:color w:val="auto"/>
        </w:rPr>
        <w:t xml:space="preserve"> </w:t>
      </w:r>
      <w:r>
        <w:rPr>
          <w:rFonts w:ascii="Arial" w:cs="Arial" w:eastAsia="Arial" w:hAnsi="Arial"/>
          <w:sz w:val="13"/>
          <w:szCs w:val="13"/>
          <w:color w:val="auto"/>
        </w:rPr>
        <w:t>any governmental or other regulatory body or official charged with the administration or the interpretation thereof and requests, directives, instructions and notices at any time or from time to time hereafter made upon or otherwise issued to any Bank by any central bank or other fiscal, monetary or other authority, whether or not having the force of law) shall: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16" w:right="239" w:bottom="1440" w:gutter="0" w:footer="0" w:header="0"/>
        </w:sectPr>
      </w:pPr>
    </w:p>
    <w:bookmarkStart w:id="136" w:name="page137"/>
    <w:bookmarkEnd w:id="136"/>
    <w:p>
      <w:pPr>
        <w:ind w:left="220" w:right="80" w:firstLine="172"/>
        <w:spacing w:after="0" w:line="276" w:lineRule="auto"/>
        <w:tabs>
          <w:tab w:leader="none" w:pos="562" w:val="left"/>
        </w:tabs>
        <w:numPr>
          <w:ilvl w:val="0"/>
          <w:numId w:val="119"/>
        </w:numPr>
        <w:rPr>
          <w:rFonts w:ascii="Arial" w:cs="Arial" w:eastAsia="Arial" w:hAnsi="Arial"/>
          <w:sz w:val="13"/>
          <w:szCs w:val="13"/>
          <w:color w:val="auto"/>
        </w:rPr>
      </w:pPr>
      <w:r>
        <w:rPr>
          <w:rFonts w:ascii="Arial" w:cs="Arial" w:eastAsia="Arial" w:hAnsi="Arial"/>
          <w:sz w:val="13"/>
          <w:szCs w:val="13"/>
          <w:color w:val="auto"/>
        </w:rPr>
        <w:t>subject such Bank to any tax, levy, impost, duty, charge, fee, deduction or withholding of any nature with respect to this Agreement, the other Loan Documents, such Bank’s Commitment or the Loans (other than taxes based upon or measured by the income or profits of such Bank imposed by the jurisdiction of its incorporation or organization, or the location of its lending office); or</w:t>
      </w:r>
    </w:p>
    <w:p>
      <w:pPr>
        <w:spacing w:after="0" w:line="49" w:lineRule="exact"/>
        <w:rPr>
          <w:rFonts w:ascii="Arial" w:cs="Arial" w:eastAsia="Arial" w:hAnsi="Arial"/>
          <w:sz w:val="13"/>
          <w:szCs w:val="13"/>
          <w:color w:val="auto"/>
        </w:rPr>
      </w:pPr>
    </w:p>
    <w:p>
      <w:pPr>
        <w:ind w:left="220" w:right="160" w:firstLine="172"/>
        <w:spacing w:after="0" w:line="276" w:lineRule="auto"/>
        <w:tabs>
          <w:tab w:leader="none" w:pos="569" w:val="left"/>
        </w:tabs>
        <w:numPr>
          <w:ilvl w:val="0"/>
          <w:numId w:val="119"/>
        </w:numPr>
        <w:rPr>
          <w:rFonts w:ascii="Arial" w:cs="Arial" w:eastAsia="Arial" w:hAnsi="Arial"/>
          <w:sz w:val="13"/>
          <w:szCs w:val="13"/>
          <w:color w:val="auto"/>
        </w:rPr>
      </w:pPr>
      <w:r>
        <w:rPr>
          <w:rFonts w:ascii="Arial" w:cs="Arial" w:eastAsia="Arial" w:hAnsi="Arial"/>
          <w:sz w:val="13"/>
          <w:szCs w:val="13"/>
          <w:color w:val="auto"/>
        </w:rPr>
        <w:t>materially change the basis of taxation (except for changes in taxes on income or profits of such Bank imposed by the jurisdiction of its incorporation or organization, or the location of its lending office) of payments to such Bank of the principal or of the interest on any Loans or any other amounts payable to such Bank under this Agreement or the other Loan Documents; or</w:t>
      </w:r>
    </w:p>
    <w:p>
      <w:pPr>
        <w:spacing w:after="0" w:line="49" w:lineRule="exact"/>
        <w:rPr>
          <w:rFonts w:ascii="Arial" w:cs="Arial" w:eastAsia="Arial" w:hAnsi="Arial"/>
          <w:sz w:val="13"/>
          <w:szCs w:val="13"/>
          <w:color w:val="auto"/>
        </w:rPr>
      </w:pPr>
    </w:p>
    <w:p>
      <w:pPr>
        <w:ind w:left="220" w:right="120" w:firstLine="172"/>
        <w:spacing w:after="0" w:line="296" w:lineRule="auto"/>
        <w:tabs>
          <w:tab w:leader="none" w:pos="562" w:val="left"/>
        </w:tabs>
        <w:numPr>
          <w:ilvl w:val="0"/>
          <w:numId w:val="119"/>
        </w:numPr>
        <w:rPr>
          <w:rFonts w:ascii="Arial" w:cs="Arial" w:eastAsia="Arial" w:hAnsi="Arial"/>
          <w:sz w:val="12"/>
          <w:szCs w:val="12"/>
          <w:color w:val="auto"/>
        </w:rPr>
      </w:pPr>
      <w:r>
        <w:rPr>
          <w:rFonts w:ascii="Arial" w:cs="Arial" w:eastAsia="Arial" w:hAnsi="Arial"/>
          <w:sz w:val="12"/>
          <w:szCs w:val="12"/>
          <w:color w:val="auto"/>
        </w:rPr>
        <w:t>except as provided in §5.6 or as otherwise reflected in the Base Rate, the Eurodollar Rate, or the applicable rate for Competitive Bid Loans, impose or increase or render applicable (other than to the extent specifically provided for elsewhere in this Agreement) any special deposit, reserve, assessment, liquidity, capital adequacy or other similar requirements (whether or not having the force of law) against assets held by, or deposits in or for the account of, or loans by, or commitments of, an office of any Bank with respect to this Agreement, the other Loan Documents, such Bank’s Commitment or the Loans; or</w:t>
      </w:r>
    </w:p>
    <w:p>
      <w:pPr>
        <w:spacing w:after="0" w:line="39" w:lineRule="exact"/>
        <w:rPr>
          <w:rFonts w:ascii="Arial" w:cs="Arial" w:eastAsia="Arial" w:hAnsi="Arial"/>
          <w:sz w:val="12"/>
          <w:szCs w:val="12"/>
          <w:color w:val="auto"/>
        </w:rPr>
      </w:pPr>
    </w:p>
    <w:p>
      <w:pPr>
        <w:ind w:left="220" w:firstLine="172"/>
        <w:spacing w:after="0" w:line="276" w:lineRule="auto"/>
        <w:tabs>
          <w:tab w:leader="none" w:pos="569" w:val="left"/>
        </w:tabs>
        <w:numPr>
          <w:ilvl w:val="0"/>
          <w:numId w:val="119"/>
        </w:numPr>
        <w:rPr>
          <w:rFonts w:ascii="Arial" w:cs="Arial" w:eastAsia="Arial" w:hAnsi="Arial"/>
          <w:sz w:val="13"/>
          <w:szCs w:val="13"/>
          <w:color w:val="auto"/>
        </w:rPr>
      </w:pPr>
      <w:r>
        <w:rPr>
          <w:rFonts w:ascii="Arial" w:cs="Arial" w:eastAsia="Arial" w:hAnsi="Arial"/>
          <w:sz w:val="13"/>
          <w:szCs w:val="13"/>
          <w:color w:val="auto"/>
        </w:rPr>
        <w:t>impose on such Bank any other conditions or requirements with respect to this Agreement, the other Loan Documents, the Loans, such Bank’s Commitment or any class of loans or commitments of which any of the Loans or such Bank’s Commitment forms a part, and the result of any of the foregoing is:</w:t>
      </w:r>
    </w:p>
    <w:p>
      <w:pPr>
        <w:spacing w:after="0" w:line="49" w:lineRule="exact"/>
        <w:rPr>
          <w:rFonts w:ascii="Arial" w:cs="Arial" w:eastAsia="Arial" w:hAnsi="Arial"/>
          <w:sz w:val="13"/>
          <w:szCs w:val="13"/>
          <w:color w:val="auto"/>
        </w:rPr>
      </w:pPr>
    </w:p>
    <w:p>
      <w:pPr>
        <w:ind w:left="1000" w:hanging="149"/>
        <w:spacing w:after="0"/>
        <w:tabs>
          <w:tab w:leader="none" w:pos="1000" w:val="left"/>
        </w:tabs>
        <w:numPr>
          <w:ilvl w:val="1"/>
          <w:numId w:val="119"/>
        </w:numPr>
        <w:rPr>
          <w:rFonts w:ascii="Arial" w:cs="Arial" w:eastAsia="Arial" w:hAnsi="Arial"/>
          <w:sz w:val="12"/>
          <w:szCs w:val="12"/>
          <w:color w:val="auto"/>
        </w:rPr>
      </w:pPr>
      <w:r>
        <w:rPr>
          <w:rFonts w:ascii="Arial" w:cs="Arial" w:eastAsia="Arial" w:hAnsi="Arial"/>
          <w:sz w:val="12"/>
          <w:szCs w:val="12"/>
          <w:color w:val="auto"/>
        </w:rPr>
        <w:t>to increase the cost to such Bank of making, funding, issuing, renewing, extending or maintaining the Loans or such Bank’s Commitment or issuing or participating in Letters of Credit;</w:t>
      </w:r>
    </w:p>
    <w:p>
      <w:pPr>
        <w:spacing w:after="0" w:line="97" w:lineRule="exact"/>
        <w:rPr>
          <w:rFonts w:ascii="Arial" w:cs="Arial" w:eastAsia="Arial" w:hAnsi="Arial"/>
          <w:sz w:val="12"/>
          <w:szCs w:val="12"/>
          <w:color w:val="auto"/>
        </w:rPr>
      </w:pPr>
    </w:p>
    <w:p>
      <w:pPr>
        <w:ind w:left="1040" w:hanging="189"/>
        <w:spacing w:after="0"/>
        <w:tabs>
          <w:tab w:leader="none" w:pos="1040" w:val="left"/>
        </w:tabs>
        <w:numPr>
          <w:ilvl w:val="1"/>
          <w:numId w:val="119"/>
        </w:numPr>
        <w:rPr>
          <w:rFonts w:ascii="Arial" w:cs="Arial" w:eastAsia="Arial" w:hAnsi="Arial"/>
          <w:sz w:val="13"/>
          <w:szCs w:val="13"/>
          <w:color w:val="auto"/>
        </w:rPr>
      </w:pPr>
      <w:r>
        <w:rPr>
          <w:rFonts w:ascii="Arial" w:cs="Arial" w:eastAsia="Arial" w:hAnsi="Arial"/>
          <w:sz w:val="13"/>
          <w:szCs w:val="13"/>
          <w:color w:val="auto"/>
        </w:rPr>
        <w:t>to reduce the amount of principal, interest or other amount payable to such Bank hereunder on account of such Bank’s Commitment, the Loans or the Reimbursement Obligations; or</w:t>
      </w:r>
    </w:p>
    <w:p>
      <w:pPr>
        <w:spacing w:after="0" w:line="86" w:lineRule="exact"/>
        <w:rPr>
          <w:rFonts w:ascii="Arial" w:cs="Arial" w:eastAsia="Arial" w:hAnsi="Arial"/>
          <w:sz w:val="13"/>
          <w:szCs w:val="13"/>
          <w:color w:val="auto"/>
        </w:rPr>
      </w:pPr>
    </w:p>
    <w:p>
      <w:pPr>
        <w:ind w:left="680" w:right="80" w:firstLine="171"/>
        <w:spacing w:after="0" w:line="276" w:lineRule="auto"/>
        <w:tabs>
          <w:tab w:leader="none" w:pos="1073" w:val="left"/>
        </w:tabs>
        <w:numPr>
          <w:ilvl w:val="1"/>
          <w:numId w:val="119"/>
        </w:numPr>
        <w:rPr>
          <w:rFonts w:ascii="Arial" w:cs="Arial" w:eastAsia="Arial" w:hAnsi="Arial"/>
          <w:sz w:val="13"/>
          <w:szCs w:val="13"/>
          <w:color w:val="auto"/>
        </w:rPr>
      </w:pPr>
      <w:r>
        <w:rPr>
          <w:rFonts w:ascii="Arial" w:cs="Arial" w:eastAsia="Arial" w:hAnsi="Arial"/>
          <w:sz w:val="13"/>
          <w:szCs w:val="13"/>
          <w:color w:val="auto"/>
        </w:rPr>
        <w:t>to require such Bank to make any payment or to forego any interest or other sum payable hereunder, the amount of which payment or foregone interest or other sum is calculated by reference to the gross amount of any sum receivable or deemed received by such Bank from the Borrower hereunder,</w:t>
      </w:r>
    </w:p>
    <w:p>
      <w:pPr>
        <w:spacing w:after="0" w:line="49" w:lineRule="exact"/>
        <w:rPr>
          <w:sz w:val="20"/>
          <w:szCs w:val="20"/>
          <w:color w:val="auto"/>
        </w:rPr>
      </w:pPr>
    </w:p>
    <w:p>
      <w:pPr>
        <w:spacing w:after="0" w:line="334" w:lineRule="auto"/>
        <w:rPr>
          <w:sz w:val="20"/>
          <w:szCs w:val="20"/>
          <w:color w:val="auto"/>
        </w:rPr>
      </w:pPr>
      <w:r>
        <w:rPr>
          <w:rFonts w:ascii="Arial" w:cs="Arial" w:eastAsia="Arial" w:hAnsi="Arial"/>
          <w:sz w:val="11"/>
          <w:szCs w:val="11"/>
          <w:color w:val="auto"/>
        </w:rPr>
        <w:t xml:space="preserve">then, and in each such case, the Borrower will, upon demand made by such Bank at any time and from time to time as often as the occasion therefor may arise (which demand shall be accompanied by a statement setting forth the basis of such demand which shall be conclusive absent manifest error), pay such reasonable additional amounts as will be sufficient to compensate such Bank for such additional costs, reduction, payment or foregone interest or other sum;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determination and allocation of amounts, if any, claimed by any Bank under this §5.5 are made on a reasonable basis in a manner consistent with such Bank’s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7" w:name="page138"/>
    <w:bookmarkEnd w:id="137"/>
    <w:p>
      <w:pPr>
        <w:spacing w:after="0"/>
        <w:rPr>
          <w:sz w:val="20"/>
          <w:szCs w:val="20"/>
          <w:color w:val="auto"/>
        </w:rPr>
      </w:pPr>
      <w:r>
        <w:rPr>
          <w:rFonts w:ascii="Arial" w:cs="Arial" w:eastAsia="Arial" w:hAnsi="Arial"/>
          <w:sz w:val="13"/>
          <w:szCs w:val="13"/>
          <w:color w:val="auto"/>
        </w:rPr>
        <w:t>treatment of customers of such Bank that such Bank considers, in its reasonable discretion, to be similar to the Borrower and having generally similar provisions in their agreements with such Bank.</w:t>
      </w:r>
    </w:p>
    <w:p>
      <w:pPr>
        <w:spacing w:after="0" w:line="82" w:lineRule="exact"/>
        <w:rPr>
          <w:sz w:val="20"/>
          <w:szCs w:val="20"/>
          <w:color w:val="auto"/>
        </w:rPr>
      </w:pPr>
    </w:p>
    <w:p>
      <w:pPr>
        <w:ind w:firstLine="327"/>
        <w:spacing w:after="0" w:line="281" w:lineRule="auto"/>
        <w:rPr>
          <w:sz w:val="20"/>
          <w:szCs w:val="20"/>
          <w:color w:val="auto"/>
        </w:rPr>
      </w:pPr>
      <w:r>
        <w:rPr>
          <w:rFonts w:ascii="Arial" w:cs="Arial" w:eastAsia="Arial" w:hAnsi="Arial"/>
          <w:sz w:val="12"/>
          <w:szCs w:val="12"/>
          <w:b w:val="1"/>
          <w:bCs w:val="1"/>
          <w:color w:val="auto"/>
        </w:rPr>
        <w:t>§5.6. Capital Adequacy</w:t>
      </w:r>
      <w:r>
        <w:rPr>
          <w:rFonts w:ascii="Arial" w:cs="Arial" w:eastAsia="Arial" w:hAnsi="Arial"/>
          <w:sz w:val="12"/>
          <w:szCs w:val="12"/>
          <w:color w:val="auto"/>
        </w:rPr>
        <w:t>. If any Bank shall have determined that, after the date hereof, (a) the adoption of any applicable law, rule or regulation regarding capital adequacy, or any change in any such law, rule, or</w:t>
      </w:r>
      <w:r>
        <w:rPr>
          <w:rFonts w:ascii="Arial" w:cs="Arial" w:eastAsia="Arial" w:hAnsi="Arial"/>
          <w:sz w:val="12"/>
          <w:szCs w:val="12"/>
          <w:b w:val="1"/>
          <w:bCs w:val="1"/>
          <w:color w:val="auto"/>
        </w:rPr>
        <w:t xml:space="preserve"> </w:t>
      </w:r>
      <w:r>
        <w:rPr>
          <w:rFonts w:ascii="Arial" w:cs="Arial" w:eastAsia="Arial" w:hAnsi="Arial"/>
          <w:sz w:val="12"/>
          <w:szCs w:val="12"/>
          <w:color w:val="auto"/>
        </w:rPr>
        <w:t>regulation, or any change in the interpretation or administration thereof by any governmental authority, central bank or comparable agency charged with the interpretation or administration thereof, or any request or directive regarding capital adequacy (whether or not having the force of law) of any such authority, central bank or comparable agency, or (b) compliance by such Bank or the Administrative Agent or any corporation controlling such Bank or the Administrative Agent with any law, governmental rule, regulation, policy, guideline or directive (whether or not having the force of law) of any such entity regarding capital adequacy, has or would have the effect of reducing the rate of return on capital of such Bank (or any corporation controlling such Bank) as a consequence of such Bank’s obligations hereunder to a level below that which such Bank (or any corporation controlling such Bank) could have achieved but for such adoption, change, request or directive (taking into consideration its policies with respect to capital adequacy) by an amount deemed by such Bank to be material, then from time to time, within 15 days after demand by such Bank, the Borrower shall pay to such Bank such additional amount or amounts as will, in such Bank’s reasonable determination, fairly compensate such Bank (or any corporation controlling such Bank) for such reduction. Each Bank shall allocate such cost increases among its customers in good faith and on an equitable basis.</w:t>
      </w:r>
    </w:p>
    <w:p>
      <w:pPr>
        <w:spacing w:after="0" w:line="44" w:lineRule="exact"/>
        <w:rPr>
          <w:sz w:val="20"/>
          <w:szCs w:val="20"/>
          <w:color w:val="auto"/>
        </w:rPr>
      </w:pPr>
    </w:p>
    <w:p>
      <w:pPr>
        <w:ind w:right="100" w:firstLine="327"/>
        <w:spacing w:after="0" w:line="267" w:lineRule="auto"/>
        <w:rPr>
          <w:sz w:val="20"/>
          <w:szCs w:val="20"/>
          <w:color w:val="auto"/>
        </w:rPr>
      </w:pPr>
      <w:r>
        <w:rPr>
          <w:rFonts w:ascii="Arial" w:cs="Arial" w:eastAsia="Arial" w:hAnsi="Arial"/>
          <w:sz w:val="13"/>
          <w:szCs w:val="13"/>
          <w:b w:val="1"/>
          <w:bCs w:val="1"/>
          <w:color w:val="auto"/>
        </w:rPr>
        <w:t>§5.7. Certificate</w:t>
      </w:r>
      <w:r>
        <w:rPr>
          <w:rFonts w:ascii="Arial" w:cs="Arial" w:eastAsia="Arial" w:hAnsi="Arial"/>
          <w:sz w:val="13"/>
          <w:szCs w:val="13"/>
          <w:color w:val="auto"/>
        </w:rPr>
        <w:t>. A certificate setting forth the additional amounts payable pursuant to §5.5 or §5.6 and a reasonable explanation of such amounts which are due, submitted by any Bank to the Borrower, shall be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conclusive, absent manifest error, that such amounts are due and owing;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Bank shall be entitled to additional amounts with respect to events or circumstances occurring more than one hundred and twenty (120) days prior to the delivery of such certificate.</w:t>
      </w:r>
    </w:p>
    <w:p>
      <w:pPr>
        <w:spacing w:after="0" w:line="52" w:lineRule="exact"/>
        <w:rPr>
          <w:sz w:val="20"/>
          <w:szCs w:val="20"/>
          <w:color w:val="auto"/>
        </w:rPr>
      </w:pPr>
    </w:p>
    <w:p>
      <w:pPr>
        <w:ind w:firstLine="327"/>
        <w:spacing w:after="0" w:line="282" w:lineRule="auto"/>
        <w:rPr>
          <w:sz w:val="20"/>
          <w:szCs w:val="20"/>
          <w:color w:val="auto"/>
        </w:rPr>
      </w:pPr>
      <w:r>
        <w:rPr>
          <w:rFonts w:ascii="Arial" w:cs="Arial" w:eastAsia="Arial" w:hAnsi="Arial"/>
          <w:sz w:val="12"/>
          <w:szCs w:val="12"/>
          <w:b w:val="1"/>
          <w:bCs w:val="1"/>
          <w:color w:val="auto"/>
        </w:rPr>
        <w:t>§5.8. Eurodollar and Competitive Bid Indemnity</w:t>
      </w:r>
      <w:r>
        <w:rPr>
          <w:rFonts w:ascii="Arial" w:cs="Arial" w:eastAsia="Arial" w:hAnsi="Arial"/>
          <w:sz w:val="12"/>
          <w:szCs w:val="12"/>
          <w:color w:val="auto"/>
        </w:rPr>
        <w:t>. The Borrower agrees to indemnify the Banks and the Administrative Agent and to hold them harmless from and against any reasonable loss, cost or expense</w:t>
      </w:r>
      <w:r>
        <w:rPr>
          <w:rFonts w:ascii="Arial" w:cs="Arial" w:eastAsia="Arial" w:hAnsi="Arial"/>
          <w:sz w:val="12"/>
          <w:szCs w:val="12"/>
          <w:b w:val="1"/>
          <w:bCs w:val="1"/>
          <w:color w:val="auto"/>
        </w:rPr>
        <w:t xml:space="preserve"> </w:t>
      </w:r>
      <w:r>
        <w:rPr>
          <w:rFonts w:ascii="Arial" w:cs="Arial" w:eastAsia="Arial" w:hAnsi="Arial"/>
          <w:sz w:val="12"/>
          <w:szCs w:val="12"/>
          <w:color w:val="auto"/>
        </w:rPr>
        <w:t>that any such Bank and the Administrative Agent may sustain or incur as a consequence of (a) the default by the Borrower in payment of the principal amount of or any interest on any Eurodollar Loans or Competitive Bid Loans as and when due and payable, including any such loss or expense arising from interest or fees payable by any Bank or the Administrative Agent to lenders of funds obtained by it in order to maintain its Eurodollar Loans or Competitive Bid Loans, (b) the default by the Borrower in making a Borrowing of a Eurodollar Loan or Competitive Bid Loan or conversion of a Eurodollar Loan or a prepayment of a Eurodollar or Competitive Bid Loan after the Borrower has given (or is deemed to have given) a Syndicated Loan Request, a notice pursuant to §2.7 or a Notice of Acceptance/Rejection of Competitive Bid Quote(s), or a notice pursuant to §2.10, and (c) the making of any payment of a Eurodollar Loan or Competitive Bid Loan, or the making of any conversion of any Eurodollar Loan to a Base Rate Loan, on a day that is not the last day of the applicable Interest Period with respect thereto. Such loss, cost, or reasonable expense shall include an amount equal to the excess, if any, as reasonably determined by each Bank</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8" w:name="page139"/>
    <w:bookmarkEnd w:id="138"/>
    <w:p>
      <w:pPr>
        <w:spacing w:after="0" w:line="258" w:lineRule="auto"/>
        <w:rPr>
          <w:sz w:val="20"/>
          <w:szCs w:val="20"/>
          <w:color w:val="auto"/>
        </w:rPr>
      </w:pPr>
      <w:r>
        <w:rPr>
          <w:rFonts w:ascii="Arial" w:cs="Arial" w:eastAsia="Arial" w:hAnsi="Arial"/>
          <w:sz w:val="13"/>
          <w:szCs w:val="13"/>
          <w:color w:val="auto"/>
        </w:rPr>
        <w:t>of (i) its cost of obtaining the funds for (A) the Eurodollar Loan being paid, prepaid, converted, not converted, reallocated, or not borrowed, as the case may be (based on the Eurodollar Rate), or (B) the Competitive Bid Loan being paid, prepaid, or not borrowed, as the case may be (based on the applicable interest rate) for the period from the date of such payment, prepayment, conversion, or failure to borrow or convert, as the case may be, to the last day of the Interest Period for such Loan (or, in the case of a failure to borrow, the Interest Period for the Loan which would have commenced on the date of such failure to borrow) over (ii) the amount of interest (as reasonably determined by such Bank) that would be realized by such Bank in reemploying the funds so paid, prepaid, converted, or not borrowed, converted, or prepaid for such period or Interest Period, as the case may be, which determinations shall be conclusive absent manifest error.</w:t>
      </w:r>
    </w:p>
    <w:p>
      <w:pPr>
        <w:spacing w:after="0" w:line="57" w:lineRule="exact"/>
        <w:rPr>
          <w:sz w:val="20"/>
          <w:szCs w:val="20"/>
          <w:color w:val="auto"/>
        </w:rPr>
      </w:pPr>
    </w:p>
    <w:p>
      <w:pPr>
        <w:jc w:val="both"/>
        <w:ind w:right="280" w:firstLine="327"/>
        <w:spacing w:after="0" w:line="267" w:lineRule="auto"/>
        <w:rPr>
          <w:sz w:val="20"/>
          <w:szCs w:val="20"/>
          <w:color w:val="auto"/>
        </w:rPr>
      </w:pPr>
      <w:r>
        <w:rPr>
          <w:rFonts w:ascii="Arial" w:cs="Arial" w:eastAsia="Arial" w:hAnsi="Arial"/>
          <w:sz w:val="13"/>
          <w:szCs w:val="13"/>
          <w:b w:val="1"/>
          <w:bCs w:val="1"/>
          <w:color w:val="auto"/>
        </w:rPr>
        <w:t>§5.9. Interest on Overdue Amounts</w:t>
      </w:r>
      <w:r>
        <w:rPr>
          <w:rFonts w:ascii="Arial" w:cs="Arial" w:eastAsia="Arial" w:hAnsi="Arial"/>
          <w:sz w:val="13"/>
          <w:szCs w:val="13"/>
          <w:color w:val="auto"/>
        </w:rPr>
        <w:t>. Overdue principal and (to the extent permitted by applicable law) interest on the Loans and all other overdue amounts payable hereunder or under any of the other Loan</w:t>
      </w:r>
      <w:r>
        <w:rPr>
          <w:rFonts w:ascii="Arial" w:cs="Arial" w:eastAsia="Arial" w:hAnsi="Arial"/>
          <w:sz w:val="13"/>
          <w:szCs w:val="13"/>
          <w:b w:val="1"/>
          <w:bCs w:val="1"/>
          <w:color w:val="auto"/>
        </w:rPr>
        <w:t xml:space="preserve"> </w:t>
      </w:r>
      <w:r>
        <w:rPr>
          <w:rFonts w:ascii="Arial" w:cs="Arial" w:eastAsia="Arial" w:hAnsi="Arial"/>
          <w:sz w:val="13"/>
          <w:szCs w:val="13"/>
          <w:color w:val="auto"/>
        </w:rPr>
        <w:t>Documents shall bear interest compounded monthly and payable on demand at a rate per annum equal to the Applicable Base Rate plus 2% per annum, until such amount shall be paid in full (after as well as before judgment).</w:t>
      </w:r>
    </w:p>
    <w:p>
      <w:pPr>
        <w:spacing w:after="0" w:line="52" w:lineRule="exact"/>
        <w:rPr>
          <w:sz w:val="20"/>
          <w:szCs w:val="20"/>
          <w:color w:val="auto"/>
        </w:rPr>
      </w:pPr>
    </w:p>
    <w:p>
      <w:pPr>
        <w:ind w:right="100" w:firstLine="327"/>
        <w:spacing w:after="0" w:line="262" w:lineRule="auto"/>
        <w:rPr>
          <w:sz w:val="20"/>
          <w:szCs w:val="20"/>
          <w:color w:val="auto"/>
        </w:rPr>
      </w:pPr>
      <w:r>
        <w:rPr>
          <w:rFonts w:ascii="Arial" w:cs="Arial" w:eastAsia="Arial" w:hAnsi="Arial"/>
          <w:sz w:val="13"/>
          <w:szCs w:val="13"/>
          <w:b w:val="1"/>
          <w:bCs w:val="1"/>
          <w:color w:val="auto"/>
        </w:rPr>
        <w:t>§5.10. Interest Limitation</w:t>
      </w:r>
      <w:r>
        <w:rPr>
          <w:rFonts w:ascii="Arial" w:cs="Arial" w:eastAsia="Arial" w:hAnsi="Arial"/>
          <w:sz w:val="13"/>
          <w:szCs w:val="13"/>
          <w:color w:val="auto"/>
        </w:rPr>
        <w:t>. Notwithstanding any other term of this Agreement, any other Loan Document or any other document referred to herein or therein, the maximum amount of interest which may be</w:t>
      </w:r>
      <w:r>
        <w:rPr>
          <w:rFonts w:ascii="Arial" w:cs="Arial" w:eastAsia="Arial" w:hAnsi="Arial"/>
          <w:sz w:val="13"/>
          <w:szCs w:val="13"/>
          <w:b w:val="1"/>
          <w:bCs w:val="1"/>
          <w:color w:val="auto"/>
        </w:rPr>
        <w:t xml:space="preserve"> </w:t>
      </w:r>
      <w:r>
        <w:rPr>
          <w:rFonts w:ascii="Arial" w:cs="Arial" w:eastAsia="Arial" w:hAnsi="Arial"/>
          <w:sz w:val="13"/>
          <w:szCs w:val="13"/>
          <w:color w:val="auto"/>
        </w:rPr>
        <w:t>charged to or collected from any Person liable hereunder by any Bank shall be absolutely limited to, and shall in no event exceed, the maximum amount of interest which could lawfully be charged or collected by such Bank under applicable laws (including, to the extent applicable, the provisions of §5197 of the Revised Statutes of the United States of America, as amended, and 12 U.S.C. §85, as amended, and without prejudice to the first sentence of §26 hereof).</w:t>
      </w:r>
    </w:p>
    <w:p>
      <w:pPr>
        <w:spacing w:after="0" w:line="55" w:lineRule="exact"/>
        <w:rPr>
          <w:sz w:val="20"/>
          <w:szCs w:val="20"/>
          <w:color w:val="auto"/>
        </w:rPr>
      </w:pPr>
    </w:p>
    <w:p>
      <w:pPr>
        <w:ind w:right="240" w:firstLine="327"/>
        <w:spacing w:after="0" w:line="258" w:lineRule="auto"/>
        <w:rPr>
          <w:sz w:val="20"/>
          <w:szCs w:val="20"/>
          <w:color w:val="auto"/>
        </w:rPr>
      </w:pPr>
      <w:r>
        <w:rPr>
          <w:rFonts w:ascii="Arial" w:cs="Arial" w:eastAsia="Arial" w:hAnsi="Arial"/>
          <w:sz w:val="13"/>
          <w:szCs w:val="13"/>
          <w:b w:val="1"/>
          <w:bCs w:val="1"/>
          <w:color w:val="auto"/>
        </w:rPr>
        <w:t>§5.11. Reasonable Efforts to Mitigate</w:t>
      </w:r>
      <w:r>
        <w:rPr>
          <w:rFonts w:ascii="Arial" w:cs="Arial" w:eastAsia="Arial" w:hAnsi="Arial"/>
          <w:sz w:val="13"/>
          <w:szCs w:val="13"/>
          <w:color w:val="auto"/>
        </w:rPr>
        <w:t>. Each Bank agrees that as promptly as practicable after it becomes aware of the occurrence of an event or the existence of a condition that would cause it to be affected</w:t>
      </w:r>
      <w:r>
        <w:rPr>
          <w:rFonts w:ascii="Arial" w:cs="Arial" w:eastAsia="Arial" w:hAnsi="Arial"/>
          <w:sz w:val="13"/>
          <w:szCs w:val="13"/>
          <w:b w:val="1"/>
          <w:bCs w:val="1"/>
          <w:color w:val="auto"/>
        </w:rPr>
        <w:t xml:space="preserve"> </w:t>
      </w:r>
      <w:r>
        <w:rPr>
          <w:rFonts w:ascii="Arial" w:cs="Arial" w:eastAsia="Arial" w:hAnsi="Arial"/>
          <w:sz w:val="13"/>
          <w:szCs w:val="13"/>
          <w:color w:val="auto"/>
        </w:rPr>
        <w:t>under §§5.4, 5.5 or 5.6, such Bank will give notice thereof to the Borrower, with a copy to the Administrative Agent and, to the extent so requested by the Borrower and not inconsistent with such Bank’s internal policies, such Bank shall use reasonable efforts and take such actions as are reasonably appropriate if as a result thereof the additional moneys which would otherwise be required to be paid to such Bank pursuant to such sections would be materially reduced, or the illegality or other adverse circumstances which would otherwise require a conversion of such Loans or result in the inability to make such Loans pursuant to such sections would cease to exist, and in each case if, as determined by such Bank in its sole discretion, the taking of such actions would not adversely affect such Loans or such Bank or otherwise be disadvantageous to such Bank.</w:t>
      </w:r>
    </w:p>
    <w:p>
      <w:pPr>
        <w:spacing w:after="0" w:line="58" w:lineRule="exact"/>
        <w:rPr>
          <w:sz w:val="20"/>
          <w:szCs w:val="20"/>
          <w:color w:val="auto"/>
        </w:rPr>
      </w:pPr>
    </w:p>
    <w:p>
      <w:pPr>
        <w:ind w:firstLine="327"/>
        <w:spacing w:after="0" w:line="300" w:lineRule="auto"/>
        <w:rPr>
          <w:sz w:val="20"/>
          <w:szCs w:val="20"/>
          <w:color w:val="auto"/>
        </w:rPr>
      </w:pPr>
      <w:r>
        <w:rPr>
          <w:rFonts w:ascii="Arial" w:cs="Arial" w:eastAsia="Arial" w:hAnsi="Arial"/>
          <w:sz w:val="12"/>
          <w:szCs w:val="12"/>
          <w:b w:val="1"/>
          <w:bCs w:val="1"/>
          <w:color w:val="auto"/>
        </w:rPr>
        <w:t>§5.12. Replacement of Banks</w:t>
      </w:r>
      <w:r>
        <w:rPr>
          <w:rFonts w:ascii="Arial" w:cs="Arial" w:eastAsia="Arial" w:hAnsi="Arial"/>
          <w:sz w:val="12"/>
          <w:szCs w:val="12"/>
          <w:color w:val="auto"/>
        </w:rPr>
        <w:t>. If any Bank (an “Affected Bank”) (i) makes demand upon the Borrower for (or if the Borrower is otherwise required to pay) amounts pursuant to §§5.5 or 5.6, (ii) is unable to make</w:t>
      </w:r>
      <w:r>
        <w:rPr>
          <w:rFonts w:ascii="Arial" w:cs="Arial" w:eastAsia="Arial" w:hAnsi="Arial"/>
          <w:sz w:val="12"/>
          <w:szCs w:val="12"/>
          <w:b w:val="1"/>
          <w:bCs w:val="1"/>
          <w:color w:val="auto"/>
        </w:rPr>
        <w:t xml:space="preserve"> </w:t>
      </w:r>
      <w:r>
        <w:rPr>
          <w:rFonts w:ascii="Arial" w:cs="Arial" w:eastAsia="Arial" w:hAnsi="Arial"/>
          <w:sz w:val="12"/>
          <w:szCs w:val="12"/>
          <w:color w:val="auto"/>
        </w:rPr>
        <w:t>or maintain Eurodollar Loans as a result of a condition described in §5.4, (iii) is a Defaulting Bank, or (iv) is a Non-Consenting Bank (as defined below), the Borrower may, within 90 days of receipt of such demand, notice (or the occurrence of such other event causing the Borrower to be required to pay such compensation or causing §5.4 to be applicable), default or approval of such amendment,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9" w:name="page140"/>
    <w:bookmarkEnd w:id="139"/>
    <w:p>
      <w:pPr>
        <w:spacing w:after="0" w:line="281" w:lineRule="auto"/>
        <w:rPr>
          <w:sz w:val="20"/>
          <w:szCs w:val="20"/>
          <w:color w:val="auto"/>
        </w:rPr>
      </w:pPr>
      <w:r>
        <w:rPr>
          <w:rFonts w:ascii="Arial" w:cs="Arial" w:eastAsia="Arial" w:hAnsi="Arial"/>
          <w:sz w:val="12"/>
          <w:szCs w:val="12"/>
          <w:color w:val="auto"/>
        </w:rPr>
        <w:t xml:space="preserve">waiver or consent by the Majority Banks, as the case may be, by notice (a “Replacement Notice”) in writing to the Administrative Agent and such Affected Bank (A) request the Affected Bank to cooperate with the Borrower in obtaining a replacement bank satisfactory to the Administrative Agent and the Borrower (the “Replacement Bank”) as provided herein, but none of such Banks shall be under an obligation to find a Replacement Bank; (B) request the non-Affected Banks to acquire and assume all of the Affected Bank’s Loans and Commitment, and to participate in Letters of Credit as provided herein, but none of such Banks shall be under an obligation to do so; or (C) designate a Replacement Bank reasonably satisfactory to the Administrative Agent. If any satisfactory Replacement Bank shall be obtained, and/or any of the non-Affected Banks shall agree to acquire and assume all of the Affected Bank’s Loans and Commitment, and obligations to participate in Letters of Credit, then the Borrower may, upon notice to such Affected Bank and the Administrative Agent, require such Affected Bank to assign and delegate, without recourse (in accordance with and subject to the restrictions contained in, and consents required by, §20), all of its interests, rights and obligations under this Agreement and the related Loan Documents to an assignee that shall assume such obligations (which assignee may be another Bank, if a Bank accepts such assignment),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w:t>
      </w:r>
    </w:p>
    <w:p>
      <w:pPr>
        <w:spacing w:after="0" w:line="49" w:lineRule="exact"/>
        <w:rPr>
          <w:sz w:val="20"/>
          <w:szCs w:val="20"/>
          <w:color w:val="auto"/>
        </w:rPr>
      </w:pPr>
    </w:p>
    <w:p>
      <w:pPr>
        <w:ind w:left="320" w:hanging="158"/>
        <w:spacing w:after="0"/>
        <w:tabs>
          <w:tab w:leader="none" w:pos="32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Borrower shall have paid to the Administrative Agent the assignment fee specified in §20 (to the extent not waived);</w:t>
      </w:r>
    </w:p>
    <w:p>
      <w:pPr>
        <w:spacing w:after="0" w:line="86" w:lineRule="exact"/>
        <w:rPr>
          <w:rFonts w:ascii="Arial" w:cs="Arial" w:eastAsia="Arial" w:hAnsi="Arial"/>
          <w:sz w:val="13"/>
          <w:szCs w:val="13"/>
          <w:color w:val="auto"/>
        </w:rPr>
      </w:pPr>
    </w:p>
    <w:p>
      <w:pPr>
        <w:ind w:firstLine="162"/>
        <w:spacing w:after="0" w:line="260" w:lineRule="auto"/>
        <w:tabs>
          <w:tab w:leader="none" w:pos="357" w:val="left"/>
        </w:tabs>
        <w:numPr>
          <w:ilvl w:val="0"/>
          <w:numId w:val="120"/>
        </w:numPr>
        <w:rPr>
          <w:rFonts w:ascii="Arial" w:cs="Arial" w:eastAsia="Arial" w:hAnsi="Arial"/>
          <w:sz w:val="13"/>
          <w:szCs w:val="13"/>
          <w:color w:val="auto"/>
        </w:rPr>
      </w:pPr>
      <w:r>
        <w:rPr>
          <w:rFonts w:ascii="Arial" w:cs="Arial" w:eastAsia="Arial" w:hAnsi="Arial"/>
          <w:sz w:val="13"/>
          <w:szCs w:val="13"/>
          <w:color w:val="auto"/>
        </w:rPr>
        <w:t>subject to the provisions in §5.14 with respect to any Defaulting Bank in the case of reallocation of payments to such Defaulting Bank for amounts described in clauses first, sixth and seventh of such §5.14, such Affected Bank shall have received payment of an amount equal to 100% of the outstanding principal of its Loans and funded participations in Letters of Credit, accrued interest thereon, accrued fees and all other amounts payable to it hereunder and under the other Loan Documents (including any amounts under §§5.5, 5.6 and 5.8) from the assignee (to the extent of such outstanding principal and accrued interest and fees) or the Borrower (in the case of all other amounts);</w:t>
      </w:r>
    </w:p>
    <w:p>
      <w:pPr>
        <w:spacing w:after="0" w:line="59" w:lineRule="exact"/>
        <w:rPr>
          <w:rFonts w:ascii="Arial" w:cs="Arial" w:eastAsia="Arial" w:hAnsi="Arial"/>
          <w:sz w:val="13"/>
          <w:szCs w:val="13"/>
          <w:color w:val="auto"/>
        </w:rPr>
      </w:pPr>
    </w:p>
    <w:p>
      <w:pPr>
        <w:ind w:left="400" w:hanging="238"/>
        <w:spacing w:after="0"/>
        <w:tabs>
          <w:tab w:leader="none" w:pos="40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in the case of any such assignment resulting from a claim for compensation under §§5.5 or 5.6, such assignment will result in a reduction in such compensation or payments thereafter; and</w:t>
      </w:r>
    </w:p>
    <w:p>
      <w:pPr>
        <w:spacing w:after="0" w:line="86" w:lineRule="exact"/>
        <w:rPr>
          <w:rFonts w:ascii="Arial" w:cs="Arial" w:eastAsia="Arial" w:hAnsi="Arial"/>
          <w:sz w:val="13"/>
          <w:szCs w:val="13"/>
          <w:color w:val="auto"/>
        </w:rPr>
      </w:pPr>
    </w:p>
    <w:p>
      <w:pPr>
        <w:ind w:left="380" w:hanging="218"/>
        <w:spacing w:after="0"/>
        <w:tabs>
          <w:tab w:leader="none" w:pos="38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such assignment does not conflict with applicable law.</w:t>
      </w:r>
    </w:p>
    <w:p>
      <w:pPr>
        <w:spacing w:after="0" w:line="86" w:lineRule="exact"/>
        <w:rPr>
          <w:sz w:val="20"/>
          <w:szCs w:val="20"/>
          <w:color w:val="auto"/>
        </w:rPr>
      </w:pPr>
    </w:p>
    <w:p>
      <w:pPr>
        <w:ind w:right="320"/>
        <w:spacing w:after="0" w:line="320" w:lineRule="auto"/>
        <w:rPr>
          <w:sz w:val="20"/>
          <w:szCs w:val="20"/>
          <w:color w:val="auto"/>
        </w:rPr>
      </w:pPr>
      <w:r>
        <w:rPr>
          <w:rFonts w:ascii="Arial" w:cs="Arial" w:eastAsia="Arial" w:hAnsi="Arial"/>
          <w:sz w:val="12"/>
          <w:szCs w:val="12"/>
          <w:color w:val="auto"/>
        </w:rPr>
        <w:t>A Bank shall not be required to make any such assignment or delegation if, prior thereto, as a result of a waiver by such Bank or otherwise, the circumstances entitling the Borrower to require such assignment and delegation cease to apply. Upon the effective date of such assignment, such Replacement Bank shall become a “Bank” for all purposes under this Agreement and the other Loan Documents.</w:t>
      </w:r>
    </w:p>
    <w:p>
      <w:pPr>
        <w:spacing w:after="0" w:line="25" w:lineRule="exact"/>
        <w:rPr>
          <w:sz w:val="20"/>
          <w:szCs w:val="20"/>
          <w:color w:val="auto"/>
        </w:rPr>
      </w:pPr>
    </w:p>
    <w:p>
      <w:pPr>
        <w:ind w:right="80"/>
        <w:spacing w:after="0" w:line="276" w:lineRule="auto"/>
        <w:rPr>
          <w:sz w:val="20"/>
          <w:szCs w:val="20"/>
          <w:color w:val="auto"/>
        </w:rPr>
      </w:pPr>
      <w:r>
        <w:rPr>
          <w:rFonts w:ascii="Arial" w:cs="Arial" w:eastAsia="Arial" w:hAnsi="Arial"/>
          <w:sz w:val="13"/>
          <w:szCs w:val="13"/>
          <w:color w:val="auto"/>
        </w:rPr>
        <w:t>For the purposes of this §5.12, a “Non-Consenting Bank” means a Bank that fails to approve an amendment, waiver or consent requested by the Borrower pursuant to §15.9 that has received the written approval of not less than the Majority Banks but also requires the approval of such Bank.</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40" w:name="page141"/>
    <w:bookmarkEnd w:id="140"/>
    <w:p>
      <w:pPr>
        <w:ind w:left="1" w:firstLine="327"/>
        <w:spacing w:after="0" w:line="282" w:lineRule="auto"/>
        <w:rPr>
          <w:sz w:val="20"/>
          <w:szCs w:val="20"/>
          <w:color w:val="auto"/>
        </w:rPr>
      </w:pPr>
      <w:r>
        <w:rPr>
          <w:rFonts w:ascii="Arial" w:cs="Arial" w:eastAsia="Arial" w:hAnsi="Arial"/>
          <w:sz w:val="12"/>
          <w:szCs w:val="12"/>
          <w:b w:val="1"/>
          <w:bCs w:val="1"/>
          <w:color w:val="auto"/>
        </w:rPr>
        <w:t>§5.13. Advances by Administrative Agent</w:t>
      </w:r>
      <w:r>
        <w:rPr>
          <w:rFonts w:ascii="Arial" w:cs="Arial" w:eastAsia="Arial" w:hAnsi="Arial"/>
          <w:sz w:val="12"/>
          <w:szCs w:val="12"/>
          <w:color w:val="auto"/>
        </w:rPr>
        <w:t>. Unless the Administrative Agent shall have been notified in writing by any Bank prior to a borrowing hereunder that such Bank will not make the amount that would</w:t>
      </w:r>
      <w:r>
        <w:rPr>
          <w:rFonts w:ascii="Arial" w:cs="Arial" w:eastAsia="Arial" w:hAnsi="Arial"/>
          <w:sz w:val="12"/>
          <w:szCs w:val="12"/>
          <w:b w:val="1"/>
          <w:bCs w:val="1"/>
          <w:color w:val="auto"/>
        </w:rPr>
        <w:t xml:space="preserve"> </w:t>
      </w:r>
      <w:r>
        <w:rPr>
          <w:rFonts w:ascii="Arial" w:cs="Arial" w:eastAsia="Arial" w:hAnsi="Arial"/>
          <w:sz w:val="12"/>
          <w:szCs w:val="12"/>
          <w:color w:val="auto"/>
        </w:rPr>
        <w:t>constitute its allocable share of such borrowing available to the Administrative Agent, the Administrative Agent may assume that such Bank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Bank shall pay to the Administrative Agent, on demand, such amount with interest thereon at a rate equal to the daily average Federal Funds Rate for the period until such Bank makes such amount immediately available to the Administrative Agent. A certificate of the Administrative Agent submitted to any Bank with respect to any amounts owing under this Section shall be conclusive in the absence of manifest error. If such Bank’s Commitment Percentage of such borrowing is not made available to the Administrative Agent by such Bank within three Business Days of such borrowing date, the Administrative Agent shall be entitled to recover such amount with interest thereon at the rate per annum applicable to such Loan hereunder, on demand, from the Borrower.</w:t>
      </w:r>
    </w:p>
    <w:p>
      <w:pPr>
        <w:spacing w:after="0" w:line="45" w:lineRule="exact"/>
        <w:rPr>
          <w:sz w:val="20"/>
          <w:szCs w:val="20"/>
          <w:color w:val="auto"/>
        </w:rPr>
      </w:pPr>
    </w:p>
    <w:p>
      <w:pPr>
        <w:ind w:left="1" w:right="40" w:firstLine="327"/>
        <w:spacing w:after="0" w:line="283" w:lineRule="auto"/>
        <w:rPr>
          <w:sz w:val="20"/>
          <w:szCs w:val="20"/>
          <w:color w:val="auto"/>
        </w:rPr>
      </w:pPr>
      <w:r>
        <w:rPr>
          <w:rFonts w:ascii="Arial" w:cs="Arial" w:eastAsia="Arial" w:hAnsi="Arial"/>
          <w:sz w:val="13"/>
          <w:szCs w:val="13"/>
          <w:b w:val="1"/>
          <w:bCs w:val="1"/>
          <w:color w:val="auto"/>
        </w:rPr>
        <w:t xml:space="preserve">§5.14. Defaulting Banks. </w:t>
      </w:r>
      <w:r>
        <w:rPr>
          <w:rFonts w:ascii="Arial" w:cs="Arial" w:eastAsia="Arial" w:hAnsi="Arial"/>
          <w:sz w:val="13"/>
          <w:szCs w:val="13"/>
          <w:color w:val="auto"/>
        </w:rPr>
        <w:t>Notwithstanding anything to the contrary contained in this Agreement, if any Bank becomes a Defaulting Bank, then, until such time as such Bank is no longer a Defaulting Bank, to the</w:t>
      </w:r>
      <w:r>
        <w:rPr>
          <w:rFonts w:ascii="Arial" w:cs="Arial" w:eastAsia="Arial" w:hAnsi="Arial"/>
          <w:sz w:val="13"/>
          <w:szCs w:val="13"/>
          <w:b w:val="1"/>
          <w:bCs w:val="1"/>
          <w:color w:val="auto"/>
        </w:rPr>
        <w:t xml:space="preserve"> </w:t>
      </w:r>
      <w:r>
        <w:rPr>
          <w:rFonts w:ascii="Arial" w:cs="Arial" w:eastAsia="Arial" w:hAnsi="Arial"/>
          <w:sz w:val="13"/>
          <w:szCs w:val="13"/>
          <w:color w:val="auto"/>
        </w:rPr>
        <w:t>extent permitted by applicable law:</w:t>
      </w:r>
    </w:p>
    <w:p>
      <w:pPr>
        <w:spacing w:after="0" w:line="45" w:lineRule="exact"/>
        <w:rPr>
          <w:sz w:val="20"/>
          <w:szCs w:val="20"/>
          <w:color w:val="auto"/>
        </w:rPr>
      </w:pPr>
    </w:p>
    <w:p>
      <w:pPr>
        <w:ind w:left="161" w:hanging="161"/>
        <w:spacing w:after="0"/>
        <w:tabs>
          <w:tab w:leader="none" w:pos="161" w:val="left"/>
        </w:tabs>
        <w:numPr>
          <w:ilvl w:val="0"/>
          <w:numId w:val="121"/>
        </w:numPr>
        <w:rPr>
          <w:rFonts w:ascii="Arial" w:cs="Arial" w:eastAsia="Arial" w:hAnsi="Arial"/>
          <w:sz w:val="13"/>
          <w:szCs w:val="13"/>
          <w:color w:val="auto"/>
        </w:rPr>
      </w:pPr>
      <w:r>
        <w:rPr>
          <w:rFonts w:ascii="Arial" w:cs="Arial" w:eastAsia="Arial" w:hAnsi="Arial"/>
          <w:sz w:val="13"/>
          <w:szCs w:val="13"/>
          <w:color w:val="auto"/>
        </w:rPr>
        <w:t>such Defaulting Bank’s right to approve or disapprove any amendment, waiver or consent with respect to this Agreement shall be restricted as set forth in §15.9;</w:t>
      </w:r>
    </w:p>
    <w:p>
      <w:pPr>
        <w:spacing w:after="0" w:line="86" w:lineRule="exact"/>
        <w:rPr>
          <w:rFonts w:ascii="Arial" w:cs="Arial" w:eastAsia="Arial" w:hAnsi="Arial"/>
          <w:sz w:val="13"/>
          <w:szCs w:val="13"/>
          <w:color w:val="auto"/>
        </w:rPr>
      </w:pPr>
    </w:p>
    <w:p>
      <w:pPr>
        <w:ind w:left="1" w:hanging="1"/>
        <w:spacing w:after="0" w:line="278" w:lineRule="auto"/>
        <w:tabs>
          <w:tab w:leader="none" w:pos="194" w:val="left"/>
        </w:tabs>
        <w:numPr>
          <w:ilvl w:val="0"/>
          <w:numId w:val="121"/>
        </w:numPr>
        <w:rPr>
          <w:rFonts w:ascii="Arial" w:cs="Arial" w:eastAsia="Arial" w:hAnsi="Arial"/>
          <w:sz w:val="12"/>
          <w:szCs w:val="12"/>
          <w:color w:val="auto"/>
        </w:rPr>
      </w:pPr>
      <w:r>
        <w:rPr>
          <w:rFonts w:ascii="Arial" w:cs="Arial" w:eastAsia="Arial" w:hAnsi="Arial"/>
          <w:sz w:val="12"/>
          <w:szCs w:val="12"/>
          <w:color w:val="auto"/>
        </w:rPr>
        <w:t xml:space="preserve">any payment of principal, interest, fees or other amounts received by the Administrative Agent for the account of any such Bank on account of such Bank’s Syndicated Loans, shall be applied by the Administrative Agent as follows: </w:t>
      </w:r>
      <w:r>
        <w:rPr>
          <w:rFonts w:ascii="Arial" w:cs="Arial" w:eastAsia="Arial" w:hAnsi="Arial"/>
          <w:sz w:val="12"/>
          <w:szCs w:val="12"/>
          <w:i w:val="1"/>
          <w:iCs w:val="1"/>
          <w:color w:val="auto"/>
        </w:rPr>
        <w:t>first</w:t>
      </w:r>
      <w:r>
        <w:rPr>
          <w:rFonts w:ascii="Arial" w:cs="Arial" w:eastAsia="Arial" w:hAnsi="Arial"/>
          <w:sz w:val="12"/>
          <w:szCs w:val="12"/>
          <w:color w:val="auto"/>
        </w:rPr>
        <w:t xml:space="preserve">, to the payment of any amounts owing by that Defaulting Bank to the Administrative Agent hereunder; </w:t>
      </w:r>
      <w:r>
        <w:rPr>
          <w:rFonts w:ascii="Arial" w:cs="Arial" w:eastAsia="Arial" w:hAnsi="Arial"/>
          <w:sz w:val="12"/>
          <w:szCs w:val="12"/>
          <w:i w:val="1"/>
          <w:iCs w:val="1"/>
          <w:color w:val="auto"/>
        </w:rPr>
        <w:t>second</w:t>
      </w:r>
      <w:r>
        <w:rPr>
          <w:rFonts w:ascii="Arial" w:cs="Arial" w:eastAsia="Arial" w:hAnsi="Arial"/>
          <w:sz w:val="12"/>
          <w:szCs w:val="12"/>
          <w:color w:val="auto"/>
        </w:rPr>
        <w:t xml:space="preserve">, to the payment on a pro rata basis of any amounts owing by that Defaulting Bank to the Issuing Banks or Swing Line Bank hereunder; </w:t>
      </w:r>
      <w:r>
        <w:rPr>
          <w:rFonts w:ascii="Arial" w:cs="Arial" w:eastAsia="Arial" w:hAnsi="Arial"/>
          <w:sz w:val="12"/>
          <w:szCs w:val="12"/>
          <w:i w:val="1"/>
          <w:iCs w:val="1"/>
          <w:color w:val="auto"/>
        </w:rPr>
        <w:t>third</w:t>
      </w:r>
      <w:r>
        <w:rPr>
          <w:rFonts w:ascii="Arial" w:cs="Arial" w:eastAsia="Arial" w:hAnsi="Arial"/>
          <w:sz w:val="12"/>
          <w:szCs w:val="12"/>
          <w:color w:val="auto"/>
        </w:rPr>
        <w:t xml:space="preserve">, if so determined by the Administrative Agent or requested by the Issuing Banks or Swing Line Bank, to be held as cash collateral for future funding obligations of that Defaulting Bank of any participation in any Swing Line Loan or Letter of Credit (and each such Bank hereby grants to the Administrative Agent a security interest therein); </w:t>
      </w:r>
      <w:r>
        <w:rPr>
          <w:rFonts w:ascii="Arial" w:cs="Arial" w:eastAsia="Arial" w:hAnsi="Arial"/>
          <w:sz w:val="12"/>
          <w:szCs w:val="12"/>
          <w:i w:val="1"/>
          <w:iCs w:val="1"/>
          <w:color w:val="auto"/>
        </w:rPr>
        <w:t>fourth</w:t>
      </w:r>
      <w:r>
        <w:rPr>
          <w:rFonts w:ascii="Arial" w:cs="Arial" w:eastAsia="Arial" w:hAnsi="Arial"/>
          <w:sz w:val="12"/>
          <w:szCs w:val="12"/>
          <w:color w:val="auto"/>
        </w:rPr>
        <w:t xml:space="preserve">, if the Borrower so requests (so long as no Default or Event of Default exists), to the funding of any Syndicated Loan in respect of which that Defaulting Bank has failed to fund its portion thereof as required by this Agreement, as determined by the Administrative Agent; </w:t>
      </w:r>
      <w:r>
        <w:rPr>
          <w:rFonts w:ascii="Arial" w:cs="Arial" w:eastAsia="Arial" w:hAnsi="Arial"/>
          <w:sz w:val="12"/>
          <w:szCs w:val="12"/>
          <w:i w:val="1"/>
          <w:iCs w:val="1"/>
          <w:color w:val="auto"/>
        </w:rPr>
        <w:t>fifth</w:t>
      </w:r>
      <w:r>
        <w:rPr>
          <w:rFonts w:ascii="Arial" w:cs="Arial" w:eastAsia="Arial" w:hAnsi="Arial"/>
          <w:sz w:val="12"/>
          <w:szCs w:val="12"/>
          <w:color w:val="auto"/>
        </w:rPr>
        <w:t xml:space="preserve">, if so determined by the Administrative Agent and the Borrower, to be held in a non-interest bearing deposit account and released in order to satisfy obligations of that Defaulting Bank to fund Syndicated Loans under this Agreement; </w:t>
      </w:r>
      <w:r>
        <w:rPr>
          <w:rFonts w:ascii="Arial" w:cs="Arial" w:eastAsia="Arial" w:hAnsi="Arial"/>
          <w:sz w:val="12"/>
          <w:szCs w:val="12"/>
          <w:i w:val="1"/>
          <w:iCs w:val="1"/>
          <w:color w:val="auto"/>
        </w:rPr>
        <w:t>sixth</w:t>
      </w:r>
      <w:r>
        <w:rPr>
          <w:rFonts w:ascii="Arial" w:cs="Arial" w:eastAsia="Arial" w:hAnsi="Arial"/>
          <w:sz w:val="12"/>
          <w:szCs w:val="12"/>
          <w:color w:val="auto"/>
        </w:rPr>
        <w:t xml:space="preserve">, to the payment of any amounts owing to the Banks as a result of any judgment of a court of competent jurisdiction obtained by any Bank against that Defaulting Bank as a result of that Defaulting Bank’s breach of its obligations under this Agreement; </w:t>
      </w:r>
      <w:r>
        <w:rPr>
          <w:rFonts w:ascii="Arial" w:cs="Arial" w:eastAsia="Arial" w:hAnsi="Arial"/>
          <w:sz w:val="12"/>
          <w:szCs w:val="12"/>
          <w:i w:val="1"/>
          <w:iCs w:val="1"/>
          <w:color w:val="auto"/>
        </w:rPr>
        <w:t>seventh</w:t>
      </w:r>
      <w:r>
        <w:rPr>
          <w:rFonts w:ascii="Arial" w:cs="Arial" w:eastAsia="Arial" w:hAnsi="Arial"/>
          <w:sz w:val="12"/>
          <w:szCs w:val="12"/>
          <w:color w:val="auto"/>
        </w:rPr>
        <w:t xml:space="preserve">, so long as no Default or Event of Default exists, to the payment of any amounts owing to the Borrower as a result of any judgment of a court of competent jurisdiction obtained by the Borrower against that Defaulting Bank as a result of that Defaulting Bank’s breach of its obligations under this Agreement; and </w:t>
      </w:r>
      <w:r>
        <w:rPr>
          <w:rFonts w:ascii="Arial" w:cs="Arial" w:eastAsia="Arial" w:hAnsi="Arial"/>
          <w:sz w:val="12"/>
          <w:szCs w:val="12"/>
          <w:i w:val="1"/>
          <w:iCs w:val="1"/>
          <w:color w:val="auto"/>
        </w:rPr>
        <w:t>eighth</w:t>
      </w:r>
      <w:r>
        <w:rPr>
          <w:rFonts w:ascii="Arial" w:cs="Arial" w:eastAsia="Arial" w:hAnsi="Arial"/>
          <w:sz w:val="12"/>
          <w:szCs w:val="12"/>
          <w:color w:val="auto"/>
        </w:rPr>
        <w:t xml:space="preserve">, to that Defaulting Bank or as otherwise directed by a court of competent jurisdiction,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(x) such payment is a payment of the principal amount of any Syndicated Loans or Letter of Credit Participations in</w:t>
      </w:r>
    </w:p>
    <w:p>
      <w:pPr>
        <w:spacing w:after="0" w:line="111" w:lineRule="exact"/>
        <w:rPr>
          <w:rFonts w:ascii="Arial" w:cs="Arial" w:eastAsia="Arial" w:hAnsi="Arial"/>
          <w:sz w:val="12"/>
          <w:szCs w:val="12"/>
          <w:color w:val="auto"/>
        </w:rPr>
      </w:pPr>
    </w:p>
    <w:p>
      <w:pPr>
        <w:ind w:left="5661" w:hanging="68"/>
        <w:spacing w:after="0"/>
        <w:tabs>
          <w:tab w:leader="none" w:pos="5661" w:val="left"/>
        </w:tabs>
        <w:numPr>
          <w:ilvl w:val="1"/>
          <w:numId w:val="121"/>
        </w:numPr>
        <w:rPr>
          <w:rFonts w:ascii="Arial" w:cs="Arial" w:eastAsia="Arial" w:hAnsi="Arial"/>
          <w:sz w:val="13"/>
          <w:szCs w:val="13"/>
          <w:color w:val="auto"/>
        </w:rPr>
      </w:pPr>
      <w:r>
        <w:rPr>
          <w:rFonts w:ascii="Arial" w:cs="Arial" w:eastAsia="Arial" w:hAnsi="Arial"/>
          <w:sz w:val="13"/>
          <w:szCs w:val="13"/>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141" w:name="page142"/>
    <w:bookmarkEnd w:id="141"/>
    <w:p>
      <w:pPr>
        <w:ind w:left="1" w:right="160"/>
        <w:spacing w:after="0" w:line="260" w:lineRule="auto"/>
        <w:rPr>
          <w:sz w:val="20"/>
          <w:szCs w:val="20"/>
          <w:color w:val="auto"/>
        </w:rPr>
      </w:pPr>
      <w:r>
        <w:rPr>
          <w:rFonts w:ascii="Arial" w:cs="Arial" w:eastAsia="Arial" w:hAnsi="Arial"/>
          <w:sz w:val="13"/>
          <w:szCs w:val="13"/>
          <w:color w:val="auto"/>
        </w:rPr>
        <w:t>respect of which that Defaulting Bank has not fully funded its appropriate share and (y) such Loans or Letter of Credit Participations were made at a time when the conditions set forth in §11 were satisfied or waived, such payment shall be applied solely to pay the Loans of, and Letter of Credit Participations owed to, all non-Defaulting Banks on a pro rata basis prior to being applied to the payment of any Loans of, or Letter of Credit Participations owed to, that Defaulting Bank (and any such amounts paid or payable to a Defaulting Bank that are applied to pay amounts owed by a Defaulting Bank or to post cash collateral pursuant to this §5.14 shall be deemed paid to and redirected by such Defaulting Bank, and each Bank irrevocably consents hereto);</w:t>
      </w:r>
    </w:p>
    <w:p>
      <w:pPr>
        <w:spacing w:after="0" w:line="60" w:lineRule="exact"/>
        <w:rPr>
          <w:sz w:val="20"/>
          <w:szCs w:val="20"/>
          <w:color w:val="auto"/>
        </w:rPr>
      </w:pPr>
    </w:p>
    <w:p>
      <w:pPr>
        <w:ind w:left="1" w:right="140" w:hanging="1"/>
        <w:spacing w:after="0" w:line="258" w:lineRule="auto"/>
        <w:tabs>
          <w:tab w:leader="none" w:pos="231" w:val="left"/>
        </w:tabs>
        <w:numPr>
          <w:ilvl w:val="0"/>
          <w:numId w:val="122"/>
        </w:numPr>
        <w:rPr>
          <w:rFonts w:ascii="Arial" w:cs="Arial" w:eastAsia="Arial" w:hAnsi="Arial"/>
          <w:sz w:val="13"/>
          <w:szCs w:val="13"/>
          <w:color w:val="auto"/>
        </w:rPr>
      </w:pPr>
      <w:r>
        <w:rPr>
          <w:rFonts w:ascii="Arial" w:cs="Arial" w:eastAsia="Arial" w:hAnsi="Arial"/>
          <w:sz w:val="13"/>
          <w:szCs w:val="13"/>
          <w:color w:val="auto"/>
        </w:rPr>
        <w:t>such Defaulting Bank (x) shall be entitled to receive Facility Fees only to extent allocable to the sum of (1) the outstanding amount of the Syndicated Loans funded by it and (2) its Commitment Percentage of the stated amount of Letters of Credit and Swing Line Loans for which it has provided cash collateral or other credit support satisfactory to each Issuing Bank (in its sole discretion) and the Swing Line Bank (in its sole discretion)(and the Borrower shall (A) be required to pay to each Issuing Bank and the Swing Line Bank, as applicable, the amount of such Facility Fee allocable to its fronting exposure arising from that Defaulting Bank and (B) not be required to pay the remaining amount of such fee that otherwise would have been required to have been paid to that Defaulting Bank) and (y) shall be limited in its right to receive Letter of Credit Fees as provided in §3.6;</w:t>
      </w:r>
    </w:p>
    <w:p>
      <w:pPr>
        <w:spacing w:after="0" w:line="61" w:lineRule="exact"/>
        <w:rPr>
          <w:rFonts w:ascii="Arial" w:cs="Arial" w:eastAsia="Arial" w:hAnsi="Arial"/>
          <w:sz w:val="13"/>
          <w:szCs w:val="13"/>
          <w:color w:val="auto"/>
        </w:rPr>
      </w:pPr>
    </w:p>
    <w:p>
      <w:pPr>
        <w:ind w:left="1" w:hanging="1"/>
        <w:spacing w:after="0" w:line="258" w:lineRule="auto"/>
        <w:tabs>
          <w:tab w:leader="none" w:pos="223" w:val="left"/>
        </w:tabs>
        <w:numPr>
          <w:ilvl w:val="0"/>
          <w:numId w:val="122"/>
        </w:numPr>
        <w:rPr>
          <w:rFonts w:ascii="Arial" w:cs="Arial" w:eastAsia="Arial" w:hAnsi="Arial"/>
          <w:sz w:val="13"/>
          <w:szCs w:val="13"/>
          <w:color w:val="auto"/>
        </w:rPr>
      </w:pPr>
      <w:r>
        <w:rPr>
          <w:rFonts w:ascii="Arial" w:cs="Arial" w:eastAsia="Arial" w:hAnsi="Arial"/>
          <w:sz w:val="13"/>
          <w:szCs w:val="13"/>
          <w:color w:val="auto"/>
        </w:rPr>
        <w:t xml:space="preserve">for purposes of computing the amount of the obligation of each non-Defaulting Bank to acquire, refinance or fund participations in Letters of Credit or Swing Line Loans hereunder, including, without limitation, under §3.1(c), the “Commitment Percentage” of each non-Defaulting Bank shall be computed without giving effect to the Commitment of that Defaulting Bank using a fraction the numerator of which is the Commitment of such non-Defaulting Bank and the denominator of which is the aggregate Commitments of all non-Defaulting Banks; </w:t>
      </w:r>
      <w:r>
        <w:rPr>
          <w:rFonts w:ascii="Arial" w:cs="Arial" w:eastAsia="Arial" w:hAnsi="Arial"/>
          <w:sz w:val="13"/>
          <w:szCs w:val="13"/>
          <w:u w:val="single" w:color="auto"/>
          <w:color w:val="auto"/>
        </w:rPr>
        <w:t>provided</w:t>
      </w:r>
      <w:r>
        <w:rPr>
          <w:rFonts w:ascii="Arial" w:cs="Arial" w:eastAsia="Arial" w:hAnsi="Arial"/>
          <w:sz w:val="13"/>
          <w:szCs w:val="13"/>
          <w:color w:val="auto"/>
        </w:rPr>
        <w:t>, that, the aggregate obligation of each non-Defaulting Bank to acquire, refinance or fund participations in Letters of Credit and Swing Line Loans shall not exceed the positive difference, if any, of (1) the Commitment of that non-Defaulting Bank minus (2) the aggregate outstanding amount of the Syndicated Loans of that non-Defaulting Bank; and</w:t>
      </w:r>
    </w:p>
    <w:p>
      <w:pPr>
        <w:spacing w:after="0" w:line="61" w:lineRule="exact"/>
        <w:rPr>
          <w:rFonts w:ascii="Arial" w:cs="Arial" w:eastAsia="Arial" w:hAnsi="Arial"/>
          <w:sz w:val="13"/>
          <w:szCs w:val="13"/>
          <w:color w:val="auto"/>
        </w:rPr>
      </w:pPr>
    </w:p>
    <w:p>
      <w:pPr>
        <w:ind w:left="1" w:right="60" w:hanging="1"/>
        <w:spacing w:after="0" w:line="258" w:lineRule="auto"/>
        <w:tabs>
          <w:tab w:leader="none" w:pos="187" w:val="left"/>
        </w:tabs>
        <w:numPr>
          <w:ilvl w:val="0"/>
          <w:numId w:val="122"/>
        </w:numPr>
        <w:rPr>
          <w:rFonts w:ascii="Arial" w:cs="Arial" w:eastAsia="Arial" w:hAnsi="Arial"/>
          <w:sz w:val="13"/>
          <w:szCs w:val="13"/>
          <w:color w:val="auto"/>
        </w:rPr>
      </w:pPr>
      <w:r>
        <w:rPr>
          <w:rFonts w:ascii="Arial" w:cs="Arial" w:eastAsia="Arial" w:hAnsi="Arial"/>
          <w:sz w:val="13"/>
          <w:szCs w:val="13"/>
          <w:color w:val="auto"/>
        </w:rPr>
        <w:t>immediately upon the request of the Administrative Agent or any Issuing Bank and provided that such Defaulting Bank has not provided cash collateral or other credit support satisfactory to the Administrative Agent or each such Issuing Bank (in its sole discretion)(which each Bank hereby agrees to provide in the event that it becomes a Defaulting Bank), the Borrower shall deliver to the Administrative Agent cash collateral or other credit support satisfactory to the Administrative Agent or each such Issuing Bank (in its sole discretion) (and the Borrower hereby grants to the Administrative Agent a security interest therein) in an amount sufficient to cover the fronting exposure of such Persons for the Defaulting Bank’s participation in any outstanding Letters of Credit after giving effect to the reallocation of such exposure to the non-Defaulting Banks pursuant to clause (iv) above and any cash collateral or other credit support provided by the Defaulting Bank.</w:t>
      </w:r>
    </w:p>
    <w:p>
      <w:pPr>
        <w:spacing w:after="0" w:line="61" w:lineRule="exact"/>
        <w:rPr>
          <w:sz w:val="20"/>
          <w:szCs w:val="20"/>
          <w:color w:val="auto"/>
        </w:rPr>
      </w:pPr>
    </w:p>
    <w:p>
      <w:pPr>
        <w:ind w:left="1" w:right="580"/>
        <w:spacing w:after="0" w:line="320" w:lineRule="auto"/>
        <w:rPr>
          <w:sz w:val="20"/>
          <w:szCs w:val="20"/>
          <w:color w:val="auto"/>
        </w:rPr>
      </w:pPr>
      <w:r>
        <w:rPr>
          <w:rFonts w:ascii="Arial" w:cs="Arial" w:eastAsia="Arial" w:hAnsi="Arial"/>
          <w:sz w:val="12"/>
          <w:szCs w:val="12"/>
          <w:color w:val="auto"/>
        </w:rPr>
        <w:t>If the Borrower, the Administrative Agent, the Swing Line Bank and the Issuing Banks agree in writing in their sole discretion that a Defaulting Bank should no longer be deemed to be a Defaulting Bank, the Administrative Agent will so notify the parties hereto, whereupon as of the effective date specified in such notice and subject to any conditions set forth therein, such Bank</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42" w:name="page143"/>
    <w:bookmarkEnd w:id="142"/>
    <w:p>
      <w:pPr>
        <w:ind w:right="120"/>
        <w:spacing w:after="0" w:line="258" w:lineRule="auto"/>
        <w:rPr>
          <w:sz w:val="20"/>
          <w:szCs w:val="20"/>
          <w:color w:val="auto"/>
        </w:rPr>
      </w:pPr>
      <w:r>
        <w:rPr>
          <w:rFonts w:ascii="Arial" w:cs="Arial" w:eastAsia="Arial" w:hAnsi="Arial"/>
          <w:sz w:val="13"/>
          <w:szCs w:val="13"/>
          <w:color w:val="auto"/>
        </w:rPr>
        <w:t xml:space="preserve">will purchase such portion of outstanding Syndicated Loans of the other Banks or take such other actions as the Administrative Agent may determine to be necessary to cause the Syndicated Loans and funded and unfunded participations in Letters of Credit and Swing Line Loans to be held on a pro rata basis by the Banks in accordance with their Commitment Percentages (disregarding any portions not funded by other Defaulting Banks), whereupon such Bank will cease to be a Defaulting Bank;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adjustments will be made retroactively with respect to fees accrued or payments made by or on behalf of Borrower while such Bank was a Defaulting Bank;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except to the extent otherwise expressly agreed by the affected parties, no change hereunder from Defaulting Bank to Bank will constitute a waiver or release of any claim of any party hereunder arising from such Bank’s having been a Defaulting Bank</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§6. </w:t>
      </w:r>
      <w:r>
        <w:rPr>
          <w:rFonts w:ascii="Arial" w:cs="Arial" w:eastAsia="Arial" w:hAnsi="Arial"/>
          <w:sz w:val="13"/>
          <w:szCs w:val="13"/>
          <w:b w:val="1"/>
          <w:bCs w:val="1"/>
          <w:u w:val="single" w:color="auto"/>
          <w:color w:val="auto"/>
        </w:rPr>
        <w:t>REPRESENTATIONS AND WARRANTIES</w:t>
      </w:r>
      <w:r>
        <w:rPr>
          <w:rFonts w:ascii="Arial" w:cs="Arial" w:eastAsia="Arial" w:hAnsi="Arial"/>
          <w:sz w:val="13"/>
          <w:szCs w:val="13"/>
          <w:b w:val="1"/>
          <w:bCs w:val="1"/>
          <w:color w:val="auto"/>
        </w:rPr>
        <w:t xml:space="preserve">. </w:t>
      </w:r>
      <w:r>
        <w:rPr>
          <w:rFonts w:ascii="Arial" w:cs="Arial" w:eastAsia="Arial" w:hAnsi="Arial"/>
          <w:sz w:val="13"/>
          <w:szCs w:val="13"/>
          <w:color w:val="auto"/>
        </w:rPr>
        <w:t>The Borrower (and the Guarantor, where applicable) represents and warrants to the Banks that: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§6.1. Corporate Authority.</w:t>
      </w:r>
    </w:p>
    <w:p>
      <w:pPr>
        <w:spacing w:after="0" w:line="90" w:lineRule="exact"/>
        <w:rPr>
          <w:sz w:val="20"/>
          <w:szCs w:val="20"/>
          <w:color w:val="auto"/>
        </w:rPr>
      </w:pPr>
    </w:p>
    <w:p>
      <w:pPr>
        <w:ind w:left="560" w:hanging="168"/>
        <w:spacing w:after="0"/>
        <w:tabs>
          <w:tab w:leader="none" w:pos="560" w:val="left"/>
        </w:tabs>
        <w:numPr>
          <w:ilvl w:val="1"/>
          <w:numId w:val="123"/>
        </w:numPr>
        <w:rPr>
          <w:rFonts w:ascii="Arial" w:cs="Arial" w:eastAsia="Arial" w:hAnsi="Arial"/>
          <w:sz w:val="12"/>
          <w:szCs w:val="12"/>
          <w:color w:val="auto"/>
        </w:rPr>
      </w:pPr>
      <w:r>
        <w:rPr>
          <w:rFonts w:ascii="Arial" w:cs="Arial" w:eastAsia="Arial" w:hAnsi="Arial"/>
          <w:sz w:val="12"/>
          <w:szCs w:val="12"/>
          <w:u w:val="single" w:color="auto"/>
          <w:color w:val="auto"/>
        </w:rPr>
        <w:t>Incorporation; Good Standing</w:t>
      </w:r>
      <w:r>
        <w:rPr>
          <w:rFonts w:ascii="Arial" w:cs="Arial" w:eastAsia="Arial" w:hAnsi="Arial"/>
          <w:sz w:val="12"/>
          <w:szCs w:val="12"/>
          <w:color w:val="auto"/>
        </w:rPr>
        <w:t>. The Borrower and each of its Significant Subsidiaries (i) is duly organized, validly existing and in good standing under the laws of its respective jurisdiction of formation,</w:t>
      </w:r>
    </w:p>
    <w:p>
      <w:pPr>
        <w:spacing w:after="0" w:line="26" w:lineRule="exact"/>
        <w:rPr>
          <w:rFonts w:ascii="Arial" w:cs="Arial" w:eastAsia="Arial" w:hAnsi="Arial"/>
          <w:sz w:val="12"/>
          <w:szCs w:val="12"/>
          <w:color w:val="auto"/>
        </w:rPr>
      </w:pPr>
    </w:p>
    <w:p>
      <w:pPr>
        <w:ind w:left="220" w:firstLine="8"/>
        <w:spacing w:after="0" w:line="258" w:lineRule="auto"/>
        <w:tabs>
          <w:tab w:leader="none" w:pos="413" w:val="left"/>
        </w:tabs>
        <w:numPr>
          <w:ilvl w:val="0"/>
          <w:numId w:val="124"/>
        </w:numPr>
        <w:rPr>
          <w:rFonts w:ascii="Arial" w:cs="Arial" w:eastAsia="Arial" w:hAnsi="Arial"/>
          <w:sz w:val="13"/>
          <w:szCs w:val="13"/>
          <w:color w:val="auto"/>
        </w:rPr>
      </w:pPr>
      <w:r>
        <w:rPr>
          <w:rFonts w:ascii="Arial" w:cs="Arial" w:eastAsia="Arial" w:hAnsi="Arial"/>
          <w:sz w:val="13"/>
          <w:szCs w:val="13"/>
          <w:color w:val="auto"/>
        </w:rPr>
        <w:t>has all requisite corporate power to own its property and conduct its business as now conducted and as presently contemplated, and (iii) is in good standing and is duly authorized to do business in each jurisdiction in which its property or business as presently conducted or contemplated makes such qualification necessary, except where a failure to be so qualified could not reasonably be expected to have a Material Adverse Effect.</w:t>
      </w:r>
    </w:p>
    <w:p>
      <w:pPr>
        <w:spacing w:after="0" w:line="60" w:lineRule="exact"/>
        <w:rPr>
          <w:rFonts w:ascii="Arial" w:cs="Arial" w:eastAsia="Arial" w:hAnsi="Arial"/>
          <w:sz w:val="13"/>
          <w:szCs w:val="13"/>
          <w:color w:val="auto"/>
        </w:rPr>
      </w:pPr>
    </w:p>
    <w:p>
      <w:pPr>
        <w:ind w:left="580" w:hanging="188"/>
        <w:spacing w:after="0"/>
        <w:tabs>
          <w:tab w:leader="none" w:pos="580" w:val="left"/>
        </w:tabs>
        <w:numPr>
          <w:ilvl w:val="1"/>
          <w:numId w:val="124"/>
        </w:numPr>
        <w:rPr>
          <w:rFonts w:ascii="Arial" w:cs="Arial" w:eastAsia="Arial" w:hAnsi="Arial"/>
          <w:sz w:val="11"/>
          <w:szCs w:val="11"/>
          <w:color w:val="auto"/>
        </w:rPr>
      </w:pPr>
      <w:r>
        <w:rPr>
          <w:rFonts w:ascii="Arial" w:cs="Arial" w:eastAsia="Arial" w:hAnsi="Arial"/>
          <w:sz w:val="11"/>
          <w:szCs w:val="11"/>
          <w:u w:val="single" w:color="auto"/>
          <w:color w:val="auto"/>
        </w:rPr>
        <w:t>Authorization</w:t>
      </w:r>
      <w:r>
        <w:rPr>
          <w:rFonts w:ascii="Arial" w:cs="Arial" w:eastAsia="Arial" w:hAnsi="Arial"/>
          <w:sz w:val="11"/>
          <w:szCs w:val="11"/>
          <w:color w:val="auto"/>
        </w:rPr>
        <w:t>. The execution, delivery and performance of its Loan Documents and the transactions contemplated hereby and thereby (i) are within the corporate authority of the Borrower and the Guarantor,</w:t>
      </w:r>
    </w:p>
    <w:p>
      <w:pPr>
        <w:spacing w:after="0" w:line="38" w:lineRule="exact"/>
        <w:rPr>
          <w:rFonts w:ascii="Arial" w:cs="Arial" w:eastAsia="Arial" w:hAnsi="Arial"/>
          <w:sz w:val="11"/>
          <w:szCs w:val="11"/>
          <w:color w:val="auto"/>
        </w:rPr>
      </w:pPr>
    </w:p>
    <w:p>
      <w:pPr>
        <w:ind w:left="220" w:right="40" w:firstLine="8"/>
        <w:spacing w:after="0" w:line="255" w:lineRule="auto"/>
        <w:tabs>
          <w:tab w:leader="none" w:pos="413" w:val="left"/>
        </w:tabs>
        <w:numPr>
          <w:ilvl w:val="0"/>
          <w:numId w:val="125"/>
        </w:numPr>
        <w:rPr>
          <w:rFonts w:ascii="Arial" w:cs="Arial" w:eastAsia="Arial" w:hAnsi="Arial"/>
          <w:sz w:val="13"/>
          <w:szCs w:val="13"/>
          <w:color w:val="auto"/>
        </w:rPr>
      </w:pPr>
      <w:r>
        <w:rPr>
          <w:rFonts w:ascii="Arial" w:cs="Arial" w:eastAsia="Arial" w:hAnsi="Arial"/>
          <w:sz w:val="13"/>
          <w:szCs w:val="13"/>
          <w:color w:val="auto"/>
        </w:rPr>
        <w:t>have been duly authorized by all necessary corporate proceedings on the part of each of the Borrower and the Guarantor, (iii) do not conflict with or result in any breach or contravention of any provision of law, statute, rule or regulation to which any of the Borrower or the Guarantor or any of their Subsidiaries is subject, (iv) do not contravene any judgment, order, writ, injunction, license or permit applicable to the Borrower, the Guarantor or any of their Subsidiaries so as to have a Material Adverse Effect, and (v) do not conflict with any provision of the corporate charter or bylaws of the Borrower, the Guarantor or any Significant Subsidiary or any agreement or other instrument binding upon the Borrower, the Guarantor or any of their Significant Subsidiaries, except for those conflicts with any such agreement or instrument which could not reasonably be expected to have a Material Adverse Effect.</w:t>
      </w:r>
    </w:p>
    <w:p>
      <w:pPr>
        <w:spacing w:after="0" w:line="63" w:lineRule="exact"/>
        <w:rPr>
          <w:rFonts w:ascii="Arial" w:cs="Arial" w:eastAsia="Arial" w:hAnsi="Arial"/>
          <w:sz w:val="13"/>
          <w:szCs w:val="13"/>
          <w:color w:val="auto"/>
        </w:rPr>
      </w:pPr>
    </w:p>
    <w:p>
      <w:pPr>
        <w:ind w:left="220" w:firstLine="172"/>
        <w:spacing w:after="0" w:line="371" w:lineRule="auto"/>
        <w:tabs>
          <w:tab w:leader="none" w:pos="562" w:val="left"/>
        </w:tabs>
        <w:numPr>
          <w:ilvl w:val="1"/>
          <w:numId w:val="125"/>
        </w:numPr>
        <w:rPr>
          <w:rFonts w:ascii="Arial" w:cs="Arial" w:eastAsia="Arial" w:hAnsi="Arial"/>
          <w:sz w:val="11"/>
          <w:szCs w:val="11"/>
          <w:color w:val="auto"/>
        </w:rPr>
      </w:pPr>
      <w:r>
        <w:rPr>
          <w:rFonts w:ascii="Arial" w:cs="Arial" w:eastAsia="Arial" w:hAnsi="Arial"/>
          <w:sz w:val="11"/>
          <w:szCs w:val="11"/>
          <w:u w:val="single" w:color="auto"/>
          <w:color w:val="auto"/>
        </w:rPr>
        <w:t>Enforceability</w:t>
      </w:r>
      <w:r>
        <w:rPr>
          <w:rFonts w:ascii="Arial" w:cs="Arial" w:eastAsia="Arial" w:hAnsi="Arial"/>
          <w:sz w:val="11"/>
          <w:szCs w:val="11"/>
          <w:color w:val="auto"/>
        </w:rPr>
        <w:t>. The execution, delivery and performance of the Loan Documents by the Borrower and the Guarantor will result in valid and legally binding obligations of the Borrower and the Guarantor enforceable against them in accordance with the respective terms and provisions hereof and thereof, except as enforceability is limited by bankruptcy, insolvency, reorganization, moratorium or other laws relating to</w:t>
      </w:r>
    </w:p>
    <w:p>
      <w:pPr>
        <w:spacing w:after="0" w:line="61" w:lineRule="exact"/>
        <w:rPr>
          <w:rFonts w:ascii="Arial" w:cs="Arial" w:eastAsia="Arial" w:hAnsi="Arial"/>
          <w:sz w:val="11"/>
          <w:szCs w:val="11"/>
          <w:color w:val="auto"/>
        </w:rPr>
      </w:pPr>
    </w:p>
    <w:p>
      <w:pPr>
        <w:ind w:left="5660" w:hanging="68"/>
        <w:spacing w:after="0"/>
        <w:tabs>
          <w:tab w:leader="none" w:pos="5660" w:val="left"/>
        </w:tabs>
        <w:numPr>
          <w:ilvl w:val="2"/>
          <w:numId w:val="125"/>
        </w:numPr>
        <w:rPr>
          <w:rFonts w:ascii="Arial" w:cs="Arial" w:eastAsia="Arial" w:hAnsi="Arial"/>
          <w:sz w:val="13"/>
          <w:szCs w:val="13"/>
          <w:color w:val="auto"/>
        </w:rPr>
      </w:pPr>
      <w:r>
        <w:rPr>
          <w:rFonts w:ascii="Arial" w:cs="Arial" w:eastAsia="Arial" w:hAnsi="Arial"/>
          <w:sz w:val="13"/>
          <w:szCs w:val="13"/>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3" w:name="page144"/>
    <w:bookmarkEnd w:id="143"/>
    <w:p>
      <w:pPr>
        <w:ind w:left="220"/>
        <w:spacing w:after="0"/>
        <w:rPr>
          <w:sz w:val="20"/>
          <w:szCs w:val="20"/>
          <w:color w:val="auto"/>
        </w:rPr>
      </w:pPr>
      <w:r>
        <w:rPr>
          <w:rFonts w:ascii="Arial" w:cs="Arial" w:eastAsia="Arial" w:hAnsi="Arial"/>
          <w:sz w:val="13"/>
          <w:szCs w:val="13"/>
          <w:color w:val="auto"/>
        </w:rPr>
        <w:t>or affecting generally the enforcement of creditors’ rights generally and general principles of equity.</w:t>
      </w:r>
    </w:p>
    <w:p>
      <w:pPr>
        <w:spacing w:after="0" w:line="82" w:lineRule="exact"/>
        <w:rPr>
          <w:sz w:val="20"/>
          <w:szCs w:val="20"/>
          <w:color w:val="auto"/>
        </w:rPr>
      </w:pPr>
    </w:p>
    <w:p>
      <w:pPr>
        <w:ind w:firstLine="327"/>
        <w:spacing w:after="0" w:line="267" w:lineRule="auto"/>
        <w:rPr>
          <w:sz w:val="20"/>
          <w:szCs w:val="20"/>
          <w:color w:val="auto"/>
        </w:rPr>
      </w:pPr>
      <w:r>
        <w:rPr>
          <w:rFonts w:ascii="Arial" w:cs="Arial" w:eastAsia="Arial" w:hAnsi="Arial"/>
          <w:sz w:val="13"/>
          <w:szCs w:val="13"/>
          <w:b w:val="1"/>
          <w:bCs w:val="1"/>
          <w:color w:val="auto"/>
        </w:rPr>
        <w:t>§6.2. Governmental and Other Approvals</w:t>
      </w:r>
      <w:r>
        <w:rPr>
          <w:rFonts w:ascii="Arial" w:cs="Arial" w:eastAsia="Arial" w:hAnsi="Arial"/>
          <w:sz w:val="13"/>
          <w:szCs w:val="13"/>
          <w:color w:val="auto"/>
        </w:rPr>
        <w:t>. The execution, delivery and performance of the Loan Documents by the Borrower and the Guarantor and the consummation by the Borrower and the Guarantor of the</w:t>
      </w:r>
      <w:r>
        <w:rPr>
          <w:rFonts w:ascii="Arial" w:cs="Arial" w:eastAsia="Arial" w:hAnsi="Arial"/>
          <w:sz w:val="13"/>
          <w:szCs w:val="13"/>
          <w:b w:val="1"/>
          <w:bCs w:val="1"/>
          <w:color w:val="auto"/>
        </w:rPr>
        <w:t xml:space="preserve"> </w:t>
      </w:r>
      <w:r>
        <w:rPr>
          <w:rFonts w:ascii="Arial" w:cs="Arial" w:eastAsia="Arial" w:hAnsi="Arial"/>
          <w:sz w:val="13"/>
          <w:szCs w:val="13"/>
          <w:color w:val="auto"/>
        </w:rPr>
        <w:t>transactions contemplated hereby and thereby do not require any approval or consent of, or filing with, any governmental agency or authority or other third party other than those already obtained and those required after the date hereof in connection with the Borrower’s performance of the covenants contained in §§7, 8 and 9 hereof.</w:t>
      </w:r>
    </w:p>
    <w:p>
      <w:pPr>
        <w:spacing w:after="0" w:line="52" w:lineRule="exact"/>
        <w:rPr>
          <w:sz w:val="20"/>
          <w:szCs w:val="20"/>
          <w:color w:val="auto"/>
        </w:rPr>
      </w:pPr>
    </w:p>
    <w:p>
      <w:pPr>
        <w:ind w:right="400" w:firstLine="327"/>
        <w:spacing w:after="0" w:line="327" w:lineRule="auto"/>
        <w:rPr>
          <w:sz w:val="20"/>
          <w:szCs w:val="20"/>
          <w:color w:val="auto"/>
        </w:rPr>
      </w:pPr>
      <w:r>
        <w:rPr>
          <w:rFonts w:ascii="Arial" w:cs="Arial" w:eastAsia="Arial" w:hAnsi="Arial"/>
          <w:sz w:val="12"/>
          <w:szCs w:val="12"/>
          <w:b w:val="1"/>
          <w:bCs w:val="1"/>
          <w:color w:val="auto"/>
        </w:rPr>
        <w:t>§6.3. Title to Properties; Leases</w:t>
      </w:r>
      <w:r>
        <w:rPr>
          <w:rFonts w:ascii="Arial" w:cs="Arial" w:eastAsia="Arial" w:hAnsi="Arial"/>
          <w:sz w:val="12"/>
          <w:szCs w:val="12"/>
          <w:color w:val="auto"/>
        </w:rPr>
        <w:t>. The Borrower and its Subsidiaries own all of the assets reflected in the consolidated balance sheet as at the Interim Balance Sheet Date or acquired since that date (except</w:t>
      </w:r>
      <w:r>
        <w:rPr>
          <w:rFonts w:ascii="Arial" w:cs="Arial" w:eastAsia="Arial" w:hAnsi="Arial"/>
          <w:sz w:val="12"/>
          <w:szCs w:val="12"/>
          <w:b w:val="1"/>
          <w:bCs w:val="1"/>
          <w:color w:val="auto"/>
        </w:rPr>
        <w:t xml:space="preserve"> </w:t>
      </w:r>
      <w:r>
        <w:rPr>
          <w:rFonts w:ascii="Arial" w:cs="Arial" w:eastAsia="Arial" w:hAnsi="Arial"/>
          <w:sz w:val="12"/>
          <w:szCs w:val="12"/>
          <w:color w:val="auto"/>
        </w:rPr>
        <w:t>property and assets operated under Capital Leases or sold or otherwise disposed of in the ordinary course of business since that date), subject to no Liens except Permitted Liens.</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§6.4. Financial Statements; Solvency.</w:t>
      </w:r>
    </w:p>
    <w:p>
      <w:pPr>
        <w:spacing w:after="0" w:line="90" w:lineRule="exact"/>
        <w:rPr>
          <w:sz w:val="20"/>
          <w:szCs w:val="20"/>
          <w:color w:val="auto"/>
        </w:rPr>
      </w:pPr>
    </w:p>
    <w:p>
      <w:pPr>
        <w:ind w:left="220" w:right="40" w:firstLine="172"/>
        <w:spacing w:after="0" w:line="281" w:lineRule="auto"/>
        <w:tabs>
          <w:tab w:leader="none" w:pos="562" w:val="left"/>
        </w:tabs>
        <w:numPr>
          <w:ilvl w:val="0"/>
          <w:numId w:val="126"/>
        </w:numPr>
        <w:rPr>
          <w:rFonts w:ascii="Arial" w:cs="Arial" w:eastAsia="Arial" w:hAnsi="Arial"/>
          <w:sz w:val="12"/>
          <w:szCs w:val="12"/>
          <w:color w:val="auto"/>
        </w:rPr>
      </w:pPr>
      <w:r>
        <w:rPr>
          <w:rFonts w:ascii="Arial" w:cs="Arial" w:eastAsia="Arial" w:hAnsi="Arial"/>
          <w:sz w:val="12"/>
          <w:szCs w:val="12"/>
          <w:color w:val="auto"/>
        </w:rPr>
        <w:t>There have been furnished to the Banks consolidated balance sheets of the Borrower dated the Balance Sheet Date and consolidated statements of operations for the fiscal periods then ended, certified by the Accountants. In addition, there have been furnished to the Banks consolidated balance sheets of the Borrower and its Subsidiaries dated the Interim Balance Sheet Date and the related consolidated statements of operations for the fiscal quarter ending on the Interim Balance Sheet Date. All said balance sheets and statements of operations have been prepared in accordance with GAAP (but, in the case of any of such financial statements which are unaudited, only to the extent GAAP is applicable to interim unaudited reports), and fairly present, in all material respects, the financial condition of the Borrower on a consolidated basis as at the close of business on the dates thereof and the results of operations for the periods then ended, subject, in the case of unaudited interim financial statements, to changes resulting from audit and normal year-end adjustments and to the absence of complete footnotes. There are no contingent liabilities of the Borrower and its Subsidiaries involving material amounts, known to the officers of the Borrower or the Guarantor, which have not been disclosed in said balance sheets and the related notes thereto or otherwise in writing to the Banks.</w:t>
      </w:r>
    </w:p>
    <w:p>
      <w:pPr>
        <w:spacing w:after="0" w:line="48" w:lineRule="exact"/>
        <w:rPr>
          <w:rFonts w:ascii="Arial" w:cs="Arial" w:eastAsia="Arial" w:hAnsi="Arial"/>
          <w:sz w:val="12"/>
          <w:szCs w:val="12"/>
          <w:color w:val="auto"/>
        </w:rPr>
      </w:pPr>
    </w:p>
    <w:p>
      <w:pPr>
        <w:ind w:left="220" w:right="40" w:firstLine="172"/>
        <w:spacing w:after="0" w:line="264" w:lineRule="auto"/>
        <w:tabs>
          <w:tab w:leader="none" w:pos="569" w:val="left"/>
        </w:tabs>
        <w:numPr>
          <w:ilvl w:val="0"/>
          <w:numId w:val="126"/>
        </w:numPr>
        <w:rPr>
          <w:rFonts w:ascii="Arial" w:cs="Arial" w:eastAsia="Arial" w:hAnsi="Arial"/>
          <w:sz w:val="13"/>
          <w:szCs w:val="13"/>
          <w:color w:val="auto"/>
        </w:rPr>
      </w:pPr>
      <w:r>
        <w:rPr>
          <w:rFonts w:ascii="Arial" w:cs="Arial" w:eastAsia="Arial" w:hAnsi="Arial"/>
          <w:sz w:val="13"/>
          <w:szCs w:val="13"/>
          <w:color w:val="auto"/>
        </w:rPr>
        <w:t>The Borrower on a consolidated basis (both before and after giving effect to the transactions contemplated by this Agreement) is solvent (</w:t>
      </w:r>
      <w:r>
        <w:rPr>
          <w:rFonts w:ascii="Arial" w:cs="Arial" w:eastAsia="Arial" w:hAnsi="Arial"/>
          <w:sz w:val="13"/>
          <w:szCs w:val="13"/>
          <w:u w:val="single" w:color="auto"/>
          <w:color w:val="auto"/>
        </w:rPr>
        <w:t>i.e</w:t>
      </w:r>
      <w:r>
        <w:rPr>
          <w:rFonts w:ascii="Arial" w:cs="Arial" w:eastAsia="Arial" w:hAnsi="Arial"/>
          <w:sz w:val="13"/>
          <w:szCs w:val="13"/>
          <w:color w:val="auto"/>
        </w:rPr>
        <w:t>., it has assets having a fair value in excess of the amount required to pay its probable liabilities on its existing debts as they become absolute and matured) and has, and expects to have, the ability to pay its debts from time to time incurred in connection therewith as such debts mature.</w:t>
      </w:r>
    </w:p>
    <w:p>
      <w:pPr>
        <w:spacing w:after="0" w:line="53" w:lineRule="exact"/>
        <w:rPr>
          <w:sz w:val="20"/>
          <w:szCs w:val="20"/>
          <w:color w:val="auto"/>
        </w:rPr>
      </w:pPr>
    </w:p>
    <w:p>
      <w:pPr>
        <w:ind w:right="80" w:firstLine="327"/>
        <w:spacing w:after="0" w:line="283" w:lineRule="auto"/>
        <w:rPr>
          <w:sz w:val="20"/>
          <w:szCs w:val="20"/>
          <w:color w:val="auto"/>
        </w:rPr>
      </w:pPr>
      <w:r>
        <w:rPr>
          <w:rFonts w:ascii="Arial" w:cs="Arial" w:eastAsia="Arial" w:hAnsi="Arial"/>
          <w:sz w:val="13"/>
          <w:szCs w:val="13"/>
          <w:b w:val="1"/>
          <w:bCs w:val="1"/>
          <w:color w:val="auto"/>
        </w:rPr>
        <w:t>§6.5. No Material Changes, Etc</w:t>
      </w:r>
      <w:r>
        <w:rPr>
          <w:rFonts w:ascii="Arial" w:cs="Arial" w:eastAsia="Arial" w:hAnsi="Arial"/>
          <w:sz w:val="13"/>
          <w:szCs w:val="13"/>
          <w:color w:val="auto"/>
        </w:rPr>
        <w:t>. Since the Balance Sheet Date, there have been no material adverse changes in the consolidated financial condition, business, assets or liabilities (contingent or otherwise) of the</w:t>
      </w:r>
      <w:r>
        <w:rPr>
          <w:rFonts w:ascii="Arial" w:cs="Arial" w:eastAsia="Arial" w:hAnsi="Arial"/>
          <w:sz w:val="13"/>
          <w:szCs w:val="13"/>
          <w:b w:val="1"/>
          <w:bCs w:val="1"/>
          <w:color w:val="auto"/>
        </w:rPr>
        <w:t xml:space="preserve"> </w:t>
      </w:r>
      <w:r>
        <w:rPr>
          <w:rFonts w:ascii="Arial" w:cs="Arial" w:eastAsia="Arial" w:hAnsi="Arial"/>
          <w:sz w:val="13"/>
          <w:szCs w:val="13"/>
          <w:color w:val="auto"/>
        </w:rPr>
        <w:t>Borrower and its Subsidiaries, taken as a whole, other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44" w:name="page145"/>
    <w:bookmarkEnd w:id="144"/>
    <w:p>
      <w:pPr>
        <w:spacing w:after="0"/>
        <w:rPr>
          <w:sz w:val="20"/>
          <w:szCs w:val="20"/>
          <w:color w:val="auto"/>
        </w:rPr>
      </w:pPr>
      <w:r>
        <w:rPr>
          <w:rFonts w:ascii="Arial" w:cs="Arial" w:eastAsia="Arial" w:hAnsi="Arial"/>
          <w:sz w:val="13"/>
          <w:szCs w:val="13"/>
          <w:color w:val="auto"/>
        </w:rPr>
        <w:t>than changes in the ordinary course of business which have not had a Material Adverse Effect.</w:t>
      </w:r>
    </w:p>
    <w:p>
      <w:pPr>
        <w:spacing w:after="0" w:line="82" w:lineRule="exact"/>
        <w:rPr>
          <w:sz w:val="20"/>
          <w:szCs w:val="20"/>
          <w:color w:val="auto"/>
        </w:rPr>
      </w:pPr>
    </w:p>
    <w:p>
      <w:pPr>
        <w:ind w:right="120" w:firstLine="327"/>
        <w:spacing w:after="0" w:line="267" w:lineRule="auto"/>
        <w:rPr>
          <w:sz w:val="20"/>
          <w:szCs w:val="20"/>
          <w:color w:val="auto"/>
        </w:rPr>
      </w:pPr>
      <w:r>
        <w:rPr>
          <w:rFonts w:ascii="Arial" w:cs="Arial" w:eastAsia="Arial" w:hAnsi="Arial"/>
          <w:sz w:val="13"/>
          <w:szCs w:val="13"/>
          <w:b w:val="1"/>
          <w:bCs w:val="1"/>
          <w:color w:val="auto"/>
        </w:rPr>
        <w:t>§6.6. Franchises, Patents, Copyrights, Etc</w:t>
      </w:r>
      <w:r>
        <w:rPr>
          <w:rFonts w:ascii="Arial" w:cs="Arial" w:eastAsia="Arial" w:hAnsi="Arial"/>
          <w:sz w:val="13"/>
          <w:szCs w:val="13"/>
          <w:color w:val="auto"/>
        </w:rPr>
        <w:t>. The Borrower and each of its Subsidiaries possess all franchises, patents, copyrights, trademarks, trade names, licenses and permits, and rights in respect of the</w:t>
      </w:r>
      <w:r>
        <w:rPr>
          <w:rFonts w:ascii="Arial" w:cs="Arial" w:eastAsia="Arial" w:hAnsi="Arial"/>
          <w:sz w:val="13"/>
          <w:szCs w:val="13"/>
          <w:b w:val="1"/>
          <w:bCs w:val="1"/>
          <w:color w:val="auto"/>
        </w:rPr>
        <w:t xml:space="preserve"> </w:t>
      </w:r>
      <w:r>
        <w:rPr>
          <w:rFonts w:ascii="Arial" w:cs="Arial" w:eastAsia="Arial" w:hAnsi="Arial"/>
          <w:sz w:val="13"/>
          <w:szCs w:val="13"/>
          <w:color w:val="auto"/>
        </w:rPr>
        <w:t>foregoing, adequate for the conduct of their business substantially as now conducted (other than those the absence of which would not have a Material Adverse Effect) without known conflict with any rights of others other than a conflict which would not have a Material Adverse Effect.</w:t>
      </w:r>
    </w:p>
    <w:p>
      <w:pPr>
        <w:spacing w:after="0" w:line="52" w:lineRule="exact"/>
        <w:rPr>
          <w:sz w:val="20"/>
          <w:szCs w:val="20"/>
          <w:color w:val="auto"/>
        </w:rPr>
      </w:pPr>
    </w:p>
    <w:p>
      <w:pPr>
        <w:ind w:firstLine="327"/>
        <w:spacing w:after="0" w:line="373" w:lineRule="auto"/>
        <w:rPr>
          <w:sz w:val="20"/>
          <w:szCs w:val="20"/>
          <w:color w:val="auto"/>
        </w:rPr>
      </w:pPr>
      <w:r>
        <w:rPr>
          <w:rFonts w:ascii="Arial" w:cs="Arial" w:eastAsia="Arial" w:hAnsi="Arial"/>
          <w:sz w:val="11"/>
          <w:szCs w:val="11"/>
          <w:b w:val="1"/>
          <w:bCs w:val="1"/>
          <w:color w:val="auto"/>
        </w:rPr>
        <w:t>§6.7. Litigation</w:t>
      </w:r>
      <w:r>
        <w:rPr>
          <w:rFonts w:ascii="Arial" w:cs="Arial" w:eastAsia="Arial" w:hAnsi="Arial"/>
          <w:sz w:val="11"/>
          <w:szCs w:val="11"/>
          <w:color w:val="auto"/>
        </w:rPr>
        <w:t>. Except as set forth on</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Schedule 6.7</w:t>
      </w:r>
      <w:r>
        <w:rPr>
          <w:rFonts w:ascii="Arial" w:cs="Arial" w:eastAsia="Arial" w:hAnsi="Arial"/>
          <w:sz w:val="11"/>
          <w:szCs w:val="11"/>
          <w:b w:val="1"/>
          <w:bCs w:val="1"/>
          <w:color w:val="auto"/>
        </w:rPr>
        <w:t xml:space="preserve"> </w:t>
      </w:r>
      <w:r>
        <w:rPr>
          <w:rFonts w:ascii="Arial" w:cs="Arial" w:eastAsia="Arial" w:hAnsi="Arial"/>
          <w:sz w:val="11"/>
          <w:szCs w:val="11"/>
          <w:color w:val="auto"/>
        </w:rPr>
        <w:t>or in the Disclosure Documents, there are no actions, suits, proceedings or investigations of any kind pending or, to the knowledge of the Borrower, threatened</w:t>
      </w:r>
      <w:r>
        <w:rPr>
          <w:rFonts w:ascii="Arial" w:cs="Arial" w:eastAsia="Arial" w:hAnsi="Arial"/>
          <w:sz w:val="11"/>
          <w:szCs w:val="11"/>
          <w:b w:val="1"/>
          <w:bCs w:val="1"/>
          <w:color w:val="auto"/>
        </w:rPr>
        <w:t xml:space="preserve"> </w:t>
      </w:r>
      <w:r>
        <w:rPr>
          <w:rFonts w:ascii="Arial" w:cs="Arial" w:eastAsia="Arial" w:hAnsi="Arial"/>
          <w:sz w:val="11"/>
          <w:szCs w:val="11"/>
          <w:color w:val="auto"/>
        </w:rPr>
        <w:t>against the Borrower or any of its Subsidiaries before any court, tribunal or administrative agency or board which, either in any case or in the aggregate, could reasonably be expected to have a Material Adverse Effect.</w:t>
      </w:r>
    </w:p>
    <w:p>
      <w:pPr>
        <w:ind w:firstLine="327"/>
        <w:spacing w:after="0" w:line="262" w:lineRule="auto"/>
        <w:rPr>
          <w:sz w:val="20"/>
          <w:szCs w:val="20"/>
          <w:color w:val="auto"/>
        </w:rPr>
      </w:pPr>
      <w:r>
        <w:rPr>
          <w:rFonts w:ascii="Arial" w:cs="Arial" w:eastAsia="Arial" w:hAnsi="Arial"/>
          <w:sz w:val="13"/>
          <w:szCs w:val="13"/>
          <w:b w:val="1"/>
          <w:bCs w:val="1"/>
          <w:color w:val="auto"/>
        </w:rPr>
        <w:t xml:space="preserve">§6.8. No Materially Adverse Contracts, Etc. </w:t>
      </w:r>
      <w:r>
        <w:rPr>
          <w:rFonts w:ascii="Arial" w:cs="Arial" w:eastAsia="Arial" w:hAnsi="Arial"/>
          <w:sz w:val="13"/>
          <w:szCs w:val="13"/>
          <w:color w:val="auto"/>
        </w:rPr>
        <w:t>Neither the Borrower nor any of its Subsidiaries is subject to any charter, corporate or other legal restriction, or any judgment, decree, order, rule or regulation which</w:t>
      </w:r>
      <w:r>
        <w:rPr>
          <w:rFonts w:ascii="Arial" w:cs="Arial" w:eastAsia="Arial" w:hAnsi="Arial"/>
          <w:sz w:val="13"/>
          <w:szCs w:val="13"/>
          <w:b w:val="1"/>
          <w:bCs w:val="1"/>
          <w:color w:val="auto"/>
        </w:rPr>
        <w:t xml:space="preserve"> </w:t>
      </w:r>
      <w:r>
        <w:rPr>
          <w:rFonts w:ascii="Arial" w:cs="Arial" w:eastAsia="Arial" w:hAnsi="Arial"/>
          <w:sz w:val="13"/>
          <w:szCs w:val="13"/>
          <w:color w:val="auto"/>
        </w:rPr>
        <w:t>in the judgment of the Borrower’s or such Subsidiary’s officers has or could reasonably be expected in the future to have a Material Adverse Effect. Neither the Borrower nor any of its Subsidiaries is a party to any contract or agreement which in the judgment of the Borrower’s or its Subsidiary’s officers has or could reasonably be expected to have any Material Adverse Effect, except as otherwise reflected in adequate reserves as required by GAAP.</w:t>
      </w:r>
    </w:p>
    <w:p>
      <w:pPr>
        <w:spacing w:after="0" w:line="55" w:lineRule="exact"/>
        <w:rPr>
          <w:sz w:val="20"/>
          <w:szCs w:val="20"/>
          <w:color w:val="auto"/>
        </w:rPr>
      </w:pPr>
    </w:p>
    <w:p>
      <w:pPr>
        <w:ind w:right="140" w:firstLine="327"/>
        <w:spacing w:after="0" w:line="267" w:lineRule="auto"/>
        <w:rPr>
          <w:sz w:val="20"/>
          <w:szCs w:val="20"/>
          <w:color w:val="auto"/>
        </w:rPr>
      </w:pPr>
      <w:r>
        <w:rPr>
          <w:rFonts w:ascii="Arial" w:cs="Arial" w:eastAsia="Arial" w:hAnsi="Arial"/>
          <w:sz w:val="13"/>
          <w:szCs w:val="13"/>
          <w:b w:val="1"/>
          <w:bCs w:val="1"/>
          <w:color w:val="auto"/>
        </w:rPr>
        <w:t>§6.9. Compliance With Other Instruments, Laws, Etc</w:t>
      </w:r>
      <w:r>
        <w:rPr>
          <w:rFonts w:ascii="Arial" w:cs="Arial" w:eastAsia="Arial" w:hAnsi="Arial"/>
          <w:sz w:val="13"/>
          <w:szCs w:val="13"/>
          <w:color w:val="auto"/>
        </w:rPr>
        <w:t>. Neither the Borrower nor any of its Subsidiaries is (a) violating any provision of its charter documents or bylaws or (b) violating any agreement or</w:t>
      </w:r>
      <w:r>
        <w:rPr>
          <w:rFonts w:ascii="Arial" w:cs="Arial" w:eastAsia="Arial" w:hAnsi="Arial"/>
          <w:sz w:val="13"/>
          <w:szCs w:val="13"/>
          <w:b w:val="1"/>
          <w:bCs w:val="1"/>
          <w:color w:val="auto"/>
        </w:rPr>
        <w:t xml:space="preserve"> </w:t>
      </w:r>
      <w:r>
        <w:rPr>
          <w:rFonts w:ascii="Arial" w:cs="Arial" w:eastAsia="Arial" w:hAnsi="Arial"/>
          <w:sz w:val="13"/>
          <w:szCs w:val="13"/>
          <w:color w:val="auto"/>
        </w:rPr>
        <w:t>instrument to which any of them may be subject or by which any of them or any of their properties may be bound or any decree, order, judgment, or any statute, license, rule or regulation, in a manner which could (in the case of such agreements or such instruments) reasonably be expected to result in a Material Adverse Effect.</w:t>
      </w:r>
    </w:p>
    <w:p>
      <w:pPr>
        <w:spacing w:after="0" w:line="52" w:lineRule="exact"/>
        <w:rPr>
          <w:sz w:val="20"/>
          <w:szCs w:val="20"/>
          <w:color w:val="auto"/>
        </w:rPr>
      </w:pPr>
    </w:p>
    <w:p>
      <w:pPr>
        <w:ind w:right="60" w:firstLine="327"/>
        <w:spacing w:after="0" w:line="282" w:lineRule="auto"/>
        <w:rPr>
          <w:sz w:val="20"/>
          <w:szCs w:val="20"/>
          <w:color w:val="auto"/>
        </w:rPr>
      </w:pPr>
      <w:r>
        <w:rPr>
          <w:rFonts w:ascii="Arial" w:cs="Arial" w:eastAsia="Arial" w:hAnsi="Arial"/>
          <w:sz w:val="12"/>
          <w:szCs w:val="12"/>
          <w:b w:val="1"/>
          <w:bCs w:val="1"/>
          <w:color w:val="auto"/>
        </w:rPr>
        <w:t>§6.10. Tax Status</w:t>
      </w:r>
      <w:r>
        <w:rPr>
          <w:rFonts w:ascii="Arial" w:cs="Arial" w:eastAsia="Arial" w:hAnsi="Arial"/>
          <w:sz w:val="12"/>
          <w:szCs w:val="12"/>
          <w:color w:val="auto"/>
        </w:rPr>
        <w:t>. The Borrower and its Subsidiaries have filed all federal, state, provincial and territorial income and all other tax returns, reports and declarations (or obtained extensions with respect thereto)</w:t>
      </w:r>
      <w:r>
        <w:rPr>
          <w:rFonts w:ascii="Arial" w:cs="Arial" w:eastAsia="Arial" w:hAnsi="Arial"/>
          <w:sz w:val="12"/>
          <w:szCs w:val="12"/>
          <w:b w:val="1"/>
          <w:bCs w:val="1"/>
          <w:color w:val="auto"/>
        </w:rPr>
        <w:t xml:space="preserve"> </w:t>
      </w:r>
      <w:r>
        <w:rPr>
          <w:rFonts w:ascii="Arial" w:cs="Arial" w:eastAsia="Arial" w:hAnsi="Arial"/>
          <w:sz w:val="12"/>
          <w:szCs w:val="12"/>
          <w:color w:val="auto"/>
        </w:rPr>
        <w:t>required by applicable law to be filed by them (unless and only to the extent that the Borrower or such Subsidiary has set aside on its books provisions reasonably adequate for the payment of all unpaid and unreported taxes as required by GAAP); and have paid all taxes and other governmental assessments and charges (other than taxes, assessments and other governmental charges imposed by jurisdictions other than the United States, Canada or any political subdivision thereof which in the aggregate are not material to the financial condition, business or assets of the Borrower or such Subsidiary on an individual basis or of the Borrower on a consolidated basis) that are material in amount, shown or determined to be due on such returns, reports and declarations, except those being contested in good faith; and, as required by GAAP, have set aside on their books provisions reasonably adequate for the payment of all taxes for periods subsequent to the periods to which such returns, reports or declarations apply. Except to the extent contested in the manner permitted in the preceding sentence, there are no unpaid taxes in any material amount claimed by the taxing authority of</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45" w:name="page146"/>
    <w:bookmarkEnd w:id="145"/>
    <w:p>
      <w:pPr>
        <w:spacing w:after="0"/>
        <w:rPr>
          <w:sz w:val="20"/>
          <w:szCs w:val="20"/>
          <w:color w:val="auto"/>
        </w:rPr>
      </w:pPr>
      <w:r>
        <w:rPr>
          <w:rFonts w:ascii="Arial" w:cs="Arial" w:eastAsia="Arial" w:hAnsi="Arial"/>
          <w:sz w:val="13"/>
          <w:szCs w:val="13"/>
          <w:color w:val="auto"/>
        </w:rPr>
        <w:t>any jurisdiction to be due and owing by the Borrower or any Subsidiary, nor do the officers of the Borrower or any of its Subsidiaries know of any basis for any such claim.</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§6.11. No Event of Default</w:t>
      </w:r>
      <w:r>
        <w:rPr>
          <w:rFonts w:ascii="Arial" w:cs="Arial" w:eastAsia="Arial" w:hAnsi="Arial"/>
          <w:sz w:val="13"/>
          <w:szCs w:val="13"/>
          <w:color w:val="auto"/>
        </w:rPr>
        <w:t>. No Default or Event of Default has occurred hereunder and is continuing.</w:t>
      </w:r>
    </w:p>
    <w:p>
      <w:pPr>
        <w:spacing w:after="0" w:line="86" w:lineRule="exact"/>
        <w:rPr>
          <w:sz w:val="20"/>
          <w:szCs w:val="20"/>
          <w:color w:val="auto"/>
        </w:rPr>
      </w:pPr>
    </w:p>
    <w:p>
      <w:pPr>
        <w:ind w:right="360" w:firstLine="327"/>
        <w:spacing w:after="0" w:line="283" w:lineRule="auto"/>
        <w:rPr>
          <w:sz w:val="20"/>
          <w:szCs w:val="20"/>
          <w:color w:val="auto"/>
        </w:rPr>
      </w:pPr>
      <w:r>
        <w:rPr>
          <w:rFonts w:ascii="Arial" w:cs="Arial" w:eastAsia="Arial" w:hAnsi="Arial"/>
          <w:sz w:val="13"/>
          <w:szCs w:val="13"/>
          <w:b w:val="1"/>
          <w:bCs w:val="1"/>
          <w:color w:val="auto"/>
        </w:rPr>
        <w:t>§6.12. Investment Company Act</w:t>
      </w:r>
      <w:r>
        <w:rPr>
          <w:rFonts w:ascii="Arial" w:cs="Arial" w:eastAsia="Arial" w:hAnsi="Arial"/>
          <w:sz w:val="13"/>
          <w:szCs w:val="13"/>
          <w:color w:val="auto"/>
        </w:rPr>
        <w:t>. Neither the Borrower nor any of its Subsidiaries is a “registered investment company”, or an “affiliated company” or a “principal underwriter” of a “registered investment</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as such terms are defined in the Investment Company Act of 1940.</w:t>
      </w:r>
    </w:p>
    <w:p>
      <w:pPr>
        <w:spacing w:after="0" w:line="41" w:lineRule="exact"/>
        <w:rPr>
          <w:sz w:val="20"/>
          <w:szCs w:val="20"/>
          <w:color w:val="auto"/>
        </w:rPr>
      </w:pPr>
    </w:p>
    <w:p>
      <w:pPr>
        <w:ind w:firstLine="327"/>
        <w:spacing w:after="0" w:line="267" w:lineRule="auto"/>
        <w:rPr>
          <w:sz w:val="20"/>
          <w:szCs w:val="20"/>
          <w:color w:val="auto"/>
        </w:rPr>
      </w:pPr>
      <w:r>
        <w:rPr>
          <w:rFonts w:ascii="Arial" w:cs="Arial" w:eastAsia="Arial" w:hAnsi="Arial"/>
          <w:sz w:val="13"/>
          <w:szCs w:val="13"/>
          <w:b w:val="1"/>
          <w:bCs w:val="1"/>
          <w:color w:val="auto"/>
        </w:rPr>
        <w:t>§6.13. Absence of Financing Statements, Etc</w:t>
      </w:r>
      <w:r>
        <w:rPr>
          <w:rFonts w:ascii="Arial" w:cs="Arial" w:eastAsia="Arial" w:hAnsi="Arial"/>
          <w:sz w:val="13"/>
          <w:szCs w:val="13"/>
          <w:color w:val="auto"/>
        </w:rPr>
        <w:t>. Except as permitted by §8.1 of this Agreement, there is no Indebtedness senior to the Obligations, and except for Permitted Liens, there are no Liens, or any</w:t>
      </w:r>
      <w:r>
        <w:rPr>
          <w:rFonts w:ascii="Arial" w:cs="Arial" w:eastAsia="Arial" w:hAnsi="Arial"/>
          <w:sz w:val="13"/>
          <w:szCs w:val="13"/>
          <w:b w:val="1"/>
          <w:bCs w:val="1"/>
          <w:color w:val="auto"/>
        </w:rPr>
        <w:t xml:space="preserve"> </w:t>
      </w:r>
      <w:r>
        <w:rPr>
          <w:rFonts w:ascii="Arial" w:cs="Arial" w:eastAsia="Arial" w:hAnsi="Arial"/>
          <w:sz w:val="13"/>
          <w:szCs w:val="13"/>
          <w:color w:val="auto"/>
        </w:rPr>
        <w:t>effective financing statement, security agreement, chattel mortgage, real estate mortgage or other document filed or recorded with any filing records, registry, or other public office, which purports to cover, affect or give notice of any present or possible future Lien on any assets or property of the Borrower or any of its Subsidiaries or right thereunder.</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§6.14. Employee Benefit Plans.</w:t>
      </w:r>
    </w:p>
    <w:p>
      <w:pPr>
        <w:spacing w:after="0" w:line="86" w:lineRule="exact"/>
        <w:rPr>
          <w:sz w:val="20"/>
          <w:szCs w:val="20"/>
          <w:color w:val="auto"/>
        </w:rPr>
      </w:pPr>
    </w:p>
    <w:p>
      <w:pPr>
        <w:ind w:left="220" w:right="60" w:firstLine="491"/>
        <w:spacing w:after="0" w:line="300" w:lineRule="auto"/>
        <w:rPr>
          <w:sz w:val="20"/>
          <w:szCs w:val="20"/>
          <w:color w:val="auto"/>
        </w:rPr>
      </w:pPr>
      <w:r>
        <w:rPr>
          <w:rFonts w:ascii="Arial" w:cs="Arial" w:eastAsia="Arial" w:hAnsi="Arial"/>
          <w:sz w:val="12"/>
          <w:szCs w:val="12"/>
          <w:b w:val="1"/>
          <w:bCs w:val="1"/>
          <w:color w:val="auto"/>
        </w:rPr>
        <w:t xml:space="preserve">§6.14.1. In General. </w:t>
      </w:r>
      <w:r>
        <w:rPr>
          <w:rFonts w:ascii="Arial" w:cs="Arial" w:eastAsia="Arial" w:hAnsi="Arial"/>
          <w:sz w:val="12"/>
          <w:szCs w:val="12"/>
          <w:color w:val="auto"/>
        </w:rPr>
        <w:t>Each Employee Benefit Plan has been maintained and operated in material compliance with the provisions of ERISA and, to the extent applicable, the Code, including but not limited</w:t>
      </w:r>
      <w:r>
        <w:rPr>
          <w:rFonts w:ascii="Arial" w:cs="Arial" w:eastAsia="Arial" w:hAnsi="Arial"/>
          <w:sz w:val="12"/>
          <w:szCs w:val="12"/>
          <w:b w:val="1"/>
          <w:bCs w:val="1"/>
          <w:color w:val="auto"/>
        </w:rPr>
        <w:t xml:space="preserve"> </w:t>
      </w:r>
      <w:r>
        <w:rPr>
          <w:rFonts w:ascii="Arial" w:cs="Arial" w:eastAsia="Arial" w:hAnsi="Arial"/>
          <w:sz w:val="12"/>
          <w:szCs w:val="12"/>
          <w:color w:val="auto"/>
        </w:rPr>
        <w:t>to the provisions thereunder respecting prohibited transactions. Promptly upon the request of any Bank or the Administrative Agent, the Borrower will furnish to the Administrative Agent the most recently completed annual report, Form 5500, with all required attachments, and actuarial statement required to be submitted under §103(d) of ERISA, with respect to each Guaranteed Pension Plan.</w:t>
      </w:r>
    </w:p>
    <w:p>
      <w:pPr>
        <w:spacing w:after="0" w:line="33" w:lineRule="exact"/>
        <w:rPr>
          <w:sz w:val="20"/>
          <w:szCs w:val="20"/>
          <w:color w:val="auto"/>
        </w:rPr>
      </w:pPr>
    </w:p>
    <w:p>
      <w:pPr>
        <w:ind w:left="220" w:right="100" w:firstLine="491"/>
        <w:spacing w:after="0" w:line="262" w:lineRule="auto"/>
        <w:rPr>
          <w:sz w:val="20"/>
          <w:szCs w:val="20"/>
          <w:color w:val="auto"/>
        </w:rPr>
      </w:pPr>
      <w:r>
        <w:rPr>
          <w:rFonts w:ascii="Arial" w:cs="Arial" w:eastAsia="Arial" w:hAnsi="Arial"/>
          <w:sz w:val="13"/>
          <w:szCs w:val="13"/>
          <w:b w:val="1"/>
          <w:bCs w:val="1"/>
          <w:color w:val="auto"/>
        </w:rPr>
        <w:t xml:space="preserve">§6.14.2. Terminability of Welfare Plans. </w:t>
      </w:r>
      <w:r>
        <w:rPr>
          <w:rFonts w:ascii="Arial" w:cs="Arial" w:eastAsia="Arial" w:hAnsi="Arial"/>
          <w:sz w:val="13"/>
          <w:szCs w:val="13"/>
          <w:color w:val="auto"/>
        </w:rPr>
        <w:t>Under each Employee Benefit Plan which is an employee welfare benefit plan within the meaning of §3(1) or §3(2)(B) of ERISA, no benefits are due unless the</w:t>
      </w:r>
      <w:r>
        <w:rPr>
          <w:rFonts w:ascii="Arial" w:cs="Arial" w:eastAsia="Arial" w:hAnsi="Arial"/>
          <w:sz w:val="13"/>
          <w:szCs w:val="13"/>
          <w:b w:val="1"/>
          <w:bCs w:val="1"/>
          <w:color w:val="auto"/>
        </w:rPr>
        <w:t xml:space="preserve"> </w:t>
      </w:r>
      <w:r>
        <w:rPr>
          <w:rFonts w:ascii="Arial" w:cs="Arial" w:eastAsia="Arial" w:hAnsi="Arial"/>
          <w:sz w:val="13"/>
          <w:szCs w:val="13"/>
          <w:color w:val="auto"/>
        </w:rPr>
        <w:t>event giving rise to the benefit entitlement occurs prior to plan termination (except as required by Title 1, Part 6 of ERISA). The Borrower or an ERISA Affiliate, as appropriate, may terminate each such employee welfare benefit plan at any time (or at any time subsequent to the expiration of any applicable bargaining agreement) in the discretion of the Borrower or such ERISA Affiliate without material liability to any Person.</w:t>
      </w:r>
    </w:p>
    <w:p>
      <w:pPr>
        <w:spacing w:after="0" w:line="55" w:lineRule="exact"/>
        <w:rPr>
          <w:sz w:val="20"/>
          <w:szCs w:val="20"/>
          <w:color w:val="auto"/>
        </w:rPr>
      </w:pPr>
    </w:p>
    <w:p>
      <w:pPr>
        <w:ind w:left="220" w:right="60" w:firstLine="491"/>
        <w:spacing w:after="0" w:line="262" w:lineRule="auto"/>
        <w:rPr>
          <w:sz w:val="20"/>
          <w:szCs w:val="20"/>
          <w:color w:val="auto"/>
        </w:rPr>
      </w:pPr>
      <w:r>
        <w:rPr>
          <w:rFonts w:ascii="Arial" w:cs="Arial" w:eastAsia="Arial" w:hAnsi="Arial"/>
          <w:sz w:val="13"/>
          <w:szCs w:val="13"/>
          <w:b w:val="1"/>
          <w:bCs w:val="1"/>
          <w:color w:val="auto"/>
        </w:rPr>
        <w:t xml:space="preserve">§6.14.3. Guaranteed Pension Plans. </w:t>
      </w:r>
      <w:r>
        <w:rPr>
          <w:rFonts w:ascii="Arial" w:cs="Arial" w:eastAsia="Arial" w:hAnsi="Arial"/>
          <w:sz w:val="13"/>
          <w:szCs w:val="13"/>
          <w:color w:val="auto"/>
        </w:rPr>
        <w:t>Each contribution required to be made to a Guaranteed Pension Plan, whether required to be made to avoid the incurrence of an accumulated funding deficiency, the</w:t>
      </w:r>
      <w:r>
        <w:rPr>
          <w:rFonts w:ascii="Arial" w:cs="Arial" w:eastAsia="Arial" w:hAnsi="Arial"/>
          <w:sz w:val="13"/>
          <w:szCs w:val="13"/>
          <w:b w:val="1"/>
          <w:bCs w:val="1"/>
          <w:color w:val="auto"/>
        </w:rPr>
        <w:t xml:space="preserve"> </w:t>
      </w:r>
      <w:r>
        <w:rPr>
          <w:rFonts w:ascii="Arial" w:cs="Arial" w:eastAsia="Arial" w:hAnsi="Arial"/>
          <w:sz w:val="13"/>
          <w:szCs w:val="13"/>
          <w:color w:val="auto"/>
        </w:rPr>
        <w:t>notice or lien provisions of §303(k) of ERISA, or otherwise, has been timely made. No waiver of an accumulated funding deficiency or extension of amortization periods has been received with respect to any Guaranteed Pension Plan. No liability to the PBGC (other than required insurance premiums, all of which have been paid) has been incurred by the Borrower or any ERISA Affiliate with respect to any Guaranteed Pension Plan (other than Terminated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46" w:name="page147"/>
    <w:bookmarkEnd w:id="146"/>
    <w:p>
      <w:pPr>
        <w:ind w:left="220"/>
        <w:spacing w:after="0" w:line="289" w:lineRule="auto"/>
        <w:rPr>
          <w:sz w:val="20"/>
          <w:szCs w:val="20"/>
          <w:color w:val="auto"/>
        </w:rPr>
      </w:pPr>
      <w:r>
        <w:rPr>
          <w:rFonts w:ascii="Arial" w:cs="Arial" w:eastAsia="Arial" w:hAnsi="Arial"/>
          <w:sz w:val="12"/>
          <w:szCs w:val="12"/>
          <w:color w:val="auto"/>
        </w:rPr>
        <w:t>Plans) and there has not been any ERISA Reportable Event, or any other event or condition which presents a material risk of termination of any Guaranteed Pension Plan by the PBGC. Other than with respect to the Terminated Plans, based on the latest valuation of each Guaranteed Pension Plan (which in each case occurred within twelve months of the date of this representation), and on the actuarial methods and assumptions employed for that valuation, each Guaranteed Pension Plan is in compliance with the minimum funding standards as set forth in §302 of ERISA and is not subject to any restrictions concerning (i) providing shutdown or similar benefits, (ii) amendments to increase benefits, (iii) paying lump sums or (iv) continuing to accrue benefits, as described by the Pension Protection Act of 2006.</w:t>
      </w:r>
    </w:p>
    <w:p>
      <w:pPr>
        <w:spacing w:after="0" w:line="39" w:lineRule="exact"/>
        <w:rPr>
          <w:sz w:val="20"/>
          <w:szCs w:val="20"/>
          <w:color w:val="auto"/>
        </w:rPr>
      </w:pPr>
    </w:p>
    <w:p>
      <w:pPr>
        <w:ind w:left="220" w:right="100" w:firstLine="491"/>
        <w:spacing w:after="0" w:line="260" w:lineRule="auto"/>
        <w:rPr>
          <w:sz w:val="20"/>
          <w:szCs w:val="20"/>
          <w:color w:val="auto"/>
        </w:rPr>
      </w:pPr>
      <w:r>
        <w:rPr>
          <w:rFonts w:ascii="Arial" w:cs="Arial" w:eastAsia="Arial" w:hAnsi="Arial"/>
          <w:sz w:val="13"/>
          <w:szCs w:val="13"/>
          <w:b w:val="1"/>
          <w:bCs w:val="1"/>
          <w:color w:val="auto"/>
        </w:rPr>
        <w:t xml:space="preserve">§6.14.4. Multiemployer Plans. </w:t>
      </w:r>
      <w:r>
        <w:rPr>
          <w:rFonts w:ascii="Arial" w:cs="Arial" w:eastAsia="Arial" w:hAnsi="Arial"/>
          <w:sz w:val="13"/>
          <w:szCs w:val="13"/>
          <w:color w:val="auto"/>
        </w:rPr>
        <w:t>Except for liabilities that have been discharged prior to the Effective Date or as to which accruals have been made in accordance with GAAP prior to the Effective Date as</w:t>
      </w:r>
      <w:r>
        <w:rPr>
          <w:rFonts w:ascii="Arial" w:cs="Arial" w:eastAsia="Arial" w:hAnsi="Arial"/>
          <w:sz w:val="13"/>
          <w:szCs w:val="13"/>
          <w:b w:val="1"/>
          <w:bCs w:val="1"/>
          <w:color w:val="auto"/>
        </w:rPr>
        <w:t xml:space="preserve"> </w:t>
      </w:r>
      <w:r>
        <w:rPr>
          <w:rFonts w:ascii="Arial" w:cs="Arial" w:eastAsia="Arial" w:hAnsi="Arial"/>
          <w:sz w:val="13"/>
          <w:szCs w:val="13"/>
          <w:color w:val="auto"/>
        </w:rPr>
        <w:t>reflected in the Disclosure Documents, neither the Borrower nor any ERISA Affiliate has incurred any material liability (including secondary liability) to any Multiemployer Plan as a result of a complete or partial withdrawal from such Multiemployer Plan under §4201 of ERISA or as a result of a sale of assets described in §4204 of ERISA. Neither the Borrower nor any ERISA Affiliate has been notified that any Multiemployer Plan is in reorganization or insolvent under and within the meaning of §4241 or §4245 of ERISA or that any Multiemployer Plan intends to terminate or has been terminated under §4041A of ERISA.</w:t>
      </w:r>
    </w:p>
    <w:p>
      <w:pPr>
        <w:spacing w:after="0" w:line="55" w:lineRule="exact"/>
        <w:rPr>
          <w:sz w:val="20"/>
          <w:szCs w:val="20"/>
          <w:color w:val="auto"/>
        </w:rPr>
      </w:pPr>
    </w:p>
    <w:p>
      <w:pPr>
        <w:ind w:firstLine="327"/>
        <w:spacing w:after="0" w:line="327" w:lineRule="auto"/>
        <w:rPr>
          <w:sz w:val="20"/>
          <w:szCs w:val="20"/>
          <w:color w:val="auto"/>
        </w:rPr>
      </w:pPr>
      <w:r>
        <w:rPr>
          <w:rFonts w:ascii="Arial" w:cs="Arial" w:eastAsia="Arial" w:hAnsi="Arial"/>
          <w:sz w:val="12"/>
          <w:szCs w:val="12"/>
          <w:b w:val="1"/>
          <w:bCs w:val="1"/>
          <w:color w:val="auto"/>
        </w:rPr>
        <w:t xml:space="preserve">§6.15. Environmental Compliance. </w:t>
      </w:r>
      <w:r>
        <w:rPr>
          <w:rFonts w:ascii="Arial" w:cs="Arial" w:eastAsia="Arial" w:hAnsi="Arial"/>
          <w:sz w:val="12"/>
          <w:szCs w:val="12"/>
          <w:color w:val="auto"/>
        </w:rPr>
        <w:t>The Borrower and its Subsidiaries have taken all steps that they have deemed reasonably necessary to investigate the past and present condition and usage of the Real Property</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and the operations conducted by the Borrower and its Subsidiaries and, based upon such diligent investigation, have determined that, except as set forth on </w:t>
      </w:r>
      <w:r>
        <w:rPr>
          <w:rFonts w:ascii="Arial" w:cs="Arial" w:eastAsia="Arial" w:hAnsi="Arial"/>
          <w:sz w:val="12"/>
          <w:szCs w:val="12"/>
          <w:u w:val="single" w:color="auto"/>
          <w:color w:val="auto"/>
        </w:rPr>
        <w:t>Schedule 6.15</w:t>
      </w:r>
      <w:r>
        <w:rPr>
          <w:rFonts w:ascii="Arial" w:cs="Arial" w:eastAsia="Arial" w:hAnsi="Arial"/>
          <w:sz w:val="12"/>
          <w:szCs w:val="12"/>
          <w:color w:val="auto"/>
        </w:rPr>
        <w:t xml:space="preserve"> or in the Disclosure Documents:</w:t>
      </w:r>
    </w:p>
    <w:p>
      <w:pPr>
        <w:spacing w:after="0" w:line="21" w:lineRule="exact"/>
        <w:rPr>
          <w:sz w:val="20"/>
          <w:szCs w:val="20"/>
          <w:color w:val="auto"/>
        </w:rPr>
      </w:pPr>
    </w:p>
    <w:p>
      <w:pPr>
        <w:ind w:left="220" w:right="80" w:firstLine="172"/>
        <w:spacing w:after="0" w:line="258" w:lineRule="auto"/>
        <w:tabs>
          <w:tab w:leader="none" w:pos="562" w:val="left"/>
        </w:tabs>
        <w:numPr>
          <w:ilvl w:val="0"/>
          <w:numId w:val="127"/>
        </w:numPr>
        <w:rPr>
          <w:rFonts w:ascii="Arial" w:cs="Arial" w:eastAsia="Arial" w:hAnsi="Arial"/>
          <w:sz w:val="13"/>
          <w:szCs w:val="13"/>
          <w:color w:val="auto"/>
        </w:rPr>
      </w:pPr>
      <w:r>
        <w:rPr>
          <w:rFonts w:ascii="Arial" w:cs="Arial" w:eastAsia="Arial" w:hAnsi="Arial"/>
          <w:sz w:val="13"/>
          <w:szCs w:val="13"/>
          <w:color w:val="auto"/>
        </w:rPr>
        <w:t>Neither the Borrower, its Significant Subsidiaries, nor any operator of their properties, is in violation, or alleged violation, of any judgment, decree, order, law, permit, license, rule or regulation pertaining to environmental matters, including without limitation, those arising under the Resource Conservation and Recovery Act (“RCRA”), the Comprehensive Environmental Response, Compensation and Liability Act of 1980 as amended (“CERCLA”), the Superfund Amendments and Reauthorization Act of 1986 (“SARA”), the Federal Clean Water Act, the Federal Clean Air Act, the Toxic Substances Control Act, or any applicable international, federal, state, provincial, territorial or local statute, regulation, ordinance, order or decree relating to health, safety, waste transportation or disposal, or the environment (the “Environmental Laws”), which violation, individually or in the aggregate, could reasonably be expected to have a Material Adverse Effect.</w:t>
      </w:r>
    </w:p>
    <w:p>
      <w:pPr>
        <w:spacing w:after="0" w:line="61" w:lineRule="exact"/>
        <w:rPr>
          <w:rFonts w:ascii="Arial" w:cs="Arial" w:eastAsia="Arial" w:hAnsi="Arial"/>
          <w:sz w:val="13"/>
          <w:szCs w:val="13"/>
          <w:color w:val="auto"/>
        </w:rPr>
      </w:pPr>
    </w:p>
    <w:p>
      <w:pPr>
        <w:ind w:left="220" w:firstLine="172"/>
        <w:spacing w:after="0" w:line="320" w:lineRule="auto"/>
        <w:tabs>
          <w:tab w:leader="none" w:pos="569" w:val="left"/>
        </w:tabs>
        <w:numPr>
          <w:ilvl w:val="0"/>
          <w:numId w:val="127"/>
        </w:numPr>
        <w:rPr>
          <w:rFonts w:ascii="Arial" w:cs="Arial" w:eastAsia="Arial" w:hAnsi="Arial"/>
          <w:sz w:val="12"/>
          <w:szCs w:val="12"/>
          <w:color w:val="auto"/>
        </w:rPr>
      </w:pPr>
      <w:r>
        <w:rPr>
          <w:rFonts w:ascii="Arial" w:cs="Arial" w:eastAsia="Arial" w:hAnsi="Arial"/>
          <w:sz w:val="12"/>
          <w:szCs w:val="12"/>
          <w:color w:val="auto"/>
        </w:rPr>
        <w:t>Except with respect to any such matters that could not reasonably be expected to have a Material Adverse Effect, neither the Borrower nor any of its Significant Subsidiaries has received notice from any third party including, without limitation: any federal, state, provincial, territorial or local governmental authority, (i) that any one of them has been identified by the United States Environmental Protection</w:t>
      </w:r>
    </w:p>
    <w:p>
      <w:pPr>
        <w:spacing w:after="0" w:line="84" w:lineRule="exact"/>
        <w:rPr>
          <w:rFonts w:ascii="Arial" w:cs="Arial" w:eastAsia="Arial" w:hAnsi="Arial"/>
          <w:sz w:val="12"/>
          <w:szCs w:val="12"/>
          <w:color w:val="auto"/>
        </w:rPr>
      </w:pPr>
    </w:p>
    <w:p>
      <w:pPr>
        <w:ind w:left="5660" w:hanging="68"/>
        <w:spacing w:after="0"/>
        <w:tabs>
          <w:tab w:leader="none" w:pos="5660" w:val="left"/>
        </w:tabs>
        <w:numPr>
          <w:ilvl w:val="1"/>
          <w:numId w:val="127"/>
        </w:numPr>
        <w:rPr>
          <w:rFonts w:ascii="Arial" w:cs="Arial" w:eastAsia="Arial" w:hAnsi="Arial"/>
          <w:sz w:val="13"/>
          <w:szCs w:val="13"/>
          <w:color w:val="auto"/>
        </w:rPr>
      </w:pPr>
      <w:r>
        <w:rPr>
          <w:rFonts w:ascii="Arial" w:cs="Arial" w:eastAsia="Arial" w:hAnsi="Arial"/>
          <w:sz w:val="13"/>
          <w:szCs w:val="13"/>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7" w:name="page148"/>
    <w:bookmarkEnd w:id="147"/>
    <w:p>
      <w:pPr>
        <w:ind w:left="220"/>
        <w:spacing w:after="0" w:line="282" w:lineRule="auto"/>
        <w:rPr>
          <w:sz w:val="20"/>
          <w:szCs w:val="20"/>
          <w:color w:val="auto"/>
        </w:rPr>
      </w:pPr>
      <w:r>
        <w:rPr>
          <w:rFonts w:ascii="Arial" w:cs="Arial" w:eastAsia="Arial" w:hAnsi="Arial"/>
          <w:sz w:val="12"/>
          <w:szCs w:val="12"/>
          <w:color w:val="auto"/>
        </w:rPr>
        <w:t>Agency (“EPA”) as a potentially responsible party under CERCLA with respect to a site listed on the National Priorities List, 40 C.F.R. Part 300 Appendix B; (ii) that any hazardous waste, as defined by 42 U.S.C. §6903(5), any hazardous substances as defined by 42 U.S.C. §9601(14), any pollutant or contaminant as defined by 42 U.S.C. §9601(33) or any toxic substance, oil or hazardous materials or other chemicals or substances regulated by any Environmental Laws, excluding household hazardous waste (“Hazardous Substances”), which any one of them has generated, transported or disposed of, has been found at any site at which a federal, state, provincial, territorial or local agency or other third party has conducted or has ordered that the Borrower or any of its Significant Subsidiaries conduct a remedial investigation, removal or other response action pursuant to any Environmental Law; or (iii) that it is or shall be a named party to any claim, action, cause of action, complaint, legal or administrative proceeding arising out of any third party’s incurrence of costs, expenses, losses or damages of any kind whatsoever in connection with the Release of Hazardous Substances.</w:t>
      </w:r>
    </w:p>
    <w:p>
      <w:pPr>
        <w:spacing w:after="0" w:line="49" w:lineRule="exact"/>
        <w:rPr>
          <w:sz w:val="20"/>
          <w:szCs w:val="20"/>
          <w:color w:val="auto"/>
        </w:rPr>
      </w:pPr>
    </w:p>
    <w:p>
      <w:pPr>
        <w:ind w:left="220" w:right="20" w:firstLine="172"/>
        <w:spacing w:after="0" w:line="281" w:lineRule="auto"/>
        <w:tabs>
          <w:tab w:leader="none" w:pos="562" w:val="left"/>
        </w:tabs>
        <w:numPr>
          <w:ilvl w:val="0"/>
          <w:numId w:val="128"/>
        </w:numPr>
        <w:rPr>
          <w:rFonts w:ascii="Arial" w:cs="Arial" w:eastAsia="Arial" w:hAnsi="Arial"/>
          <w:sz w:val="12"/>
          <w:szCs w:val="12"/>
          <w:color w:val="auto"/>
        </w:rPr>
      </w:pPr>
      <w:r>
        <w:rPr>
          <w:rFonts w:ascii="Arial" w:cs="Arial" w:eastAsia="Arial" w:hAnsi="Arial"/>
          <w:sz w:val="12"/>
          <w:szCs w:val="12"/>
          <w:color w:val="auto"/>
        </w:rPr>
        <w:t>Except for those occurrences or situations that could not reasonably be expected to have a Material Adverse Effect, (i) no portion of the Real Property or other assets of the Borrower and its Significant Subsidiaries has been used for the handling, processing, storage or disposal of Hazardous Substances except in accordance with applicable Environmental Laws; (ii) in the course of any activities conducted by the Borrower, its Significant Subsidiaries, or operators of the Real Property or other assets of the Borrower and its Significant Subsidiaries, no Hazardous Substances have been generated or are being used on such properties except in accordance with applicable Environmental Laws; (iii) there have been no unpermitted Releases or threatened Releases of Hazardous Substances on, upon, into or from the Real Property or other assets of the Borrower or its Significant Subsidiaries; and (iv) any Hazardous Substances that have been generated on the Real Property or other assets of the Borrower or its Significant Subsidiaries have been transported offsite only by carriers having an identification number issued by the EPA, treated or disposed of only by treatment or disposal facilities maintaining valid permits as required under applicable Environmental Laws, which transporters and facilities have been and are, to the Borrower’s knowledge, operating in compliance with such permits and applicable Environmental Laws.</w:t>
      </w:r>
    </w:p>
    <w:p>
      <w:pPr>
        <w:spacing w:after="0" w:line="45" w:lineRule="exact"/>
        <w:rPr>
          <w:sz w:val="20"/>
          <w:szCs w:val="20"/>
          <w:color w:val="auto"/>
        </w:rPr>
      </w:pPr>
    </w:p>
    <w:p>
      <w:pPr>
        <w:ind w:right="60" w:firstLine="327"/>
        <w:spacing w:after="0" w:line="300" w:lineRule="auto"/>
        <w:rPr>
          <w:sz w:val="20"/>
          <w:szCs w:val="20"/>
          <w:color w:val="auto"/>
        </w:rPr>
      </w:pPr>
      <w:r>
        <w:rPr>
          <w:rFonts w:ascii="Arial" w:cs="Arial" w:eastAsia="Arial" w:hAnsi="Arial"/>
          <w:sz w:val="12"/>
          <w:szCs w:val="12"/>
          <w:b w:val="1"/>
          <w:bCs w:val="1"/>
          <w:color w:val="auto"/>
        </w:rPr>
        <w:t>§6.16. Disclosure</w:t>
      </w:r>
      <w:r>
        <w:rPr>
          <w:rFonts w:ascii="Arial" w:cs="Arial" w:eastAsia="Arial" w:hAnsi="Arial"/>
          <w:sz w:val="12"/>
          <w:szCs w:val="12"/>
          <w:color w:val="auto"/>
        </w:rPr>
        <w:t>. No representation or warranty made by the Borrower or the Guarantor in this Agreement or in any agreement, instrument, document, certificate, or financial statement furnished to the Banks or</w:t>
      </w:r>
      <w:r>
        <w:rPr>
          <w:rFonts w:ascii="Arial" w:cs="Arial" w:eastAsia="Arial" w:hAnsi="Arial"/>
          <w:sz w:val="12"/>
          <w:szCs w:val="12"/>
          <w:b w:val="1"/>
          <w:bCs w:val="1"/>
          <w:color w:val="auto"/>
        </w:rPr>
        <w:t xml:space="preserve"> </w:t>
      </w:r>
      <w:r>
        <w:rPr>
          <w:rFonts w:ascii="Arial" w:cs="Arial" w:eastAsia="Arial" w:hAnsi="Arial"/>
          <w:sz w:val="12"/>
          <w:szCs w:val="12"/>
          <w:color w:val="auto"/>
        </w:rPr>
        <w:t>the Administrative Agent by or on behalf of or at the request of the Borrower and the Guarantor in connection with any of the transactions contemplated by the Loan Documents contains any untrue statement of a material fact or omits to state a material fact necessary in order to make the statements contained therein, taken as a whole, not misleading in light of the circumstances in which they are made.</w:t>
      </w:r>
    </w:p>
    <w:p>
      <w:pPr>
        <w:spacing w:after="0" w:line="33" w:lineRule="exact"/>
        <w:rPr>
          <w:sz w:val="20"/>
          <w:szCs w:val="20"/>
          <w:color w:val="auto"/>
        </w:rPr>
      </w:pPr>
    </w:p>
    <w:p>
      <w:pPr>
        <w:jc w:val="both"/>
        <w:ind w:right="20" w:firstLine="327"/>
        <w:spacing w:after="0" w:line="267" w:lineRule="auto"/>
        <w:rPr>
          <w:sz w:val="20"/>
          <w:szCs w:val="20"/>
          <w:color w:val="auto"/>
        </w:rPr>
      </w:pPr>
      <w:r>
        <w:rPr>
          <w:rFonts w:ascii="Arial" w:cs="Arial" w:eastAsia="Arial" w:hAnsi="Arial"/>
          <w:sz w:val="13"/>
          <w:szCs w:val="13"/>
          <w:b w:val="1"/>
          <w:bCs w:val="1"/>
          <w:color w:val="auto"/>
        </w:rPr>
        <w:t>§6.17. Permits and Governmental Authority</w:t>
      </w:r>
      <w:r>
        <w:rPr>
          <w:rFonts w:ascii="Arial" w:cs="Arial" w:eastAsia="Arial" w:hAnsi="Arial"/>
          <w:sz w:val="13"/>
          <w:szCs w:val="13"/>
          <w:color w:val="auto"/>
        </w:rPr>
        <w:t>. All permits (other than those the absence of which could not reasonably be expected to have a Material Adverse Effect) required for the construction and operation</w:t>
      </w:r>
      <w:r>
        <w:rPr>
          <w:rFonts w:ascii="Arial" w:cs="Arial" w:eastAsia="Arial" w:hAnsi="Arial"/>
          <w:sz w:val="13"/>
          <w:szCs w:val="13"/>
          <w:b w:val="1"/>
          <w:bCs w:val="1"/>
          <w:color w:val="auto"/>
        </w:rPr>
        <w:t xml:space="preserve"> </w:t>
      </w:r>
      <w:r>
        <w:rPr>
          <w:rFonts w:ascii="Arial" w:cs="Arial" w:eastAsia="Arial" w:hAnsi="Arial"/>
          <w:sz w:val="13"/>
          <w:szCs w:val="13"/>
          <w:color w:val="auto"/>
        </w:rPr>
        <w:t>of all landfills currently owned or operated by the Borrower or any of its Significant Subsidiaries have been obtained and remain in full force and effect and are not subject to any appeals or further proceedings or to any unsatisfied conditions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8" w:name="page149"/>
    <w:bookmarkEnd w:id="148"/>
    <w:p>
      <w:pPr>
        <w:spacing w:after="0" w:line="276" w:lineRule="auto"/>
        <w:rPr>
          <w:sz w:val="20"/>
          <w:szCs w:val="20"/>
          <w:color w:val="auto"/>
        </w:rPr>
      </w:pPr>
      <w:r>
        <w:rPr>
          <w:rFonts w:ascii="Arial" w:cs="Arial" w:eastAsia="Arial" w:hAnsi="Arial"/>
          <w:sz w:val="13"/>
          <w:szCs w:val="13"/>
          <w:color w:val="auto"/>
        </w:rPr>
        <w:t>that may allow material modification or revocation. Neither the Borrower nor any of its Subsidiaries, nor, to the knowledge of the Borrower, the holder of such permits is in violation of any such permits, except for any violation which could not reasonably be expected to have a Material Adverse Effect.</w:t>
      </w:r>
    </w:p>
    <w:p>
      <w:pPr>
        <w:spacing w:after="0" w:line="45" w:lineRule="exact"/>
        <w:rPr>
          <w:sz w:val="20"/>
          <w:szCs w:val="20"/>
          <w:color w:val="auto"/>
        </w:rPr>
      </w:pPr>
    </w:p>
    <w:p>
      <w:pPr>
        <w:ind w:right="120" w:firstLine="327"/>
        <w:spacing w:after="0" w:line="267" w:lineRule="auto"/>
        <w:rPr>
          <w:sz w:val="20"/>
          <w:szCs w:val="20"/>
          <w:color w:val="auto"/>
        </w:rPr>
      </w:pPr>
      <w:r>
        <w:rPr>
          <w:rFonts w:ascii="Arial" w:cs="Arial" w:eastAsia="Arial" w:hAnsi="Arial"/>
          <w:sz w:val="13"/>
          <w:szCs w:val="13"/>
          <w:b w:val="1"/>
          <w:bCs w:val="1"/>
          <w:color w:val="auto"/>
        </w:rPr>
        <w:t>§6.18. Margin Stock</w:t>
      </w:r>
      <w:r>
        <w:rPr>
          <w:rFonts w:ascii="Arial" w:cs="Arial" w:eastAsia="Arial" w:hAnsi="Arial"/>
          <w:sz w:val="13"/>
          <w:szCs w:val="13"/>
          <w:color w:val="auto"/>
        </w:rPr>
        <w:t>. The Borrower is not engaged in the business of extending credit for the purpose of purchasing or carrying margin stock (within the meaning of Regulation U issued by the Board of</w:t>
      </w:r>
      <w:r>
        <w:rPr>
          <w:rFonts w:ascii="Arial" w:cs="Arial" w:eastAsia="Arial" w:hAnsi="Arial"/>
          <w:sz w:val="13"/>
          <w:szCs w:val="13"/>
          <w:b w:val="1"/>
          <w:bCs w:val="1"/>
          <w:color w:val="auto"/>
        </w:rPr>
        <w:t xml:space="preserve"> </w:t>
      </w:r>
      <w:r>
        <w:rPr>
          <w:rFonts w:ascii="Arial" w:cs="Arial" w:eastAsia="Arial" w:hAnsi="Arial"/>
          <w:sz w:val="13"/>
          <w:szCs w:val="13"/>
          <w:color w:val="auto"/>
        </w:rPr>
        <w:t>Governors of the Federal Reserve System), and no proceeds of any Loans will be used to purchase or carry any margin stock or to extend credit to others for the purpose of purchasing or carrying any margin stock in violation of Regulations T, U or X of the Board of Governors of the Federal Reserve System.</w:t>
      </w:r>
    </w:p>
    <w:p>
      <w:pPr>
        <w:spacing w:after="0" w:line="52" w:lineRule="exact"/>
        <w:rPr>
          <w:sz w:val="20"/>
          <w:szCs w:val="20"/>
          <w:color w:val="auto"/>
        </w:rPr>
      </w:pPr>
    </w:p>
    <w:p>
      <w:pPr>
        <w:jc w:val="both"/>
        <w:ind w:right="160"/>
        <w:spacing w:after="0" w:line="267" w:lineRule="auto"/>
        <w:rPr>
          <w:sz w:val="20"/>
          <w:szCs w:val="20"/>
          <w:color w:val="auto"/>
        </w:rPr>
      </w:pPr>
      <w:r>
        <w:rPr>
          <w:rFonts w:ascii="Arial" w:cs="Arial" w:eastAsia="Arial" w:hAnsi="Arial"/>
          <w:sz w:val="13"/>
          <w:szCs w:val="13"/>
          <w:b w:val="1"/>
          <w:bCs w:val="1"/>
          <w:color w:val="auto"/>
        </w:rPr>
        <w:t xml:space="preserve">§7. </w:t>
      </w:r>
      <w:r>
        <w:rPr>
          <w:rFonts w:ascii="Arial" w:cs="Arial" w:eastAsia="Arial" w:hAnsi="Arial"/>
          <w:sz w:val="13"/>
          <w:szCs w:val="13"/>
          <w:b w:val="1"/>
          <w:bCs w:val="1"/>
          <w:u w:val="single" w:color="auto"/>
          <w:color w:val="auto"/>
        </w:rPr>
        <w:t>AFFIRMATIVE COVENANTS OF THE BORROWER</w:t>
      </w:r>
      <w:r>
        <w:rPr>
          <w:rFonts w:ascii="Arial" w:cs="Arial" w:eastAsia="Arial" w:hAnsi="Arial"/>
          <w:sz w:val="13"/>
          <w:szCs w:val="13"/>
          <w:color w:val="auto"/>
        </w:rPr>
        <w:t>. The Borrower agrees that, so long as any Obligation or Letter of Credit is outstanding or the Banks have any obligation to make Loans or any Issuing</w:t>
      </w:r>
      <w:r>
        <w:rPr>
          <w:rFonts w:ascii="Arial" w:cs="Arial" w:eastAsia="Arial" w:hAnsi="Arial"/>
          <w:sz w:val="13"/>
          <w:szCs w:val="13"/>
          <w:b w:val="1"/>
          <w:bCs w:val="1"/>
          <w:color w:val="auto"/>
        </w:rPr>
        <w:t xml:space="preserve"> </w:t>
      </w:r>
      <w:r>
        <w:rPr>
          <w:rFonts w:ascii="Arial" w:cs="Arial" w:eastAsia="Arial" w:hAnsi="Arial"/>
          <w:sz w:val="13"/>
          <w:szCs w:val="13"/>
          <w:color w:val="auto"/>
        </w:rPr>
        <w:t>Bank has any obligation to issue, extend or renew any Letter of Credit hereunder, or the Banks have any obligations to reimburse any Issuing Bank for drawings honored under any Letter of Credit, it shall, and shall cause its Subsidiaries to, comply with the following covenants:</w:t>
      </w:r>
    </w:p>
    <w:p>
      <w:pPr>
        <w:spacing w:after="0" w:line="52" w:lineRule="exact"/>
        <w:rPr>
          <w:sz w:val="20"/>
          <w:szCs w:val="20"/>
          <w:color w:val="auto"/>
        </w:rPr>
      </w:pPr>
    </w:p>
    <w:p>
      <w:pPr>
        <w:ind w:right="180" w:firstLine="327"/>
        <w:spacing w:after="0" w:line="283" w:lineRule="auto"/>
        <w:rPr>
          <w:sz w:val="20"/>
          <w:szCs w:val="20"/>
          <w:color w:val="auto"/>
        </w:rPr>
      </w:pPr>
      <w:r>
        <w:rPr>
          <w:rFonts w:ascii="Arial" w:cs="Arial" w:eastAsia="Arial" w:hAnsi="Arial"/>
          <w:sz w:val="13"/>
          <w:szCs w:val="13"/>
          <w:b w:val="1"/>
          <w:bCs w:val="1"/>
          <w:color w:val="auto"/>
        </w:rPr>
        <w:t>§7.1. Punctual Payment</w:t>
      </w:r>
      <w:r>
        <w:rPr>
          <w:rFonts w:ascii="Arial" w:cs="Arial" w:eastAsia="Arial" w:hAnsi="Arial"/>
          <w:sz w:val="13"/>
          <w:szCs w:val="13"/>
          <w:color w:val="auto"/>
        </w:rPr>
        <w:t>. The Borrower will duly and punctually pay or cause to be paid the principal of and interest on the Loans, all Reimbursement Obligations, fees and other amounts provided for in this</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and the other Loan Documents, all in accordance with the terms of this Agreement and such other Loan Documents.</w:t>
      </w:r>
    </w:p>
    <w:p>
      <w:pPr>
        <w:spacing w:after="0" w:line="41" w:lineRule="exact"/>
        <w:rPr>
          <w:sz w:val="20"/>
          <w:szCs w:val="20"/>
          <w:color w:val="auto"/>
        </w:rPr>
      </w:pPr>
    </w:p>
    <w:p>
      <w:pPr>
        <w:ind w:right="40" w:firstLine="327"/>
        <w:spacing w:after="0" w:line="283" w:lineRule="auto"/>
        <w:rPr>
          <w:sz w:val="20"/>
          <w:szCs w:val="20"/>
          <w:color w:val="auto"/>
        </w:rPr>
      </w:pPr>
      <w:r>
        <w:rPr>
          <w:rFonts w:ascii="Arial" w:cs="Arial" w:eastAsia="Arial" w:hAnsi="Arial"/>
          <w:sz w:val="13"/>
          <w:szCs w:val="13"/>
          <w:b w:val="1"/>
          <w:bCs w:val="1"/>
          <w:color w:val="auto"/>
        </w:rPr>
        <w:t>§7.2. Maintenance of U.S. Office</w:t>
      </w:r>
      <w:r>
        <w:rPr>
          <w:rFonts w:ascii="Arial" w:cs="Arial" w:eastAsia="Arial" w:hAnsi="Arial"/>
          <w:sz w:val="13"/>
          <w:szCs w:val="13"/>
          <w:color w:val="auto"/>
        </w:rPr>
        <w:t>. The Borrower will maintain its chief executive offices at Houston, Texas, or at such other place in the United States of America as the Borrower shall designate upon 30 days’</w:t>
      </w:r>
      <w:r>
        <w:rPr>
          <w:rFonts w:ascii="Arial" w:cs="Arial" w:eastAsia="Arial" w:hAnsi="Arial"/>
          <w:sz w:val="13"/>
          <w:szCs w:val="13"/>
          <w:b w:val="1"/>
          <w:bCs w:val="1"/>
          <w:color w:val="auto"/>
        </w:rPr>
        <w:t xml:space="preserve"> </w:t>
      </w:r>
      <w:r>
        <w:rPr>
          <w:rFonts w:ascii="Arial" w:cs="Arial" w:eastAsia="Arial" w:hAnsi="Arial"/>
          <w:sz w:val="13"/>
          <w:szCs w:val="13"/>
          <w:color w:val="auto"/>
        </w:rPr>
        <w:t>prior written notice to the Administrative Agent.</w:t>
      </w:r>
    </w:p>
    <w:p>
      <w:pPr>
        <w:spacing w:after="0" w:line="41" w:lineRule="exact"/>
        <w:rPr>
          <w:sz w:val="20"/>
          <w:szCs w:val="20"/>
          <w:color w:val="auto"/>
        </w:rPr>
      </w:pPr>
    </w:p>
    <w:p>
      <w:pPr>
        <w:ind w:right="20" w:firstLine="327"/>
        <w:spacing w:after="0" w:line="267" w:lineRule="auto"/>
        <w:rPr>
          <w:sz w:val="20"/>
          <w:szCs w:val="20"/>
          <w:color w:val="auto"/>
        </w:rPr>
      </w:pPr>
      <w:r>
        <w:rPr>
          <w:rFonts w:ascii="Arial" w:cs="Arial" w:eastAsia="Arial" w:hAnsi="Arial"/>
          <w:sz w:val="13"/>
          <w:szCs w:val="13"/>
          <w:b w:val="1"/>
          <w:bCs w:val="1"/>
          <w:color w:val="auto"/>
        </w:rPr>
        <w:t>§7.3. Records and Accounts</w:t>
      </w:r>
      <w:r>
        <w:rPr>
          <w:rFonts w:ascii="Arial" w:cs="Arial" w:eastAsia="Arial" w:hAnsi="Arial"/>
          <w:sz w:val="13"/>
          <w:szCs w:val="13"/>
          <w:color w:val="auto"/>
        </w:rPr>
        <w:t>. The Borrower will, and will cause each of its Subsidiaries to, keep true and accurate records and books of account in which full, true and correct entries will be made in accordance</w:t>
      </w:r>
      <w:r>
        <w:rPr>
          <w:rFonts w:ascii="Arial" w:cs="Arial" w:eastAsia="Arial" w:hAnsi="Arial"/>
          <w:sz w:val="13"/>
          <w:szCs w:val="13"/>
          <w:b w:val="1"/>
          <w:bCs w:val="1"/>
          <w:color w:val="auto"/>
        </w:rPr>
        <w:t xml:space="preserve"> </w:t>
      </w:r>
      <w:r>
        <w:rPr>
          <w:rFonts w:ascii="Arial" w:cs="Arial" w:eastAsia="Arial" w:hAnsi="Arial"/>
          <w:sz w:val="13"/>
          <w:szCs w:val="13"/>
          <w:color w:val="auto"/>
        </w:rPr>
        <w:t>with GAAP and with the requirements of all regulatory authorities and maintain adequate accounts and reserves for all taxes (including income taxes), depreciation, depletion, obsolescence and amortization of its properties, all other contingencies, and all other proper reserves.</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§7.4. Financial Statements, Certificates and Information</w:t>
      </w:r>
      <w:r>
        <w:rPr>
          <w:rFonts w:ascii="Arial" w:cs="Arial" w:eastAsia="Arial" w:hAnsi="Arial"/>
          <w:sz w:val="13"/>
          <w:szCs w:val="13"/>
          <w:color w:val="auto"/>
        </w:rPr>
        <w:t>. The Borrower will deliver to the Banks:</w:t>
      </w:r>
    </w:p>
    <w:p>
      <w:pPr>
        <w:spacing w:after="0" w:line="90" w:lineRule="exact"/>
        <w:rPr>
          <w:sz w:val="20"/>
          <w:szCs w:val="20"/>
          <w:color w:val="auto"/>
        </w:rPr>
      </w:pPr>
    </w:p>
    <w:p>
      <w:pPr>
        <w:ind w:left="220" w:right="40" w:firstLine="172"/>
        <w:spacing w:after="0" w:line="260" w:lineRule="auto"/>
        <w:tabs>
          <w:tab w:leader="none" w:pos="562" w:val="left"/>
        </w:tabs>
        <w:numPr>
          <w:ilvl w:val="0"/>
          <w:numId w:val="129"/>
        </w:numPr>
        <w:rPr>
          <w:rFonts w:ascii="Arial" w:cs="Arial" w:eastAsia="Arial" w:hAnsi="Arial"/>
          <w:sz w:val="13"/>
          <w:szCs w:val="13"/>
          <w:color w:val="auto"/>
        </w:rPr>
      </w:pPr>
      <w:r>
        <w:rPr>
          <w:rFonts w:ascii="Arial" w:cs="Arial" w:eastAsia="Arial" w:hAnsi="Arial"/>
          <w:sz w:val="13"/>
          <w:szCs w:val="13"/>
          <w:color w:val="auto"/>
        </w:rPr>
        <w:t>as soon as practicable, but, in any event not later than 100 days after the end of each fiscal year of the Borrower, the consolidated balance sheet of the Borrower as at the end of such year, consolidated statements of cash flows, and the related consolidated statements of operations, each setting forth in comparative form the figures for the previous fiscal year, all such consolidated financial statements to be in reasonable detail, prepared in accordance with GAAP and, with respect to the consolidated financial statements, certified by Ernst &amp; Young LLP or by other nationally recognized independent auditors selected by the Borrower and reasonably satisfactory to the Administrative Agent (the “Accountants”). In addition, simultaneously therewith, the</w:t>
      </w:r>
    </w:p>
    <w:p>
      <w:pPr>
        <w:spacing w:after="0" w:line="118" w:lineRule="exact"/>
        <w:rPr>
          <w:rFonts w:ascii="Arial" w:cs="Arial" w:eastAsia="Arial" w:hAnsi="Arial"/>
          <w:sz w:val="13"/>
          <w:szCs w:val="13"/>
          <w:color w:val="auto"/>
        </w:rPr>
      </w:pPr>
    </w:p>
    <w:p>
      <w:pPr>
        <w:ind w:left="5660" w:hanging="68"/>
        <w:spacing w:after="0"/>
        <w:tabs>
          <w:tab w:leader="none" w:pos="5660" w:val="left"/>
        </w:tabs>
        <w:numPr>
          <w:ilvl w:val="1"/>
          <w:numId w:val="129"/>
        </w:numPr>
        <w:rPr>
          <w:rFonts w:ascii="Arial" w:cs="Arial" w:eastAsia="Arial" w:hAnsi="Arial"/>
          <w:sz w:val="13"/>
          <w:szCs w:val="13"/>
          <w:color w:val="auto"/>
        </w:rPr>
      </w:pPr>
      <w:r>
        <w:rPr>
          <w:rFonts w:ascii="Arial" w:cs="Arial" w:eastAsia="Arial" w:hAnsi="Arial"/>
          <w:sz w:val="13"/>
          <w:szCs w:val="13"/>
          <w:color w:val="auto"/>
        </w:rPr>
        <w:t>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149" w:name="page150"/>
    <w:bookmarkEnd w:id="149"/>
    <w:p>
      <w:pPr>
        <w:jc w:val="both"/>
        <w:ind w:left="220"/>
        <w:spacing w:after="0" w:line="264" w:lineRule="auto"/>
        <w:rPr>
          <w:sz w:val="20"/>
          <w:szCs w:val="20"/>
          <w:color w:val="auto"/>
        </w:rPr>
      </w:pPr>
      <w:r>
        <w:rPr>
          <w:rFonts w:ascii="Arial" w:cs="Arial" w:eastAsia="Arial" w:hAnsi="Arial"/>
          <w:sz w:val="13"/>
          <w:szCs w:val="13"/>
          <w:color w:val="auto"/>
        </w:rPr>
        <w:t>Borrower shall provide the Banks with a written statement from such Accountants to the effect that they have read a copy of this Agreement, and that, in making the examination necessary to said certification, they have obtained no knowledge of any Default or Event of Default, or, if such Accountants shall have obtained knowledge of any then existing Default or Event of Default they shall disclose in such statement any such Default or Event of Default;</w:t>
      </w:r>
    </w:p>
    <w:p>
      <w:pPr>
        <w:spacing w:after="0" w:line="57" w:lineRule="exact"/>
        <w:rPr>
          <w:sz w:val="20"/>
          <w:szCs w:val="20"/>
          <w:color w:val="auto"/>
        </w:rPr>
      </w:pPr>
    </w:p>
    <w:p>
      <w:pPr>
        <w:ind w:left="220" w:right="20" w:firstLine="172"/>
        <w:spacing w:after="0" w:line="285" w:lineRule="auto"/>
        <w:tabs>
          <w:tab w:leader="none" w:pos="569" w:val="left"/>
        </w:tabs>
        <w:numPr>
          <w:ilvl w:val="0"/>
          <w:numId w:val="130"/>
        </w:numPr>
        <w:rPr>
          <w:rFonts w:ascii="Arial" w:cs="Arial" w:eastAsia="Arial" w:hAnsi="Arial"/>
          <w:sz w:val="12"/>
          <w:szCs w:val="12"/>
          <w:color w:val="auto"/>
        </w:rPr>
      </w:pPr>
      <w:r>
        <w:rPr>
          <w:rFonts w:ascii="Arial" w:cs="Arial" w:eastAsia="Arial" w:hAnsi="Arial"/>
          <w:sz w:val="12"/>
          <w:szCs w:val="12"/>
          <w:color w:val="auto"/>
        </w:rPr>
        <w:t>as soon as practicable, but in any event not later than 60 days after the end of each of the first three fiscal quarters of each fiscal year of the Borrower, copies of the consolidated balance sheet and statement of operations of the Borrower as at the end of such quarter, subject to year-end adjustments, and the related consolidated statement of cash flows, all in reasonable detail and prepared in accordance with GAAP (to the extent GAAP is applicable to interim unaudited financial statements) with a certification by the principal financial or accounting officer of the Borrower (the “CFO” or the “CAO”) that the consolidated financial statements are prepared in accordance with GAAP (to the extent GAAP is applicable to interim unaudited financial statements) and fairly present, in all material respects, the consolidated financial condition of the Borrower as at the close of business on the date thereof and the results of operations for the period then ended, subject to year-end adjustments and the exclusion of detailed footnotes;</w:t>
      </w:r>
    </w:p>
    <w:p>
      <w:pPr>
        <w:spacing w:after="0" w:line="45" w:lineRule="exact"/>
        <w:rPr>
          <w:rFonts w:ascii="Arial" w:cs="Arial" w:eastAsia="Arial" w:hAnsi="Arial"/>
          <w:sz w:val="12"/>
          <w:szCs w:val="12"/>
          <w:color w:val="auto"/>
        </w:rPr>
      </w:pPr>
    </w:p>
    <w:p>
      <w:pPr>
        <w:ind w:left="220" w:right="120" w:firstLine="172"/>
        <w:spacing w:after="0" w:line="285" w:lineRule="auto"/>
        <w:tabs>
          <w:tab w:leader="none" w:pos="562" w:val="left"/>
        </w:tabs>
        <w:numPr>
          <w:ilvl w:val="0"/>
          <w:numId w:val="130"/>
        </w:numPr>
        <w:rPr>
          <w:rFonts w:ascii="Arial" w:cs="Arial" w:eastAsia="Arial" w:hAnsi="Arial"/>
          <w:sz w:val="12"/>
          <w:szCs w:val="12"/>
          <w:color w:val="auto"/>
        </w:rPr>
      </w:pPr>
      <w:r>
        <w:rPr>
          <w:rFonts w:ascii="Arial" w:cs="Arial" w:eastAsia="Arial" w:hAnsi="Arial"/>
          <w:sz w:val="12"/>
          <w:szCs w:val="12"/>
          <w:color w:val="auto"/>
        </w:rPr>
        <w:t xml:space="preserve">simultaneously with the delivery of the financial statements referred to in (a) and (b) above, a certificate in the form of </w:t>
      </w:r>
      <w:r>
        <w:rPr>
          <w:rFonts w:ascii="Arial" w:cs="Arial" w:eastAsia="Arial" w:hAnsi="Arial"/>
          <w:sz w:val="12"/>
          <w:szCs w:val="12"/>
          <w:u w:val="single" w:color="auto"/>
          <w:color w:val="auto"/>
        </w:rPr>
        <w:t>Exhibit D</w:t>
      </w:r>
      <w:r>
        <w:rPr>
          <w:rFonts w:ascii="Arial" w:cs="Arial" w:eastAsia="Arial" w:hAnsi="Arial"/>
          <w:sz w:val="12"/>
          <w:szCs w:val="12"/>
          <w:color w:val="auto"/>
        </w:rPr>
        <w:t xml:space="preserve"> hereto (the “Compliance Certificate”) signed by the CFO or the CAO or the Borrower’s corporate treasurer, stating that the Borrower and its Subsidiaries are in compliance with the covenants contained in §§7, 8 and 9 hereof as of the end of the applicable period and setting forth in reasonable detail computations evidencing such compliance with respect to the covenants contained in §9 hereof and that no Default or Event of Default exists,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the Borrower shall at the time of issuance of such Compliance Certificate or at any other time obtain knowledge of any Default or Event of Default, the Borrower shall include in such certificate or otherwise deliver forthwith to the Banks a certificate specifying the nature and period of existence thereof and what action the Borrower proposes to take with respect thereto;</w:t>
      </w:r>
    </w:p>
    <w:p>
      <w:pPr>
        <w:spacing w:after="0" w:line="45" w:lineRule="exact"/>
        <w:rPr>
          <w:rFonts w:ascii="Arial" w:cs="Arial" w:eastAsia="Arial" w:hAnsi="Arial"/>
          <w:sz w:val="12"/>
          <w:szCs w:val="12"/>
          <w:color w:val="auto"/>
        </w:rPr>
      </w:pPr>
    </w:p>
    <w:p>
      <w:pPr>
        <w:ind w:left="220" w:right="240" w:firstLine="172"/>
        <w:spacing w:after="0" w:line="276" w:lineRule="auto"/>
        <w:tabs>
          <w:tab w:leader="none" w:pos="569" w:val="left"/>
        </w:tabs>
        <w:numPr>
          <w:ilvl w:val="0"/>
          <w:numId w:val="130"/>
        </w:numPr>
        <w:rPr>
          <w:rFonts w:ascii="Arial" w:cs="Arial" w:eastAsia="Arial" w:hAnsi="Arial"/>
          <w:sz w:val="13"/>
          <w:szCs w:val="13"/>
          <w:color w:val="auto"/>
        </w:rPr>
      </w:pPr>
      <w:r>
        <w:rPr>
          <w:rFonts w:ascii="Arial" w:cs="Arial" w:eastAsia="Arial" w:hAnsi="Arial"/>
          <w:sz w:val="13"/>
          <w:szCs w:val="13"/>
          <w:color w:val="auto"/>
        </w:rPr>
        <w:t>promptly following the filing or mailing thereof, copies of all material of a financial nature filed with the Securities and Exchange Commission or sent to the Borrower’s and its Subsidiaries’ stockholders generally; and</w:t>
      </w:r>
    </w:p>
    <w:p>
      <w:pPr>
        <w:spacing w:after="0" w:line="49" w:lineRule="exact"/>
        <w:rPr>
          <w:rFonts w:ascii="Arial" w:cs="Arial" w:eastAsia="Arial" w:hAnsi="Arial"/>
          <w:sz w:val="13"/>
          <w:szCs w:val="13"/>
          <w:color w:val="auto"/>
        </w:rPr>
      </w:pPr>
    </w:p>
    <w:p>
      <w:pPr>
        <w:ind w:left="560" w:hanging="168"/>
        <w:spacing w:after="0"/>
        <w:tabs>
          <w:tab w:leader="none" w:pos="56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from time to time such other financial data and other information as any of the Banks may reasonably request through the Administrative Agent.</w:t>
      </w:r>
    </w:p>
    <w:p>
      <w:pPr>
        <w:spacing w:after="0" w:line="86" w:lineRule="exact"/>
        <w:rPr>
          <w:sz w:val="20"/>
          <w:szCs w:val="20"/>
          <w:color w:val="auto"/>
        </w:rPr>
      </w:pPr>
    </w:p>
    <w:p>
      <w:pPr>
        <w:ind w:right="180" w:firstLine="161"/>
        <w:spacing w:after="0" w:line="264" w:lineRule="auto"/>
        <w:rPr>
          <w:sz w:val="20"/>
          <w:szCs w:val="20"/>
          <w:color w:val="auto"/>
        </w:rPr>
      </w:pPr>
      <w:r>
        <w:rPr>
          <w:rFonts w:ascii="Arial" w:cs="Arial" w:eastAsia="Arial" w:hAnsi="Arial"/>
          <w:sz w:val="13"/>
          <w:szCs w:val="13"/>
          <w:color w:val="auto"/>
        </w:rPr>
        <w:t xml:space="preserve">The Borrower hereby authorizes each Bank to disclose any information obtained pursuant to this Agreement to all appropriate governmental regulatory authorities where required by law;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this authorization shall not be deemed to be a waiver of any rights to object to the disclosure by the Banks of any such information which the Borrower has or may have under the federal Right to Financial Privacy Act of 1978, as in effect from time to time, except as to matters specifically permitted therein.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50" w:name="page151"/>
    <w:bookmarkEnd w:id="150"/>
    <w:p>
      <w:pPr>
        <w:ind w:right="20" w:firstLine="327"/>
        <w:spacing w:after="0" w:line="284" w:lineRule="auto"/>
        <w:rPr>
          <w:sz w:val="20"/>
          <w:szCs w:val="20"/>
          <w:color w:val="auto"/>
        </w:rPr>
      </w:pPr>
      <w:r>
        <w:rPr>
          <w:rFonts w:ascii="Arial" w:cs="Arial" w:eastAsia="Arial" w:hAnsi="Arial"/>
          <w:sz w:val="12"/>
          <w:szCs w:val="12"/>
          <w:b w:val="1"/>
          <w:bCs w:val="1"/>
          <w:color w:val="auto"/>
        </w:rPr>
        <w:t>§7.5. Existence and Conduct of Business</w:t>
      </w:r>
      <w:r>
        <w:rPr>
          <w:rFonts w:ascii="Arial" w:cs="Arial" w:eastAsia="Arial" w:hAnsi="Arial"/>
          <w:sz w:val="12"/>
          <w:szCs w:val="12"/>
          <w:color w:val="auto"/>
        </w:rPr>
        <w:t>. The Borrower will, and will cause each Significant Subsidiary to, do or cause to be done all things necessary to preserve and keep in full force and effect its existence,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rights and franchises; and effect and maintain its foreign qualifications (except where the failure of the Borrower or any Significant Subsidiary to remain so qualified could not reasonably be expected to have a Material Adverse Effect), licensing, domestication or authorization, except as any of the foregoing may be terminated by its Board of Directors in the exercise of its reasonable judgment;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termination could not reasonably be expected to have a Material Adverse Effect. The Borrower will not, and will cause its Subsidiaries not to, become obligated under any contract or binding arrangement which, at the time it was entered into, could reasonably be expected to have a Material Adverse Effect. The Borrower will, and will cause each Subsidiary to, continue to engage primarily in any of the businesses now conducted by the Borrower and its Subsidiaries and in related, complementary or supplemental businesses, and any additional businesses acquired pursuant to the terms of §8.4(a) hereunder.</w:t>
      </w:r>
    </w:p>
    <w:p>
      <w:pPr>
        <w:spacing w:after="0" w:line="43" w:lineRule="exact"/>
        <w:rPr>
          <w:sz w:val="20"/>
          <w:szCs w:val="20"/>
          <w:color w:val="auto"/>
        </w:rPr>
      </w:pPr>
    </w:p>
    <w:p>
      <w:pPr>
        <w:ind w:right="20" w:firstLine="327"/>
        <w:spacing w:after="0" w:line="286" w:lineRule="auto"/>
        <w:rPr>
          <w:sz w:val="20"/>
          <w:szCs w:val="20"/>
          <w:color w:val="auto"/>
        </w:rPr>
      </w:pPr>
      <w:r>
        <w:rPr>
          <w:rFonts w:ascii="Arial" w:cs="Arial" w:eastAsia="Arial" w:hAnsi="Arial"/>
          <w:sz w:val="12"/>
          <w:szCs w:val="12"/>
          <w:b w:val="1"/>
          <w:bCs w:val="1"/>
          <w:color w:val="auto"/>
        </w:rPr>
        <w:t>§7.6. Maintenance of Properties</w:t>
      </w:r>
      <w:r>
        <w:rPr>
          <w:rFonts w:ascii="Arial" w:cs="Arial" w:eastAsia="Arial" w:hAnsi="Arial"/>
          <w:sz w:val="12"/>
          <w:szCs w:val="12"/>
          <w:color w:val="auto"/>
        </w:rPr>
        <w:t>. The Borrower will, and will cause its Significant Subsidiaries to, cause all material properties used or useful in the conduct of their businesses to be maintained and kept in good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condition, repair and working order (ordinary wear and tear excepted) and supplied with all necessary equipment and cause to be made all necessary repairs, renewals, replacements, betterments and improvements thereof, all as in the judgment of the Borrower and its Significant Subsidiaries may be necessary so that the businesses carried on in connection therewith may be properly and advantageously conducted at all times;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nothing in this section shall prevent the Borrower or any of its Subsidiaries from discontinuing the operation and maintenance of any of its properties if such discontinuance is, in the judgment of the Borrower or such Subsidiary, desirable in the conduct of its or their business and which could not reasonably be expected to have a Material Adverse Effect.</w:t>
      </w:r>
    </w:p>
    <w:p>
      <w:pPr>
        <w:spacing w:after="0" w:line="43" w:lineRule="exact"/>
        <w:rPr>
          <w:sz w:val="20"/>
          <w:szCs w:val="20"/>
          <w:color w:val="auto"/>
        </w:rPr>
      </w:pPr>
    </w:p>
    <w:p>
      <w:pPr>
        <w:ind w:firstLine="327"/>
        <w:spacing w:after="0" w:line="258" w:lineRule="auto"/>
        <w:rPr>
          <w:sz w:val="20"/>
          <w:szCs w:val="20"/>
          <w:color w:val="auto"/>
        </w:rPr>
      </w:pPr>
      <w:r>
        <w:rPr>
          <w:rFonts w:ascii="Arial" w:cs="Arial" w:eastAsia="Arial" w:hAnsi="Arial"/>
          <w:sz w:val="13"/>
          <w:szCs w:val="13"/>
          <w:b w:val="1"/>
          <w:bCs w:val="1"/>
          <w:color w:val="auto"/>
        </w:rPr>
        <w:t>§7.7. Insurance</w:t>
      </w:r>
      <w:r>
        <w:rPr>
          <w:rFonts w:ascii="Arial" w:cs="Arial" w:eastAsia="Arial" w:hAnsi="Arial"/>
          <w:sz w:val="13"/>
          <w:szCs w:val="13"/>
          <w:color w:val="auto"/>
        </w:rPr>
        <w:t>. The Borrower will, and will cause its Subsidiaries to, maintain insurance of the kinds, covering the risks (other than risks arising out of or in any way connected with personal liability of any</w:t>
      </w:r>
      <w:r>
        <w:rPr>
          <w:rFonts w:ascii="Arial" w:cs="Arial" w:eastAsia="Arial" w:hAnsi="Arial"/>
          <w:sz w:val="13"/>
          <w:szCs w:val="13"/>
          <w:b w:val="1"/>
          <w:bCs w:val="1"/>
          <w:color w:val="auto"/>
        </w:rPr>
        <w:t xml:space="preserve"> </w:t>
      </w:r>
      <w:r>
        <w:rPr>
          <w:rFonts w:ascii="Arial" w:cs="Arial" w:eastAsia="Arial" w:hAnsi="Arial"/>
          <w:sz w:val="13"/>
          <w:szCs w:val="13"/>
          <w:color w:val="auto"/>
        </w:rPr>
        <w:t>officers and directors thereof) and in the relative proportionate amounts usually carried by reasonable and prudent companies conducting businesses similar to that of the Borrower and its Subsidiaries, in amounts substantially similar to the existing coverage maintained by the Borrower and its Subsidiaries. Such insurance shall be with financially sound and reputable insurance companies (including captive insurance companies), funds or underwriters, or may be pursuant to self-insurance plans. In addition, the Borrower will furnish from time to time, upon the Administrative Agent’s request, a summary of the insurance coverage of the Borrower and its Subsidiaries, which summary shall be in form and substance satisfactory to the Administrative Agent and, if requested by the Administrative Agent, will furnish to the Administrative Agent copies of the applicable policies.</w:t>
      </w:r>
    </w:p>
    <w:p>
      <w:pPr>
        <w:spacing w:after="0" w:line="58" w:lineRule="exact"/>
        <w:rPr>
          <w:sz w:val="20"/>
          <w:szCs w:val="20"/>
          <w:color w:val="auto"/>
        </w:rPr>
      </w:pPr>
    </w:p>
    <w:p>
      <w:pPr>
        <w:ind w:right="20" w:firstLine="327"/>
        <w:spacing w:after="0" w:line="262" w:lineRule="auto"/>
        <w:rPr>
          <w:sz w:val="20"/>
          <w:szCs w:val="20"/>
          <w:color w:val="auto"/>
        </w:rPr>
      </w:pPr>
      <w:r>
        <w:rPr>
          <w:rFonts w:ascii="Arial" w:cs="Arial" w:eastAsia="Arial" w:hAnsi="Arial"/>
          <w:sz w:val="13"/>
          <w:szCs w:val="13"/>
          <w:b w:val="1"/>
          <w:bCs w:val="1"/>
          <w:color w:val="auto"/>
        </w:rPr>
        <w:t>§7.8. Taxes</w:t>
      </w:r>
      <w:r>
        <w:rPr>
          <w:rFonts w:ascii="Arial" w:cs="Arial" w:eastAsia="Arial" w:hAnsi="Arial"/>
          <w:sz w:val="13"/>
          <w:szCs w:val="13"/>
          <w:color w:val="auto"/>
        </w:rPr>
        <w:t>. The Borrower will, and will cause its Subsidiaries to, duly pay and discharge, or cause to be paid and discharged, before the same shall become overdue, all taxes, assessments and other governmental</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charges imposed upon it and its real properties, sales and activities, or any part thereof, or upon the income or profits therefrom, as well as all claims for labor, materials, or supplies, which if unpaid might by law become a Lien upon any of its property;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any such tax, assessment, charge, levy or claim need not be paid if the failure to do so (either individually, or in the aggregate for all such failures) could not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51" w:name="page152"/>
    <w:bookmarkEnd w:id="151"/>
    <w:p>
      <w:pPr>
        <w:ind w:right="180"/>
        <w:spacing w:after="0" w:line="264" w:lineRule="auto"/>
        <w:rPr>
          <w:sz w:val="20"/>
          <w:szCs w:val="20"/>
          <w:color w:val="auto"/>
        </w:rPr>
      </w:pPr>
      <w:r>
        <w:rPr>
          <w:rFonts w:ascii="Arial" w:cs="Arial" w:eastAsia="Arial" w:hAnsi="Arial"/>
          <w:sz w:val="13"/>
          <w:szCs w:val="13"/>
          <w:color w:val="auto"/>
        </w:rPr>
        <w:t xml:space="preserve">reasonably be expected to have a Material Adverse Effect and the validity or amount thereof shall currently be contested in good faith by appropriate proceedings and if the Borrower or such Subsidiary shall have set aside on its books adequate reserves with respect thereto as required by GAAP;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the Borrower or such Subsidiary will pay all such taxes, assessments, charges, levies or claims prior to the foreclosure on any Lien which may have attached as security therefor.</w:t>
      </w:r>
    </w:p>
    <w:p>
      <w:pPr>
        <w:spacing w:after="0" w:line="53" w:lineRule="exact"/>
        <w:rPr>
          <w:sz w:val="20"/>
          <w:szCs w:val="20"/>
          <w:color w:val="auto"/>
        </w:rPr>
      </w:pPr>
    </w:p>
    <w:p>
      <w:pPr>
        <w:ind w:firstLine="327"/>
        <w:spacing w:after="0" w:line="262" w:lineRule="auto"/>
        <w:rPr>
          <w:sz w:val="20"/>
          <w:szCs w:val="20"/>
          <w:color w:val="auto"/>
        </w:rPr>
      </w:pPr>
      <w:r>
        <w:rPr>
          <w:rFonts w:ascii="Arial" w:cs="Arial" w:eastAsia="Arial" w:hAnsi="Arial"/>
          <w:sz w:val="13"/>
          <w:szCs w:val="13"/>
          <w:b w:val="1"/>
          <w:bCs w:val="1"/>
          <w:color w:val="auto"/>
        </w:rPr>
        <w:t>§7.9. Inspection of Properties, Books and Contracts</w:t>
      </w:r>
      <w:r>
        <w:rPr>
          <w:rFonts w:ascii="Arial" w:cs="Arial" w:eastAsia="Arial" w:hAnsi="Arial"/>
          <w:sz w:val="13"/>
          <w:szCs w:val="13"/>
          <w:color w:val="auto"/>
        </w:rPr>
        <w:t>. The Borrower will, and will cause its Significant Subsidiaries to, permit the Administrative Agent or any Bank or any of their designated representatives,</w:t>
      </w:r>
      <w:r>
        <w:rPr>
          <w:rFonts w:ascii="Arial" w:cs="Arial" w:eastAsia="Arial" w:hAnsi="Arial"/>
          <w:sz w:val="13"/>
          <w:szCs w:val="13"/>
          <w:b w:val="1"/>
          <w:bCs w:val="1"/>
          <w:color w:val="auto"/>
        </w:rPr>
        <w:t xml:space="preserve"> </w:t>
      </w:r>
      <w:r>
        <w:rPr>
          <w:rFonts w:ascii="Arial" w:cs="Arial" w:eastAsia="Arial" w:hAnsi="Arial"/>
          <w:sz w:val="13"/>
          <w:szCs w:val="13"/>
          <w:color w:val="auto"/>
        </w:rPr>
        <w:t>upon reasonable notice, to visit and inspect any of the properties of the Borrower and its Significant Subsidiaries, to examine the books of account of the Borrower and its Significant Subsidiaries, or contracts (and to make copies thereof and extracts therefrom), and to discuss the affairs, finances and accounts of the Borrower and its Significant Subsidiaries with, and to be advised as to the same by, their officers, all at such times and intervals as may be reasonably requested.</w:t>
      </w:r>
    </w:p>
    <w:p>
      <w:pPr>
        <w:spacing w:after="0" w:line="55" w:lineRule="exact"/>
        <w:rPr>
          <w:sz w:val="20"/>
          <w:szCs w:val="20"/>
          <w:color w:val="auto"/>
        </w:rPr>
      </w:pPr>
    </w:p>
    <w:p>
      <w:pPr>
        <w:ind w:right="80" w:firstLine="327"/>
        <w:spacing w:after="0" w:line="280" w:lineRule="auto"/>
        <w:rPr>
          <w:sz w:val="20"/>
          <w:szCs w:val="20"/>
          <w:color w:val="auto"/>
        </w:rPr>
      </w:pPr>
      <w:r>
        <w:rPr>
          <w:rFonts w:ascii="Arial" w:cs="Arial" w:eastAsia="Arial" w:hAnsi="Arial"/>
          <w:sz w:val="12"/>
          <w:szCs w:val="12"/>
          <w:b w:val="1"/>
          <w:bCs w:val="1"/>
          <w:color w:val="auto"/>
        </w:rPr>
        <w:t>§7.10. Compliance with Laws, Contracts, Licenses and Permits; Maintenance of Material Licenses and Permits</w:t>
      </w:r>
      <w:r>
        <w:rPr>
          <w:rFonts w:ascii="Arial" w:cs="Arial" w:eastAsia="Arial" w:hAnsi="Arial"/>
          <w:sz w:val="12"/>
          <w:szCs w:val="12"/>
          <w:color w:val="auto"/>
        </w:rPr>
        <w:t>. The Borrower will, and will cause each Subsidiary to, (i) comply with the provisions of its</w:t>
      </w:r>
      <w:r>
        <w:rPr>
          <w:rFonts w:ascii="Arial" w:cs="Arial" w:eastAsia="Arial" w:hAnsi="Arial"/>
          <w:sz w:val="12"/>
          <w:szCs w:val="12"/>
          <w:b w:val="1"/>
          <w:bCs w:val="1"/>
          <w:color w:val="auto"/>
        </w:rPr>
        <w:t xml:space="preserve"> </w:t>
      </w:r>
      <w:r>
        <w:rPr>
          <w:rFonts w:ascii="Arial" w:cs="Arial" w:eastAsia="Arial" w:hAnsi="Arial"/>
          <w:sz w:val="12"/>
          <w:szCs w:val="12"/>
          <w:color w:val="auto"/>
        </w:rPr>
        <w:t>charter documents and by-laws; (ii) comply with all agreements and instruments by which it or any of its properties may be bound except where noncompliance could not reasonably be expected to have a Material Adverse Effect; (iii) comply with all applicable laws and regulations (including Environmental Laws), decrees, orders, judgments, licenses and permits, including, without limitation, all environmental permits (“Applicable Requirements”), except where noncompliance with such Applicable Requirements could not reasonably be expected to have a Material Adverse Effect; (iv) maintain all operating permits for all landfills now owned or hereafter acquired, except where the failure to do so could not reasonably be expected to have a Material Adverse Effect; and (v) dispose of hazardous waste only at licensed disposal facilities operating, to the Borrower’s knowledge, in compliance with Environmental Laws, except where the failure to do so could not reasonably be expected to have a Material Adverse Effect. If at any time any authorization, consent, approval, permit or license from any officer, agency or instrumentality of any government shall become necessary or required in order that the Borrower or any Significant Subsidiary may fulfill any of its obligations hereunder or under any other Loan Document, the Borrower will immediately take or cause to be taken all reasonable steps within the power of the Borrower or such Significant Subsidiary to obtain such authorization, consent, approval, permit or license and furnish the Banks with evidence thereof.</w:t>
      </w:r>
    </w:p>
    <w:p>
      <w:pPr>
        <w:spacing w:after="0" w:line="45" w:lineRule="exact"/>
        <w:rPr>
          <w:sz w:val="20"/>
          <w:szCs w:val="20"/>
          <w:color w:val="auto"/>
        </w:rPr>
      </w:pPr>
    </w:p>
    <w:p>
      <w:pPr>
        <w:ind w:firstLine="327"/>
        <w:spacing w:after="0" w:line="260" w:lineRule="auto"/>
        <w:rPr>
          <w:sz w:val="20"/>
          <w:szCs w:val="20"/>
          <w:color w:val="auto"/>
        </w:rPr>
      </w:pPr>
      <w:r>
        <w:rPr>
          <w:rFonts w:ascii="Arial" w:cs="Arial" w:eastAsia="Arial" w:hAnsi="Arial"/>
          <w:sz w:val="13"/>
          <w:szCs w:val="13"/>
          <w:b w:val="1"/>
          <w:bCs w:val="1"/>
          <w:color w:val="auto"/>
        </w:rPr>
        <w:t>§7.11. Environmental Indemnification</w:t>
      </w:r>
      <w:r>
        <w:rPr>
          <w:rFonts w:ascii="Arial" w:cs="Arial" w:eastAsia="Arial" w:hAnsi="Arial"/>
          <w:sz w:val="13"/>
          <w:szCs w:val="13"/>
          <w:color w:val="auto"/>
        </w:rPr>
        <w:t>. The Borrower covenants and agrees that it will indemnify and hold the Banks, the Issuing Banks and the Administrative Agent and their respective affiliates, and each of</w:t>
      </w:r>
      <w:r>
        <w:rPr>
          <w:rFonts w:ascii="Arial" w:cs="Arial" w:eastAsia="Arial" w:hAnsi="Arial"/>
          <w:sz w:val="13"/>
          <w:szCs w:val="13"/>
          <w:b w:val="1"/>
          <w:bCs w:val="1"/>
          <w:color w:val="auto"/>
        </w:rPr>
        <w:t xml:space="preserve"> </w:t>
      </w:r>
      <w:r>
        <w:rPr>
          <w:rFonts w:ascii="Arial" w:cs="Arial" w:eastAsia="Arial" w:hAnsi="Arial"/>
          <w:sz w:val="13"/>
          <w:szCs w:val="13"/>
          <w:color w:val="auto"/>
        </w:rPr>
        <w:t>the representatives, agents and officers of each of the foregoing, harmless from and against any and all claims, expense, damage, loss or liability incurred by the Banks, the Issuing Banks or the Administrative Agent (including all reasonable costs of legal representation incurred by the Banks, the Issuing Banks or the Administrative Agent) relating to (a) any Release or threatened Release of Hazardous Substances on the Real Property; (b) any violation of any Environmental Laws or Applicable Requirements with respect to conditions at the Real Property or other assets of the Borrower or its Subsidiaries, or the operations conducted thereon; or (c) the investigation or remediation of offsite locations at which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52" w:name="page153"/>
    <w:bookmarkEnd w:id="152"/>
    <w:p>
      <w:pPr>
        <w:ind w:right="740"/>
        <w:spacing w:after="0" w:line="264" w:lineRule="auto"/>
        <w:rPr>
          <w:sz w:val="20"/>
          <w:szCs w:val="20"/>
          <w:color w:val="auto"/>
        </w:rPr>
      </w:pPr>
      <w:r>
        <w:rPr>
          <w:rFonts w:ascii="Arial" w:cs="Arial" w:eastAsia="Arial" w:hAnsi="Arial"/>
          <w:sz w:val="13"/>
          <w:szCs w:val="13"/>
          <w:color w:val="auto"/>
        </w:rPr>
        <w:t>the Borrower, any of its Subsidiaries, or their predecessors are alleged to have directly or indirectly Disposed of Hazardous Substances. It is expressly acknowledged by the Borrower that this covenant of indemnification shall survive the payment of the Loans and Reimbursement Obligations and satisfaction of all other Obligations hereunder and shall inure to the benefit of the Banks, the Issuing Banks, the Administrative Agent and their affiliates, successors and assigns.</w:t>
      </w:r>
    </w:p>
    <w:p>
      <w:pPr>
        <w:spacing w:after="0" w:line="53" w:lineRule="exact"/>
        <w:rPr>
          <w:sz w:val="20"/>
          <w:szCs w:val="20"/>
          <w:color w:val="auto"/>
        </w:rPr>
      </w:pPr>
    </w:p>
    <w:p>
      <w:pPr>
        <w:ind w:right="320" w:firstLine="327"/>
        <w:spacing w:after="0" w:line="283" w:lineRule="auto"/>
        <w:rPr>
          <w:sz w:val="20"/>
          <w:szCs w:val="20"/>
          <w:color w:val="auto"/>
        </w:rPr>
      </w:pPr>
      <w:r>
        <w:rPr>
          <w:rFonts w:ascii="Arial" w:cs="Arial" w:eastAsia="Arial" w:hAnsi="Arial"/>
          <w:sz w:val="13"/>
          <w:szCs w:val="13"/>
          <w:b w:val="1"/>
          <w:bCs w:val="1"/>
          <w:color w:val="auto"/>
        </w:rPr>
        <w:t>§7.12. Further Assurances</w:t>
      </w:r>
      <w:r>
        <w:rPr>
          <w:rFonts w:ascii="Arial" w:cs="Arial" w:eastAsia="Arial" w:hAnsi="Arial"/>
          <w:sz w:val="13"/>
          <w:szCs w:val="13"/>
          <w:color w:val="auto"/>
        </w:rPr>
        <w:t>. The Borrower and the Guarantor will cooperate with the Administrative Agent and execute such further instruments and documents as the Administrative Agent shall reasonably</w:t>
      </w:r>
      <w:r>
        <w:rPr>
          <w:rFonts w:ascii="Arial" w:cs="Arial" w:eastAsia="Arial" w:hAnsi="Arial"/>
          <w:sz w:val="13"/>
          <w:szCs w:val="13"/>
          <w:b w:val="1"/>
          <w:bCs w:val="1"/>
          <w:color w:val="auto"/>
        </w:rPr>
        <w:t xml:space="preserve"> </w:t>
      </w:r>
      <w:r>
        <w:rPr>
          <w:rFonts w:ascii="Arial" w:cs="Arial" w:eastAsia="Arial" w:hAnsi="Arial"/>
          <w:sz w:val="13"/>
          <w:szCs w:val="13"/>
          <w:color w:val="auto"/>
        </w:rPr>
        <w:t>request to carry out to the Majority Banks’ satisfaction the transactions contemplated by this Agreement.</w:t>
      </w:r>
    </w:p>
    <w:p>
      <w:pPr>
        <w:spacing w:after="0" w:line="41" w:lineRule="exact"/>
        <w:rPr>
          <w:sz w:val="20"/>
          <w:szCs w:val="20"/>
          <w:color w:val="auto"/>
        </w:rPr>
      </w:pPr>
    </w:p>
    <w:p>
      <w:pPr>
        <w:ind w:right="40" w:firstLine="327"/>
        <w:spacing w:after="0" w:line="291" w:lineRule="auto"/>
        <w:rPr>
          <w:sz w:val="20"/>
          <w:szCs w:val="20"/>
          <w:color w:val="auto"/>
        </w:rPr>
      </w:pPr>
      <w:r>
        <w:rPr>
          <w:rFonts w:ascii="Arial" w:cs="Arial" w:eastAsia="Arial" w:hAnsi="Arial"/>
          <w:sz w:val="12"/>
          <w:szCs w:val="12"/>
          <w:b w:val="1"/>
          <w:bCs w:val="1"/>
          <w:color w:val="auto"/>
        </w:rPr>
        <w:t>§7.13. Notice of Potential Claims or Litigation</w:t>
      </w:r>
      <w:r>
        <w:rPr>
          <w:rFonts w:ascii="Arial" w:cs="Arial" w:eastAsia="Arial" w:hAnsi="Arial"/>
          <w:sz w:val="12"/>
          <w:szCs w:val="12"/>
          <w:color w:val="auto"/>
        </w:rPr>
        <w:t>. The Borrower shall deliver to the Banks written notice of the initiation of any action, claim, complaint, investigation or any other notice of dispute or litigation</w:t>
      </w:r>
      <w:r>
        <w:rPr>
          <w:rFonts w:ascii="Arial" w:cs="Arial" w:eastAsia="Arial" w:hAnsi="Arial"/>
          <w:sz w:val="12"/>
          <w:szCs w:val="12"/>
          <w:b w:val="1"/>
          <w:bCs w:val="1"/>
          <w:color w:val="auto"/>
        </w:rPr>
        <w:t xml:space="preserve"> </w:t>
      </w:r>
      <w:r>
        <w:rPr>
          <w:rFonts w:ascii="Arial" w:cs="Arial" w:eastAsia="Arial" w:hAnsi="Arial"/>
          <w:sz w:val="12"/>
          <w:szCs w:val="12"/>
          <w:color w:val="auto"/>
        </w:rPr>
        <w:t>against the Borrower or any of its Subsidiaries that could reasonably be expected to have a Material Adverse Effect, or which questions the validity or enforceability of any Loan Document, together with a copy of each such complaint or other notice received by the Borrower or any of its Subsidiaries if requested by the Administrative Agent within 30 days of receipt thereof or of the determination that such action could reasonably be expected to have a Material Adverse Effect, whichever occurs later (and the Borrower will make such determination in each case as promptly as practicable).</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§7.14. Notice of Certain Events Concerning Environmental Claims</w:t>
      </w:r>
      <w:r>
        <w:rPr>
          <w:rFonts w:ascii="Arial" w:cs="Arial" w:eastAsia="Arial" w:hAnsi="Arial"/>
          <w:sz w:val="12"/>
          <w:szCs w:val="12"/>
          <w:color w:val="auto"/>
        </w:rPr>
        <w:t>. The Borrower will promptly, and in any event within ten (10) Business Days of the Borrower’s obtaining knowledge thereof, notify the</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Banks in writing of any of the following events:</w:t>
      </w:r>
    </w:p>
    <w:p>
      <w:pPr>
        <w:spacing w:after="0" w:line="79" w:lineRule="exact"/>
        <w:rPr>
          <w:sz w:val="20"/>
          <w:szCs w:val="20"/>
          <w:color w:val="auto"/>
        </w:rPr>
      </w:pPr>
    </w:p>
    <w:p>
      <w:pPr>
        <w:ind w:left="220" w:right="120" w:firstLine="172"/>
        <w:spacing w:after="0" w:line="276" w:lineRule="auto"/>
        <w:tabs>
          <w:tab w:leader="none" w:pos="54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the Borrower’s or any Significant Subsidiary’s obtaining knowledge of any violation of any Environmental Law regarding the Real Property or the Borrower’s or any Subsidiary’s operations which violation could reasonably be expected to have a Material Adverse Effect;</w:t>
      </w:r>
    </w:p>
    <w:p>
      <w:pPr>
        <w:spacing w:after="0" w:line="49" w:lineRule="exact"/>
        <w:rPr>
          <w:rFonts w:ascii="Arial" w:cs="Arial" w:eastAsia="Arial" w:hAnsi="Arial"/>
          <w:sz w:val="13"/>
          <w:szCs w:val="13"/>
          <w:color w:val="auto"/>
        </w:rPr>
      </w:pPr>
    </w:p>
    <w:p>
      <w:pPr>
        <w:ind w:left="220" w:right="340" w:firstLine="172"/>
        <w:spacing w:after="0" w:line="276" w:lineRule="auto"/>
        <w:tabs>
          <w:tab w:leader="none" w:pos="576" w:val="left"/>
        </w:tabs>
        <w:numPr>
          <w:ilvl w:val="0"/>
          <w:numId w:val="131"/>
        </w:numPr>
        <w:rPr>
          <w:rFonts w:ascii="Arial" w:cs="Arial" w:eastAsia="Arial" w:hAnsi="Arial"/>
          <w:sz w:val="13"/>
          <w:szCs w:val="13"/>
          <w:color w:val="auto"/>
        </w:rPr>
      </w:pPr>
      <w:r>
        <w:rPr>
          <w:rFonts w:ascii="Arial" w:cs="Arial" w:eastAsia="Arial" w:hAnsi="Arial"/>
          <w:sz w:val="13"/>
          <w:szCs w:val="13"/>
          <w:color w:val="auto"/>
        </w:rPr>
        <w:t>the Borrower’s or any Significant Subsidiary’s obtaining knowledge of any potential or known Release, or threat of Release, of any Hazardous Substance at, from, or into the Real Property which could reasonably be expected to have a Material Adverse Effect;</w:t>
      </w:r>
    </w:p>
    <w:p>
      <w:pPr>
        <w:spacing w:after="0" w:line="49" w:lineRule="exact"/>
        <w:rPr>
          <w:rFonts w:ascii="Arial" w:cs="Arial" w:eastAsia="Arial" w:hAnsi="Arial"/>
          <w:sz w:val="13"/>
          <w:szCs w:val="13"/>
          <w:color w:val="auto"/>
        </w:rPr>
      </w:pPr>
    </w:p>
    <w:p>
      <w:pPr>
        <w:ind w:left="220" w:firstLine="172"/>
        <w:spacing w:after="0" w:line="260" w:lineRule="auto"/>
        <w:tabs>
          <w:tab w:leader="none" w:pos="613" w:val="left"/>
        </w:tabs>
        <w:numPr>
          <w:ilvl w:val="0"/>
          <w:numId w:val="131"/>
        </w:numPr>
        <w:rPr>
          <w:rFonts w:ascii="Arial" w:cs="Arial" w:eastAsia="Arial" w:hAnsi="Arial"/>
          <w:sz w:val="13"/>
          <w:szCs w:val="13"/>
          <w:color w:val="auto"/>
        </w:rPr>
      </w:pPr>
      <w:r>
        <w:rPr>
          <w:rFonts w:ascii="Arial" w:cs="Arial" w:eastAsia="Arial" w:hAnsi="Arial"/>
          <w:sz w:val="13"/>
          <w:szCs w:val="13"/>
          <w:color w:val="auto"/>
        </w:rPr>
        <w:t>the Borrower’s or any Significant Subsidiary’s receipt of any notice of any material violation of any Environmental Law or of any Release or threatened Release of Hazardous Substances, including a notice or claim of liability or potential responsibility from any third party (including any federal, state, provincial, territorial or local governmental officials) and including notice of any formal inquiry, proceeding, demand, investigation or other action with regard to (A) the Borrower’s, any Significant Subsidiary’s or any Person’s operation of the Real Property, (B) contamination on, from, or into the Real Property, or (C) investigation or remediation of offsite locations at which the Borrower, any Significant Subsidiary, or its predecessors are alleged to have directly</w:t>
      </w:r>
    </w:p>
    <w:p>
      <w:pPr>
        <w:spacing w:after="0" w:line="118" w:lineRule="exact"/>
        <w:rPr>
          <w:rFonts w:ascii="Arial" w:cs="Arial" w:eastAsia="Arial" w:hAnsi="Arial"/>
          <w:sz w:val="13"/>
          <w:szCs w:val="13"/>
          <w:color w:val="auto"/>
        </w:rPr>
      </w:pPr>
    </w:p>
    <w:p>
      <w:pPr>
        <w:ind w:left="5660" w:hanging="68"/>
        <w:spacing w:after="0"/>
        <w:tabs>
          <w:tab w:leader="none" w:pos="5660" w:val="left"/>
        </w:tabs>
        <w:numPr>
          <w:ilvl w:val="1"/>
          <w:numId w:val="131"/>
        </w:numPr>
        <w:rPr>
          <w:rFonts w:ascii="Arial" w:cs="Arial" w:eastAsia="Arial" w:hAnsi="Arial"/>
          <w:sz w:val="13"/>
          <w:szCs w:val="13"/>
          <w:color w:val="auto"/>
        </w:rPr>
      </w:pPr>
      <w:r>
        <w:rPr>
          <w:rFonts w:ascii="Arial" w:cs="Arial" w:eastAsia="Arial" w:hAnsi="Arial"/>
          <w:sz w:val="13"/>
          <w:szCs w:val="13"/>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53" w:name="page154"/>
    <w:bookmarkEnd w:id="153"/>
    <w:p>
      <w:pPr>
        <w:ind w:left="220"/>
        <w:spacing w:after="0"/>
        <w:rPr>
          <w:sz w:val="20"/>
          <w:szCs w:val="20"/>
          <w:color w:val="auto"/>
        </w:rPr>
      </w:pPr>
      <w:r>
        <w:rPr>
          <w:rFonts w:ascii="Arial" w:cs="Arial" w:eastAsia="Arial" w:hAnsi="Arial"/>
          <w:sz w:val="13"/>
          <w:szCs w:val="13"/>
          <w:color w:val="auto"/>
        </w:rPr>
        <w:t>or indirectly Disposed of Hazardous Substances, if any thereof could reasonably be expected to have a Material Adverse Effect; or</w:t>
      </w:r>
    </w:p>
    <w:p>
      <w:pPr>
        <w:spacing w:after="0" w:line="86" w:lineRule="exact"/>
        <w:rPr>
          <w:sz w:val="20"/>
          <w:szCs w:val="20"/>
          <w:color w:val="auto"/>
        </w:rPr>
      </w:pPr>
    </w:p>
    <w:p>
      <w:pPr>
        <w:ind w:left="220" w:right="40" w:firstLine="172"/>
        <w:spacing w:after="0" w:line="264" w:lineRule="auto"/>
        <w:tabs>
          <w:tab w:leader="none" w:pos="606" w:val="left"/>
        </w:tabs>
        <w:numPr>
          <w:ilvl w:val="0"/>
          <w:numId w:val="132"/>
        </w:numPr>
        <w:rPr>
          <w:rFonts w:ascii="Arial" w:cs="Arial" w:eastAsia="Arial" w:hAnsi="Arial"/>
          <w:sz w:val="13"/>
          <w:szCs w:val="13"/>
          <w:color w:val="auto"/>
        </w:rPr>
      </w:pPr>
      <w:r>
        <w:rPr>
          <w:rFonts w:ascii="Arial" w:cs="Arial" w:eastAsia="Arial" w:hAnsi="Arial"/>
          <w:sz w:val="13"/>
          <w:szCs w:val="13"/>
          <w:color w:val="auto"/>
        </w:rPr>
        <w:t>the Borrower’s or any Significant Subsidiary’s obtaining knowledge that any expense or loss has been incurred by any governmental authority in connection with the assessment, containment, removal or remediation of any Hazardous Substances with respect to which the Borrower or any Significant Subsidiary has been alleged to be liable by such governmental authority or for which a Lien may be imposed on the Real Property by such governmental authority, if any thereof could reasonably be expected to have a Material Adverse Effect.</w:t>
      </w:r>
    </w:p>
    <w:p>
      <w:pPr>
        <w:spacing w:after="0" w:line="53" w:lineRule="exact"/>
        <w:rPr>
          <w:sz w:val="20"/>
          <w:szCs w:val="20"/>
          <w:color w:val="auto"/>
        </w:rPr>
      </w:pPr>
    </w:p>
    <w:p>
      <w:pPr>
        <w:ind w:right="40" w:firstLine="327"/>
        <w:spacing w:after="0" w:line="262" w:lineRule="auto"/>
        <w:rPr>
          <w:sz w:val="20"/>
          <w:szCs w:val="20"/>
          <w:color w:val="auto"/>
        </w:rPr>
      </w:pPr>
      <w:r>
        <w:rPr>
          <w:rFonts w:ascii="Arial" w:cs="Arial" w:eastAsia="Arial" w:hAnsi="Arial"/>
          <w:sz w:val="13"/>
          <w:szCs w:val="13"/>
          <w:b w:val="1"/>
          <w:bCs w:val="1"/>
          <w:color w:val="auto"/>
        </w:rPr>
        <w:t>§7.15. Notice of Default</w:t>
      </w:r>
      <w:r>
        <w:rPr>
          <w:rFonts w:ascii="Arial" w:cs="Arial" w:eastAsia="Arial" w:hAnsi="Arial"/>
          <w:sz w:val="13"/>
          <w:szCs w:val="13"/>
          <w:color w:val="auto"/>
        </w:rPr>
        <w:t>. The Borrower will promptly notify the Banks in writing of the occurrence of any Default or Event of Default. If any Person shall give any notice or take any other action in respect of a</w:t>
      </w:r>
      <w:r>
        <w:rPr>
          <w:rFonts w:ascii="Arial" w:cs="Arial" w:eastAsia="Arial" w:hAnsi="Arial"/>
          <w:sz w:val="13"/>
          <w:szCs w:val="13"/>
          <w:b w:val="1"/>
          <w:bCs w:val="1"/>
          <w:color w:val="auto"/>
        </w:rPr>
        <w:t xml:space="preserve"> </w:t>
      </w:r>
      <w:r>
        <w:rPr>
          <w:rFonts w:ascii="Arial" w:cs="Arial" w:eastAsia="Arial" w:hAnsi="Arial"/>
          <w:sz w:val="13"/>
          <w:szCs w:val="13"/>
          <w:color w:val="auto"/>
        </w:rPr>
        <w:t>claimed default (whether or not constituting an Event of Default) under this Agreement or any other note, evidence of indebtedness, indenture or other obligation evidencing indebtedness in excess of $75,000,000 as to which the Borrower or any of its Significant Subsidiaries is a party or obligor, whether as principal or surety, the Borrower shall promptly upon obtaining actual knowledge thereof give written notice thereof to the Banks, describing the notice of action and the nature of the claimed default.</w:t>
      </w:r>
    </w:p>
    <w:p>
      <w:pPr>
        <w:spacing w:after="0" w:line="55" w:lineRule="exact"/>
        <w:rPr>
          <w:sz w:val="20"/>
          <w:szCs w:val="20"/>
          <w:color w:val="auto"/>
        </w:rPr>
      </w:pPr>
    </w:p>
    <w:p>
      <w:pPr>
        <w:ind w:firstLine="327"/>
        <w:spacing w:after="0" w:line="300" w:lineRule="auto"/>
        <w:rPr>
          <w:sz w:val="20"/>
          <w:szCs w:val="20"/>
          <w:color w:val="auto"/>
        </w:rPr>
      </w:pPr>
      <w:r>
        <w:rPr>
          <w:rFonts w:ascii="Arial" w:cs="Arial" w:eastAsia="Arial" w:hAnsi="Arial"/>
          <w:sz w:val="12"/>
          <w:szCs w:val="12"/>
          <w:b w:val="1"/>
          <w:bCs w:val="1"/>
          <w:color w:val="auto"/>
        </w:rPr>
        <w:t>§7.16. Use of Proceeds</w:t>
      </w:r>
      <w:r>
        <w:rPr>
          <w:rFonts w:ascii="Arial" w:cs="Arial" w:eastAsia="Arial" w:hAnsi="Arial"/>
          <w:sz w:val="12"/>
          <w:szCs w:val="12"/>
          <w:color w:val="auto"/>
        </w:rPr>
        <w:t>. The proceeds of the Loans shall be used for general corporate purposes, to provide working capital, to backstop commercial paper, to provide letters of credit and to refinance existing</w:t>
      </w:r>
      <w:r>
        <w:rPr>
          <w:rFonts w:ascii="Arial" w:cs="Arial" w:eastAsia="Arial" w:hAnsi="Arial"/>
          <w:sz w:val="12"/>
          <w:szCs w:val="12"/>
          <w:b w:val="1"/>
          <w:bCs w:val="1"/>
          <w:color w:val="auto"/>
        </w:rPr>
        <w:t xml:space="preserve"> </w:t>
      </w:r>
      <w:r>
        <w:rPr>
          <w:rFonts w:ascii="Arial" w:cs="Arial" w:eastAsia="Arial" w:hAnsi="Arial"/>
          <w:sz w:val="12"/>
          <w:szCs w:val="12"/>
          <w:color w:val="auto"/>
        </w:rPr>
        <w:t>Indebtedness of the Borrower and its Subsidiaries. After application of the proceeds of any Loan, not more than 25% of the assets of the Borrower that are subject to any restriction on sale, pledge, or disposal under this Agreement will be represented by “margin stock,” as defined in accordance with Regulation U issued by the Board of Governors of the Federal Reserve System, now or hereafter in effect.</w:t>
      </w:r>
    </w:p>
    <w:p>
      <w:pPr>
        <w:spacing w:after="0" w:line="33" w:lineRule="exact"/>
        <w:rPr>
          <w:sz w:val="20"/>
          <w:szCs w:val="20"/>
          <w:color w:val="auto"/>
        </w:rPr>
      </w:pPr>
    </w:p>
    <w:p>
      <w:pPr>
        <w:ind w:right="40" w:firstLine="327"/>
        <w:spacing w:after="0" w:line="260" w:lineRule="auto"/>
        <w:rPr>
          <w:sz w:val="20"/>
          <w:szCs w:val="20"/>
          <w:color w:val="auto"/>
        </w:rPr>
      </w:pPr>
      <w:r>
        <w:rPr>
          <w:rFonts w:ascii="Arial" w:cs="Arial" w:eastAsia="Arial" w:hAnsi="Arial"/>
          <w:sz w:val="13"/>
          <w:szCs w:val="13"/>
          <w:b w:val="1"/>
          <w:bCs w:val="1"/>
          <w:color w:val="auto"/>
        </w:rPr>
        <w:t>§7.17. Certain Transactions</w:t>
      </w:r>
      <w:r>
        <w:rPr>
          <w:rFonts w:ascii="Arial" w:cs="Arial" w:eastAsia="Arial" w:hAnsi="Arial"/>
          <w:sz w:val="13"/>
          <w:szCs w:val="13"/>
          <w:color w:val="auto"/>
        </w:rPr>
        <w:t>. Except as disclosed in the Disclosure Documents prior to the Effective Date, and except for arm’s length transactions pursuant to which the Borrower or any Subsidiary makes</w:t>
      </w:r>
      <w:r>
        <w:rPr>
          <w:rFonts w:ascii="Arial" w:cs="Arial" w:eastAsia="Arial" w:hAnsi="Arial"/>
          <w:sz w:val="13"/>
          <w:szCs w:val="13"/>
          <w:b w:val="1"/>
          <w:bCs w:val="1"/>
          <w:color w:val="auto"/>
        </w:rPr>
        <w:t xml:space="preserve"> </w:t>
      </w:r>
      <w:r>
        <w:rPr>
          <w:rFonts w:ascii="Arial" w:cs="Arial" w:eastAsia="Arial" w:hAnsi="Arial"/>
          <w:sz w:val="13"/>
          <w:szCs w:val="13"/>
          <w:color w:val="auto"/>
        </w:rPr>
        <w:t>payments in the ordinary course of business, none of the officers, directors, or employees or any other affiliate of the Borrower or any Subsidiary are presently or shall be a party to any transaction with the Borrower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Borrower or any Subsidiary, any corporation, partnership, trust or other entity in which any officer, director, or any such employee has a substantial interest or is an officer, director, trustee or partner.</w:t>
      </w:r>
    </w:p>
    <w:p>
      <w:pPr>
        <w:spacing w:after="0" w:line="55" w:lineRule="exact"/>
        <w:rPr>
          <w:sz w:val="20"/>
          <w:szCs w:val="20"/>
          <w:color w:val="auto"/>
        </w:rPr>
      </w:pPr>
    </w:p>
    <w:p>
      <w:pPr>
        <w:jc w:val="both"/>
        <w:ind w:right="80"/>
        <w:spacing w:after="0" w:line="267" w:lineRule="auto"/>
        <w:rPr>
          <w:sz w:val="20"/>
          <w:szCs w:val="20"/>
          <w:color w:val="auto"/>
        </w:rPr>
      </w:pPr>
      <w:r>
        <w:rPr>
          <w:rFonts w:ascii="Arial" w:cs="Arial" w:eastAsia="Arial" w:hAnsi="Arial"/>
          <w:sz w:val="13"/>
          <w:szCs w:val="13"/>
          <w:b w:val="1"/>
          <w:bCs w:val="1"/>
          <w:color w:val="auto"/>
        </w:rPr>
        <w:t xml:space="preserve">§8. </w:t>
      </w:r>
      <w:r>
        <w:rPr>
          <w:rFonts w:ascii="Arial" w:cs="Arial" w:eastAsia="Arial" w:hAnsi="Arial"/>
          <w:sz w:val="13"/>
          <w:szCs w:val="13"/>
          <w:b w:val="1"/>
          <w:bCs w:val="1"/>
          <w:u w:val="single" w:color="auto"/>
          <w:color w:val="auto"/>
        </w:rPr>
        <w:t>NEGATIVE COVENANTS OF THE BORROWER</w:t>
      </w:r>
      <w:r>
        <w:rPr>
          <w:rFonts w:ascii="Arial" w:cs="Arial" w:eastAsia="Arial" w:hAnsi="Arial"/>
          <w:sz w:val="13"/>
          <w:szCs w:val="13"/>
          <w:color w:val="auto"/>
        </w:rPr>
        <w:t>. The Borrower agrees that, so long as any Obligation or Letter of Credit is outstanding or the Banks have any obligation to make Loans or any Issuing Bank</w:t>
      </w:r>
      <w:r>
        <w:rPr>
          <w:rFonts w:ascii="Arial" w:cs="Arial" w:eastAsia="Arial" w:hAnsi="Arial"/>
          <w:sz w:val="13"/>
          <w:szCs w:val="13"/>
          <w:b w:val="1"/>
          <w:bCs w:val="1"/>
          <w:color w:val="auto"/>
        </w:rPr>
        <w:t xml:space="preserve"> </w:t>
      </w:r>
      <w:r>
        <w:rPr>
          <w:rFonts w:ascii="Arial" w:cs="Arial" w:eastAsia="Arial" w:hAnsi="Arial"/>
          <w:sz w:val="13"/>
          <w:szCs w:val="13"/>
          <w:color w:val="auto"/>
        </w:rPr>
        <w:t>has any obligation to issue, extend or renew any Letter of Credit hereunder, or the Banks have any obligation to reimburse any Issuing Bank for drawings honored under any Letter of Credit, it shall, and shall cause its Subsidiaries to, comply with the following covenants: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54" w:name="page155"/>
    <w:bookmarkEnd w:id="154"/>
    <w:p>
      <w:pPr>
        <w:ind w:firstLine="327"/>
        <w:spacing w:after="0" w:line="267" w:lineRule="auto"/>
        <w:rPr>
          <w:sz w:val="20"/>
          <w:szCs w:val="20"/>
          <w:color w:val="auto"/>
        </w:rPr>
      </w:pPr>
      <w:r>
        <w:rPr>
          <w:rFonts w:ascii="Arial" w:cs="Arial" w:eastAsia="Arial" w:hAnsi="Arial"/>
          <w:sz w:val="13"/>
          <w:szCs w:val="13"/>
          <w:b w:val="1"/>
          <w:bCs w:val="1"/>
          <w:color w:val="auto"/>
        </w:rPr>
        <w:t>§8.1. Restrictions on Indebtedness</w:t>
      </w:r>
      <w:r>
        <w:rPr>
          <w:rFonts w:ascii="Arial" w:cs="Arial" w:eastAsia="Arial" w:hAnsi="Arial"/>
          <w:sz w:val="13"/>
          <w:szCs w:val="13"/>
          <w:color w:val="auto"/>
        </w:rPr>
        <w:t>. The Borrower will not permit any of its Subsidiaries to create, incur, assume, or be or remain liable, contingently or otherwise, with respect to any Indebtedness, or become or</w:t>
      </w:r>
      <w:r>
        <w:rPr>
          <w:rFonts w:ascii="Arial" w:cs="Arial" w:eastAsia="Arial" w:hAnsi="Arial"/>
          <w:sz w:val="13"/>
          <w:szCs w:val="13"/>
          <w:b w:val="1"/>
          <w:bCs w:val="1"/>
          <w:color w:val="auto"/>
        </w:rPr>
        <w:t xml:space="preserve"> </w:t>
      </w:r>
      <w:r>
        <w:rPr>
          <w:rFonts w:ascii="Arial" w:cs="Arial" w:eastAsia="Arial" w:hAnsi="Arial"/>
          <w:sz w:val="13"/>
          <w:szCs w:val="13"/>
          <w:color w:val="auto"/>
        </w:rPr>
        <w:t>be responsible in any manner (whether by agreement to purchase any obligations, stock, assets, goods or services, or to supply or advance any funds, assets, goods or services or otherwise) with respect to any Indebtedness of any other Person (other than the Borrower or any of its Subsidiaries), other than:</w:t>
      </w:r>
    </w:p>
    <w:p>
      <w:pPr>
        <w:spacing w:after="0" w:line="56" w:lineRule="exact"/>
        <w:rPr>
          <w:sz w:val="20"/>
          <w:szCs w:val="20"/>
          <w:color w:val="auto"/>
        </w:rPr>
      </w:pPr>
    </w:p>
    <w:p>
      <w:pPr>
        <w:jc w:val="both"/>
        <w:ind w:left="220" w:right="40" w:firstLine="172"/>
        <w:spacing w:after="0" w:line="264" w:lineRule="auto"/>
        <w:tabs>
          <w:tab w:leader="none" w:pos="562" w:val="left"/>
        </w:tabs>
        <w:numPr>
          <w:ilvl w:val="0"/>
          <w:numId w:val="133"/>
        </w:numPr>
        <w:rPr>
          <w:rFonts w:ascii="Arial" w:cs="Arial" w:eastAsia="Arial" w:hAnsi="Arial"/>
          <w:sz w:val="13"/>
          <w:szCs w:val="13"/>
          <w:color w:val="auto"/>
        </w:rPr>
      </w:pPr>
      <w:r>
        <w:rPr>
          <w:rFonts w:ascii="Arial" w:cs="Arial" w:eastAsia="Arial" w:hAnsi="Arial"/>
          <w:sz w:val="13"/>
          <w:szCs w:val="13"/>
          <w:color w:val="auto"/>
        </w:rPr>
        <w:t xml:space="preserve">Indebtedness of the Borrower’s Subsidiaries listed in </w:t>
      </w:r>
      <w:r>
        <w:rPr>
          <w:rFonts w:ascii="Arial" w:cs="Arial" w:eastAsia="Arial" w:hAnsi="Arial"/>
          <w:sz w:val="13"/>
          <w:szCs w:val="13"/>
          <w:u w:val="single" w:color="auto"/>
          <w:color w:val="auto"/>
        </w:rPr>
        <w:t>Schedule 8.1(a)</w:t>
      </w:r>
      <w:r>
        <w:rPr>
          <w:rFonts w:ascii="Arial" w:cs="Arial" w:eastAsia="Arial" w:hAnsi="Arial"/>
          <w:sz w:val="13"/>
          <w:szCs w:val="13"/>
          <w:color w:val="auto"/>
        </w:rPr>
        <w:t xml:space="preserve"> and any extension, renewal or refinancing of such Indebtedness,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terms and conditions of any such extensions, renewals or refinancings do not increase the relative priority of the original Indebtedness and provided, further, that such extended, renewed or refinanced Indebtedness does not in the aggregate exceed the Dollar amount of the original Indebtedness; and</w:t>
      </w:r>
    </w:p>
    <w:p>
      <w:pPr>
        <w:spacing w:after="0" w:line="57" w:lineRule="exact"/>
        <w:rPr>
          <w:rFonts w:ascii="Arial" w:cs="Arial" w:eastAsia="Arial" w:hAnsi="Arial"/>
          <w:sz w:val="13"/>
          <w:szCs w:val="13"/>
          <w:color w:val="auto"/>
        </w:rPr>
      </w:pPr>
    </w:p>
    <w:p>
      <w:pPr>
        <w:jc w:val="both"/>
        <w:ind w:left="220" w:right="320" w:firstLine="172"/>
        <w:spacing w:after="0" w:line="264" w:lineRule="auto"/>
        <w:tabs>
          <w:tab w:leader="none" w:pos="569" w:val="left"/>
        </w:tabs>
        <w:numPr>
          <w:ilvl w:val="0"/>
          <w:numId w:val="133"/>
        </w:numPr>
        <w:rPr>
          <w:rFonts w:ascii="Arial" w:cs="Arial" w:eastAsia="Arial" w:hAnsi="Arial"/>
          <w:sz w:val="13"/>
          <w:szCs w:val="13"/>
          <w:color w:val="auto"/>
        </w:rPr>
      </w:pPr>
      <w:r>
        <w:rPr>
          <w:rFonts w:ascii="Arial" w:cs="Arial" w:eastAsia="Arial" w:hAnsi="Arial"/>
          <w:sz w:val="13"/>
          <w:szCs w:val="13"/>
          <w:color w:val="auto"/>
        </w:rPr>
        <w:t xml:space="preserve">Other Indebtedness of the Borrower’s Subsidiaries (other than of the Guarantor)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aggregate amount of all such Indebtedness under this §8.1(b), when added (without duplication) to the aggregate outstanding amount of secured Indebtedness of the Borrower and its Subsidiaries under subsections (k), (l) and (m) of the definition of “Permitted Liens” and Indebtedness with respect to Permitted Receivables Transactions, shall not exceed 15% of Consolidated Tangible Assets at any time.</w:t>
      </w:r>
    </w:p>
    <w:p>
      <w:pPr>
        <w:spacing w:after="0" w:line="53" w:lineRule="exact"/>
        <w:rPr>
          <w:sz w:val="20"/>
          <w:szCs w:val="20"/>
          <w:color w:val="auto"/>
        </w:rPr>
      </w:pPr>
    </w:p>
    <w:p>
      <w:pPr>
        <w:ind w:right="20" w:firstLine="327"/>
        <w:spacing w:after="0" w:line="258" w:lineRule="auto"/>
        <w:rPr>
          <w:sz w:val="20"/>
          <w:szCs w:val="20"/>
          <w:color w:val="auto"/>
        </w:rPr>
      </w:pPr>
      <w:r>
        <w:rPr>
          <w:rFonts w:ascii="Arial" w:cs="Arial" w:eastAsia="Arial" w:hAnsi="Arial"/>
          <w:sz w:val="13"/>
          <w:szCs w:val="13"/>
          <w:b w:val="1"/>
          <w:bCs w:val="1"/>
          <w:color w:val="auto"/>
        </w:rPr>
        <w:t>§8.2. Restrictions on Liens</w:t>
      </w:r>
      <w:r>
        <w:rPr>
          <w:rFonts w:ascii="Arial" w:cs="Arial" w:eastAsia="Arial" w:hAnsi="Arial"/>
          <w:sz w:val="13"/>
          <w:szCs w:val="13"/>
          <w:color w:val="auto"/>
        </w:rPr>
        <w:t>. The Borrower will not, and will cause its Subsidiaries not to, create or incur or suffer to be created or incurred or to exist any Lien of any kind upon any property or assets of any</w:t>
      </w:r>
      <w:r>
        <w:rPr>
          <w:rFonts w:ascii="Arial" w:cs="Arial" w:eastAsia="Arial" w:hAnsi="Arial"/>
          <w:sz w:val="13"/>
          <w:szCs w:val="13"/>
          <w:b w:val="1"/>
          <w:bCs w:val="1"/>
          <w:color w:val="auto"/>
        </w:rPr>
        <w:t xml:space="preserve"> </w:t>
      </w:r>
      <w:r>
        <w:rPr>
          <w:rFonts w:ascii="Arial" w:cs="Arial" w:eastAsia="Arial" w:hAnsi="Arial"/>
          <w:sz w:val="13"/>
          <w:szCs w:val="13"/>
          <w:color w:val="auto"/>
        </w:rPr>
        <w:t>character, whether now owned or hereafter acquired, or upon the income or profits therefrom; or transfer any of such property or assets or the income or profits therefrom for the purpose of subjecting the same to the payment of Indebtedness or performance of any other obligation in priority to payment of its general creditors; or acquire, or agree or have an option to acquire, any property or assets upon conditional sale or other title retention or purchase money security agreement, device or arrangement; or suffer to exist for a period of more than 30 days after the same shall have been incurred any Indebtedness or claim or demand against it which if unpaid might by law or upon bankruptcy or insolvency, or otherwise, be given any priority whatsoever over its general creditors; or sell, assign, pledge or otherwise transfer any accounts, contract rights, general intangibles or chattel paper, with or without recourse, except for Permitted Liens.</w:t>
      </w:r>
    </w:p>
    <w:p>
      <w:pPr>
        <w:spacing w:after="0" w:line="62" w:lineRule="exact"/>
        <w:rPr>
          <w:sz w:val="20"/>
          <w:szCs w:val="20"/>
          <w:color w:val="auto"/>
        </w:rPr>
      </w:pPr>
    </w:p>
    <w:p>
      <w:pPr>
        <w:ind w:right="60" w:firstLine="161"/>
        <w:spacing w:after="0" w:line="285" w:lineRule="auto"/>
        <w:rPr>
          <w:sz w:val="20"/>
          <w:szCs w:val="20"/>
          <w:color w:val="auto"/>
        </w:rPr>
      </w:pPr>
      <w:r>
        <w:rPr>
          <w:rFonts w:ascii="Arial" w:cs="Arial" w:eastAsia="Arial" w:hAnsi="Arial"/>
          <w:sz w:val="12"/>
          <w:szCs w:val="12"/>
          <w:color w:val="auto"/>
        </w:rPr>
        <w:t xml:space="preserve">The Borrower and the Guarantor covenant and agree that if either of them or any of their Subsidiaries shall create or incur any Lien upon any of their respective properties or assets, whether now owned or hereafter acquired, other than Permitted Liens (unless prior written consent shall have been obtained from the Banks), the Borrower and the Guarantor will make or cause to be made effective provision whereby the Obligations and the Guaranteed Obligations will be secured by such Lien equally and ratably with any and all other Indebtedness thereby secured so long as such other Indebtedness shall be so secured;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covenants of the Borrower and the Guarantor contained in this sentence shall only be in effect for so long as the Borrower or the Guarantor shall be similarly obligated under any other Indebtedness;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an Event of Default shall occur for so long as such other Indebtedness becomes secured notwithstanding any actions taken by the Borrower or the Guarantor to ratably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16" w:right="259" w:bottom="1440" w:gutter="0" w:footer="0" w:header="0"/>
        </w:sectPr>
      </w:pPr>
    </w:p>
    <w:bookmarkStart w:id="155" w:name="page156"/>
    <w:bookmarkEnd w:id="155"/>
    <w:p>
      <w:pPr>
        <w:spacing w:after="0"/>
        <w:rPr>
          <w:sz w:val="20"/>
          <w:szCs w:val="20"/>
          <w:color w:val="auto"/>
        </w:rPr>
      </w:pPr>
      <w:r>
        <w:rPr>
          <w:rFonts w:ascii="Arial" w:cs="Arial" w:eastAsia="Arial" w:hAnsi="Arial"/>
          <w:sz w:val="13"/>
          <w:szCs w:val="13"/>
          <w:color w:val="auto"/>
        </w:rPr>
        <w:t>secure the Obligations and the Guaranteed Obligations hereunder.</w:t>
      </w:r>
    </w:p>
    <w:p>
      <w:pPr>
        <w:spacing w:after="0" w:line="82" w:lineRule="exact"/>
        <w:rPr>
          <w:sz w:val="20"/>
          <w:szCs w:val="20"/>
          <w:color w:val="auto"/>
        </w:rPr>
      </w:pPr>
    </w:p>
    <w:p>
      <w:pPr>
        <w:ind w:right="60" w:firstLine="327"/>
        <w:spacing w:after="0" w:line="260" w:lineRule="auto"/>
        <w:rPr>
          <w:sz w:val="20"/>
          <w:szCs w:val="20"/>
          <w:color w:val="auto"/>
        </w:rPr>
      </w:pPr>
      <w:r>
        <w:rPr>
          <w:rFonts w:ascii="Arial" w:cs="Arial" w:eastAsia="Arial" w:hAnsi="Arial"/>
          <w:sz w:val="13"/>
          <w:szCs w:val="13"/>
          <w:b w:val="1"/>
          <w:bCs w:val="1"/>
          <w:color w:val="auto"/>
        </w:rPr>
        <w:t>§8.3. Restrictions on Investments</w:t>
      </w:r>
      <w:r>
        <w:rPr>
          <w:rFonts w:ascii="Arial" w:cs="Arial" w:eastAsia="Arial" w:hAnsi="Arial"/>
          <w:sz w:val="13"/>
          <w:szCs w:val="13"/>
          <w:color w:val="auto"/>
        </w:rPr>
        <w:t>. Except to the extent provided in §8.4, neither the Borrower nor any Subsidiary may make or permit to exist or to remain outstanding any Investment, other than Investments in</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Cash Equivalents unless both before and after giving effect thereto (i) the Borrower and its Subsidiaries are in compliance with the covenants set forth in §§7, 8 and 9 hereof and (ii) there does not exist a Default or Event of Default and no Default or Event of Default would be created by the making of such Investment;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aggregate amount of all Investments (excluding Investments in Cash Equivalents), does not exceed 15% of Consolidated Tangible Assets; and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that the ability of the Subsidiaries of the Borrower to incur any Indebtedness in connection with any Investment permitted by this §8.3 shall be governed by §8.1.</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§8.4. Mergers, Consolidations, Sales.</w:t>
      </w:r>
    </w:p>
    <w:p>
      <w:pPr>
        <w:spacing w:after="0" w:line="90" w:lineRule="exact"/>
        <w:rPr>
          <w:sz w:val="20"/>
          <w:szCs w:val="20"/>
          <w:color w:val="auto"/>
        </w:rPr>
      </w:pPr>
    </w:p>
    <w:p>
      <w:pPr>
        <w:ind w:left="220" w:firstLine="172"/>
        <w:spacing w:after="0" w:line="300" w:lineRule="auto"/>
        <w:tabs>
          <w:tab w:leader="none" w:pos="562" w:val="left"/>
        </w:tabs>
        <w:numPr>
          <w:ilvl w:val="1"/>
          <w:numId w:val="134"/>
        </w:numPr>
        <w:rPr>
          <w:rFonts w:ascii="Arial" w:cs="Arial" w:eastAsia="Arial" w:hAnsi="Arial"/>
          <w:sz w:val="11"/>
          <w:szCs w:val="11"/>
          <w:color w:val="auto"/>
        </w:rPr>
      </w:pPr>
      <w:r>
        <w:rPr>
          <w:rFonts w:ascii="Arial" w:cs="Arial" w:eastAsia="Arial" w:hAnsi="Arial"/>
          <w:sz w:val="11"/>
          <w:szCs w:val="11"/>
          <w:color w:val="auto"/>
        </w:rPr>
        <w:t>Neither the Borrower nor any Subsidiary shall be a party to any merger, consolidation or exchange of stock unless the Borrower shall be the surviving entity with respect to any such transaction to which the Borrower is a party and the Guarantor shall be the survivor of any merger with any other Subsidiary or a Subsidiary shall be the surviving entity (and continue to be a Subsidiary) with respect to any such transactions to which one or more Subsidiaries is a party (and the conditions set forth below are satisfied), or purchase or otherwise acquire all or substantially all of the assets or stock of any class of, or any partnership, membership or joint venture or other interest in, any other Person except as otherwise provided in §8.3 or this §8.4. Notwithstanding the foregoing, the Borrower and its Subsidiaries may purchase or otherwise acquire all or substantially all of the assets or stock of any class of, or joint venture or other interest in, any Person if the following conditions have been met: (i) the proposed transaction will not otherwise create a Default or an Event of Default hereunder; and (ii) the business to be acquired predominantly involves (A) the collection, transfer, hauling, disposal or recycling of solid waste or thermal soil remediation, or</w:t>
      </w:r>
    </w:p>
    <w:p>
      <w:pPr>
        <w:spacing w:after="0" w:line="2" w:lineRule="exact"/>
        <w:rPr>
          <w:rFonts w:ascii="Arial" w:cs="Arial" w:eastAsia="Arial" w:hAnsi="Arial"/>
          <w:sz w:val="11"/>
          <w:szCs w:val="11"/>
          <w:color w:val="auto"/>
        </w:rPr>
      </w:pPr>
    </w:p>
    <w:p>
      <w:pPr>
        <w:ind w:left="220" w:firstLine="8"/>
        <w:spacing w:after="0" w:line="256" w:lineRule="auto"/>
        <w:tabs>
          <w:tab w:leader="none" w:pos="427" w:val="left"/>
        </w:tabs>
        <w:numPr>
          <w:ilvl w:val="0"/>
          <w:numId w:val="135"/>
        </w:numPr>
        <w:rPr>
          <w:rFonts w:ascii="Arial" w:cs="Arial" w:eastAsia="Arial" w:hAnsi="Arial"/>
          <w:sz w:val="13"/>
          <w:szCs w:val="13"/>
          <w:color w:val="auto"/>
        </w:rPr>
      </w:pPr>
      <w:r>
        <w:rPr>
          <w:rFonts w:ascii="Arial" w:cs="Arial" w:eastAsia="Arial" w:hAnsi="Arial"/>
          <w:sz w:val="13"/>
          <w:szCs w:val="13"/>
          <w:color w:val="auto"/>
        </w:rPr>
        <w:t xml:space="preserve">other lines of businesses currently engaged in, or related, associated, complementary or supplementary thereto, whether from an operational, business, financial, technical or administrative standpoint;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Borrower or its Subsidiaries may purchase or otherwise acquire all or substantially all of the assets or stock of any class of, or any partnership, membership or joint venture or other interest in, any Persons in unrelated businesses, not to exceed a total aggregate amount of $400,000,000 during the term of this Agreement. Notwithstanding anything herein to the contrary, the ability of the Subsidiaries of the Borrower to incur any Indebtedness in connection with any transaction permitted pursuant to this §8.4 shall be governed by §8.1.</w:t>
      </w:r>
    </w:p>
    <w:p>
      <w:pPr>
        <w:spacing w:after="0" w:line="62" w:lineRule="exact"/>
        <w:rPr>
          <w:rFonts w:ascii="Arial" w:cs="Arial" w:eastAsia="Arial" w:hAnsi="Arial"/>
          <w:sz w:val="13"/>
          <w:szCs w:val="13"/>
          <w:color w:val="auto"/>
        </w:rPr>
      </w:pPr>
    </w:p>
    <w:p>
      <w:pPr>
        <w:jc w:val="both"/>
        <w:ind w:left="220" w:right="40" w:firstLine="172"/>
        <w:spacing w:after="0" w:line="296" w:lineRule="auto"/>
        <w:tabs>
          <w:tab w:leader="none" w:pos="569" w:val="left"/>
        </w:tabs>
        <w:numPr>
          <w:ilvl w:val="1"/>
          <w:numId w:val="135"/>
        </w:numPr>
        <w:rPr>
          <w:rFonts w:ascii="Arial" w:cs="Arial" w:eastAsia="Arial" w:hAnsi="Arial"/>
          <w:sz w:val="12"/>
          <w:szCs w:val="12"/>
          <w:color w:val="auto"/>
        </w:rPr>
      </w:pPr>
      <w:r>
        <w:rPr>
          <w:rFonts w:ascii="Arial" w:cs="Arial" w:eastAsia="Arial" w:hAnsi="Arial"/>
          <w:sz w:val="12"/>
          <w:szCs w:val="12"/>
          <w:color w:val="auto"/>
        </w:rPr>
        <w:t>Neither the Borrower nor any Subsidiary shall sell, transfer, convey or lease any assets or group of assets, including the sale or transfer of any property owned by the Borrower or any Subsidiary in order then or thereafter to lease such property or lease other property which the Borrower or such Subsidiary intends to use for substantially the same purpose as the property being sold or transferred, or sell or assign, with or without recourse, any receivables, except (i) transfers of real or personal property among Subsidiaries of the Borrower, (ii) so long as no Default or Event of Default has</w:t>
      </w:r>
    </w:p>
    <w:p>
      <w:pPr>
        <w:spacing w:after="0" w:line="98" w:lineRule="exact"/>
        <w:rPr>
          <w:rFonts w:ascii="Arial" w:cs="Arial" w:eastAsia="Arial" w:hAnsi="Arial"/>
          <w:sz w:val="12"/>
          <w:szCs w:val="12"/>
          <w:color w:val="auto"/>
        </w:rPr>
      </w:pPr>
    </w:p>
    <w:p>
      <w:pPr>
        <w:ind w:left="5660" w:hanging="68"/>
        <w:spacing w:after="0"/>
        <w:tabs>
          <w:tab w:leader="none" w:pos="5660" w:val="left"/>
        </w:tabs>
        <w:numPr>
          <w:ilvl w:val="2"/>
          <w:numId w:val="135"/>
        </w:numPr>
        <w:rPr>
          <w:rFonts w:ascii="Arial" w:cs="Arial" w:eastAsia="Arial" w:hAnsi="Arial"/>
          <w:sz w:val="13"/>
          <w:szCs w:val="13"/>
          <w:color w:val="auto"/>
        </w:rPr>
      </w:pPr>
      <w:r>
        <w:rPr>
          <w:rFonts w:ascii="Arial" w:cs="Arial" w:eastAsia="Arial" w:hAnsi="Arial"/>
          <w:sz w:val="13"/>
          <w:szCs w:val="13"/>
          <w:color w:val="auto"/>
        </w:rPr>
        <w:t>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56" w:name="page157"/>
    <w:bookmarkEnd w:id="156"/>
    <w:p>
      <w:pPr>
        <w:ind w:left="220" w:right="40"/>
        <w:spacing w:after="0" w:line="289" w:lineRule="auto"/>
        <w:rPr>
          <w:sz w:val="20"/>
          <w:szCs w:val="20"/>
          <w:color w:val="auto"/>
        </w:rPr>
      </w:pPr>
      <w:r>
        <w:rPr>
          <w:rFonts w:ascii="Arial" w:cs="Arial" w:eastAsia="Arial" w:hAnsi="Arial"/>
          <w:sz w:val="12"/>
          <w:szCs w:val="12"/>
          <w:color w:val="auto"/>
        </w:rPr>
        <w:t xml:space="preserve">occurred and is continuing, or would result therefrom, sales of assets or pursuant to a sale-leaseback transaction;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net cash proceeds from any such sale or sale-leaseback shall, within 180 days, either be used to pay down outstanding Loans under this Agreement or be reinvested by such Person in assets of the business of the Borrower and its Subsidiaries, used for working capital, invested in Investments in accordance with the provisions of §8.3 or used for other general corporate purposes, (iii) sales of accounts receivable (and contract rights, general intangibles or chattel paper related thereto) more than sixty (60) days past due sold or assigned in the ordinary course of collecting past due accounts, or (iv) pursuant to a Permitted Receivables Transaction.</w:t>
      </w:r>
    </w:p>
    <w:p>
      <w:pPr>
        <w:spacing w:after="0" w:line="39" w:lineRule="exact"/>
        <w:rPr>
          <w:sz w:val="20"/>
          <w:szCs w:val="20"/>
          <w:color w:val="auto"/>
        </w:rPr>
      </w:pPr>
    </w:p>
    <w:p>
      <w:pPr>
        <w:ind w:firstLine="327"/>
        <w:spacing w:after="0" w:line="291" w:lineRule="auto"/>
        <w:rPr>
          <w:sz w:val="20"/>
          <w:szCs w:val="20"/>
          <w:color w:val="auto"/>
        </w:rPr>
      </w:pPr>
      <w:r>
        <w:rPr>
          <w:rFonts w:ascii="Arial" w:cs="Arial" w:eastAsia="Arial" w:hAnsi="Arial"/>
          <w:sz w:val="12"/>
          <w:szCs w:val="12"/>
          <w:b w:val="1"/>
          <w:bCs w:val="1"/>
          <w:color w:val="auto"/>
        </w:rPr>
        <w:t>§8.5. Restricted Distributions and Redemptions</w:t>
      </w:r>
      <w:r>
        <w:rPr>
          <w:rFonts w:ascii="Arial" w:cs="Arial" w:eastAsia="Arial" w:hAnsi="Arial"/>
          <w:sz w:val="12"/>
          <w:szCs w:val="12"/>
          <w:color w:val="auto"/>
        </w:rPr>
        <w:t>. Neither the Borrower nor any of its Subsidiaries will (a) declare or pay any Distributions, or (b) redeem, convert, retire or otherwise acquire shares of any class</w:t>
      </w:r>
      <w:r>
        <w:rPr>
          <w:rFonts w:ascii="Arial" w:cs="Arial" w:eastAsia="Arial" w:hAnsi="Arial"/>
          <w:sz w:val="12"/>
          <w:szCs w:val="12"/>
          <w:b w:val="1"/>
          <w:bCs w:val="1"/>
          <w:color w:val="auto"/>
        </w:rPr>
        <w:t xml:space="preserve"> </w:t>
      </w:r>
      <w:r>
        <w:rPr>
          <w:rFonts w:ascii="Arial" w:cs="Arial" w:eastAsia="Arial" w:hAnsi="Arial"/>
          <w:sz w:val="12"/>
          <w:szCs w:val="12"/>
          <w:color w:val="auto"/>
        </w:rPr>
        <w:t>of its capital stock (other than in connection with a merger permitted by §8.4 hereof or conversion into another form of equity of any preferred shares of the Borrower existing as of the Effective Date pursuant to the terms thereof), unless at the time of such Distribution or redemption no Default or Event of Default exists or would be created hereunder. Notwithstanding the above, any Subsidiary may make Distributions to the Borrower and the Borrower agrees that neither the Borrower nor any Significant Subsidiary will enter into any agreement restricting Distributions from such Significant Subsidiary to the Borrower.</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§8.6. Employee Benefit Plans</w:t>
      </w:r>
      <w:r>
        <w:rPr>
          <w:rFonts w:ascii="Arial" w:cs="Arial" w:eastAsia="Arial" w:hAnsi="Arial"/>
          <w:sz w:val="13"/>
          <w:szCs w:val="13"/>
          <w:color w:val="auto"/>
        </w:rPr>
        <w:t>. None of the Borrower, any of its Subsidiaries, or any ERISA Affiliate will:</w:t>
      </w:r>
    </w:p>
    <w:p>
      <w:pPr>
        <w:spacing w:after="0" w:line="90" w:lineRule="exact"/>
        <w:rPr>
          <w:sz w:val="20"/>
          <w:szCs w:val="20"/>
          <w:color w:val="auto"/>
        </w:rPr>
      </w:pPr>
    </w:p>
    <w:p>
      <w:pPr>
        <w:ind w:left="560" w:hanging="168"/>
        <w:spacing w:after="0"/>
        <w:tabs>
          <w:tab w:leader="none" w:pos="56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engage in any “prohibited transaction” within the meaning of §406 of ERISA or §4975 of the Code which could result in a material liability for the Borrower on a consolidated basis; or</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permit any Guaranteed Pension Plan to be in “at risk” status or subject to the notice and lien provisions described in §303 of ERISA, whether or not a minimum funding waiver has been granted; or</w:t>
      </w:r>
    </w:p>
    <w:p>
      <w:pPr>
        <w:spacing w:after="0" w:line="97" w:lineRule="exact"/>
        <w:rPr>
          <w:rFonts w:ascii="Arial" w:cs="Arial" w:eastAsia="Arial" w:hAnsi="Arial"/>
          <w:sz w:val="12"/>
          <w:szCs w:val="12"/>
          <w:color w:val="auto"/>
        </w:rPr>
      </w:pPr>
    </w:p>
    <w:p>
      <w:pPr>
        <w:ind w:left="220" w:firstLine="172"/>
        <w:spacing w:after="0" w:line="276" w:lineRule="auto"/>
        <w:tabs>
          <w:tab w:leader="none" w:pos="562" w:val="left"/>
        </w:tabs>
        <w:numPr>
          <w:ilvl w:val="0"/>
          <w:numId w:val="136"/>
        </w:numPr>
        <w:rPr>
          <w:rFonts w:ascii="Arial" w:cs="Arial" w:eastAsia="Arial" w:hAnsi="Arial"/>
          <w:sz w:val="13"/>
          <w:szCs w:val="13"/>
          <w:color w:val="auto"/>
        </w:rPr>
      </w:pPr>
      <w:r>
        <w:rPr>
          <w:rFonts w:ascii="Arial" w:cs="Arial" w:eastAsia="Arial" w:hAnsi="Arial"/>
          <w:sz w:val="13"/>
          <w:szCs w:val="13"/>
          <w:color w:val="auto"/>
        </w:rPr>
        <w:t>fail to contribute to any Guaranteed Pension Plan to an extent which, or terminate any Guaranteed Pension Plan in a manner which, could result in the imposition of a lien or encumbrance on the assets of the Borrower or the Guarantor pursuant to §303 or §4068 of ERISA; or</w:t>
      </w:r>
    </w:p>
    <w:p>
      <w:pPr>
        <w:spacing w:after="0" w:line="49" w:lineRule="exact"/>
        <w:rPr>
          <w:rFonts w:ascii="Arial" w:cs="Arial" w:eastAsia="Arial" w:hAnsi="Arial"/>
          <w:sz w:val="13"/>
          <w:szCs w:val="13"/>
          <w:color w:val="auto"/>
        </w:rPr>
      </w:pPr>
    </w:p>
    <w:p>
      <w:pPr>
        <w:jc w:val="both"/>
        <w:ind w:left="220" w:right="200" w:firstLine="172"/>
        <w:spacing w:after="0" w:line="264" w:lineRule="auto"/>
        <w:tabs>
          <w:tab w:leader="none" w:pos="569" w:val="left"/>
        </w:tabs>
        <w:numPr>
          <w:ilvl w:val="0"/>
          <w:numId w:val="136"/>
        </w:numPr>
        <w:rPr>
          <w:rFonts w:ascii="Arial" w:cs="Arial" w:eastAsia="Arial" w:hAnsi="Arial"/>
          <w:sz w:val="13"/>
          <w:szCs w:val="13"/>
          <w:color w:val="auto"/>
        </w:rPr>
      </w:pPr>
      <w:r>
        <w:rPr>
          <w:rFonts w:ascii="Arial" w:cs="Arial" w:eastAsia="Arial" w:hAnsi="Arial"/>
          <w:sz w:val="13"/>
          <w:szCs w:val="13"/>
          <w:color w:val="auto"/>
        </w:rPr>
        <w:t>permit or take any action which would result in the aggregate benefit liabilities (within the meaning of §4001 of ERISA), other than with respect to the Terminated Plans, of all Guaranteed Pension Plans exceeding the value of the aggregate assets of such Guaranteed Pension Plans, disregarding for this purpose the benefit liabilities and assets of any such Guaranteed Pension Plan with assets in excess of benefit liabilities.</w:t>
      </w:r>
    </w:p>
    <w:p>
      <w:pPr>
        <w:spacing w:after="0" w:line="57" w:lineRule="exact"/>
        <w:rPr>
          <w:sz w:val="20"/>
          <w:szCs w:val="20"/>
          <w:color w:val="auto"/>
        </w:rPr>
      </w:pPr>
    </w:p>
    <w:p>
      <w:pPr>
        <w:ind w:right="320" w:firstLine="161"/>
        <w:spacing w:after="0" w:line="276" w:lineRule="auto"/>
        <w:rPr>
          <w:sz w:val="20"/>
          <w:szCs w:val="20"/>
          <w:color w:val="auto"/>
        </w:rPr>
      </w:pPr>
      <w:r>
        <w:rPr>
          <w:rFonts w:ascii="Arial" w:cs="Arial" w:eastAsia="Arial" w:hAnsi="Arial"/>
          <w:sz w:val="13"/>
          <w:szCs w:val="13"/>
          <w:color w:val="auto"/>
        </w:rPr>
        <w:t>The Borrower and its Subsidiaries will (i) promptly upon the request of any Bank or the Administrative Agent, furnish to the Banks a copy of the most recent actuarial statement required to be submitted under §103(d) of ERISA and Annual Report, Form 5500, with all required</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157" w:name="page158"/>
    <w:bookmarkEnd w:id="157"/>
    <w:p>
      <w:pPr>
        <w:ind w:right="160"/>
        <w:spacing w:after="0" w:line="276" w:lineRule="auto"/>
        <w:rPr>
          <w:sz w:val="20"/>
          <w:szCs w:val="20"/>
          <w:color w:val="auto"/>
        </w:rPr>
      </w:pPr>
      <w:r>
        <w:rPr>
          <w:rFonts w:ascii="Arial" w:cs="Arial" w:eastAsia="Arial" w:hAnsi="Arial"/>
          <w:sz w:val="13"/>
          <w:szCs w:val="13"/>
          <w:color w:val="auto"/>
        </w:rPr>
        <w:t>attachments, in respect of each Guaranteed Pension Plan, and (ii) promptly upon receipt or dispatch, furnish to the Banks any notice, report or demand sent or received in respect of a Guaranteed Pension Plan under §§302, 303, 4041, 4042, 4043, 4063, 4065, 4066 and 4068 of ERISA, or in respect of a Multiemployer Plan, under §§4041A, 4202, 4219, 4242 or 4245 of ERISA.</w:t>
      </w:r>
    </w:p>
    <w:p>
      <w:pPr>
        <w:spacing w:after="0" w:line="45" w:lineRule="exact"/>
        <w:rPr>
          <w:sz w:val="20"/>
          <w:szCs w:val="20"/>
          <w:color w:val="auto"/>
        </w:rPr>
      </w:pPr>
    </w:p>
    <w:p>
      <w:pPr>
        <w:spacing w:after="0" w:line="267" w:lineRule="auto"/>
        <w:rPr>
          <w:sz w:val="20"/>
          <w:szCs w:val="20"/>
          <w:color w:val="auto"/>
        </w:rPr>
      </w:pPr>
      <w:r>
        <w:rPr>
          <w:rFonts w:ascii="Arial" w:cs="Arial" w:eastAsia="Arial" w:hAnsi="Arial"/>
          <w:sz w:val="13"/>
          <w:szCs w:val="13"/>
          <w:b w:val="1"/>
          <w:bCs w:val="1"/>
          <w:color w:val="auto"/>
        </w:rPr>
        <w:t xml:space="preserve">§9. </w:t>
      </w:r>
      <w:r>
        <w:rPr>
          <w:rFonts w:ascii="Arial" w:cs="Arial" w:eastAsia="Arial" w:hAnsi="Arial"/>
          <w:sz w:val="13"/>
          <w:szCs w:val="13"/>
          <w:b w:val="1"/>
          <w:bCs w:val="1"/>
          <w:u w:val="single" w:color="auto"/>
          <w:color w:val="auto"/>
        </w:rPr>
        <w:t>FINANCIAL COVENANTS OF THE BORROWER</w:t>
      </w:r>
      <w:r>
        <w:rPr>
          <w:rFonts w:ascii="Arial" w:cs="Arial" w:eastAsia="Arial" w:hAnsi="Arial"/>
          <w:sz w:val="13"/>
          <w:szCs w:val="13"/>
          <w:color w:val="auto"/>
        </w:rPr>
        <w:t>. The Borrower agrees that, so long as any Obligation or Letter of Credit is outstanding or the Banks have any obligation to make Loans or any Issuing Bank</w:t>
      </w:r>
      <w:r>
        <w:rPr>
          <w:rFonts w:ascii="Arial" w:cs="Arial" w:eastAsia="Arial" w:hAnsi="Arial"/>
          <w:sz w:val="13"/>
          <w:szCs w:val="13"/>
          <w:b w:val="1"/>
          <w:bCs w:val="1"/>
          <w:color w:val="auto"/>
        </w:rPr>
        <w:t xml:space="preserve"> </w:t>
      </w:r>
      <w:r>
        <w:rPr>
          <w:rFonts w:ascii="Arial" w:cs="Arial" w:eastAsia="Arial" w:hAnsi="Arial"/>
          <w:sz w:val="13"/>
          <w:szCs w:val="13"/>
          <w:color w:val="auto"/>
        </w:rPr>
        <w:t>has any obligation to issue, extend or renew any Letter of Credit hereunder, or the Banks have any obligation to reimburse any Issuing Bank for drawings honored under any Letter of Credit, it shall comply with the following covenants:</w:t>
      </w:r>
    </w:p>
    <w:p>
      <w:pPr>
        <w:spacing w:after="0" w:line="52" w:lineRule="exact"/>
        <w:rPr>
          <w:sz w:val="20"/>
          <w:szCs w:val="20"/>
          <w:color w:val="auto"/>
        </w:rPr>
      </w:pPr>
    </w:p>
    <w:p>
      <w:pPr>
        <w:ind w:right="200" w:firstLine="327"/>
        <w:spacing w:after="0" w:line="283" w:lineRule="auto"/>
        <w:rPr>
          <w:sz w:val="20"/>
          <w:szCs w:val="20"/>
          <w:color w:val="auto"/>
        </w:rPr>
      </w:pPr>
      <w:r>
        <w:rPr>
          <w:rFonts w:ascii="Arial" w:cs="Arial" w:eastAsia="Arial" w:hAnsi="Arial"/>
          <w:sz w:val="13"/>
          <w:szCs w:val="13"/>
          <w:b w:val="1"/>
          <w:bCs w:val="1"/>
          <w:color w:val="auto"/>
        </w:rPr>
        <w:t>§9.1. Interest Coverage Ratio</w:t>
      </w:r>
      <w:r>
        <w:rPr>
          <w:rFonts w:ascii="Arial" w:cs="Arial" w:eastAsia="Arial" w:hAnsi="Arial"/>
          <w:sz w:val="13"/>
          <w:szCs w:val="13"/>
          <w:color w:val="auto"/>
        </w:rPr>
        <w:t>. As of the end of any fiscal quarter of the Borrower, the Borrower will not permit the ratio of (a) EBIT for the four fiscal quarters then ending to (b) Consolidated Total Interest</w:t>
      </w:r>
      <w:r>
        <w:rPr>
          <w:rFonts w:ascii="Arial" w:cs="Arial" w:eastAsia="Arial" w:hAnsi="Arial"/>
          <w:sz w:val="13"/>
          <w:szCs w:val="13"/>
          <w:b w:val="1"/>
          <w:bCs w:val="1"/>
          <w:color w:val="auto"/>
        </w:rPr>
        <w:t xml:space="preserve"> </w:t>
      </w:r>
      <w:r>
        <w:rPr>
          <w:rFonts w:ascii="Arial" w:cs="Arial" w:eastAsia="Arial" w:hAnsi="Arial"/>
          <w:sz w:val="13"/>
          <w:szCs w:val="13"/>
          <w:color w:val="auto"/>
        </w:rPr>
        <w:t>Expense for such period to be less than 2.75:1.00.</w:t>
      </w:r>
    </w:p>
    <w:p>
      <w:pPr>
        <w:spacing w:after="0" w:line="41" w:lineRule="exact"/>
        <w:rPr>
          <w:sz w:val="20"/>
          <w:szCs w:val="20"/>
          <w:color w:val="auto"/>
        </w:rPr>
      </w:pPr>
    </w:p>
    <w:p>
      <w:pPr>
        <w:ind w:right="400" w:firstLine="327"/>
        <w:spacing w:after="0" w:line="283" w:lineRule="auto"/>
        <w:rPr>
          <w:sz w:val="20"/>
          <w:szCs w:val="20"/>
          <w:color w:val="auto"/>
        </w:rPr>
      </w:pPr>
      <w:r>
        <w:rPr>
          <w:rFonts w:ascii="Arial" w:cs="Arial" w:eastAsia="Arial" w:hAnsi="Arial"/>
          <w:sz w:val="13"/>
          <w:szCs w:val="13"/>
          <w:b w:val="1"/>
          <w:bCs w:val="1"/>
          <w:color w:val="auto"/>
        </w:rPr>
        <w:t>§9.2. Total Debt to EBITDA</w:t>
      </w:r>
      <w:r>
        <w:rPr>
          <w:rFonts w:ascii="Arial" w:cs="Arial" w:eastAsia="Arial" w:hAnsi="Arial"/>
          <w:sz w:val="13"/>
          <w:szCs w:val="13"/>
          <w:color w:val="auto"/>
        </w:rPr>
        <w:t>. As of the end of any fiscal quarter of the Borrower, the Borrower will not permit the ratio of (a) Total Debt to (b) EBITDA for the four fiscal quarters then ending to exceed</w:t>
      </w:r>
      <w:r>
        <w:rPr>
          <w:rFonts w:ascii="Arial" w:cs="Arial" w:eastAsia="Arial" w:hAnsi="Arial"/>
          <w:sz w:val="13"/>
          <w:szCs w:val="13"/>
          <w:b w:val="1"/>
          <w:bCs w:val="1"/>
          <w:color w:val="auto"/>
        </w:rPr>
        <w:t xml:space="preserve"> </w:t>
      </w:r>
      <w:r>
        <w:rPr>
          <w:rFonts w:ascii="Arial" w:cs="Arial" w:eastAsia="Arial" w:hAnsi="Arial"/>
          <w:sz w:val="13"/>
          <w:szCs w:val="13"/>
          <w:color w:val="auto"/>
        </w:rPr>
        <w:t>3.50:1.00.</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§10. </w:t>
      </w:r>
      <w:r>
        <w:rPr>
          <w:rFonts w:ascii="Arial" w:cs="Arial" w:eastAsia="Arial" w:hAnsi="Arial"/>
          <w:sz w:val="13"/>
          <w:szCs w:val="13"/>
          <w:b w:val="1"/>
          <w:bCs w:val="1"/>
          <w:u w:val="single" w:color="auto"/>
          <w:color w:val="auto"/>
        </w:rPr>
        <w:t>CONDITIONS PRECEDENT</w:t>
      </w:r>
      <w:r>
        <w:rPr>
          <w:rFonts w:ascii="Arial" w:cs="Arial" w:eastAsia="Arial" w:hAnsi="Arial"/>
          <w:sz w:val="13"/>
          <w:szCs w:val="13"/>
          <w:b w:val="1"/>
          <w:bCs w:val="1"/>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1"/>
          <w:szCs w:val="11"/>
          <w:b w:val="1"/>
          <w:bCs w:val="1"/>
          <w:color w:val="auto"/>
        </w:rPr>
        <w:t>§10.1. Conditions To Effectiveness</w:t>
      </w:r>
      <w:r>
        <w:rPr>
          <w:rFonts w:ascii="Arial" w:cs="Arial" w:eastAsia="Arial" w:hAnsi="Arial"/>
          <w:sz w:val="11"/>
          <w:szCs w:val="11"/>
          <w:color w:val="auto"/>
        </w:rPr>
        <w:t>. The effectiveness of this Agreement and the obligations of the Banks to make any Loans and of any Issuing Bank to issue Letters of Credit and of the Banks to participate in</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Letters of Credit and otherwise be bound by the terms of this Agreement shall be subject to the satisfaction of each of the following conditions precedent on or before July 31, 2010:</w:t>
      </w:r>
    </w:p>
    <w:p>
      <w:pPr>
        <w:spacing w:after="0" w:line="75" w:lineRule="exact"/>
        <w:rPr>
          <w:sz w:val="20"/>
          <w:szCs w:val="20"/>
          <w:color w:val="auto"/>
        </w:rPr>
      </w:pPr>
    </w:p>
    <w:p>
      <w:pPr>
        <w:ind w:left="220" w:right="460" w:firstLine="491"/>
        <w:spacing w:after="0" w:line="327" w:lineRule="auto"/>
        <w:rPr>
          <w:sz w:val="20"/>
          <w:szCs w:val="20"/>
          <w:color w:val="auto"/>
        </w:rPr>
      </w:pPr>
      <w:r>
        <w:rPr>
          <w:rFonts w:ascii="Arial" w:cs="Arial" w:eastAsia="Arial" w:hAnsi="Arial"/>
          <w:sz w:val="12"/>
          <w:szCs w:val="12"/>
          <w:b w:val="1"/>
          <w:bCs w:val="1"/>
          <w:color w:val="auto"/>
        </w:rPr>
        <w:t>§10.1.1. Corporate Action</w:t>
      </w:r>
      <w:r>
        <w:rPr>
          <w:rFonts w:ascii="Arial" w:cs="Arial" w:eastAsia="Arial" w:hAnsi="Arial"/>
          <w:sz w:val="12"/>
          <w:szCs w:val="12"/>
          <w:color w:val="auto"/>
        </w:rPr>
        <w:t>. All corporate action necessary for the valid execution, delivery and performance by the Borrower and the Guarantor of the Loan Documents shall have been duly and</w:t>
      </w:r>
      <w:r>
        <w:rPr>
          <w:rFonts w:ascii="Arial" w:cs="Arial" w:eastAsia="Arial" w:hAnsi="Arial"/>
          <w:sz w:val="12"/>
          <w:szCs w:val="12"/>
          <w:b w:val="1"/>
          <w:bCs w:val="1"/>
          <w:color w:val="auto"/>
        </w:rPr>
        <w:t xml:space="preserve"> </w:t>
      </w:r>
      <w:r>
        <w:rPr>
          <w:rFonts w:ascii="Arial" w:cs="Arial" w:eastAsia="Arial" w:hAnsi="Arial"/>
          <w:sz w:val="12"/>
          <w:szCs w:val="12"/>
          <w:color w:val="auto"/>
        </w:rPr>
        <w:t>effectively taken, and evidence thereof certified by authorized officers of the Borrower and the Guarantor and satisfactory to the Administrative Agent shall have been provided to the Banks.</w:t>
      </w:r>
    </w:p>
    <w:p>
      <w:pPr>
        <w:spacing w:after="0" w:line="17" w:lineRule="exact"/>
        <w:rPr>
          <w:sz w:val="20"/>
          <w:szCs w:val="20"/>
          <w:color w:val="auto"/>
        </w:rPr>
      </w:pPr>
    </w:p>
    <w:p>
      <w:pPr>
        <w:ind w:left="220" w:right="180" w:firstLine="491"/>
        <w:spacing w:after="0" w:line="283" w:lineRule="auto"/>
        <w:rPr>
          <w:sz w:val="20"/>
          <w:szCs w:val="20"/>
          <w:color w:val="auto"/>
        </w:rPr>
      </w:pPr>
      <w:r>
        <w:rPr>
          <w:rFonts w:ascii="Arial" w:cs="Arial" w:eastAsia="Arial" w:hAnsi="Arial"/>
          <w:sz w:val="13"/>
          <w:szCs w:val="13"/>
          <w:b w:val="1"/>
          <w:bCs w:val="1"/>
          <w:color w:val="auto"/>
        </w:rPr>
        <w:t>§10.1.2. Loan Documents, Etc</w:t>
      </w:r>
      <w:r>
        <w:rPr>
          <w:rFonts w:ascii="Arial" w:cs="Arial" w:eastAsia="Arial" w:hAnsi="Arial"/>
          <w:sz w:val="13"/>
          <w:szCs w:val="13"/>
          <w:color w:val="auto"/>
        </w:rPr>
        <w:t>. Each of the Loan Documents and other documents listed on the closing agenda shall have been duly and properly authorized, executed and delivered by the respective</w:t>
      </w:r>
      <w:r>
        <w:rPr>
          <w:rFonts w:ascii="Arial" w:cs="Arial" w:eastAsia="Arial" w:hAnsi="Arial"/>
          <w:sz w:val="13"/>
          <w:szCs w:val="13"/>
          <w:b w:val="1"/>
          <w:bCs w:val="1"/>
          <w:color w:val="auto"/>
        </w:rPr>
        <w:t xml:space="preserve"> </w:t>
      </w:r>
      <w:r>
        <w:rPr>
          <w:rFonts w:ascii="Arial" w:cs="Arial" w:eastAsia="Arial" w:hAnsi="Arial"/>
          <w:sz w:val="13"/>
          <w:szCs w:val="13"/>
          <w:color w:val="auto"/>
        </w:rPr>
        <w:t>parties thereto and shall be in full force and effect in a form satisfactory to the Majority Banks.</w:t>
      </w:r>
    </w:p>
    <w:p>
      <w:pPr>
        <w:spacing w:after="0" w:line="41" w:lineRule="exact"/>
        <w:rPr>
          <w:sz w:val="20"/>
          <w:szCs w:val="20"/>
          <w:color w:val="auto"/>
        </w:rPr>
      </w:pPr>
    </w:p>
    <w:p>
      <w:pPr>
        <w:ind w:left="220" w:right="60" w:firstLine="491"/>
        <w:spacing w:after="0" w:line="373" w:lineRule="auto"/>
        <w:rPr>
          <w:sz w:val="20"/>
          <w:szCs w:val="20"/>
          <w:color w:val="auto"/>
        </w:rPr>
      </w:pPr>
      <w:r>
        <w:rPr>
          <w:rFonts w:ascii="Arial" w:cs="Arial" w:eastAsia="Arial" w:hAnsi="Arial"/>
          <w:sz w:val="11"/>
          <w:szCs w:val="11"/>
          <w:b w:val="1"/>
          <w:bCs w:val="1"/>
          <w:color w:val="auto"/>
        </w:rPr>
        <w:t>§10.1.3. Certified Copies of Charter Documents</w:t>
      </w:r>
      <w:r>
        <w:rPr>
          <w:rFonts w:ascii="Arial" w:cs="Arial" w:eastAsia="Arial" w:hAnsi="Arial"/>
          <w:sz w:val="11"/>
          <w:szCs w:val="11"/>
          <w:color w:val="auto"/>
        </w:rPr>
        <w:t>. The Banks shall have received from each of the Borrower and the Guarantor, certified by a duly authorized officer of such Person to be true and</w:t>
      </w:r>
      <w:r>
        <w:rPr>
          <w:rFonts w:ascii="Arial" w:cs="Arial" w:eastAsia="Arial" w:hAnsi="Arial"/>
          <w:sz w:val="11"/>
          <w:szCs w:val="11"/>
          <w:b w:val="1"/>
          <w:bCs w:val="1"/>
          <w:color w:val="auto"/>
        </w:rPr>
        <w:t xml:space="preserve"> </w:t>
      </w:r>
      <w:r>
        <w:rPr>
          <w:rFonts w:ascii="Arial" w:cs="Arial" w:eastAsia="Arial" w:hAnsi="Arial"/>
          <w:sz w:val="11"/>
          <w:szCs w:val="11"/>
          <w:color w:val="auto"/>
        </w:rPr>
        <w:t>complete on the Effective Date, (a) its charter or other incorporation documents, (b) its by-laws and (c) good standing certificates and such foreign qualifications as may be requested by the Administrative Agent.</w:t>
      </w:r>
    </w:p>
    <w:p>
      <w:pPr>
        <w:ind w:left="720"/>
        <w:spacing w:after="0"/>
        <w:rPr>
          <w:sz w:val="20"/>
          <w:szCs w:val="20"/>
          <w:color w:val="auto"/>
        </w:rPr>
      </w:pPr>
      <w:r>
        <w:rPr>
          <w:rFonts w:ascii="Arial" w:cs="Arial" w:eastAsia="Arial" w:hAnsi="Arial"/>
          <w:sz w:val="13"/>
          <w:szCs w:val="13"/>
          <w:b w:val="1"/>
          <w:bCs w:val="1"/>
          <w:color w:val="auto"/>
        </w:rPr>
        <w:t>§10.1.4. Incumbency Certificate</w:t>
      </w:r>
      <w:r>
        <w:rPr>
          <w:rFonts w:ascii="Arial" w:cs="Arial" w:eastAsia="Arial" w:hAnsi="Arial"/>
          <w:sz w:val="13"/>
          <w:szCs w:val="13"/>
          <w:color w:val="auto"/>
        </w:rPr>
        <w:t>. The Banks shall have received an incumbency certificate, dated as of the Effective Date, signed by duly</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21" w:right="319" w:bottom="1440" w:gutter="0" w:footer="0" w:header="0"/>
        </w:sectPr>
      </w:pPr>
    </w:p>
    <w:bookmarkStart w:id="158" w:name="page159"/>
    <w:bookmarkEnd w:id="158"/>
    <w:p>
      <w:pPr>
        <w:ind w:left="220" w:right="100"/>
        <w:spacing w:after="0" w:line="264" w:lineRule="auto"/>
        <w:rPr>
          <w:sz w:val="20"/>
          <w:szCs w:val="20"/>
          <w:color w:val="auto"/>
        </w:rPr>
      </w:pPr>
      <w:r>
        <w:rPr>
          <w:rFonts w:ascii="Arial" w:cs="Arial" w:eastAsia="Arial" w:hAnsi="Arial"/>
          <w:sz w:val="13"/>
          <w:szCs w:val="13"/>
          <w:color w:val="auto"/>
        </w:rPr>
        <w:t>authorized officers of the Borrower and the Guarantor giving the name and bearing a specimen signature of each individual who shall be authorized: (a) to sign the Loan Documents on behalf of the Borrower and the Guarantor; (b) to make Syndicated Loan Requests and Letter of Credit Requests; (c) to make Competitive Bid Quote Requests; and (d) to give notices and to take other action on the Borrower’s or the Guarantor’s behalf under the Loan Documents.</w:t>
      </w:r>
    </w:p>
    <w:p>
      <w:pPr>
        <w:spacing w:after="0" w:line="53"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§10.1.5. Summary of Insurance</w:t>
      </w:r>
      <w:r>
        <w:rPr>
          <w:rFonts w:ascii="Arial" w:cs="Arial" w:eastAsia="Arial" w:hAnsi="Arial"/>
          <w:sz w:val="13"/>
          <w:szCs w:val="13"/>
          <w:color w:val="auto"/>
        </w:rPr>
        <w:t>. The Administrative Agent shall have received a summary of the insurance coverage of the Borrower and its Subsidiaries of the type described in §7.7.</w:t>
      </w:r>
    </w:p>
    <w:p>
      <w:pPr>
        <w:spacing w:after="0" w:line="86" w:lineRule="exact"/>
        <w:rPr>
          <w:sz w:val="20"/>
          <w:szCs w:val="20"/>
          <w:color w:val="auto"/>
        </w:rPr>
      </w:pPr>
    </w:p>
    <w:p>
      <w:pPr>
        <w:ind w:left="220" w:right="120" w:firstLine="491"/>
        <w:spacing w:after="0" w:line="267" w:lineRule="auto"/>
        <w:rPr>
          <w:sz w:val="20"/>
          <w:szCs w:val="20"/>
          <w:color w:val="auto"/>
        </w:rPr>
      </w:pPr>
      <w:r>
        <w:rPr>
          <w:rFonts w:ascii="Arial" w:cs="Arial" w:eastAsia="Arial" w:hAnsi="Arial"/>
          <w:sz w:val="13"/>
          <w:szCs w:val="13"/>
          <w:b w:val="1"/>
          <w:bCs w:val="1"/>
          <w:color w:val="auto"/>
        </w:rPr>
        <w:t>§10.1.6. Opinion of Counsel</w:t>
      </w:r>
      <w:r>
        <w:rPr>
          <w:rFonts w:ascii="Arial" w:cs="Arial" w:eastAsia="Arial" w:hAnsi="Arial"/>
          <w:sz w:val="13"/>
          <w:szCs w:val="13"/>
          <w:color w:val="auto"/>
        </w:rPr>
        <w:t>. The Banks shall have received a favorable legal opinion from the Vice President and Assistant General Counsel of the Borrower and the Guarantor addressed to the Banks,</w:t>
      </w:r>
      <w:r>
        <w:rPr>
          <w:rFonts w:ascii="Arial" w:cs="Arial" w:eastAsia="Arial" w:hAnsi="Arial"/>
          <w:sz w:val="13"/>
          <w:szCs w:val="13"/>
          <w:b w:val="1"/>
          <w:bCs w:val="1"/>
          <w:color w:val="auto"/>
        </w:rPr>
        <w:t xml:space="preserve"> </w:t>
      </w:r>
      <w:r>
        <w:rPr>
          <w:rFonts w:ascii="Arial" w:cs="Arial" w:eastAsia="Arial" w:hAnsi="Arial"/>
          <w:sz w:val="13"/>
          <w:szCs w:val="13"/>
          <w:color w:val="auto"/>
        </w:rPr>
        <w:t>dated the Effective Date, in form and substance satisfactory to the Administrative Agent, and a favorable legal opinion of McGuireWoods LLP, special New York counsel to the Administrative Agent, dated the Effective Date, as to the validity and binding effect of this Agreement.</w:t>
      </w:r>
    </w:p>
    <w:p>
      <w:pPr>
        <w:spacing w:after="0" w:line="52" w:lineRule="exact"/>
        <w:rPr>
          <w:sz w:val="20"/>
          <w:szCs w:val="20"/>
          <w:color w:val="auto"/>
        </w:rPr>
      </w:pPr>
    </w:p>
    <w:p>
      <w:pPr>
        <w:ind w:left="220" w:right="20" w:firstLine="491"/>
        <w:spacing w:after="0" w:line="283" w:lineRule="auto"/>
        <w:rPr>
          <w:sz w:val="20"/>
          <w:szCs w:val="20"/>
          <w:color w:val="auto"/>
        </w:rPr>
      </w:pPr>
      <w:r>
        <w:rPr>
          <w:rFonts w:ascii="Arial" w:cs="Arial" w:eastAsia="Arial" w:hAnsi="Arial"/>
          <w:sz w:val="13"/>
          <w:szCs w:val="13"/>
          <w:b w:val="1"/>
          <w:bCs w:val="1"/>
          <w:color w:val="auto"/>
        </w:rPr>
        <w:t>§10.1.7. Satisfactory Financial Condition</w:t>
      </w:r>
      <w:r>
        <w:rPr>
          <w:rFonts w:ascii="Arial" w:cs="Arial" w:eastAsia="Arial" w:hAnsi="Arial"/>
          <w:sz w:val="13"/>
          <w:szCs w:val="13"/>
          <w:color w:val="auto"/>
        </w:rPr>
        <w:t>. Other than as disclosed in the Disclosure Documents, no material adverse change shall have occurred in the financial condition, results of operations, business,</w:t>
      </w:r>
      <w:r>
        <w:rPr>
          <w:rFonts w:ascii="Arial" w:cs="Arial" w:eastAsia="Arial" w:hAnsi="Arial"/>
          <w:sz w:val="13"/>
          <w:szCs w:val="13"/>
          <w:b w:val="1"/>
          <w:bCs w:val="1"/>
          <w:color w:val="auto"/>
        </w:rPr>
        <w:t xml:space="preserve"> </w:t>
      </w:r>
      <w:r>
        <w:rPr>
          <w:rFonts w:ascii="Arial" w:cs="Arial" w:eastAsia="Arial" w:hAnsi="Arial"/>
          <w:sz w:val="13"/>
          <w:szCs w:val="13"/>
          <w:color w:val="auto"/>
        </w:rPr>
        <w:t>properties or prospects of the Borrower and its Subsidiaries, taken as a whole, since the Balance Sheet Date.</w:t>
      </w:r>
    </w:p>
    <w:p>
      <w:pPr>
        <w:spacing w:after="0" w:line="41"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§10.1.8. Payment of Closing Fees</w:t>
      </w:r>
      <w:r>
        <w:rPr>
          <w:rFonts w:ascii="Arial" w:cs="Arial" w:eastAsia="Arial" w:hAnsi="Arial"/>
          <w:sz w:val="13"/>
          <w:szCs w:val="13"/>
          <w:color w:val="auto"/>
        </w:rPr>
        <w:t>. The Borrower shall have paid the agreed-upon closing fees to the Administrative Agent.</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§10.1.9. Termination of Existing Credit Agreement</w:t>
      </w:r>
      <w:r>
        <w:rPr>
          <w:rFonts w:ascii="Arial" w:cs="Arial" w:eastAsia="Arial" w:hAnsi="Arial"/>
          <w:sz w:val="13"/>
          <w:szCs w:val="13"/>
          <w:color w:val="auto"/>
        </w:rPr>
        <w:t>. The Existing Credit Agreement shall be paid in full and terminated.</w:t>
      </w:r>
    </w:p>
    <w:p>
      <w:pPr>
        <w:spacing w:after="0" w:line="86" w:lineRule="exact"/>
        <w:rPr>
          <w:sz w:val="20"/>
          <w:szCs w:val="20"/>
          <w:color w:val="auto"/>
        </w:rPr>
      </w:pPr>
    </w:p>
    <w:p>
      <w:pPr>
        <w:ind w:left="220" w:firstLine="491"/>
        <w:spacing w:after="0" w:line="283" w:lineRule="auto"/>
        <w:rPr>
          <w:sz w:val="20"/>
          <w:szCs w:val="20"/>
          <w:color w:val="auto"/>
        </w:rPr>
      </w:pPr>
      <w:r>
        <w:rPr>
          <w:rFonts w:ascii="Arial" w:cs="Arial" w:eastAsia="Arial" w:hAnsi="Arial"/>
          <w:sz w:val="13"/>
          <w:szCs w:val="13"/>
          <w:b w:val="1"/>
          <w:bCs w:val="1"/>
          <w:color w:val="auto"/>
        </w:rPr>
        <w:t>§10.1.10. Closing Certificate</w:t>
      </w:r>
      <w:r>
        <w:rPr>
          <w:rFonts w:ascii="Arial" w:cs="Arial" w:eastAsia="Arial" w:hAnsi="Arial"/>
          <w:sz w:val="13"/>
          <w:szCs w:val="13"/>
          <w:color w:val="auto"/>
        </w:rPr>
        <w:t>. The Borrower shall have delivered to the Administrative Agent a certificate, dated as of the Effective Date, stating that, as of such date (a) the representations and warranties</w:t>
      </w:r>
      <w:r>
        <w:rPr>
          <w:rFonts w:ascii="Arial" w:cs="Arial" w:eastAsia="Arial" w:hAnsi="Arial"/>
          <w:sz w:val="13"/>
          <w:szCs w:val="13"/>
          <w:b w:val="1"/>
          <w:bCs w:val="1"/>
          <w:color w:val="auto"/>
        </w:rPr>
        <w:t xml:space="preserve"> </w:t>
      </w:r>
      <w:r>
        <w:rPr>
          <w:rFonts w:ascii="Arial" w:cs="Arial" w:eastAsia="Arial" w:hAnsi="Arial"/>
          <w:sz w:val="13"/>
          <w:szCs w:val="13"/>
          <w:color w:val="auto"/>
        </w:rPr>
        <w:t>set forth herein and in the other Loan Documents are true and correct, and (b) no Default or Event of Default has occurred and is continuing.</w:t>
      </w:r>
    </w:p>
    <w:p>
      <w:pPr>
        <w:spacing w:after="0" w:line="45" w:lineRule="exact"/>
        <w:rPr>
          <w:sz w:val="20"/>
          <w:szCs w:val="20"/>
          <w:color w:val="auto"/>
        </w:rPr>
      </w:pPr>
    </w:p>
    <w:p>
      <w:pPr>
        <w:ind w:right="160" w:firstLine="161"/>
        <w:spacing w:after="0" w:line="264" w:lineRule="auto"/>
        <w:rPr>
          <w:sz w:val="20"/>
          <w:szCs w:val="20"/>
          <w:color w:val="auto"/>
        </w:rPr>
      </w:pPr>
      <w:r>
        <w:rPr>
          <w:rFonts w:ascii="Arial" w:cs="Arial" w:eastAsia="Arial" w:hAnsi="Arial"/>
          <w:sz w:val="13"/>
          <w:szCs w:val="13"/>
          <w:color w:val="auto"/>
        </w:rPr>
        <w:t>Without limiting the generality of the provisions of the last paragraph of §15.2, for purposes of determining compliance with the conditions specified in this §10, each Bank that has signed this Agreement shall be deemed to have consented to, approved or accepted or to be satisfied with, each document or other matter required thereunder to be consented to or approved by or acceptable or satisfactory to a Bank unless the Administrative Agent shall have received notice from such Bank prior to the proposed Effective Date specifying its objection thereto.</w:t>
      </w:r>
    </w:p>
    <w:p>
      <w:pPr>
        <w:spacing w:after="0" w:line="53" w:lineRule="exact"/>
        <w:rPr>
          <w:sz w:val="20"/>
          <w:szCs w:val="20"/>
          <w:color w:val="auto"/>
        </w:rPr>
      </w:pPr>
    </w:p>
    <w:p>
      <w:pPr>
        <w:ind w:right="80"/>
        <w:spacing w:after="0" w:line="283" w:lineRule="auto"/>
        <w:rPr>
          <w:sz w:val="20"/>
          <w:szCs w:val="20"/>
          <w:color w:val="auto"/>
        </w:rPr>
      </w:pPr>
      <w:r>
        <w:rPr>
          <w:rFonts w:ascii="Arial" w:cs="Arial" w:eastAsia="Arial" w:hAnsi="Arial"/>
          <w:sz w:val="13"/>
          <w:szCs w:val="13"/>
          <w:b w:val="1"/>
          <w:bCs w:val="1"/>
          <w:color w:val="auto"/>
        </w:rPr>
        <w:t xml:space="preserve">§11. </w:t>
      </w:r>
      <w:r>
        <w:rPr>
          <w:rFonts w:ascii="Arial" w:cs="Arial" w:eastAsia="Arial" w:hAnsi="Arial"/>
          <w:sz w:val="13"/>
          <w:szCs w:val="13"/>
          <w:b w:val="1"/>
          <w:bCs w:val="1"/>
          <w:u w:val="single" w:color="auto"/>
          <w:color w:val="auto"/>
        </w:rPr>
        <w:t>CONDITIONS TO ALL LOANS</w:t>
      </w:r>
      <w:r>
        <w:rPr>
          <w:rFonts w:ascii="Arial" w:cs="Arial" w:eastAsia="Arial" w:hAnsi="Arial"/>
          <w:sz w:val="13"/>
          <w:szCs w:val="13"/>
          <w:color w:val="auto"/>
        </w:rPr>
        <w:t>. The obligations of the Banks to make or continue for an additional Interest Period in accordance with §2.7 any Loan and the obligation of any Issuing Bank to issue, extend, or</w:t>
      </w:r>
      <w:r>
        <w:rPr>
          <w:rFonts w:ascii="Arial" w:cs="Arial" w:eastAsia="Arial" w:hAnsi="Arial"/>
          <w:sz w:val="13"/>
          <w:szCs w:val="13"/>
          <w:b w:val="1"/>
          <w:bCs w:val="1"/>
          <w:color w:val="auto"/>
        </w:rPr>
        <w:t xml:space="preserve"> </w:t>
      </w:r>
      <w:r>
        <w:rPr>
          <w:rFonts w:ascii="Arial" w:cs="Arial" w:eastAsia="Arial" w:hAnsi="Arial"/>
          <w:sz w:val="13"/>
          <w:szCs w:val="13"/>
          <w:color w:val="auto"/>
        </w:rPr>
        <w:t>renew any Letter of Credit at the time of and subsequent to the Effective Date is subject to the following conditions precedent:</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159" w:name="page160"/>
    <w:bookmarkEnd w:id="159"/>
    <w:p>
      <w:pPr>
        <w:ind w:firstLine="327"/>
        <w:spacing w:after="0" w:line="286" w:lineRule="auto"/>
        <w:rPr>
          <w:sz w:val="20"/>
          <w:szCs w:val="20"/>
          <w:color w:val="auto"/>
        </w:rPr>
      </w:pPr>
      <w:r>
        <w:rPr>
          <w:rFonts w:ascii="Arial" w:cs="Arial" w:eastAsia="Arial" w:hAnsi="Arial"/>
          <w:sz w:val="12"/>
          <w:szCs w:val="12"/>
          <w:b w:val="1"/>
          <w:bCs w:val="1"/>
          <w:color w:val="auto"/>
        </w:rPr>
        <w:t>§11.1. Representations True</w:t>
      </w:r>
      <w:r>
        <w:rPr>
          <w:rFonts w:ascii="Arial" w:cs="Arial" w:eastAsia="Arial" w:hAnsi="Arial"/>
          <w:sz w:val="12"/>
          <w:szCs w:val="12"/>
          <w:color w:val="auto"/>
        </w:rPr>
        <w:t>. The Borrower shall have certified to the Administrative Agent and the Banks that each of the representations and warranties of the Borrower and the Guarantor (as applicable)</w:t>
      </w:r>
      <w:r>
        <w:rPr>
          <w:rFonts w:ascii="Arial" w:cs="Arial" w:eastAsia="Arial" w:hAnsi="Arial"/>
          <w:sz w:val="12"/>
          <w:szCs w:val="12"/>
          <w:b w:val="1"/>
          <w:bCs w:val="1"/>
          <w:color w:val="auto"/>
        </w:rPr>
        <w:t xml:space="preserve"> </w:t>
      </w:r>
      <w:r>
        <w:rPr>
          <w:rFonts w:ascii="Arial" w:cs="Arial" w:eastAsia="Arial" w:hAnsi="Arial"/>
          <w:sz w:val="12"/>
          <w:szCs w:val="12"/>
          <w:color w:val="auto"/>
        </w:rPr>
        <w:t>contained in this Agreement or in any document or instrument delivered pursuant to or in connection with this Agreement, other than the representation and warranty in §6.5 hereof, is true as of the date as of which they were made and shall also be true at and as of the time of the making of such Loan or the issuance, extension, or renewal of any Letter of Credit, as applicable, with the same effect as if made at and as of that time (except to the extent of changes resulting from transactions contemplated or permitted by this Agreement and changes occurring in the ordinary course of business which either individually or in the aggregate do not result in a Material Adverse Effect, and to the extent that such representations and warranties relate expressly and solely to an earlier date).</w:t>
      </w:r>
    </w:p>
    <w:p>
      <w:pPr>
        <w:spacing w:after="0" w:line="43" w:lineRule="exact"/>
        <w:rPr>
          <w:sz w:val="20"/>
          <w:szCs w:val="20"/>
          <w:color w:val="auto"/>
        </w:rPr>
      </w:pPr>
    </w:p>
    <w:p>
      <w:pPr>
        <w:ind w:right="100" w:firstLine="327"/>
        <w:spacing w:after="0" w:line="260" w:lineRule="auto"/>
        <w:rPr>
          <w:sz w:val="20"/>
          <w:szCs w:val="20"/>
          <w:color w:val="auto"/>
        </w:rPr>
      </w:pPr>
      <w:r>
        <w:rPr>
          <w:rFonts w:ascii="Arial" w:cs="Arial" w:eastAsia="Arial" w:hAnsi="Arial"/>
          <w:sz w:val="13"/>
          <w:szCs w:val="13"/>
          <w:b w:val="1"/>
          <w:bCs w:val="1"/>
          <w:color w:val="auto"/>
        </w:rPr>
        <w:t>§11.2. Performance; No Event of Default</w:t>
      </w:r>
      <w:r>
        <w:rPr>
          <w:rFonts w:ascii="Arial" w:cs="Arial" w:eastAsia="Arial" w:hAnsi="Arial"/>
          <w:sz w:val="13"/>
          <w:szCs w:val="13"/>
          <w:color w:val="auto"/>
        </w:rPr>
        <w:t>. The Borrower shall have performed and complied with all terms and conditions herein required to be performed or complied with by it prior to or at the time of the</w:t>
      </w:r>
      <w:r>
        <w:rPr>
          <w:rFonts w:ascii="Arial" w:cs="Arial" w:eastAsia="Arial" w:hAnsi="Arial"/>
          <w:sz w:val="13"/>
          <w:szCs w:val="13"/>
          <w:b w:val="1"/>
          <w:bCs w:val="1"/>
          <w:color w:val="auto"/>
        </w:rPr>
        <w:t xml:space="preserve"> </w:t>
      </w:r>
      <w:r>
        <w:rPr>
          <w:rFonts w:ascii="Arial" w:cs="Arial" w:eastAsia="Arial" w:hAnsi="Arial"/>
          <w:sz w:val="13"/>
          <w:szCs w:val="13"/>
          <w:color w:val="auto"/>
        </w:rPr>
        <w:t>making of any Loan or the issuance, extension or renewal of any Letter of Credit, and at the time of the making of any Loan or the issuance, renewal or extension of any Letter of Credit there shall exist no Default or Event of Default or condition which would result in a Default or an Event of Default upon consummation of such Loan or issuance, extension, or renewal of any Letter of Credit, as applicable. Each request for a Loan or for issuance, extension or renewal of a Letter of Credit shall constitute certification by the Borrower that the condition specified in this §11.2 will be duly satisfied on the date of such Loan or Letter of Credit issuance, extension or renewal.</w:t>
      </w:r>
    </w:p>
    <w:p>
      <w:pPr>
        <w:spacing w:after="0" w:line="55" w:lineRule="exact"/>
        <w:rPr>
          <w:sz w:val="20"/>
          <w:szCs w:val="20"/>
          <w:color w:val="auto"/>
        </w:rPr>
      </w:pPr>
    </w:p>
    <w:p>
      <w:pPr>
        <w:jc w:val="both"/>
        <w:ind w:firstLine="327"/>
        <w:spacing w:after="0" w:line="267" w:lineRule="auto"/>
        <w:rPr>
          <w:sz w:val="20"/>
          <w:szCs w:val="20"/>
          <w:color w:val="auto"/>
        </w:rPr>
      </w:pPr>
      <w:r>
        <w:rPr>
          <w:rFonts w:ascii="Arial" w:cs="Arial" w:eastAsia="Arial" w:hAnsi="Arial"/>
          <w:sz w:val="13"/>
          <w:szCs w:val="13"/>
          <w:b w:val="1"/>
          <w:bCs w:val="1"/>
          <w:color w:val="auto"/>
        </w:rPr>
        <w:t>§11.3. Proceedings and Documents</w:t>
      </w:r>
      <w:r>
        <w:rPr>
          <w:rFonts w:ascii="Arial" w:cs="Arial" w:eastAsia="Arial" w:hAnsi="Arial"/>
          <w:sz w:val="13"/>
          <w:szCs w:val="13"/>
          <w:color w:val="auto"/>
        </w:rPr>
        <w:t>. All proceedings in connection with the transactions contemplated by this Agreement shall have been taken and all documents incident thereto shall have been delivered to the</w:t>
      </w:r>
      <w:r>
        <w:rPr>
          <w:rFonts w:ascii="Arial" w:cs="Arial" w:eastAsia="Arial" w:hAnsi="Arial"/>
          <w:sz w:val="13"/>
          <w:szCs w:val="13"/>
          <w:b w:val="1"/>
          <w:bCs w:val="1"/>
          <w:color w:val="auto"/>
        </w:rPr>
        <w:t xml:space="preserve"> </w:t>
      </w:r>
      <w:r>
        <w:rPr>
          <w:rFonts w:ascii="Arial" w:cs="Arial" w:eastAsia="Arial" w:hAnsi="Arial"/>
          <w:sz w:val="13"/>
          <w:szCs w:val="13"/>
          <w:color w:val="auto"/>
        </w:rPr>
        <w:t>Banks as of the date of the making of any extension of credit in substance and in form satisfactory to the Banks, including without limitation a Syndicated Loan Request or a Letter of Credit Request and the Banks shall have received all information and such counterpart originals or certified or other copies of such documents as the Banks may reasonably request.</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§12. </w:t>
      </w:r>
      <w:r>
        <w:rPr>
          <w:rFonts w:ascii="Arial" w:cs="Arial" w:eastAsia="Arial" w:hAnsi="Arial"/>
          <w:sz w:val="13"/>
          <w:szCs w:val="13"/>
          <w:b w:val="1"/>
          <w:bCs w:val="1"/>
          <w:u w:val="single" w:color="auto"/>
          <w:color w:val="auto"/>
        </w:rPr>
        <w:t>EVENTS OF DEFAULT; ACCELERATION; TERMINATION OF COMMITMENT</w:t>
      </w:r>
      <w:r>
        <w:rPr>
          <w:rFonts w:ascii="Arial" w:cs="Arial" w:eastAsia="Arial" w:hAnsi="Arial"/>
          <w:sz w:val="13"/>
          <w:szCs w:val="13"/>
          <w:b w:val="1"/>
          <w:bCs w:val="1"/>
          <w:color w:val="auto"/>
        </w:rPr>
        <w:t>.</w:t>
      </w:r>
    </w:p>
    <w:p>
      <w:pPr>
        <w:spacing w:after="0" w:line="86" w:lineRule="exact"/>
        <w:rPr>
          <w:sz w:val="20"/>
          <w:szCs w:val="20"/>
          <w:color w:val="auto"/>
        </w:rPr>
      </w:pPr>
    </w:p>
    <w:p>
      <w:pPr>
        <w:ind w:right="200" w:firstLine="327"/>
        <w:spacing w:after="0" w:line="283" w:lineRule="auto"/>
        <w:rPr>
          <w:sz w:val="20"/>
          <w:szCs w:val="20"/>
          <w:color w:val="auto"/>
        </w:rPr>
      </w:pPr>
      <w:r>
        <w:rPr>
          <w:rFonts w:ascii="Arial" w:cs="Arial" w:eastAsia="Arial" w:hAnsi="Arial"/>
          <w:sz w:val="13"/>
          <w:szCs w:val="13"/>
          <w:b w:val="1"/>
          <w:bCs w:val="1"/>
          <w:color w:val="auto"/>
        </w:rPr>
        <w:t>§12.1. Events of Default and Acceleration</w:t>
      </w:r>
      <w:r>
        <w:rPr>
          <w:rFonts w:ascii="Arial" w:cs="Arial" w:eastAsia="Arial" w:hAnsi="Arial"/>
          <w:sz w:val="13"/>
          <w:szCs w:val="13"/>
          <w:color w:val="auto"/>
        </w:rPr>
        <w:t>. If any of the following events (“Events of Default” or, if the giving of notice or the lapse of time or both is required, then, prior to such notice and/or lapse of time,</w:t>
      </w:r>
      <w:r>
        <w:rPr>
          <w:rFonts w:ascii="Arial" w:cs="Arial" w:eastAsia="Arial" w:hAnsi="Arial"/>
          <w:sz w:val="13"/>
          <w:szCs w:val="13"/>
          <w:b w:val="1"/>
          <w:bCs w:val="1"/>
          <w:color w:val="auto"/>
        </w:rPr>
        <w:t xml:space="preserve"> </w:t>
      </w:r>
      <w:r>
        <w:rPr>
          <w:rFonts w:ascii="Arial" w:cs="Arial" w:eastAsia="Arial" w:hAnsi="Arial"/>
          <w:sz w:val="13"/>
          <w:szCs w:val="13"/>
          <w:color w:val="auto"/>
        </w:rPr>
        <w:t>“Defaults”) shall occur:</w:t>
      </w:r>
    </w:p>
    <w:p>
      <w:pPr>
        <w:spacing w:after="0" w:line="45" w:lineRule="exact"/>
        <w:rPr>
          <w:sz w:val="20"/>
          <w:szCs w:val="20"/>
          <w:color w:val="auto"/>
        </w:rPr>
      </w:pPr>
    </w:p>
    <w:p>
      <w:pPr>
        <w:ind w:left="220" w:firstLine="172"/>
        <w:spacing w:after="0" w:line="276" w:lineRule="auto"/>
        <w:tabs>
          <w:tab w:leader="none" w:pos="562" w:val="left"/>
        </w:tabs>
        <w:numPr>
          <w:ilvl w:val="0"/>
          <w:numId w:val="137"/>
        </w:numPr>
        <w:rPr>
          <w:rFonts w:ascii="Arial" w:cs="Arial" w:eastAsia="Arial" w:hAnsi="Arial"/>
          <w:sz w:val="13"/>
          <w:szCs w:val="13"/>
          <w:color w:val="auto"/>
        </w:rPr>
      </w:pPr>
      <w:r>
        <w:rPr>
          <w:rFonts w:ascii="Arial" w:cs="Arial" w:eastAsia="Arial" w:hAnsi="Arial"/>
          <w:sz w:val="13"/>
          <w:szCs w:val="13"/>
          <w:color w:val="auto"/>
        </w:rPr>
        <w:t>if the Borrower shall fail to pay any principal of the Loans when the same shall become due and payable, whether at the stated date of maturity or any accelerated date of maturity or at any other date fixed for payment;</w:t>
      </w:r>
    </w:p>
    <w:p>
      <w:pPr>
        <w:spacing w:after="0" w:line="49" w:lineRule="exact"/>
        <w:rPr>
          <w:rFonts w:ascii="Arial" w:cs="Arial" w:eastAsia="Arial" w:hAnsi="Arial"/>
          <w:sz w:val="13"/>
          <w:szCs w:val="13"/>
          <w:color w:val="auto"/>
        </w:rPr>
      </w:pPr>
    </w:p>
    <w:p>
      <w:pPr>
        <w:ind w:left="220" w:right="120" w:firstLine="172"/>
        <w:spacing w:after="0" w:line="276" w:lineRule="auto"/>
        <w:tabs>
          <w:tab w:leader="none" w:pos="569" w:val="left"/>
        </w:tabs>
        <w:numPr>
          <w:ilvl w:val="0"/>
          <w:numId w:val="137"/>
        </w:numPr>
        <w:rPr>
          <w:rFonts w:ascii="Arial" w:cs="Arial" w:eastAsia="Arial" w:hAnsi="Arial"/>
          <w:sz w:val="13"/>
          <w:szCs w:val="13"/>
          <w:color w:val="auto"/>
        </w:rPr>
      </w:pPr>
      <w:r>
        <w:rPr>
          <w:rFonts w:ascii="Arial" w:cs="Arial" w:eastAsia="Arial" w:hAnsi="Arial"/>
          <w:sz w:val="13"/>
          <w:szCs w:val="13"/>
          <w:color w:val="auto"/>
        </w:rPr>
        <w:t>if the Borrower shall fail to pay any interest or fees or other amounts owing hereunder (other than those specified in subsection (a) above) within five (5) Business Days after the same shall become due and payable whether at the Maturity Date or any accelerated date of maturity or at any other date fixed for payment;</w:t>
      </w:r>
    </w:p>
    <w:p>
      <w:pPr>
        <w:spacing w:after="0" w:line="108" w:lineRule="exact"/>
        <w:rPr>
          <w:rFonts w:ascii="Arial" w:cs="Arial" w:eastAsia="Arial" w:hAnsi="Arial"/>
          <w:sz w:val="13"/>
          <w:szCs w:val="13"/>
          <w:color w:val="auto"/>
        </w:rPr>
      </w:pPr>
    </w:p>
    <w:p>
      <w:pPr>
        <w:ind w:left="5660" w:hanging="68"/>
        <w:spacing w:after="0"/>
        <w:tabs>
          <w:tab w:leader="none" w:pos="5660" w:val="left"/>
        </w:tabs>
        <w:numPr>
          <w:ilvl w:val="1"/>
          <w:numId w:val="137"/>
        </w:numPr>
        <w:rPr>
          <w:rFonts w:ascii="Arial" w:cs="Arial" w:eastAsia="Arial" w:hAnsi="Arial"/>
          <w:sz w:val="13"/>
          <w:szCs w:val="13"/>
          <w:color w:val="auto"/>
        </w:rPr>
      </w:pPr>
      <w:r>
        <w:rPr>
          <w:rFonts w:ascii="Arial" w:cs="Arial" w:eastAsia="Arial" w:hAnsi="Arial"/>
          <w:sz w:val="13"/>
          <w:szCs w:val="13"/>
          <w:color w:val="auto"/>
        </w:rPr>
        <w:t>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16" w:right="239" w:bottom="1440" w:gutter="0" w:footer="0" w:header="0"/>
        </w:sectPr>
      </w:pPr>
    </w:p>
    <w:bookmarkStart w:id="160" w:name="page161"/>
    <w:bookmarkEnd w:id="160"/>
    <w:p>
      <w:pPr>
        <w:ind w:left="340" w:hanging="168"/>
        <w:spacing w:after="0"/>
        <w:tabs>
          <w:tab w:leader="none" w:pos="34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if the Borrower shall fail to comply with any of the covenants contained in §§7.4, 7.5, 7.15, 7.16, 8 and 9 hereof;</w:t>
      </w:r>
    </w:p>
    <w:p>
      <w:pPr>
        <w:spacing w:after="0" w:line="86" w:lineRule="exact"/>
        <w:rPr>
          <w:rFonts w:ascii="Arial" w:cs="Arial" w:eastAsia="Arial" w:hAnsi="Arial"/>
          <w:sz w:val="13"/>
          <w:szCs w:val="13"/>
          <w:color w:val="auto"/>
        </w:rPr>
      </w:pPr>
    </w:p>
    <w:p>
      <w:pPr>
        <w:ind w:firstLine="172"/>
        <w:spacing w:after="0" w:line="276" w:lineRule="auto"/>
        <w:tabs>
          <w:tab w:leader="none" w:pos="349" w:val="left"/>
        </w:tabs>
        <w:numPr>
          <w:ilvl w:val="0"/>
          <w:numId w:val="138"/>
        </w:numPr>
        <w:rPr>
          <w:rFonts w:ascii="Arial" w:cs="Arial" w:eastAsia="Arial" w:hAnsi="Arial"/>
          <w:sz w:val="13"/>
          <w:szCs w:val="13"/>
          <w:color w:val="auto"/>
        </w:rPr>
      </w:pPr>
      <w:r>
        <w:rPr>
          <w:rFonts w:ascii="Arial" w:cs="Arial" w:eastAsia="Arial" w:hAnsi="Arial"/>
          <w:sz w:val="13"/>
          <w:szCs w:val="13"/>
          <w:color w:val="auto"/>
        </w:rPr>
        <w:t>if the Borrower shall fail to perform any term, covenant or agreement contained herein or in any of the other Loan Documents (other than those specified in subsections (a), (b), and (c) above) and such failure shall not be remedied within 30 days after written notice of such failure shall have been given to the Borrower by the Administrative Agent or any of the Banks;</w:t>
      </w:r>
    </w:p>
    <w:p>
      <w:pPr>
        <w:spacing w:after="0" w:line="49" w:lineRule="exact"/>
        <w:rPr>
          <w:rFonts w:ascii="Arial" w:cs="Arial" w:eastAsia="Arial" w:hAnsi="Arial"/>
          <w:sz w:val="13"/>
          <w:szCs w:val="13"/>
          <w:color w:val="auto"/>
        </w:rPr>
      </w:pPr>
    </w:p>
    <w:p>
      <w:pPr>
        <w:ind w:right="340" w:firstLine="172"/>
        <w:spacing w:after="0" w:line="276" w:lineRule="auto"/>
        <w:tabs>
          <w:tab w:leader="none" w:pos="342" w:val="left"/>
        </w:tabs>
        <w:numPr>
          <w:ilvl w:val="0"/>
          <w:numId w:val="138"/>
        </w:numPr>
        <w:rPr>
          <w:rFonts w:ascii="Arial" w:cs="Arial" w:eastAsia="Arial" w:hAnsi="Arial"/>
          <w:sz w:val="13"/>
          <w:szCs w:val="13"/>
          <w:color w:val="auto"/>
        </w:rPr>
      </w:pPr>
      <w:r>
        <w:rPr>
          <w:rFonts w:ascii="Arial" w:cs="Arial" w:eastAsia="Arial" w:hAnsi="Arial"/>
          <w:sz w:val="13"/>
          <w:szCs w:val="13"/>
          <w:color w:val="auto"/>
        </w:rPr>
        <w:t>if any representation or warranty contained in this Agreement or in any document or instrument delivered pursuant to or in connection with this Agreement shall prove to have been false in any material respect upon the date when made or repeated;</w:t>
      </w:r>
    </w:p>
    <w:p>
      <w:pPr>
        <w:spacing w:after="0" w:line="49" w:lineRule="exact"/>
        <w:rPr>
          <w:rFonts w:ascii="Arial" w:cs="Arial" w:eastAsia="Arial" w:hAnsi="Arial"/>
          <w:sz w:val="13"/>
          <w:szCs w:val="13"/>
          <w:color w:val="auto"/>
        </w:rPr>
      </w:pPr>
    </w:p>
    <w:p>
      <w:pPr>
        <w:ind w:left="340" w:hanging="168"/>
        <w:spacing w:after="0"/>
        <w:tabs>
          <w:tab w:leader="none" w:pos="340" w:val="left"/>
        </w:tabs>
        <w:numPr>
          <w:ilvl w:val="0"/>
          <w:numId w:val="138"/>
        </w:numPr>
        <w:rPr>
          <w:rFonts w:ascii="Arial" w:cs="Arial" w:eastAsia="Arial" w:hAnsi="Arial"/>
          <w:sz w:val="12"/>
          <w:szCs w:val="12"/>
          <w:color w:val="auto"/>
        </w:rPr>
      </w:pPr>
      <w:r>
        <w:rPr>
          <w:rFonts w:ascii="Arial" w:cs="Arial" w:eastAsia="Arial" w:hAnsi="Arial"/>
          <w:sz w:val="12"/>
          <w:szCs w:val="12"/>
          <w:color w:val="auto"/>
        </w:rPr>
        <w:t>if the Borrower or any of its Subsidiaries shall fail to pay when due, or within any applicable period of grace, any Indebtedness or obligations under Swap Contracts in an aggregate amount greater than</w:t>
      </w:r>
    </w:p>
    <w:p>
      <w:pPr>
        <w:spacing w:after="0" w:line="27" w:lineRule="exact"/>
        <w:rPr>
          <w:sz w:val="20"/>
          <w:szCs w:val="20"/>
          <w:color w:val="auto"/>
        </w:rPr>
      </w:pPr>
    </w:p>
    <w:p>
      <w:pPr>
        <w:ind w:right="220"/>
        <w:spacing w:after="0" w:line="258" w:lineRule="auto"/>
        <w:rPr>
          <w:sz w:val="20"/>
          <w:szCs w:val="20"/>
          <w:color w:val="auto"/>
        </w:rPr>
      </w:pPr>
      <w:r>
        <w:rPr>
          <w:rFonts w:ascii="Arial" w:cs="Arial" w:eastAsia="Arial" w:hAnsi="Arial"/>
          <w:sz w:val="13"/>
          <w:szCs w:val="13"/>
          <w:color w:val="auto"/>
        </w:rPr>
        <w:t>$75,000,000, or fail to observe or perform any material term, covenant or agreement contained in any one or more agreements by which it is bound, evidencing or securing any Indebtedness or obligations under Swap Contracts in an aggregate amount greater than $75,000,000 for such period of time as would permit, or would have permitted (assuming the giving of appropriate notice if required) the holder or holders thereof or of any obligations issued thereunder to accelerate the maturity thereof or terminate its commitment with respect thereto;</w:t>
      </w:r>
    </w:p>
    <w:p>
      <w:pPr>
        <w:spacing w:after="0" w:line="61" w:lineRule="exact"/>
        <w:rPr>
          <w:sz w:val="20"/>
          <w:szCs w:val="20"/>
          <w:color w:val="auto"/>
        </w:rPr>
      </w:pPr>
    </w:p>
    <w:p>
      <w:pPr>
        <w:ind w:right="140" w:firstLine="172"/>
        <w:spacing w:after="0" w:line="257" w:lineRule="auto"/>
        <w:tabs>
          <w:tab w:leader="none" w:pos="349" w:val="left"/>
        </w:tabs>
        <w:numPr>
          <w:ilvl w:val="0"/>
          <w:numId w:val="139"/>
        </w:numPr>
        <w:rPr>
          <w:rFonts w:ascii="Arial" w:cs="Arial" w:eastAsia="Arial" w:hAnsi="Arial"/>
          <w:sz w:val="13"/>
          <w:szCs w:val="13"/>
          <w:color w:val="auto"/>
        </w:rPr>
      </w:pPr>
      <w:r>
        <w:rPr>
          <w:rFonts w:ascii="Arial" w:cs="Arial" w:eastAsia="Arial" w:hAnsi="Arial"/>
          <w:sz w:val="13"/>
          <w:szCs w:val="13"/>
          <w:color w:val="auto"/>
        </w:rPr>
        <w:t>if the Borrower, the Guarantor or any Significant Subsidiary makes an assignment for the benefit of creditors, or admits in writing its inability to pay or generally fails to pay its debts as they mature or become due, or petitions or applies for the appointment of a trustee or other custodian, liquidator or receiver of the Borrower, the Guarantor or any Significant Subsidiary, or of any substantial part of the assets of the Borrower, the Guarantor or any Significant Subsidiary or commences any case or other proceeding relating to the Borrower, the Guarantor or any Significant Subsidiary under any bankruptcy, reorganization, arrangement, insolvency, readjustment of debt, dissolution or liquidation or similar law of any jurisdiction, now or hereafter in effect, or takes any action to authorize or in furtherance of any of the foregoing, or if any such petition or application is filed or any such case or other proceeding is commenced against the Borrower, the Guarantor or any Significant Subsidiary or the Borrower, the Guarantor or any Significant Subsidiary indicates its approval thereof, consent thereto or acquiescence therein;</w:t>
      </w:r>
    </w:p>
    <w:p>
      <w:pPr>
        <w:spacing w:after="0" w:line="61" w:lineRule="exact"/>
        <w:rPr>
          <w:rFonts w:ascii="Arial" w:cs="Arial" w:eastAsia="Arial" w:hAnsi="Arial"/>
          <w:sz w:val="13"/>
          <w:szCs w:val="13"/>
          <w:color w:val="auto"/>
        </w:rPr>
      </w:pPr>
    </w:p>
    <w:p>
      <w:pPr>
        <w:ind w:right="80" w:firstLine="172"/>
        <w:spacing w:after="0" w:line="264" w:lineRule="auto"/>
        <w:tabs>
          <w:tab w:leader="none" w:pos="349" w:val="left"/>
        </w:tabs>
        <w:numPr>
          <w:ilvl w:val="0"/>
          <w:numId w:val="139"/>
        </w:numPr>
        <w:rPr>
          <w:rFonts w:ascii="Arial" w:cs="Arial" w:eastAsia="Arial" w:hAnsi="Arial"/>
          <w:sz w:val="13"/>
          <w:szCs w:val="13"/>
          <w:color w:val="auto"/>
        </w:rPr>
      </w:pPr>
      <w:r>
        <w:rPr>
          <w:rFonts w:ascii="Arial" w:cs="Arial" w:eastAsia="Arial" w:hAnsi="Arial"/>
          <w:sz w:val="13"/>
          <w:szCs w:val="13"/>
          <w:color w:val="auto"/>
        </w:rPr>
        <w:t>if a decree or order is entered appointing any such trustee, custodian, liquidator or receiver or adjudicating the Borrower or the Guarantor or any Significant Subsidiary bankrupt or insolvent, or approving a petition in any such case or other proceeding, or a decree or order for relief is entered in respect of the Borrower or the Guarantor or any Significant Subsidiary in an involuntary case under federal bankruptcy laws of any jurisdiction as now or hereafter constituted;</w:t>
      </w:r>
    </w:p>
    <w:p>
      <w:pPr>
        <w:spacing w:after="0" w:line="57" w:lineRule="exact"/>
        <w:rPr>
          <w:rFonts w:ascii="Arial" w:cs="Arial" w:eastAsia="Arial" w:hAnsi="Arial"/>
          <w:sz w:val="13"/>
          <w:szCs w:val="13"/>
          <w:color w:val="auto"/>
        </w:rPr>
      </w:pPr>
    </w:p>
    <w:p>
      <w:pPr>
        <w:ind w:left="320" w:hanging="148"/>
        <w:spacing w:after="0"/>
        <w:tabs>
          <w:tab w:leader="none" w:pos="32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if there shall remain in force, undischarged, unsatisfied and unstayed, for more than thirty days, whether or not consecutive, any final judgment against the</w:t>
      </w:r>
    </w:p>
    <w:p>
      <w:pPr>
        <w:spacing w:after="0" w:line="145" w:lineRule="exact"/>
        <w:rPr>
          <w:rFonts w:ascii="Arial" w:cs="Arial" w:eastAsia="Arial" w:hAnsi="Arial"/>
          <w:sz w:val="13"/>
          <w:szCs w:val="13"/>
          <w:color w:val="auto"/>
        </w:rPr>
      </w:pPr>
    </w:p>
    <w:p>
      <w:pPr>
        <w:ind w:left="5440" w:hanging="68"/>
        <w:spacing w:after="0"/>
        <w:tabs>
          <w:tab w:leader="none" w:pos="5440" w:val="left"/>
        </w:tabs>
        <w:numPr>
          <w:ilvl w:val="1"/>
          <w:numId w:val="139"/>
        </w:numPr>
        <w:rPr>
          <w:rFonts w:ascii="Arial" w:cs="Arial" w:eastAsia="Arial" w:hAnsi="Arial"/>
          <w:sz w:val="13"/>
          <w:szCs w:val="13"/>
          <w:color w:val="auto"/>
        </w:rPr>
      </w:pPr>
      <w:r>
        <w:rPr>
          <w:rFonts w:ascii="Arial" w:cs="Arial" w:eastAsia="Arial" w:hAnsi="Arial"/>
          <w:sz w:val="13"/>
          <w:szCs w:val="13"/>
          <w:color w:val="auto"/>
        </w:rPr>
        <w:t>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1" w:right="219" w:bottom="1440" w:gutter="0" w:footer="0" w:header="0"/>
        </w:sectPr>
      </w:pPr>
    </w:p>
    <w:bookmarkStart w:id="161" w:name="page162"/>
    <w:bookmarkEnd w:id="161"/>
    <w:p>
      <w:pPr>
        <w:ind w:left="220" w:right="420"/>
        <w:spacing w:after="0" w:line="276" w:lineRule="auto"/>
        <w:rPr>
          <w:sz w:val="20"/>
          <w:szCs w:val="20"/>
          <w:color w:val="auto"/>
        </w:rPr>
      </w:pPr>
      <w:r>
        <w:rPr>
          <w:rFonts w:ascii="Arial" w:cs="Arial" w:eastAsia="Arial" w:hAnsi="Arial"/>
          <w:sz w:val="13"/>
          <w:szCs w:val="13"/>
          <w:color w:val="auto"/>
        </w:rPr>
        <w:t>Borrower or any Subsidiary which, with other outstanding final judgments against the Borrower and its Subsidiaries, exceeds in the aggregate $50,000,000 after taking into account any undisputed insurance coverage;</w:t>
      </w:r>
    </w:p>
    <w:p>
      <w:pPr>
        <w:spacing w:after="0" w:line="49" w:lineRule="exact"/>
        <w:rPr>
          <w:sz w:val="20"/>
          <w:szCs w:val="20"/>
          <w:color w:val="auto"/>
        </w:rPr>
      </w:pPr>
    </w:p>
    <w:p>
      <w:pPr>
        <w:ind w:left="540" w:hanging="148"/>
        <w:spacing w:after="0"/>
        <w:tabs>
          <w:tab w:leader="none" w:pos="540" w:val="left"/>
        </w:tabs>
        <w:numPr>
          <w:ilvl w:val="0"/>
          <w:numId w:val="140"/>
        </w:numPr>
        <w:rPr>
          <w:rFonts w:ascii="Arial" w:cs="Arial" w:eastAsia="Arial" w:hAnsi="Arial"/>
          <w:sz w:val="12"/>
          <w:szCs w:val="12"/>
          <w:color w:val="auto"/>
        </w:rPr>
      </w:pPr>
      <w:r>
        <w:rPr>
          <w:rFonts w:ascii="Arial" w:cs="Arial" w:eastAsia="Arial" w:hAnsi="Arial"/>
          <w:sz w:val="12"/>
          <w:szCs w:val="12"/>
          <w:color w:val="auto"/>
        </w:rPr>
        <w:t>if, with respect to any Guaranteed Pension Plan, an ERISA Reportable Event shall have occurred and the Banks shall have determined in their reasonable discretion that such event reasonably could be</w:t>
      </w:r>
    </w:p>
    <w:p>
      <w:pPr>
        <w:spacing w:after="0" w:line="26" w:lineRule="exact"/>
        <w:rPr>
          <w:rFonts w:ascii="Arial" w:cs="Arial" w:eastAsia="Arial" w:hAnsi="Arial"/>
          <w:sz w:val="12"/>
          <w:szCs w:val="12"/>
          <w:color w:val="auto"/>
        </w:rPr>
      </w:pPr>
    </w:p>
    <w:p>
      <w:pPr>
        <w:ind w:left="220" w:right="80"/>
        <w:spacing w:after="0" w:line="290" w:lineRule="auto"/>
        <w:rPr>
          <w:rFonts w:ascii="Arial" w:cs="Arial" w:eastAsia="Arial" w:hAnsi="Arial"/>
          <w:sz w:val="12"/>
          <w:szCs w:val="12"/>
          <w:color w:val="auto"/>
        </w:rPr>
      </w:pPr>
      <w:r>
        <w:rPr>
          <w:rFonts w:ascii="Arial" w:cs="Arial" w:eastAsia="Arial" w:hAnsi="Arial"/>
          <w:sz w:val="12"/>
          <w:szCs w:val="12"/>
          <w:color w:val="auto"/>
        </w:rPr>
        <w:t>expected to result in liability of the Borrower or any Subsidiary to the PBGC or such Plan in an aggregate amount exceeding $50,000,000 and such event in the circumstances occurring reasonably could constitute grounds for the partial or complete termination of such Plan by the PBGC or for the appointment by the appropriate United States District Court of a trustee to administer such Plan; or a trustee shall have been appointed by the appropriate United States District Court to administer such Plan; or the PBGC shall have instituted proceedings to terminate such Plan;</w:t>
      </w:r>
    </w:p>
    <w:p>
      <w:pPr>
        <w:spacing w:after="0" w:line="42" w:lineRule="exact"/>
        <w:rPr>
          <w:rFonts w:ascii="Arial" w:cs="Arial" w:eastAsia="Arial" w:hAnsi="Arial"/>
          <w:sz w:val="12"/>
          <w:szCs w:val="12"/>
          <w:color w:val="auto"/>
        </w:rPr>
      </w:pPr>
    </w:p>
    <w:p>
      <w:pPr>
        <w:ind w:left="220" w:right="60" w:firstLine="172"/>
        <w:spacing w:after="0" w:line="260" w:lineRule="auto"/>
        <w:tabs>
          <w:tab w:leader="none" w:pos="569" w:val="left"/>
        </w:tabs>
        <w:numPr>
          <w:ilvl w:val="0"/>
          <w:numId w:val="140"/>
        </w:numPr>
        <w:rPr>
          <w:rFonts w:ascii="Arial" w:cs="Arial" w:eastAsia="Arial" w:hAnsi="Arial"/>
          <w:sz w:val="13"/>
          <w:szCs w:val="13"/>
          <w:color w:val="auto"/>
        </w:rPr>
      </w:pPr>
      <w:r>
        <w:rPr>
          <w:rFonts w:ascii="Arial" w:cs="Arial" w:eastAsia="Arial" w:hAnsi="Arial"/>
          <w:sz w:val="13"/>
          <w:szCs w:val="13"/>
          <w:color w:val="auto"/>
        </w:rPr>
        <w:t>if any of the Loan Documents shall be cancelled, terminated, revoked or rescinded otherwise than in accordance with the terms thereof or with the express prior written agreement, consent or approval of the Banks, or any action at law, suit or in equity or other legal proceeding to cancel, revoke or rescind any of the Loan Documents shall be commenced by or on behalf of the Borrower, the Guarantor, or any of their respective stockholders, or any court or any other governmental or regulatory authority or agency of competent jurisdiction shall make a determination that, or issue a judgment, order, decree or ruling to the effect that, any one or more of the Loan Documents is illegal, invalid or unenforceable in accordance with the terms thereof; or</w:t>
      </w:r>
    </w:p>
    <w:p>
      <w:pPr>
        <w:spacing w:after="0" w:line="59" w:lineRule="exact"/>
        <w:rPr>
          <w:rFonts w:ascii="Arial" w:cs="Arial" w:eastAsia="Arial" w:hAnsi="Arial"/>
          <w:sz w:val="13"/>
          <w:szCs w:val="13"/>
          <w:color w:val="auto"/>
        </w:rPr>
      </w:pPr>
    </w:p>
    <w:p>
      <w:pPr>
        <w:ind w:left="220" w:firstLine="172"/>
        <w:spacing w:after="0" w:line="258" w:lineRule="auto"/>
        <w:tabs>
          <w:tab w:leader="none" w:pos="54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if any person or group of persons (within the meaning of Section 13 or 14 of the Securities Exchange Act of 1934, as amended) shall have acquired beneficial ownership (within the meaning of Rule 13d-3 promulgated by the Securities and Exchange Commission under said Act) of 25% or more of the outstanding shares of common voting stock of the Borrower; or during any period of twelve consecutive calendar months, individuals who were directors of the Borrower on the first day of such period (together with any new directors whose election by such board or whose nomination for election by the shareholders of the Borrower was approved by a vote of a majority of the directors still in office who were either directors at the beginning of such period or whose election or nomination for election was previously so approved) shall cease to constitute a majority of the board of directors of the Borrower;</w:t>
      </w:r>
    </w:p>
    <w:p>
      <w:pPr>
        <w:spacing w:after="0" w:line="61"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then, and in any such event, so long as the same may be continuing, the Administrative Agent may, and upon the request of the Majority Banks shall, by notice in writing to the Borrower, declare all amounts owing with respect to this Agreement and the other Loan Documents and all Reimbursement Obligations to be, and they shall thereupon forthwith become, immediately due and payable without presentment, demand, protest, notice of intent to accelerate, notice of acceleration to the extent permitted by law or other notice of any kind, all of which are hereby expressly waived by the Borrower; provided that in the event of any Event of Default specified in §12.1(g) or 12.1(h) with respect to the Borrower or the Guarantor, all such amounts shall become immediately due and payable automatically and without any requirement of notice from the Administrative Agent or any Bank. Upon demand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62" w:name="page163"/>
    <w:bookmarkEnd w:id="162"/>
    <w:p>
      <w:pPr>
        <w:ind w:right="40"/>
        <w:spacing w:after="0" w:line="276" w:lineRule="auto"/>
        <w:rPr>
          <w:sz w:val="20"/>
          <w:szCs w:val="20"/>
          <w:color w:val="auto"/>
        </w:rPr>
      </w:pPr>
      <w:r>
        <w:rPr>
          <w:rFonts w:ascii="Arial" w:cs="Arial" w:eastAsia="Arial" w:hAnsi="Arial"/>
          <w:sz w:val="13"/>
          <w:szCs w:val="13"/>
          <w:color w:val="auto"/>
        </w:rPr>
        <w:t>by the Majority Banks after the occurrence of any Event of Default, the Borrower shall immediately provide to the Administrative Agent cash in an amount equal to the aggregate Maximum Drawing Amount to be held by the Administrative Agent as collateral security for the Reimbursement Obligations.</w:t>
      </w:r>
    </w:p>
    <w:p>
      <w:pPr>
        <w:spacing w:after="0" w:line="45" w:lineRule="exact"/>
        <w:rPr>
          <w:sz w:val="20"/>
          <w:szCs w:val="20"/>
          <w:color w:val="auto"/>
        </w:rPr>
      </w:pPr>
    </w:p>
    <w:p>
      <w:pPr>
        <w:ind w:right="100" w:firstLine="327"/>
        <w:spacing w:after="0" w:line="286" w:lineRule="auto"/>
        <w:rPr>
          <w:sz w:val="20"/>
          <w:szCs w:val="20"/>
          <w:color w:val="auto"/>
        </w:rPr>
      </w:pPr>
      <w:r>
        <w:rPr>
          <w:rFonts w:ascii="Arial" w:cs="Arial" w:eastAsia="Arial" w:hAnsi="Arial"/>
          <w:sz w:val="12"/>
          <w:szCs w:val="12"/>
          <w:b w:val="1"/>
          <w:bCs w:val="1"/>
          <w:color w:val="auto"/>
        </w:rPr>
        <w:t>§12.2. Termination of Commitments</w:t>
      </w:r>
      <w:r>
        <w:rPr>
          <w:rFonts w:ascii="Arial" w:cs="Arial" w:eastAsia="Arial" w:hAnsi="Arial"/>
          <w:sz w:val="12"/>
          <w:szCs w:val="12"/>
          <w:color w:val="auto"/>
        </w:rPr>
        <w:t>. If any Event of Default pursuant to §§ 12.1(g) or 12.1(h) hereof shall occur with respect to the Borrower or the Guarantor, any unused portion of the Total Commitment</w:t>
      </w:r>
      <w:r>
        <w:rPr>
          <w:rFonts w:ascii="Arial" w:cs="Arial" w:eastAsia="Arial" w:hAnsi="Arial"/>
          <w:sz w:val="12"/>
          <w:szCs w:val="12"/>
          <w:b w:val="1"/>
          <w:bCs w:val="1"/>
          <w:color w:val="auto"/>
        </w:rPr>
        <w:t xml:space="preserve"> </w:t>
      </w:r>
      <w:r>
        <w:rPr>
          <w:rFonts w:ascii="Arial" w:cs="Arial" w:eastAsia="Arial" w:hAnsi="Arial"/>
          <w:sz w:val="12"/>
          <w:szCs w:val="12"/>
          <w:color w:val="auto"/>
        </w:rPr>
        <w:t>hereunder shall forthwith terminate and the Banks and the Issuing Banks shall be relieved of all obligations to make Loans or to issue, extend or renew Letters of Credit hereunder; or if any other Event of Default shall occur, the Majority Banks may by notice to the Borrower terminate the unused portion of the Total Commitment hereunder, and, upon such notice being given, such unused portion of the Total Commitment hereunder shall terminate immediately and the Banks and the Issuing Banks shall be relieved of all further obligations to make Loans or to issue, extend or renew Letters of Credit hereunder. No termination of any portion of the Total Commitment hereunder shall relieve the Borrower of any of its existing Obligations to the Banks, the Issuing Banks or the Administrative Agent hereunder or elsewhere.</w:t>
      </w:r>
    </w:p>
    <w:p>
      <w:pPr>
        <w:spacing w:after="0" w:line="43" w:lineRule="exact"/>
        <w:rPr>
          <w:sz w:val="20"/>
          <w:szCs w:val="20"/>
          <w:color w:val="auto"/>
        </w:rPr>
      </w:pPr>
    </w:p>
    <w:p>
      <w:pPr>
        <w:ind w:firstLine="327"/>
        <w:spacing w:after="0" w:line="257" w:lineRule="auto"/>
        <w:rPr>
          <w:sz w:val="20"/>
          <w:szCs w:val="20"/>
          <w:color w:val="auto"/>
        </w:rPr>
      </w:pPr>
      <w:r>
        <w:rPr>
          <w:rFonts w:ascii="Arial" w:cs="Arial" w:eastAsia="Arial" w:hAnsi="Arial"/>
          <w:sz w:val="13"/>
          <w:szCs w:val="13"/>
          <w:b w:val="1"/>
          <w:bCs w:val="1"/>
          <w:color w:val="auto"/>
        </w:rPr>
        <w:t>§12.3. Remedies</w:t>
      </w:r>
      <w:r>
        <w:rPr>
          <w:rFonts w:ascii="Arial" w:cs="Arial" w:eastAsia="Arial" w:hAnsi="Arial"/>
          <w:sz w:val="13"/>
          <w:szCs w:val="13"/>
          <w:color w:val="auto"/>
        </w:rPr>
        <w:t>. In case any one or more of the Events of Default shall have occurred and be continuing, and whether or not the Banks shall have accelerated the maturity of the Loans and other Obligations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pursuant to §12.1, each Bank, upon notice to the other Banks, if owed any amount with respect to the Loans or the Reimbursement Obligations, may proceed to protect and enforce its rights by suit in equity, action at law or other appropriate proceeding, whether for the specific performance of any covenant or agreement contained in this Agreement and the other Loan Documents or any instrument pursuant to which the Obligations to such Bank are evidenced, including, without limitation, as permitted by applicable law the obtaining of the </w:t>
      </w:r>
      <w:r>
        <w:rPr>
          <w:rFonts w:ascii="Arial" w:cs="Arial" w:eastAsia="Arial" w:hAnsi="Arial"/>
          <w:sz w:val="13"/>
          <w:szCs w:val="13"/>
          <w:u w:val="single" w:color="auto"/>
          <w:color w:val="auto"/>
        </w:rPr>
        <w:t>ex parte</w:t>
      </w:r>
      <w:r>
        <w:rPr>
          <w:rFonts w:ascii="Arial" w:cs="Arial" w:eastAsia="Arial" w:hAnsi="Arial"/>
          <w:sz w:val="13"/>
          <w:szCs w:val="13"/>
          <w:color w:val="auto"/>
        </w:rPr>
        <w:t xml:space="preserve"> appointment of a receiver, and, if such amount shall have become due, by declaration or otherwise, proceed to enforce the payment thereof or any legal or equitable right of such Bank, any recovery being subject to the terms of §29 hereof. No remedy herein conferred upon any Bank or the Administrative Agent or the holder of any Note is intended to be exclusive of any other remedy and each and every remedy shall be cumulative and shall be in addition to every other remedy given hereunder or now or hereafter existing at law or in equity or by statute or any other provision of law.</w:t>
      </w:r>
    </w:p>
    <w:p>
      <w:pPr>
        <w:spacing w:after="0" w:line="59" w:lineRule="exact"/>
        <w:rPr>
          <w:sz w:val="20"/>
          <w:szCs w:val="20"/>
          <w:color w:val="auto"/>
        </w:rPr>
      </w:pPr>
    </w:p>
    <w:p>
      <w:pPr>
        <w:ind w:right="60"/>
        <w:spacing w:after="0" w:line="260" w:lineRule="auto"/>
        <w:rPr>
          <w:sz w:val="20"/>
          <w:szCs w:val="20"/>
          <w:color w:val="auto"/>
        </w:rPr>
      </w:pPr>
      <w:r>
        <w:rPr>
          <w:rFonts w:ascii="Arial" w:cs="Arial" w:eastAsia="Arial" w:hAnsi="Arial"/>
          <w:sz w:val="13"/>
          <w:szCs w:val="13"/>
          <w:b w:val="1"/>
          <w:bCs w:val="1"/>
          <w:color w:val="auto"/>
        </w:rPr>
        <w:t xml:space="preserve">§13. </w:t>
      </w:r>
      <w:r>
        <w:rPr>
          <w:rFonts w:ascii="Arial" w:cs="Arial" w:eastAsia="Arial" w:hAnsi="Arial"/>
          <w:sz w:val="13"/>
          <w:szCs w:val="13"/>
          <w:b w:val="1"/>
          <w:bCs w:val="1"/>
          <w:u w:val="single" w:color="auto"/>
          <w:color w:val="auto"/>
        </w:rPr>
        <w:t>SETOFF</w:t>
      </w:r>
      <w:r>
        <w:rPr>
          <w:rFonts w:ascii="Arial" w:cs="Arial" w:eastAsia="Arial" w:hAnsi="Arial"/>
          <w:sz w:val="13"/>
          <w:szCs w:val="13"/>
          <w:color w:val="auto"/>
        </w:rPr>
        <w:t>. During the continuance of an Event of Default, any deposits or other sums credited by or due from any Bank to the Borrower and any securities or other property of the Borrower in the possession of</w:t>
      </w:r>
      <w:r>
        <w:rPr>
          <w:rFonts w:ascii="Arial" w:cs="Arial" w:eastAsia="Arial" w:hAnsi="Arial"/>
          <w:sz w:val="13"/>
          <w:szCs w:val="13"/>
          <w:b w:val="1"/>
          <w:bCs w:val="1"/>
          <w:color w:val="auto"/>
        </w:rPr>
        <w:t xml:space="preserve"> </w:t>
      </w:r>
      <w:r>
        <w:rPr>
          <w:rFonts w:ascii="Arial" w:cs="Arial" w:eastAsia="Arial" w:hAnsi="Arial"/>
          <w:sz w:val="13"/>
          <w:szCs w:val="13"/>
          <w:color w:val="auto"/>
        </w:rPr>
        <w:t>such Bank may be applied to or set off against the payment of the Obligations and any and all other liabilities, direct, or indirect, absolute or contingent, due or to become due, now existing or hereafter arising, of the Borrower to the Banks or the Administrative Agent. Any amounts set off with respect to the Obligations shall, except to the extent §5.14 applies, be distributed ratably in accordance with §29 among all of the Banks by the Bank setting off such amounts. If any Bank fails to share such setoff ratably, the Administrative Agent shall have the right to withhold such Bank’s share of the Borrower’s payments until each of the Banks shall have, in the aggregate, received a pro rata repayment.</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§14. </w:t>
      </w:r>
      <w:r>
        <w:rPr>
          <w:rFonts w:ascii="Arial" w:cs="Arial" w:eastAsia="Arial" w:hAnsi="Arial"/>
          <w:sz w:val="13"/>
          <w:szCs w:val="13"/>
          <w:b w:val="1"/>
          <w:bCs w:val="1"/>
          <w:u w:val="single" w:color="auto"/>
          <w:color w:val="auto"/>
        </w:rPr>
        <w:t>EXPENSES</w:t>
      </w:r>
      <w:r>
        <w:rPr>
          <w:rFonts w:ascii="Arial" w:cs="Arial" w:eastAsia="Arial" w:hAnsi="Arial"/>
          <w:sz w:val="13"/>
          <w:szCs w:val="13"/>
          <w:color w:val="auto"/>
        </w:rPr>
        <w:t>. Whether or not the transactions contemplated herein shall be consummated, the Borrower hereby promises to reimburse the Administrative Agent and the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63" w:name="page164"/>
    <w:bookmarkEnd w:id="163"/>
    <w:p>
      <w:pPr>
        <w:ind w:right="120"/>
        <w:spacing w:after="0" w:line="257" w:lineRule="auto"/>
        <w:rPr>
          <w:sz w:val="20"/>
          <w:szCs w:val="20"/>
          <w:color w:val="auto"/>
        </w:rPr>
      </w:pPr>
      <w:r>
        <w:rPr>
          <w:rFonts w:ascii="Arial" w:cs="Arial" w:eastAsia="Arial" w:hAnsi="Arial"/>
          <w:sz w:val="13"/>
          <w:szCs w:val="13"/>
          <w:color w:val="auto"/>
        </w:rPr>
        <w:t>Lead Arrangers for all reasonable out-of-pocket fees and disbursements (including all reasonable attorneys’ fees) incurred or expended in connection with the syndication, preparation, filing or recording, or interpretation of this Agreement, the other Loan Documents, or any amendment, modification, approval, consent or waiver hereof or thereof. The Borrower further promises to reimburse the Administrative Agent and the Banks for all reasonable out-of-pocket fees and disbursements (including all reasonable legal fees and the allocable cost of in-house attorneys’ fees) incurred or expended in connection with the enforcement of any Obligations or the satisfaction of any indebtedness of the Borrower hereunder or under any other Loan Document, or in connection with any litigation, proceeding or dispute hereunder in any way related to the credit hereunder. The Borrower also promises to pay the Administrative Agent all reasonable out-of-pocket fees and disbursements, incurred or expended in connection with the Competitive Bid Loan procedure under §4 hereof.</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§15. </w:t>
      </w:r>
      <w:r>
        <w:rPr>
          <w:rFonts w:ascii="Arial" w:cs="Arial" w:eastAsia="Arial" w:hAnsi="Arial"/>
          <w:sz w:val="13"/>
          <w:szCs w:val="13"/>
          <w:b w:val="1"/>
          <w:bCs w:val="1"/>
          <w:u w:val="single" w:color="auto"/>
          <w:color w:val="auto"/>
        </w:rPr>
        <w:t>THE AGENTS</w:t>
      </w:r>
      <w:r>
        <w:rPr>
          <w:rFonts w:ascii="Arial" w:cs="Arial" w:eastAsia="Arial" w:hAnsi="Arial"/>
          <w:sz w:val="13"/>
          <w:szCs w:val="13"/>
          <w:color w:val="auto"/>
        </w:rPr>
        <w:t>.</w:t>
      </w:r>
    </w:p>
    <w:p>
      <w:pPr>
        <w:spacing w:after="0" w:line="86" w:lineRule="exact"/>
        <w:rPr>
          <w:sz w:val="20"/>
          <w:szCs w:val="20"/>
          <w:color w:val="auto"/>
        </w:rPr>
      </w:pPr>
    </w:p>
    <w:p>
      <w:pPr>
        <w:ind w:right="20" w:firstLine="327"/>
        <w:spacing w:after="0" w:line="258" w:lineRule="auto"/>
        <w:rPr>
          <w:sz w:val="20"/>
          <w:szCs w:val="20"/>
          <w:color w:val="auto"/>
        </w:rPr>
      </w:pPr>
      <w:r>
        <w:rPr>
          <w:rFonts w:ascii="Arial" w:cs="Arial" w:eastAsia="Arial" w:hAnsi="Arial"/>
          <w:sz w:val="13"/>
          <w:szCs w:val="13"/>
          <w:b w:val="1"/>
          <w:bCs w:val="1"/>
          <w:color w:val="auto"/>
        </w:rPr>
        <w:t>§15.1. Authorization and Action</w:t>
      </w:r>
      <w:r>
        <w:rPr>
          <w:rFonts w:ascii="Arial" w:cs="Arial" w:eastAsia="Arial" w:hAnsi="Arial"/>
          <w:sz w:val="13"/>
          <w:szCs w:val="13"/>
          <w:color w:val="auto"/>
        </w:rPr>
        <w:t>. Each Bank hereby irrevocably appoints Bank of America as Administrative Agent hereunder and authorizes Bank of America to take such action as Administrative Agent on its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behalf and to exercise such powers under this Agreement as are delegated to the Administrative Agent by the terms hereof and thereof, together with such powers as are reasonably incidental thereto. As to any matters not expressly provided for by this Agreement and the other Loan Documents, the Administrative Agent shall not be required to exercise any discretion or take any action, but shall be required to act or to refrain from acting (and shall be fully protected in so acting or refraining from acting) upon the instructions of the Majority Banks (or, when expressly required hereby, all of the Banks), and such instructions shall be binding upon all Banks;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Administrative Agent shall not be required to take any action which exposes the Administrative Agent to personal liability or which is contrary to this Agreement or the other Loan Documents or applicable law.</w:t>
      </w:r>
    </w:p>
    <w:p>
      <w:pPr>
        <w:spacing w:after="0" w:line="58" w:lineRule="exact"/>
        <w:rPr>
          <w:sz w:val="20"/>
          <w:szCs w:val="20"/>
          <w:color w:val="auto"/>
        </w:rPr>
      </w:pPr>
    </w:p>
    <w:p>
      <w:pPr>
        <w:ind w:firstLine="327"/>
        <w:spacing w:after="0" w:line="281" w:lineRule="auto"/>
        <w:rPr>
          <w:sz w:val="20"/>
          <w:szCs w:val="20"/>
          <w:color w:val="auto"/>
        </w:rPr>
      </w:pPr>
      <w:r>
        <w:rPr>
          <w:rFonts w:ascii="Arial" w:cs="Arial" w:eastAsia="Arial" w:hAnsi="Arial"/>
          <w:sz w:val="12"/>
          <w:szCs w:val="12"/>
          <w:b w:val="1"/>
          <w:bCs w:val="1"/>
          <w:color w:val="auto"/>
        </w:rPr>
        <w:t>§15.2. Administrative Agent’s Reliance, Etc</w:t>
      </w:r>
      <w:r>
        <w:rPr>
          <w:rFonts w:ascii="Arial" w:cs="Arial" w:eastAsia="Arial" w:hAnsi="Arial"/>
          <w:sz w:val="12"/>
          <w:szCs w:val="12"/>
          <w:color w:val="auto"/>
        </w:rPr>
        <w:t>. Neither the Administrative Agent nor any of its directors, officers, agents or employees shall be liable to any of the Banks for any action taken or omitted to be taken</w:t>
      </w:r>
      <w:r>
        <w:rPr>
          <w:rFonts w:ascii="Arial" w:cs="Arial" w:eastAsia="Arial" w:hAnsi="Arial"/>
          <w:sz w:val="12"/>
          <w:szCs w:val="12"/>
          <w:b w:val="1"/>
          <w:bCs w:val="1"/>
          <w:color w:val="auto"/>
        </w:rPr>
        <w:t xml:space="preserve"> </w:t>
      </w:r>
      <w:r>
        <w:rPr>
          <w:rFonts w:ascii="Arial" w:cs="Arial" w:eastAsia="Arial" w:hAnsi="Arial"/>
          <w:sz w:val="12"/>
          <w:szCs w:val="12"/>
          <w:color w:val="auto"/>
        </w:rPr>
        <w:t>by it or them under or in connection with this Agreement or the other Loan Documents, except for its or their own gross negligence or willful misconduct. Without limitation of the generality of the foregoing, the Administrative Agent: (i) may consult with legal counsel (including counsel for the Borrower), independent public accountants and other experts selected by it and shall not be liable to the Banks for any action taken or omitted to be taken in good faith by it in accordance with the advice of such counsel, accountants or experts; (ii) shall not be subject to any fiduciary or other implied duties, regardless of whether a Default has occurred and is continuing; (iii) 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 (iv) makes no warranty or representation to any Bank and shall not be responsible to any Bank for any statements, warranties or representations (whether written or oral) made in or in connection with this Agreement or the other Loan Documents; (v) shall not have any duty to ascertain or to inquire as to the performance or observance of any of the terms, covenants or conditions of this Agreement or the other Loan Documents on the part of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64" w:name="page165"/>
    <w:bookmarkEnd w:id="164"/>
    <w:p>
      <w:pPr>
        <w:spacing w:after="0" w:line="255" w:lineRule="auto"/>
        <w:rPr>
          <w:sz w:val="20"/>
          <w:szCs w:val="20"/>
          <w:color w:val="auto"/>
        </w:rPr>
      </w:pPr>
      <w:r>
        <w:rPr>
          <w:rFonts w:ascii="Arial" w:cs="Arial" w:eastAsia="Arial" w:hAnsi="Arial"/>
          <w:sz w:val="13"/>
          <w:szCs w:val="13"/>
          <w:color w:val="auto"/>
        </w:rPr>
        <w:t>Borrower or the Guarantor (or as to the contents of any certificate, report or other document delivered hereunder or thereunder) or to inspect the property (including the books and records) of the Borrower or the Guarantor or any of their Subsidiaries, and shall not be deemed to have knowledge or notice of any Default or Event of Default unless and until it shall have received, at its office specified in §22, a notice describing the same and entitled “Notice of Default”; (vi) shall not be responsible to any Bank for the due execution (other than its own), legality, validity, enforceability, genuineness, sufficiency or value of this Agreement or any related agreement, instrument or document furnished pursuant hereto; and (vii) shall incur no liability to the Banks under or in respect of this Agreement by acting upon any notice, consent, certificate or other instrument or writing (which may be by telecopier, telegram, cable or telex) reasonably believed by it to be genuine and signed or sent by the proper party or parties. In determining compliance with any condition hereunder to the making of a Loan, or the issuance of a Letter of Credit, that by its terms must be fulfilled to the satisfaction of a Bank or an Issuing Bank, the Administrative Agent may presume that such condition is satisfactory to such Bank or Issuing Bank unless the Administrative Agent shall have received notice to the contrary from such Bank or Issuing Bank prior to the making of such Loan or the issuance of such Letter of Credit.</w:t>
      </w:r>
    </w:p>
    <w:p>
      <w:pPr>
        <w:spacing w:after="0" w:line="62" w:lineRule="exact"/>
        <w:rPr>
          <w:sz w:val="20"/>
          <w:szCs w:val="20"/>
          <w:color w:val="auto"/>
        </w:rPr>
      </w:pPr>
    </w:p>
    <w:p>
      <w:pPr>
        <w:ind w:right="100" w:firstLine="327"/>
        <w:spacing w:after="0" w:line="282" w:lineRule="auto"/>
        <w:rPr>
          <w:sz w:val="20"/>
          <w:szCs w:val="20"/>
          <w:color w:val="auto"/>
        </w:rPr>
      </w:pPr>
      <w:r>
        <w:rPr>
          <w:rFonts w:ascii="Arial" w:cs="Arial" w:eastAsia="Arial" w:hAnsi="Arial"/>
          <w:sz w:val="12"/>
          <w:szCs w:val="12"/>
          <w:b w:val="1"/>
          <w:bCs w:val="1"/>
          <w:color w:val="auto"/>
        </w:rPr>
        <w:t>§15.3. Bank of America and Affiliates</w:t>
      </w:r>
      <w:r>
        <w:rPr>
          <w:rFonts w:ascii="Arial" w:cs="Arial" w:eastAsia="Arial" w:hAnsi="Arial"/>
          <w:sz w:val="12"/>
          <w:szCs w:val="12"/>
          <w:color w:val="auto"/>
        </w:rPr>
        <w:t>. With respect to its Commitment, Bank of America shall have the same rights and powers under this Agreement and under the other Loan Documents as any other Bank</w:t>
      </w:r>
      <w:r>
        <w:rPr>
          <w:rFonts w:ascii="Arial" w:cs="Arial" w:eastAsia="Arial" w:hAnsi="Arial"/>
          <w:sz w:val="12"/>
          <w:szCs w:val="12"/>
          <w:b w:val="1"/>
          <w:bCs w:val="1"/>
          <w:color w:val="auto"/>
        </w:rPr>
        <w:t xml:space="preserve"> </w:t>
      </w:r>
      <w:r>
        <w:rPr>
          <w:rFonts w:ascii="Arial" w:cs="Arial" w:eastAsia="Arial" w:hAnsi="Arial"/>
          <w:sz w:val="12"/>
          <w:szCs w:val="12"/>
          <w:color w:val="auto"/>
        </w:rPr>
        <w:t>and may exercise the same as though it were not the Administrative Agent, and the term “Bank” or “Banks” shall, unless otherwise expressly indicated, include Bank of America in its individual capacity. Bank of America and its Affiliates may accept deposits from, lend money to, act as trustee under indentures of, and generally engage in any kind of business with, the Borrower, the Guarantor, any of their Subsidiaries and any Person who may do business with or own securities of the Borrower, the Guarantor, or any such Subsidiary, all as if Bank of America were not the Administrative Agent and without any duty to account therefor to the Banks. The Administrative Agent may perform any and all of its duties and exercise its rights and powers hereunder or under any other Loan Document by or through any one or more sub-agents appointed by the Administrative Agent. To the extent any such rights or powers are delegated to a sub-agent, the Administrative Agent shall remain responsible for such sub-agent’s performance or exercise of such duties, rights and powers; provided, that the exculpatory provisions of this Agreement (including the provisions in §15) shall apply to any such sub-agent.</w:t>
      </w:r>
    </w:p>
    <w:p>
      <w:pPr>
        <w:spacing w:after="0" w:line="45" w:lineRule="exact"/>
        <w:rPr>
          <w:sz w:val="20"/>
          <w:szCs w:val="20"/>
          <w:color w:val="auto"/>
        </w:rPr>
      </w:pPr>
    </w:p>
    <w:p>
      <w:pPr>
        <w:jc w:val="both"/>
        <w:ind w:right="20" w:firstLine="327"/>
        <w:spacing w:after="0" w:line="262" w:lineRule="auto"/>
        <w:rPr>
          <w:sz w:val="20"/>
          <w:szCs w:val="20"/>
          <w:color w:val="auto"/>
        </w:rPr>
      </w:pPr>
      <w:r>
        <w:rPr>
          <w:rFonts w:ascii="Arial" w:cs="Arial" w:eastAsia="Arial" w:hAnsi="Arial"/>
          <w:sz w:val="13"/>
          <w:szCs w:val="13"/>
          <w:b w:val="1"/>
          <w:bCs w:val="1"/>
          <w:color w:val="auto"/>
        </w:rPr>
        <w:t>§15.4. Bank Credit Decision</w:t>
      </w:r>
      <w:r>
        <w:rPr>
          <w:rFonts w:ascii="Arial" w:cs="Arial" w:eastAsia="Arial" w:hAnsi="Arial"/>
          <w:sz w:val="13"/>
          <w:szCs w:val="13"/>
          <w:color w:val="auto"/>
        </w:rPr>
        <w:t>. Each Bank acknowledges that it has, independently and without reliance upon the Administrative Agent or any other Bank and based on the financial statements referred to in §6.4</w:t>
      </w:r>
      <w:r>
        <w:rPr>
          <w:rFonts w:ascii="Arial" w:cs="Arial" w:eastAsia="Arial" w:hAnsi="Arial"/>
          <w:sz w:val="13"/>
          <w:szCs w:val="13"/>
          <w:b w:val="1"/>
          <w:bCs w:val="1"/>
          <w:color w:val="auto"/>
        </w:rPr>
        <w:t xml:space="preserve"> </w:t>
      </w:r>
      <w:r>
        <w:rPr>
          <w:rFonts w:ascii="Arial" w:cs="Arial" w:eastAsia="Arial" w:hAnsi="Arial"/>
          <w:sz w:val="13"/>
          <w:szCs w:val="13"/>
          <w:color w:val="auto"/>
        </w:rPr>
        <w:t>and such other documents and information as it has deemed appropriate, made its own credit analysis and decision to enter into this Agreement and the other Loan Documents. Each Bank also acknowledges that it will, independently and without reliance upon the Administrative Agent or any other Bank and based on such documents and information as it shall deem appropriate at the time, continue to make its own credit decisions in taking or not taking action under this Agreement and the other Loan Documents.</w:t>
      </w:r>
    </w:p>
    <w:p>
      <w:pPr>
        <w:spacing w:after="0" w:line="55" w:lineRule="exact"/>
        <w:rPr>
          <w:sz w:val="20"/>
          <w:szCs w:val="20"/>
          <w:color w:val="auto"/>
        </w:rPr>
      </w:pPr>
    </w:p>
    <w:p>
      <w:pPr>
        <w:ind w:right="400" w:firstLine="327"/>
        <w:spacing w:after="0" w:line="283" w:lineRule="auto"/>
        <w:rPr>
          <w:sz w:val="20"/>
          <w:szCs w:val="20"/>
          <w:color w:val="auto"/>
        </w:rPr>
      </w:pPr>
      <w:r>
        <w:rPr>
          <w:rFonts w:ascii="Arial" w:cs="Arial" w:eastAsia="Arial" w:hAnsi="Arial"/>
          <w:sz w:val="13"/>
          <w:szCs w:val="13"/>
          <w:b w:val="1"/>
          <w:bCs w:val="1"/>
          <w:color w:val="auto"/>
        </w:rPr>
        <w:t>§15.5. Indemnification</w:t>
      </w:r>
      <w:r>
        <w:rPr>
          <w:rFonts w:ascii="Arial" w:cs="Arial" w:eastAsia="Arial" w:hAnsi="Arial"/>
          <w:sz w:val="13"/>
          <w:szCs w:val="13"/>
          <w:color w:val="auto"/>
        </w:rPr>
        <w:t>. The Banks agree to indemnify the Administrative Agent (to the extent not reimbursed by the Borrower), ratably according to the respective amounts of their Commitments as most</w:t>
      </w:r>
      <w:r>
        <w:rPr>
          <w:rFonts w:ascii="Arial" w:cs="Arial" w:eastAsia="Arial" w:hAnsi="Arial"/>
          <w:sz w:val="13"/>
          <w:szCs w:val="13"/>
          <w:b w:val="1"/>
          <w:bCs w:val="1"/>
          <w:color w:val="auto"/>
        </w:rPr>
        <w:t xml:space="preserve"> </w:t>
      </w:r>
      <w:r>
        <w:rPr>
          <w:rFonts w:ascii="Arial" w:cs="Arial" w:eastAsia="Arial" w:hAnsi="Arial"/>
          <w:sz w:val="13"/>
          <w:szCs w:val="13"/>
          <w:color w:val="auto"/>
        </w:rPr>
        <w:t>recently in effect at the time such indemnity is sought, from and against any and all liabilities, obligations, losses, damages, penalties, actions,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65" w:name="page166"/>
    <w:bookmarkEnd w:id="165"/>
    <w:p>
      <w:pPr>
        <w:spacing w:after="0" w:line="282" w:lineRule="auto"/>
        <w:rPr>
          <w:sz w:val="20"/>
          <w:szCs w:val="20"/>
          <w:color w:val="auto"/>
        </w:rPr>
      </w:pPr>
      <w:r>
        <w:rPr>
          <w:rFonts w:ascii="Arial" w:cs="Arial" w:eastAsia="Arial" w:hAnsi="Arial"/>
          <w:sz w:val="12"/>
          <w:szCs w:val="12"/>
          <w:color w:val="auto"/>
        </w:rPr>
        <w:t>judgments, suits and reasonable costs, expenses and disbursements of any kind or nature whatsoever which may be imposed on, incurred by, or asserted against the Administrative Agent in any way relating to or arising out of this Agreement or the other Loan Documents or any action taken or omitted by the Administrative Agent under this Agreement or the other Loan Documents, provided that no Bank shall be liable for any portion of such liabilities, obligations, losses, damages, penalties, actions, judgments, suits, costs, expenses or disbursements resulting from the Administrative Agent’s gross negligence or willful misconduct. Without limiting the foregoing, each Bank agrees to reimburse the Administrative Agent promptly upon demand for its ratable share as aforesaid of any reasonable out of pocket expenses (including reasonable counsel fees)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and the other Loan Documents, to the extent that the Administrative Agent is not reimbursed for such expenses by the Borrower.</w:t>
      </w:r>
    </w:p>
    <w:p>
      <w:pPr>
        <w:spacing w:after="0" w:line="45" w:lineRule="exact"/>
        <w:rPr>
          <w:sz w:val="20"/>
          <w:szCs w:val="20"/>
          <w:color w:val="auto"/>
        </w:rPr>
      </w:pPr>
    </w:p>
    <w:p>
      <w:pPr>
        <w:ind w:firstLine="327"/>
        <w:spacing w:after="0" w:line="277" w:lineRule="auto"/>
        <w:rPr>
          <w:sz w:val="20"/>
          <w:szCs w:val="20"/>
          <w:color w:val="auto"/>
        </w:rPr>
      </w:pPr>
      <w:r>
        <w:rPr>
          <w:rFonts w:ascii="Arial" w:cs="Arial" w:eastAsia="Arial" w:hAnsi="Arial"/>
          <w:sz w:val="12"/>
          <w:szCs w:val="12"/>
          <w:b w:val="1"/>
          <w:bCs w:val="1"/>
          <w:color w:val="auto"/>
        </w:rPr>
        <w:t>§15.6. Successor Administrative Agent</w:t>
      </w:r>
      <w:r>
        <w:rPr>
          <w:rFonts w:ascii="Arial" w:cs="Arial" w:eastAsia="Arial" w:hAnsi="Arial"/>
          <w:sz w:val="12"/>
          <w:szCs w:val="12"/>
          <w:color w:val="auto"/>
        </w:rPr>
        <w:t>. The Administrative Agent may resign at any time by giving written notice thereof to the Banks and the Borrower and may be removed at any time with or without cause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by the Majority Banks. Upon any such resignation or removal, the Majority Banks shall have the right to appoint a successor Administrative Agent that, unless a Default or Event of Default shall have occurred and then be continuing, is reasonably acceptable to the Borrower. If no successor Administrative Agent shall have been so appointed by the Majority Banks, and shall have accepted such appointment, within 45 days after the retiring Administrative Agent’s giving of notice of resignation or the Majority Banks’ removal of the retiring Administrative Agent, then the retiring Administrative Agent may, on behalf of the Banks, appoint a successor Administrative Agent, which shall be a commercial bank, financial institution, trust company or similar entity regularly engaged in the business of administering syndicated loans and which successor Administrative Agent shall be organized under the laws of the United States of America or of any State thereof and have total assets of at least $1,000,000,000;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the Administrative Agent shall notify the Borrower and the Banks that no such qualifying Person has accepted such appointment, then (x) such resignation shall nonetheless become effective in accordance with such notice and the retiring Administrative Agent shall be discharged from its duties and obligations hereunder and under the other Loan Documents, and (y) the Borrower may appoint a successor Administrative Agent to act until replaced by a successor Administrative Agent that is appointed by the Majority Banks (which successor Administrative Agent appointed by the Borrower shall be a commercial bank, financial institution, trust company or similar entity regularly engaged in the business of administering syndicated loans that is organized under the laws of the United States of America or of any State thereof and have total assets of at least $1,000,000,000).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and the other Loan Documents. After any retiring Administrative Agent’s resignation or removal hereunder as Administrative Agent, the provisions of this §15 shall inure to its benefit as to any actions taken or omitted to be taken by it while it was Administrative Agent under this Agreement.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66" w:name="page167"/>
    <w:bookmarkEnd w:id="166"/>
    <w:p>
      <w:pPr>
        <w:ind w:left="1" w:right="200" w:firstLine="327"/>
        <w:spacing w:after="0" w:line="283" w:lineRule="auto"/>
        <w:rPr>
          <w:sz w:val="20"/>
          <w:szCs w:val="20"/>
          <w:color w:val="auto"/>
        </w:rPr>
      </w:pPr>
      <w:r>
        <w:rPr>
          <w:rFonts w:ascii="Arial" w:cs="Arial" w:eastAsia="Arial" w:hAnsi="Arial"/>
          <w:sz w:val="13"/>
          <w:szCs w:val="13"/>
          <w:b w:val="1"/>
          <w:bCs w:val="1"/>
          <w:color w:val="auto"/>
        </w:rPr>
        <w:t>§15.7. Lead Arrangers, Etc</w:t>
      </w:r>
      <w:r>
        <w:rPr>
          <w:rFonts w:ascii="Arial" w:cs="Arial" w:eastAsia="Arial" w:hAnsi="Arial"/>
          <w:sz w:val="13"/>
          <w:szCs w:val="13"/>
          <w:color w:val="auto"/>
        </w:rPr>
        <w:t>. The parties identified on the cover hereof as Lead Arrangers and Joint Bookrunners, Documentation Agents and Co- Documentation Agents shall have no obligations or liabilities</w:t>
      </w:r>
      <w:r>
        <w:rPr>
          <w:rFonts w:ascii="Arial" w:cs="Arial" w:eastAsia="Arial" w:hAnsi="Arial"/>
          <w:sz w:val="13"/>
          <w:szCs w:val="13"/>
          <w:b w:val="1"/>
          <w:bCs w:val="1"/>
          <w:color w:val="auto"/>
        </w:rPr>
        <w:t xml:space="preserve"> </w:t>
      </w:r>
      <w:r>
        <w:rPr>
          <w:rFonts w:ascii="Arial" w:cs="Arial" w:eastAsia="Arial" w:hAnsi="Arial"/>
          <w:sz w:val="13"/>
          <w:szCs w:val="13"/>
          <w:color w:val="auto"/>
        </w:rPr>
        <w:t>under this Agreement and the other Loan Documents.</w:t>
      </w:r>
    </w:p>
    <w:p>
      <w:pPr>
        <w:spacing w:after="0" w:line="41" w:lineRule="exact"/>
        <w:rPr>
          <w:sz w:val="20"/>
          <w:szCs w:val="20"/>
          <w:color w:val="auto"/>
        </w:rPr>
      </w:pPr>
    </w:p>
    <w:p>
      <w:pPr>
        <w:ind w:left="1" w:right="40" w:firstLine="327"/>
        <w:spacing w:after="0" w:line="267" w:lineRule="auto"/>
        <w:rPr>
          <w:sz w:val="20"/>
          <w:szCs w:val="20"/>
          <w:color w:val="auto"/>
        </w:rPr>
      </w:pPr>
      <w:r>
        <w:rPr>
          <w:rFonts w:ascii="Arial" w:cs="Arial" w:eastAsia="Arial" w:hAnsi="Arial"/>
          <w:sz w:val="13"/>
          <w:szCs w:val="13"/>
          <w:b w:val="1"/>
          <w:bCs w:val="1"/>
          <w:color w:val="auto"/>
        </w:rPr>
        <w:t>§15.8. Documents</w:t>
      </w:r>
      <w:r>
        <w:rPr>
          <w:rFonts w:ascii="Arial" w:cs="Arial" w:eastAsia="Arial" w:hAnsi="Arial"/>
          <w:sz w:val="13"/>
          <w:szCs w:val="13"/>
          <w:color w:val="auto"/>
        </w:rPr>
        <w:t>. The Administrative Agent will forward to each Bank, promptly after receipt thereof, a copy of each notice or other document furnished to the Administrative Agent for such Bank hereunder;</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notwithstanding the foregoing, the Administrative Agent may furnish to the Banks a monthly summary with respect to Letters of Credit issued hereunder in lieu of copies of the related Letter of Credit Applications.</w:t>
      </w:r>
    </w:p>
    <w:p>
      <w:pPr>
        <w:spacing w:after="0" w:line="52" w:lineRule="exact"/>
        <w:rPr>
          <w:sz w:val="20"/>
          <w:szCs w:val="20"/>
          <w:color w:val="auto"/>
        </w:rPr>
      </w:pPr>
    </w:p>
    <w:p>
      <w:pPr>
        <w:ind w:left="1" w:firstLine="327"/>
        <w:spacing w:after="0" w:line="303" w:lineRule="auto"/>
        <w:rPr>
          <w:sz w:val="20"/>
          <w:szCs w:val="20"/>
          <w:color w:val="auto"/>
        </w:rPr>
      </w:pPr>
      <w:r>
        <w:rPr>
          <w:rFonts w:ascii="Arial" w:cs="Arial" w:eastAsia="Arial" w:hAnsi="Arial"/>
          <w:sz w:val="11"/>
          <w:szCs w:val="11"/>
          <w:b w:val="1"/>
          <w:bCs w:val="1"/>
          <w:color w:val="auto"/>
        </w:rPr>
        <w:t xml:space="preserve">§15.9. Action by the Banks, Consents, Amendments, Waivers, Etc. </w:t>
      </w:r>
      <w:r>
        <w:rPr>
          <w:rFonts w:ascii="Arial" w:cs="Arial" w:eastAsia="Arial" w:hAnsi="Arial"/>
          <w:sz w:val="11"/>
          <w:szCs w:val="11"/>
          <w:color w:val="auto"/>
        </w:rPr>
        <w:t>(a) No failure or delay by the Administrative Agent, any Issuing Bank or any Bank in exercising any right or power hereunder shall operate</w:t>
      </w:r>
      <w:r>
        <w:rPr>
          <w:rFonts w:ascii="Arial" w:cs="Arial" w:eastAsia="Arial" w:hAnsi="Arial"/>
          <w:sz w:val="11"/>
          <w:szCs w:val="11"/>
          <w:b w:val="1"/>
          <w:bCs w:val="1"/>
          <w:color w:val="auto"/>
        </w:rPr>
        <w:t xml:space="preserve"> </w:t>
      </w:r>
      <w:r>
        <w:rPr>
          <w:rFonts w:ascii="Arial" w:cs="Arial" w:eastAsia="Arial" w:hAnsi="Arial"/>
          <w:sz w:val="11"/>
          <w:szCs w:val="11"/>
          <w:color w:val="auto"/>
        </w:rPr>
        <w:t>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Banks hereunder are cumulative and are not exclusive of any rights or remedies that they would otherwise have. No waiver of any provision of this Agreement or consent to any departure by the Borrower or the Guarantor therefrom shall in any event be effective unless the same shall be permitted by paragraph</w:t>
      </w:r>
    </w:p>
    <w:p>
      <w:pPr>
        <w:spacing w:after="0" w:line="2" w:lineRule="exact"/>
        <w:rPr>
          <w:sz w:val="20"/>
          <w:szCs w:val="20"/>
          <w:color w:val="auto"/>
        </w:rPr>
      </w:pPr>
    </w:p>
    <w:p>
      <w:pPr>
        <w:ind w:left="1" w:right="100" w:hanging="1"/>
        <w:spacing w:after="0" w:line="258" w:lineRule="auto"/>
        <w:tabs>
          <w:tab w:leader="none" w:pos="187" w:val="left"/>
        </w:tabs>
        <w:numPr>
          <w:ilvl w:val="0"/>
          <w:numId w:val="141"/>
        </w:numPr>
        <w:rPr>
          <w:rFonts w:ascii="Arial" w:cs="Arial" w:eastAsia="Arial" w:hAnsi="Arial"/>
          <w:sz w:val="13"/>
          <w:szCs w:val="13"/>
          <w:color w:val="auto"/>
        </w:rPr>
      </w:pPr>
      <w:r>
        <w:rPr>
          <w:rFonts w:ascii="Arial" w:cs="Arial" w:eastAsia="Arial" w:hAnsi="Arial"/>
          <w:sz w:val="13"/>
          <w:szCs w:val="13"/>
          <w:color w:val="auto"/>
        </w:rPr>
        <w:t>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or Event of Default, regardless of whether the Administrative Agent, any Bank or the Issuing Bank may have had notice or knowledge of such Default or Event of Default at the time.</w:t>
      </w:r>
    </w:p>
    <w:p>
      <w:pPr>
        <w:spacing w:after="0" w:line="60" w:lineRule="exact"/>
        <w:rPr>
          <w:rFonts w:ascii="Arial" w:cs="Arial" w:eastAsia="Arial" w:hAnsi="Arial"/>
          <w:sz w:val="13"/>
          <w:szCs w:val="13"/>
          <w:color w:val="auto"/>
        </w:rPr>
      </w:pPr>
    </w:p>
    <w:p>
      <w:pPr>
        <w:ind w:left="1" w:firstLine="326"/>
        <w:spacing w:after="0" w:line="255" w:lineRule="auto"/>
        <w:tabs>
          <w:tab w:leader="none" w:pos="514" w:val="left"/>
        </w:tabs>
        <w:numPr>
          <w:ilvl w:val="1"/>
          <w:numId w:val="141"/>
        </w:numPr>
        <w:rPr>
          <w:rFonts w:ascii="Arial" w:cs="Arial" w:eastAsia="Arial" w:hAnsi="Arial"/>
          <w:sz w:val="13"/>
          <w:szCs w:val="13"/>
          <w:color w:val="auto"/>
        </w:rPr>
      </w:pPr>
      <w:r>
        <w:rPr>
          <w:rFonts w:ascii="Arial" w:cs="Arial" w:eastAsia="Arial" w:hAnsi="Arial"/>
          <w:sz w:val="13"/>
          <w:szCs w:val="13"/>
          <w:color w:val="auto"/>
        </w:rPr>
        <w:t xml:space="preserve">Except as otherwise provided in §3.1(a) hereof with respect to </w:t>
      </w:r>
      <w:r>
        <w:rPr>
          <w:rFonts w:ascii="Arial" w:cs="Arial" w:eastAsia="Arial" w:hAnsi="Arial"/>
          <w:sz w:val="13"/>
          <w:szCs w:val="13"/>
          <w:u w:val="single" w:color="auto"/>
          <w:color w:val="auto"/>
        </w:rPr>
        <w:t>Schedule 3.1</w:t>
      </w:r>
      <w:r>
        <w:rPr>
          <w:rFonts w:ascii="Arial" w:cs="Arial" w:eastAsia="Arial" w:hAnsi="Arial"/>
          <w:sz w:val="13"/>
          <w:szCs w:val="13"/>
          <w:color w:val="auto"/>
        </w:rPr>
        <w:t xml:space="preserve">, neither this Agreement nor any provision hereof may be waived, amended or modified except pursuant to an agreement or agreements in writing entered into by the Borrower and the Majority Banks or by the Borrower and the Administrative Agent with the consent of the Majority Banks;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such agreement shall (i) increase the Commitment of any Bank without the written consent of such Bank, (ii) reduce the principal amount of any Loan or Reimbursement Obligations, or reduce the rate of interest on the Loans or reduce any fees payable hereunder, without the written consent of each Bank affected thereby; (iii) postpone the date of any payment of the principal amount of any Loan, or any interest thereon, or any fees payable hereunder, or reduce the amount of, waive or excuse any such payment, or postpone the scheduled date of expiration of any Commitment, without the written consent of each Bank affected thereby; (iv) release the Borrower from its Obligations or the Guarantor from its Guaranteed Obligations hereunder without the written consent of each Bank; (v) modify §29(a); or (vi) change any of the provisions of this §15.9 or any provision of this Agreement requiring action by all the Banks, or the percentage of Banks constituting “Majority Banks”, without the written consent of each Bank;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that no such agreement shall amend, modify or otherwise affect the rights or duties of the Administrative Agent or any Issuing Bank hereunder without the prior written consent of the Administrative Agent or the Issuing Banks, as the case may be. Notwithstanding anything to the contrary herein, no Defaulting Bank shall have any right to approve or disapprove any amendment, waiver or consent hereunder (and any amendment, waiver or consent which by its terms requires the consent of all Banks or each</w:t>
      </w:r>
    </w:p>
    <w:p>
      <w:pPr>
        <w:spacing w:after="0" w:line="121" w:lineRule="exact"/>
        <w:rPr>
          <w:rFonts w:ascii="Arial" w:cs="Arial" w:eastAsia="Arial" w:hAnsi="Arial"/>
          <w:sz w:val="13"/>
          <w:szCs w:val="13"/>
          <w:color w:val="auto"/>
        </w:rPr>
      </w:pPr>
    </w:p>
    <w:p>
      <w:pPr>
        <w:ind w:left="5661" w:hanging="68"/>
        <w:spacing w:after="0"/>
        <w:tabs>
          <w:tab w:leader="none" w:pos="5661" w:val="left"/>
        </w:tabs>
        <w:numPr>
          <w:ilvl w:val="2"/>
          <w:numId w:val="141"/>
        </w:numPr>
        <w:rPr>
          <w:rFonts w:ascii="Arial" w:cs="Arial" w:eastAsia="Arial" w:hAnsi="Arial"/>
          <w:sz w:val="13"/>
          <w:szCs w:val="13"/>
          <w:color w:val="auto"/>
        </w:rPr>
      </w:pPr>
      <w:r>
        <w:rPr>
          <w:rFonts w:ascii="Arial" w:cs="Arial" w:eastAsia="Arial" w:hAnsi="Arial"/>
          <w:sz w:val="13"/>
          <w:szCs w:val="13"/>
          <w:color w:val="auto"/>
        </w:rPr>
        <w:t>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167" w:name="page168"/>
    <w:bookmarkEnd w:id="167"/>
    <w:p>
      <w:pPr>
        <w:jc w:val="both"/>
        <w:ind w:right="140"/>
        <w:spacing w:after="0" w:line="264" w:lineRule="auto"/>
        <w:rPr>
          <w:sz w:val="20"/>
          <w:szCs w:val="20"/>
          <w:color w:val="auto"/>
        </w:rPr>
      </w:pPr>
      <w:r>
        <w:rPr>
          <w:rFonts w:ascii="Arial" w:cs="Arial" w:eastAsia="Arial" w:hAnsi="Arial"/>
          <w:sz w:val="13"/>
          <w:szCs w:val="13"/>
          <w:color w:val="auto"/>
        </w:rPr>
        <w:t>affected Bank may be effected with the consent of the applicable Banks other than Defaulting Banks), except that (x) the Commitment of any Defaulting Bank may not be increased or extended without the consent of such Bank and (y) any waiver, amendment or modification requiring the consent of all Banks or each affected Bank that by its terms affects any Defaulting Bank more adversely than other affected Bank shall require the consent of such Defaulting Bank.</w:t>
      </w:r>
    </w:p>
    <w:p>
      <w:pPr>
        <w:spacing w:after="0" w:line="53" w:lineRule="exact"/>
        <w:rPr>
          <w:sz w:val="20"/>
          <w:szCs w:val="20"/>
          <w:color w:val="auto"/>
        </w:rPr>
      </w:pPr>
    </w:p>
    <w:p>
      <w:pPr>
        <w:spacing w:after="0" w:line="300" w:lineRule="auto"/>
        <w:rPr>
          <w:sz w:val="20"/>
          <w:szCs w:val="20"/>
          <w:color w:val="auto"/>
        </w:rPr>
      </w:pPr>
      <w:r>
        <w:rPr>
          <w:rFonts w:ascii="Arial" w:cs="Arial" w:eastAsia="Arial" w:hAnsi="Arial"/>
          <w:sz w:val="11"/>
          <w:szCs w:val="11"/>
          <w:b w:val="1"/>
          <w:bCs w:val="1"/>
          <w:color w:val="auto"/>
        </w:rPr>
        <w:t xml:space="preserve">§16. </w:t>
      </w:r>
      <w:r>
        <w:rPr>
          <w:rFonts w:ascii="Arial" w:cs="Arial" w:eastAsia="Arial" w:hAnsi="Arial"/>
          <w:sz w:val="11"/>
          <w:szCs w:val="11"/>
          <w:b w:val="1"/>
          <w:bCs w:val="1"/>
          <w:u w:val="single" w:color="auto"/>
          <w:color w:val="auto"/>
        </w:rPr>
        <w:t>INDEMNIFICATION</w:t>
      </w:r>
      <w:r>
        <w:rPr>
          <w:rFonts w:ascii="Arial" w:cs="Arial" w:eastAsia="Arial" w:hAnsi="Arial"/>
          <w:sz w:val="11"/>
          <w:szCs w:val="11"/>
          <w:color w:val="auto"/>
        </w:rPr>
        <w:t>. The Borrower agrees to indemnify and hold harmless the Banks, the Issuing Banks, the Lead Arrangers and the Administrative Agent and their affiliates, as well as their and their affiliates’</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shareholders, directors, agents, officers, subsidiaries and affiliates, from and against all damages, losses, settlement payments, obligations, liabilities, claims, suits, penalties, assessments, citations, directives, demands, judgments, actions or causes of action, whether statutorily created or under the common law, and reasonable costs and expenses incurred, suffered, sustained or required to be paid by an indemnified party by reason of or resulting from the transactions contemplated hereby, except any of the foregoing which result from the gross negligence, willful misconduct or material breach of such indemnified party as determined by a court of competent jurisdiction. In any investigation, enforcement matter, proceeding or litigation, or the preparation therefor, the Banks, the Issuing Banks, the Lead Arrangers and the Administrative Agent shall be entitled to select their own counsel and, in addition to the foregoing indemnity, the Borrower agrees to pay promptly the reasonable fees and expenses of such counsel (including the non-duplicative allocated cost of internal counsel), and settlement costs. In the event of the commencement of any such proceeding or litigation against the Banks or Administrative Agent by third parties, the Borrower shall be entitled to participate in such proceeding or litigation with counsel of their choice at their expense. In the case of an investigation, litigation or proceeding to which the indemnity in this §16 applies, such indemnity shall be effective, subject to the limitations herein, whether or not such investigation, litigation or proceeding is brought by the Borrower, the Borrower’s equityholders, affiliates or creditors or such an indemnified party, whether or not such indemnified party is otherwise a party thereto and whether or not the transactions contemplated hereby are consummated. The covenants of this §16 shall survive payment or satisfaction of payment of amounts owing with respect to any Note or the Loans and satisfaction of all the Obligations hereunder and under the Loan Documents, </w:t>
      </w:r>
      <w:r>
        <w:rPr>
          <w:rFonts w:ascii="Arial" w:cs="Arial" w:eastAsia="Arial" w:hAnsi="Arial"/>
          <w:sz w:val="11"/>
          <w:szCs w:val="11"/>
          <w:b w:val="1"/>
          <w:bCs w:val="1"/>
          <w:color w:val="auto"/>
        </w:rPr>
        <w:t>IT BEING THE INTENT OF THE PARTIES HERETO THAT ALL SUCH INDEMNIFIED</w:t>
      </w:r>
    </w:p>
    <w:p>
      <w:pPr>
        <w:spacing w:after="0" w:line="2" w:lineRule="exact"/>
        <w:rPr>
          <w:sz w:val="20"/>
          <w:szCs w:val="20"/>
          <w:color w:val="auto"/>
        </w:rPr>
      </w:pPr>
    </w:p>
    <w:p>
      <w:pPr>
        <w:ind w:right="20"/>
        <w:spacing w:after="0" w:line="256" w:lineRule="auto"/>
        <w:rPr>
          <w:sz w:val="20"/>
          <w:szCs w:val="20"/>
          <w:color w:val="auto"/>
        </w:rPr>
      </w:pPr>
      <w:r>
        <w:rPr>
          <w:rFonts w:ascii="Arial" w:cs="Arial" w:eastAsia="Arial" w:hAnsi="Arial"/>
          <w:sz w:val="13"/>
          <w:szCs w:val="13"/>
          <w:b w:val="1"/>
          <w:bCs w:val="1"/>
          <w:color w:val="auto"/>
        </w:rPr>
        <w:t>PARTIES SHALL BE INDEMNIFIED FOR THEIR ORDINARY SOLE, COMPARATIVE OR CONTRIBUTORY NEGLIGENCE. WITHOUT LIMITATION OF THE FOREGOING, NO PARTY SHALL BE LIABLE TO ANY OTHER PARTY IN RESPECT OF ANY INDIRECT, CONSEQUENTIAL OR PUNITIVE DAMAGES ASSERTED BY SUCH OTHER PARTY WITH RESPECT TO THE MATTERS CONTEMPLATED BY THIS AGREEMENT, ANY OTHER LOAN DOCUMENT OR ANY USE MADE OR TO BE MADE WITH THE PROCEEDS OF ANY CREDIT EXTENSION HEREUNDER OR THEREUNDER.</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§17. </w:t>
      </w:r>
      <w:r>
        <w:rPr>
          <w:rFonts w:ascii="Arial" w:cs="Arial" w:eastAsia="Arial" w:hAnsi="Arial"/>
          <w:sz w:val="13"/>
          <w:szCs w:val="13"/>
          <w:b w:val="1"/>
          <w:bCs w:val="1"/>
          <w:u w:val="single" w:color="auto"/>
          <w:color w:val="auto"/>
        </w:rPr>
        <w:t>WITHHOLDING TAXES</w:t>
      </w:r>
      <w:r>
        <w:rPr>
          <w:rFonts w:ascii="Arial" w:cs="Arial" w:eastAsia="Arial" w:hAnsi="Arial"/>
          <w:sz w:val="13"/>
          <w:szCs w:val="13"/>
          <w:color w:val="auto"/>
        </w:rPr>
        <w:t>. The Borrower hereby agrees that:</w:t>
      </w:r>
    </w:p>
    <w:p>
      <w:pPr>
        <w:spacing w:after="0" w:line="90" w:lineRule="exact"/>
        <w:rPr>
          <w:sz w:val="20"/>
          <w:szCs w:val="20"/>
          <w:color w:val="auto"/>
        </w:rPr>
      </w:pPr>
    </w:p>
    <w:p>
      <w:pPr>
        <w:ind w:left="220" w:right="320" w:firstLine="172"/>
        <w:spacing w:after="0" w:line="276" w:lineRule="auto"/>
        <w:tabs>
          <w:tab w:leader="none" w:pos="562" w:val="left"/>
        </w:tabs>
        <w:numPr>
          <w:ilvl w:val="0"/>
          <w:numId w:val="142"/>
        </w:numPr>
        <w:rPr>
          <w:rFonts w:ascii="Arial" w:cs="Arial" w:eastAsia="Arial" w:hAnsi="Arial"/>
          <w:sz w:val="13"/>
          <w:szCs w:val="13"/>
          <w:color w:val="auto"/>
        </w:rPr>
      </w:pPr>
      <w:r>
        <w:rPr>
          <w:rFonts w:ascii="Arial" w:cs="Arial" w:eastAsia="Arial" w:hAnsi="Arial"/>
          <w:sz w:val="13"/>
          <w:szCs w:val="13"/>
          <w:color w:val="auto"/>
        </w:rPr>
        <w:t>Any and all payments made by the Borrower hereunder shall be made free and clear of, and without deduction for, any and all present or future taxes, levies, fees, duties, imposts, deductions, charges or withholdings of any nature whatsoever, excluding, in the case of each of the Administrative Agent and each of the Banks (including, without</w:t>
      </w:r>
    </w:p>
    <w:p>
      <w:pPr>
        <w:spacing w:after="0" w:line="108" w:lineRule="exact"/>
        <w:rPr>
          <w:rFonts w:ascii="Arial" w:cs="Arial" w:eastAsia="Arial" w:hAnsi="Arial"/>
          <w:sz w:val="13"/>
          <w:szCs w:val="13"/>
          <w:color w:val="auto"/>
        </w:rPr>
      </w:pPr>
    </w:p>
    <w:p>
      <w:pPr>
        <w:ind w:left="5660" w:hanging="68"/>
        <w:spacing w:after="0"/>
        <w:tabs>
          <w:tab w:leader="none" w:pos="5660" w:val="left"/>
        </w:tabs>
        <w:numPr>
          <w:ilvl w:val="1"/>
          <w:numId w:val="142"/>
        </w:numPr>
        <w:rPr>
          <w:rFonts w:ascii="Arial" w:cs="Arial" w:eastAsia="Arial" w:hAnsi="Arial"/>
          <w:sz w:val="13"/>
          <w:szCs w:val="13"/>
          <w:color w:val="auto"/>
        </w:rPr>
      </w:pPr>
      <w:r>
        <w:rPr>
          <w:rFonts w:ascii="Arial" w:cs="Arial" w:eastAsia="Arial" w:hAnsi="Arial"/>
          <w:sz w:val="13"/>
          <w:szCs w:val="13"/>
          <w:color w:val="auto"/>
        </w:rPr>
        <w:t>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68" w:name="page169"/>
    <w:bookmarkEnd w:id="168"/>
    <w:p>
      <w:pPr>
        <w:spacing w:after="0" w:line="276" w:lineRule="auto"/>
        <w:rPr>
          <w:sz w:val="20"/>
          <w:szCs w:val="20"/>
          <w:color w:val="auto"/>
        </w:rPr>
      </w:pPr>
      <w:r>
        <w:rPr>
          <w:rFonts w:ascii="Arial" w:cs="Arial" w:eastAsia="Arial" w:hAnsi="Arial"/>
          <w:sz w:val="12"/>
          <w:szCs w:val="12"/>
          <w:color w:val="auto"/>
        </w:rPr>
        <w:t xml:space="preserve">limitation, the Issuing Banks), (i) taxes imposed on, or measured by, its net income or profits, (ii) franchise taxes imposed on it, (iii) taxes imposed by any jurisdiction as a direct consequence of it, or any of its affiliates, having a present or former connection with such jurisdiction, including, without limitation, being organized, existing or qualified to do business, doing business or maintaining a permanent establishment or office in such jurisdiction, and (iv) taxes imposed by reason of its failure to comply with any applicable certification, identification, information, documentation or other reporting requirement (all such non-excluded taxes being hereinafter referred to as “Indemnifiable Taxes”). In the event that any withholding or deduction from any payment to be made by the Borrower hereunder is required in respect of any Indemnifiable Taxes pursuant to any applicable law, or governmental rule or regulation, then the Borrower will (i) direct to the relevant taxing authority the full amount required to be so withheld or deducted, (ii) forward to the Administrative Agent for delivery to the applicable Bank an official receipt or other documentation satisfactory to the Administrative Agent and the applicable Bank evidencing such payment to such taxing authority, and (iii) direct to the Administrative Agent for the account of the relevant Banks such additional amount or amounts as is necessary to ensure that the net amount actually received by each relevant Bank will equal the full amount such Bank would have received had no such withholding or deduction (including any Indemnifiable Taxes on such additional amounts) been required. Moreover, if any Indemnifiable Taxes are directly asserted against the Administrative Agent or any Bank with respect to any payment received by the Administrative Agent or such Bank by reason of the Borrower’s failure to properly deduct and withhold such Indemnifiable Taxes from such payment, the Administrative Agent or such Bank may pay such Indemnifiable Taxes and the Borrower will promptly pay all such additional amounts (including any penalties, interest or reasonable expenses) as is necessary in order that the net amount received by such Person after the payment of such Indemnifiable Taxes (including any Indemnifiable Taxes on such additional amount) shall equal the amount such Person would have received had not such Indemnifiable Taxes been asserted;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Administrative Agent or such Bank, as the case may be, agrees to use commercially reasonable efforts, at the expense of the Borrower, to contest or otherwise challenge such Indemnifiable Taxes if the Administrative Agent or such Bank, as applicable, determines in good faith that a reasonable basis exists to do so. Any such payment shall be made promptly after the receipt by the Borrower from the Administrative Agent or such Bank, as the case may be, of a written statement setting forth in reasonable detail the amount of the Indemnifiable Taxes and the basis of the claim.</w:t>
      </w:r>
    </w:p>
    <w:p>
      <w:pPr>
        <w:spacing w:after="0" w:line="57" w:lineRule="exact"/>
        <w:rPr>
          <w:sz w:val="20"/>
          <w:szCs w:val="20"/>
          <w:color w:val="auto"/>
        </w:rPr>
      </w:pPr>
    </w:p>
    <w:p>
      <w:pPr>
        <w:ind w:right="260" w:firstLine="172"/>
        <w:spacing w:after="0" w:line="276" w:lineRule="auto"/>
        <w:tabs>
          <w:tab w:leader="none" w:pos="349" w:val="left"/>
        </w:tabs>
        <w:numPr>
          <w:ilvl w:val="0"/>
          <w:numId w:val="143"/>
        </w:numPr>
        <w:rPr>
          <w:rFonts w:ascii="Arial" w:cs="Arial" w:eastAsia="Arial" w:hAnsi="Arial"/>
          <w:sz w:val="13"/>
          <w:szCs w:val="13"/>
          <w:color w:val="auto"/>
        </w:rPr>
      </w:pPr>
      <w:r>
        <w:rPr>
          <w:rFonts w:ascii="Arial" w:cs="Arial" w:eastAsia="Arial" w:hAnsi="Arial"/>
          <w:sz w:val="13"/>
          <w:szCs w:val="13"/>
          <w:color w:val="auto"/>
        </w:rPr>
        <w:t>The Borrower shall pay any present or future stamp or documentary taxes or any other excise or any other similar levies which arise from any payment made hereunder or from the execution, delivery or registration of, or otherwise with respect to, this Agreement or any other Loan Document (“Other Taxes”).</w:t>
      </w:r>
    </w:p>
    <w:p>
      <w:pPr>
        <w:spacing w:after="0" w:line="49" w:lineRule="exact"/>
        <w:rPr>
          <w:rFonts w:ascii="Arial" w:cs="Arial" w:eastAsia="Arial" w:hAnsi="Arial"/>
          <w:sz w:val="13"/>
          <w:szCs w:val="13"/>
          <w:color w:val="auto"/>
        </w:rPr>
      </w:pPr>
    </w:p>
    <w:p>
      <w:pPr>
        <w:ind w:right="220" w:firstLine="172"/>
        <w:spacing w:after="0" w:line="371" w:lineRule="auto"/>
        <w:tabs>
          <w:tab w:leader="none" w:pos="342" w:val="left"/>
        </w:tabs>
        <w:numPr>
          <w:ilvl w:val="0"/>
          <w:numId w:val="143"/>
        </w:numPr>
        <w:rPr>
          <w:rFonts w:ascii="Arial" w:cs="Arial" w:eastAsia="Arial" w:hAnsi="Arial"/>
          <w:sz w:val="11"/>
          <w:szCs w:val="11"/>
          <w:color w:val="auto"/>
        </w:rPr>
      </w:pPr>
      <w:r>
        <w:rPr>
          <w:rFonts w:ascii="Arial" w:cs="Arial" w:eastAsia="Arial" w:hAnsi="Arial"/>
          <w:sz w:val="11"/>
          <w:szCs w:val="11"/>
          <w:color w:val="auto"/>
        </w:rPr>
        <w:t>The Borrower hereby indemnifies and holds harmless the Administrative Agent and each Bank for the full amount of Indemnifiable Taxes or Other Taxes (including, without limitation, any Indemnifiable Taxes or Other Taxes imposed on amounts payable under this §17) paid by the Administrative Agent or such Bank, as the case may be, and any liability (including penalties, interest and reasonable expenses)</w:t>
      </w:r>
    </w:p>
    <w:p>
      <w:pPr>
        <w:spacing w:after="0" w:line="61" w:lineRule="exact"/>
        <w:rPr>
          <w:rFonts w:ascii="Arial" w:cs="Arial" w:eastAsia="Arial" w:hAnsi="Arial"/>
          <w:sz w:val="11"/>
          <w:szCs w:val="11"/>
          <w:color w:val="auto"/>
        </w:rPr>
      </w:pPr>
    </w:p>
    <w:p>
      <w:pPr>
        <w:ind w:left="5440" w:hanging="68"/>
        <w:spacing w:after="0"/>
        <w:tabs>
          <w:tab w:leader="none" w:pos="5440" w:val="left"/>
        </w:tabs>
        <w:numPr>
          <w:ilvl w:val="1"/>
          <w:numId w:val="143"/>
        </w:numPr>
        <w:rPr>
          <w:rFonts w:ascii="Arial" w:cs="Arial" w:eastAsia="Arial" w:hAnsi="Arial"/>
          <w:sz w:val="13"/>
          <w:szCs w:val="13"/>
          <w:color w:val="auto"/>
        </w:rPr>
      </w:pPr>
      <w:r>
        <w:rPr>
          <w:rFonts w:ascii="Arial" w:cs="Arial" w:eastAsia="Arial" w:hAnsi="Arial"/>
          <w:sz w:val="13"/>
          <w:szCs w:val="13"/>
          <w:color w:val="auto"/>
        </w:rPr>
        <w:t>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1" w:right="239" w:bottom="1440" w:gutter="0" w:footer="0" w:header="0"/>
        </w:sectPr>
      </w:pPr>
    </w:p>
    <w:bookmarkStart w:id="169" w:name="page170"/>
    <w:bookmarkEnd w:id="169"/>
    <w:p>
      <w:pPr>
        <w:jc w:val="both"/>
        <w:ind w:left="220" w:right="400"/>
        <w:spacing w:after="0" w:line="296" w:lineRule="auto"/>
        <w:rPr>
          <w:sz w:val="20"/>
          <w:szCs w:val="20"/>
          <w:color w:val="auto"/>
        </w:rPr>
      </w:pPr>
      <w:r>
        <w:rPr>
          <w:rFonts w:ascii="Arial" w:cs="Arial" w:eastAsia="Arial" w:hAnsi="Arial"/>
          <w:sz w:val="12"/>
          <w:szCs w:val="12"/>
          <w:color w:val="auto"/>
        </w:rPr>
        <w:t>arising therefrom or with respect thereto, by reason of the Borrower’s failure to properly deduct and withhold Indemnifiable Taxes pursuant to paragraph (a) above or to properly pay Other Taxes pursuant to paragraph (b) above. Any indemnification payment from the Borrower under the preceding sentence shall be made promptly after receipt by the Borrower from the Administrative Agent or Bank of a written statement setting forth in reasonable detail the amount of such Indemnifiable Taxes or such Other Taxes, as the case may be, and the basis of the claim.</w:t>
      </w:r>
    </w:p>
    <w:p>
      <w:pPr>
        <w:spacing w:after="0" w:line="40" w:lineRule="exact"/>
        <w:rPr>
          <w:sz w:val="20"/>
          <w:szCs w:val="20"/>
          <w:color w:val="auto"/>
        </w:rPr>
      </w:pPr>
    </w:p>
    <w:p>
      <w:pPr>
        <w:ind w:left="220" w:right="60" w:firstLine="172"/>
        <w:spacing w:after="0" w:line="285" w:lineRule="auto"/>
        <w:tabs>
          <w:tab w:leader="none" w:pos="569" w:val="left"/>
        </w:tabs>
        <w:numPr>
          <w:ilvl w:val="0"/>
          <w:numId w:val="144"/>
        </w:numPr>
        <w:rPr>
          <w:rFonts w:ascii="Arial" w:cs="Arial" w:eastAsia="Arial" w:hAnsi="Arial"/>
          <w:sz w:val="12"/>
          <w:szCs w:val="12"/>
          <w:color w:val="auto"/>
        </w:rPr>
      </w:pPr>
      <w:r>
        <w:rPr>
          <w:rFonts w:ascii="Arial" w:cs="Arial" w:eastAsia="Arial" w:hAnsi="Arial"/>
          <w:sz w:val="12"/>
          <w:szCs w:val="12"/>
          <w:color w:val="auto"/>
        </w:rPr>
        <w:t xml:space="preserve">If the Borrower pays any amount under this §17 to the Administrative Agent or any Bank and such payee knowingly receives a refund or tax credit in respect of any taxes with respect to which such amount was paid, the Administrative Agent or such Bank, as the case may be, shall remit to the Borrower, promptly following the receipt thereof by such payee, an amount equal to the amount determined by such payee to be equal to the amount of any net reduction in taxes actually obtained by such payee and determined by it to be allocable to such refund or credit;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decision as to whether or not to claim any such refund or credit, and as to the amount and allocation of any such refund or credit so claimed, shall be made by each such payee in its sole and absolute discretion; and </w:t>
      </w:r>
      <w:r>
        <w:rPr>
          <w:rFonts w:ascii="Arial" w:cs="Arial" w:eastAsia="Arial" w:hAnsi="Arial"/>
          <w:sz w:val="12"/>
          <w:szCs w:val="12"/>
          <w:u w:val="single" w:color="auto"/>
          <w:color w:val="auto"/>
        </w:rPr>
        <w:t>provided</w:t>
      </w:r>
      <w:r>
        <w:rPr>
          <w:rFonts w:ascii="Arial" w:cs="Arial" w:eastAsia="Arial" w:hAnsi="Arial"/>
          <w:sz w:val="12"/>
          <w:szCs w:val="12"/>
          <w:color w:val="auto"/>
        </w:rPr>
        <w:t>, further, that nothing herein shall be deemed to obligate any Bank or the Administrative Agent to disclose to the Borrower or the Guarantor its tax returns or any information regarding its tax affairs.</w:t>
      </w:r>
    </w:p>
    <w:p>
      <w:pPr>
        <w:spacing w:after="0" w:line="45" w:lineRule="exact"/>
        <w:rPr>
          <w:rFonts w:ascii="Arial" w:cs="Arial" w:eastAsia="Arial" w:hAnsi="Arial"/>
          <w:sz w:val="12"/>
          <w:szCs w:val="12"/>
          <w:color w:val="auto"/>
        </w:rPr>
      </w:pPr>
    </w:p>
    <w:p>
      <w:pPr>
        <w:ind w:left="220" w:right="480" w:firstLine="172"/>
        <w:spacing w:after="0" w:line="276" w:lineRule="auto"/>
        <w:tabs>
          <w:tab w:leader="none" w:pos="562" w:val="left"/>
        </w:tabs>
        <w:numPr>
          <w:ilvl w:val="0"/>
          <w:numId w:val="144"/>
        </w:numPr>
        <w:rPr>
          <w:rFonts w:ascii="Arial" w:cs="Arial" w:eastAsia="Arial" w:hAnsi="Arial"/>
          <w:sz w:val="13"/>
          <w:szCs w:val="13"/>
          <w:color w:val="auto"/>
        </w:rPr>
      </w:pPr>
      <w:r>
        <w:rPr>
          <w:rFonts w:ascii="Arial" w:cs="Arial" w:eastAsia="Arial" w:hAnsi="Arial"/>
          <w:sz w:val="13"/>
          <w:szCs w:val="13"/>
          <w:color w:val="auto"/>
        </w:rPr>
        <w:t>In the event any taxing authority notifies the Borrower or the Guarantor that any of them has improperly failed to deduct or withhold any taxes (other than Indemnifiable Taxes) from a payment made hereunder to the Administrative Agent or any Bank, the Borrower shall timely and fully pay such taxes to such taxing authority.</w:t>
      </w:r>
    </w:p>
    <w:p>
      <w:pPr>
        <w:spacing w:after="0" w:line="49" w:lineRule="exact"/>
        <w:rPr>
          <w:rFonts w:ascii="Arial" w:cs="Arial" w:eastAsia="Arial" w:hAnsi="Arial"/>
          <w:sz w:val="13"/>
          <w:szCs w:val="13"/>
          <w:color w:val="auto"/>
        </w:rPr>
      </w:pPr>
    </w:p>
    <w:p>
      <w:pPr>
        <w:ind w:left="220" w:right="20" w:firstLine="172"/>
        <w:spacing w:after="0" w:line="276" w:lineRule="auto"/>
        <w:tabs>
          <w:tab w:leader="none" w:pos="547" w:val="left"/>
        </w:tabs>
        <w:numPr>
          <w:ilvl w:val="0"/>
          <w:numId w:val="144"/>
        </w:numPr>
        <w:rPr>
          <w:rFonts w:ascii="Arial" w:cs="Arial" w:eastAsia="Arial" w:hAnsi="Arial"/>
          <w:sz w:val="13"/>
          <w:szCs w:val="13"/>
          <w:color w:val="auto"/>
        </w:rPr>
      </w:pPr>
      <w:r>
        <w:rPr>
          <w:rFonts w:ascii="Arial" w:cs="Arial" w:eastAsia="Arial" w:hAnsi="Arial"/>
          <w:sz w:val="13"/>
          <w:szCs w:val="13"/>
          <w:color w:val="auto"/>
        </w:rPr>
        <w:t>The Administrative Agent or the Banks shall, upon the request of the Borrower, take reasonable measures to avoid or mitigate the amount of Indemnifiable Taxes required to be deducted or withheld from any payment made hereunder if such measures can be taken without such Person in its sole judgment suffering any legal, regulatory or economic disadvantage.</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Without prejudice to the survival of any other agreement of the parties hereunder, the agreements and obligations of the Borrower contained in this §17 shall survive the payment in full of the Obligations.</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§18. </w:t>
      </w:r>
      <w:r>
        <w:rPr>
          <w:rFonts w:ascii="Arial" w:cs="Arial" w:eastAsia="Arial" w:hAnsi="Arial"/>
          <w:sz w:val="13"/>
          <w:szCs w:val="13"/>
          <w:b w:val="1"/>
          <w:bCs w:val="1"/>
          <w:u w:val="single" w:color="auto"/>
          <w:color w:val="auto"/>
        </w:rPr>
        <w:t>TREATMENT OF CERTAIN CONFIDENTIAL INFORMATION</w:t>
      </w:r>
      <w:r>
        <w:rPr>
          <w:rFonts w:ascii="Arial" w:cs="Arial" w:eastAsia="Arial" w:hAnsi="Arial"/>
          <w:sz w:val="13"/>
          <w:szCs w:val="13"/>
          <w:b w:val="1"/>
          <w:bCs w:val="1"/>
          <w:color w:val="auto"/>
        </w:rPr>
        <w:t>.</w:t>
      </w:r>
    </w:p>
    <w:p>
      <w:pPr>
        <w:spacing w:after="0" w:line="86" w:lineRule="exact"/>
        <w:rPr>
          <w:sz w:val="20"/>
          <w:szCs w:val="20"/>
          <w:color w:val="auto"/>
        </w:rPr>
      </w:pPr>
    </w:p>
    <w:p>
      <w:pPr>
        <w:ind w:firstLine="327"/>
        <w:spacing w:after="0" w:line="262" w:lineRule="auto"/>
        <w:rPr>
          <w:sz w:val="20"/>
          <w:szCs w:val="20"/>
          <w:color w:val="auto"/>
        </w:rPr>
      </w:pPr>
      <w:r>
        <w:rPr>
          <w:rFonts w:ascii="Arial" w:cs="Arial" w:eastAsia="Arial" w:hAnsi="Arial"/>
          <w:sz w:val="13"/>
          <w:szCs w:val="13"/>
          <w:b w:val="1"/>
          <w:bCs w:val="1"/>
          <w:color w:val="auto"/>
        </w:rPr>
        <w:t>§18.1. Confidentiality</w:t>
      </w:r>
      <w:r>
        <w:rPr>
          <w:rFonts w:ascii="Arial" w:cs="Arial" w:eastAsia="Arial" w:hAnsi="Arial"/>
          <w:sz w:val="13"/>
          <w:szCs w:val="13"/>
          <w:color w:val="auto"/>
        </w:rPr>
        <w:t>. Each of the Banks and the Administrative Agent agrees, on behalf of itself and each of its affiliates, directors, officers, employees and representatives, to use reasonable precautions to keep</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confidential, in accordance with their customary procedures for handling confidential information of the same nature and in accordance with safe and sound banking practices, any non-public information supplied to it by the Borrower or any of its Subsidiaries pursuant to this Agreement that is identified by such Person as being confidential at the time the same is delivered to the Banks or the Administrative Agent,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nothing herein shall limit the disclosure of any such information (a) after such information shall have become public other than through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70" w:name="page171"/>
    <w:bookmarkEnd w:id="170"/>
    <w:p>
      <w:pPr>
        <w:spacing w:after="0" w:line="281" w:lineRule="auto"/>
        <w:rPr>
          <w:sz w:val="20"/>
          <w:szCs w:val="20"/>
          <w:color w:val="auto"/>
        </w:rPr>
      </w:pPr>
      <w:r>
        <w:rPr>
          <w:rFonts w:ascii="Arial" w:cs="Arial" w:eastAsia="Arial" w:hAnsi="Arial"/>
          <w:sz w:val="12"/>
          <w:szCs w:val="12"/>
          <w:color w:val="auto"/>
        </w:rPr>
        <w:t>violation of this §18, or becomes available to any of the Banks or the Administrative Agent on a nonconfidential basis from a source other than the Borrower, (b) to the extent required by statute, rule, regulation or judicial process, (c) to counsel for any of the Banks or the Administrative Agent, (d) to bank examiners or any other regulatory authority having jurisdiction over any Bank or any of its affiliates or the Administrative Agent or any self-regulatory body in which any of such Persons participates, or to auditors or accountants, (e) to the Administrative Agent, any Bank or any Financial Affiliate, (f) in connection with any litigation to which any one or more of the Banks, the Administrative Agent or any Financial Affiliate is a party, or in connection with the enforcement of rights or remedies hereunder or under any other Loan Document, (g) to an Affiliate of any Bank or the Administrative Agent, (h) to any actual or prospective assignee or participant or any actual or prospective counterparty (or its advisors) to any swap or derivative transactions referenced to credit or other risks or events arising under this Agreement or any other Loan Document or to any credit insurance provider relating to the Borrower and its Obligations so long as such assignee, participant, counterparty or credit insurance provider, as the case may be, agrees to be bound by the provisions of §18.1, or (i) with the consent of the Borrower.</w:t>
      </w:r>
    </w:p>
    <w:p>
      <w:pPr>
        <w:spacing w:after="0" w:line="45" w:lineRule="exact"/>
        <w:rPr>
          <w:sz w:val="20"/>
          <w:szCs w:val="20"/>
          <w:color w:val="auto"/>
        </w:rPr>
      </w:pPr>
    </w:p>
    <w:p>
      <w:pPr>
        <w:ind w:right="100" w:firstLine="327"/>
        <w:spacing w:after="0" w:line="267" w:lineRule="auto"/>
        <w:rPr>
          <w:sz w:val="20"/>
          <w:szCs w:val="20"/>
          <w:color w:val="auto"/>
        </w:rPr>
      </w:pPr>
      <w:r>
        <w:rPr>
          <w:rFonts w:ascii="Arial" w:cs="Arial" w:eastAsia="Arial" w:hAnsi="Arial"/>
          <w:sz w:val="13"/>
          <w:szCs w:val="13"/>
          <w:b w:val="1"/>
          <w:bCs w:val="1"/>
          <w:color w:val="auto"/>
        </w:rPr>
        <w:t>§18.2. Prior Notification</w:t>
      </w:r>
      <w:r>
        <w:rPr>
          <w:rFonts w:ascii="Arial" w:cs="Arial" w:eastAsia="Arial" w:hAnsi="Arial"/>
          <w:sz w:val="13"/>
          <w:szCs w:val="13"/>
          <w:color w:val="auto"/>
        </w:rPr>
        <w:t>. Unless specifically prohibited by applicable law or court order, each of the Banks and the Administrative Agent shall, prior to disclosure thereof, notify the Borrower of any request for</w:t>
      </w:r>
      <w:r>
        <w:rPr>
          <w:rFonts w:ascii="Arial" w:cs="Arial" w:eastAsia="Arial" w:hAnsi="Arial"/>
          <w:sz w:val="13"/>
          <w:szCs w:val="13"/>
          <w:b w:val="1"/>
          <w:bCs w:val="1"/>
          <w:color w:val="auto"/>
        </w:rPr>
        <w:t xml:space="preserve"> </w:t>
      </w:r>
      <w:r>
        <w:rPr>
          <w:rFonts w:ascii="Arial" w:cs="Arial" w:eastAsia="Arial" w:hAnsi="Arial"/>
          <w:sz w:val="13"/>
          <w:szCs w:val="13"/>
          <w:color w:val="auto"/>
        </w:rPr>
        <w:t>disclosure of any such non-public information by any governmental agency or representative thereof (other than any such request in connection with an examination of the financial condition of such Bank by such governmental agency) or pursuant to legal process.</w:t>
      </w:r>
    </w:p>
    <w:p>
      <w:pPr>
        <w:spacing w:after="0" w:line="52" w:lineRule="exact"/>
        <w:rPr>
          <w:sz w:val="20"/>
          <w:szCs w:val="20"/>
          <w:color w:val="auto"/>
        </w:rPr>
      </w:pPr>
    </w:p>
    <w:p>
      <w:pPr>
        <w:ind w:right="160" w:firstLine="327"/>
        <w:spacing w:after="0" w:line="300" w:lineRule="auto"/>
        <w:rPr>
          <w:sz w:val="20"/>
          <w:szCs w:val="20"/>
          <w:color w:val="auto"/>
        </w:rPr>
      </w:pPr>
      <w:r>
        <w:rPr>
          <w:rFonts w:ascii="Arial" w:cs="Arial" w:eastAsia="Arial" w:hAnsi="Arial"/>
          <w:sz w:val="12"/>
          <w:szCs w:val="12"/>
          <w:b w:val="1"/>
          <w:bCs w:val="1"/>
          <w:color w:val="auto"/>
        </w:rPr>
        <w:t>§18.3. Other</w:t>
      </w:r>
      <w:r>
        <w:rPr>
          <w:rFonts w:ascii="Arial" w:cs="Arial" w:eastAsia="Arial" w:hAnsi="Arial"/>
          <w:sz w:val="12"/>
          <w:szCs w:val="12"/>
          <w:color w:val="auto"/>
        </w:rPr>
        <w:t>. In no event shall any Bank or the Administrative Agent be obligated or required to return any materials furnished to it or any Financial Affiliate by the Borrower or any of its Subsidiaries. The</w:t>
      </w:r>
      <w:r>
        <w:rPr>
          <w:rFonts w:ascii="Arial" w:cs="Arial" w:eastAsia="Arial" w:hAnsi="Arial"/>
          <w:sz w:val="12"/>
          <w:szCs w:val="12"/>
          <w:b w:val="1"/>
          <w:bCs w:val="1"/>
          <w:color w:val="auto"/>
        </w:rPr>
        <w:t xml:space="preserve"> </w:t>
      </w:r>
      <w:r>
        <w:rPr>
          <w:rFonts w:ascii="Arial" w:cs="Arial" w:eastAsia="Arial" w:hAnsi="Arial"/>
          <w:sz w:val="12"/>
          <w:szCs w:val="12"/>
          <w:color w:val="auto"/>
        </w:rPr>
        <w:t>obligations of each Bank under this §18 shall supersede and replace the obligations of such Bank under any confidentiality letter in respect of this financing signed and delivered by such Bank to the Borrower prior to the date hereof and shall be binding upon any assignee of, or purchaser of any participation in, any interest in any of the Loans or Reimbursement Obligations from any Bank.</w:t>
      </w:r>
    </w:p>
    <w:p>
      <w:pPr>
        <w:spacing w:after="0" w:line="33" w:lineRule="exact"/>
        <w:rPr>
          <w:sz w:val="20"/>
          <w:szCs w:val="20"/>
          <w:color w:val="auto"/>
        </w:rPr>
      </w:pPr>
    </w:p>
    <w:p>
      <w:pPr>
        <w:ind w:right="200"/>
        <w:spacing w:after="0" w:line="284" w:lineRule="auto"/>
        <w:rPr>
          <w:sz w:val="20"/>
          <w:szCs w:val="20"/>
          <w:color w:val="auto"/>
        </w:rPr>
      </w:pPr>
      <w:r>
        <w:rPr>
          <w:rFonts w:ascii="Arial" w:cs="Arial" w:eastAsia="Arial" w:hAnsi="Arial"/>
          <w:sz w:val="12"/>
          <w:szCs w:val="12"/>
          <w:b w:val="1"/>
          <w:bCs w:val="1"/>
          <w:color w:val="auto"/>
        </w:rPr>
        <w:t xml:space="preserve">§19. </w:t>
      </w:r>
      <w:r>
        <w:rPr>
          <w:rFonts w:ascii="Arial" w:cs="Arial" w:eastAsia="Arial" w:hAnsi="Arial"/>
          <w:sz w:val="12"/>
          <w:szCs w:val="12"/>
          <w:b w:val="1"/>
          <w:bCs w:val="1"/>
          <w:u w:val="single" w:color="auto"/>
          <w:color w:val="auto"/>
        </w:rPr>
        <w:t>SURVIVAL OF COVENANTS, ETC</w:t>
      </w:r>
      <w:r>
        <w:rPr>
          <w:rFonts w:ascii="Arial" w:cs="Arial" w:eastAsia="Arial" w:hAnsi="Arial"/>
          <w:sz w:val="12"/>
          <w:szCs w:val="12"/>
          <w:color w:val="auto"/>
        </w:rPr>
        <w:t>. Unless otherwise stated herein, all covenants, agreements, representations and warranties made herein, in the other Loan Documents or in any documents or other papers</w:t>
      </w:r>
      <w:r>
        <w:rPr>
          <w:rFonts w:ascii="Arial" w:cs="Arial" w:eastAsia="Arial" w:hAnsi="Arial"/>
          <w:sz w:val="12"/>
          <w:szCs w:val="12"/>
          <w:b w:val="1"/>
          <w:bCs w:val="1"/>
          <w:color w:val="auto"/>
        </w:rPr>
        <w:t xml:space="preserve"> </w:t>
      </w:r>
      <w:r>
        <w:rPr>
          <w:rFonts w:ascii="Arial" w:cs="Arial" w:eastAsia="Arial" w:hAnsi="Arial"/>
          <w:sz w:val="12"/>
          <w:szCs w:val="12"/>
          <w:color w:val="auto"/>
        </w:rPr>
        <w:t>delivered by or on behalf of the Borrower or the Guarantor pursuant hereto shall be deemed to have been relied upon by the Banks, the Issuing Banks and the Administrative Agent, notwithstanding any investigation heretofore or hereafter made by them, and shall survive the making by the Banks of the Loans and the issuance, extension or renewal of any Letters of Credit by any Issuing Bank, as herein contemplated, and shall continue in full force and effect so long as any amount due under this Agreement, any Obligation, or any Letter of Credit remains outstanding and unpaid or any Bank has any obligation to make any Loans or any Issuing Bank has any obligation to issue, extend, or renew any Letters of Credit hereunder. All statements contained in any certificate or other paper delivered by or on behalf of the Borrower pursuant hereto or in connection with the transactions contemplated hereby shall constitute representations and warranties by the Borrower hereunder.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71" w:name="page172"/>
    <w:bookmarkEnd w:id="171"/>
    <w:p>
      <w:pPr>
        <w:spacing w:after="0" w:line="277" w:lineRule="auto"/>
        <w:rPr>
          <w:sz w:val="20"/>
          <w:szCs w:val="20"/>
          <w:color w:val="auto"/>
        </w:rPr>
      </w:pPr>
      <w:r>
        <w:rPr>
          <w:rFonts w:ascii="Arial" w:cs="Arial" w:eastAsia="Arial" w:hAnsi="Arial"/>
          <w:sz w:val="12"/>
          <w:szCs w:val="12"/>
          <w:b w:val="1"/>
          <w:bCs w:val="1"/>
          <w:color w:val="auto"/>
        </w:rPr>
        <w:t xml:space="preserve">§20. </w:t>
      </w:r>
      <w:r>
        <w:rPr>
          <w:rFonts w:ascii="Arial" w:cs="Arial" w:eastAsia="Arial" w:hAnsi="Arial"/>
          <w:sz w:val="12"/>
          <w:szCs w:val="12"/>
          <w:b w:val="1"/>
          <w:bCs w:val="1"/>
          <w:u w:val="single" w:color="auto"/>
          <w:color w:val="auto"/>
        </w:rPr>
        <w:t>ASSIGNMENT AND PARTICIPATION</w:t>
      </w:r>
      <w:r>
        <w:rPr>
          <w:rFonts w:ascii="Arial" w:cs="Arial" w:eastAsia="Arial" w:hAnsi="Arial"/>
          <w:sz w:val="12"/>
          <w:szCs w:val="12"/>
          <w:color w:val="auto"/>
        </w:rPr>
        <w:t>. It is understood and agreed that each Bank shall have the right to assign at any time all or a portion of its Commitment Percentage and interests in the risk relating to the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Loans, outstanding Letters of Credit and its Commitment hereunder in an amount equal to or greater than (unless otherwise agreed to by the Borrower and the Administrative Agent) $5,000,000 (or, if a Bank’s Commitment is less than $5,000,000, in a minimum amount equal to such Bank’s Commitment;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prior to any Commitment reductions pursuant to §2.3.1, such Bank’s Commitment was at least $5,000,000), to additional banks, other financial institutions or Bank Affiliates (other than Defaulting Banks) with the prior written approval of the Administrative Agent, the Swing Line Bank and each Issuing Bank and, so long as no Event of Default has occurred and is continuing, the consent of the Borrower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the Borrower’s consent shall not be required in the case of an assignment to a Bank Affiliate or to an Approved Fund and (ii) the Borrower shall be deemed to have consented to any such assignment unless it shall object thereto by written notice to the Administrative Agent within ten (10) Business Days after having received notice thereof), which approvals shall not be unreasonably withheld. Any Bank may at any time, and from time to time, assign to any branch, lending office, or Bank Affiliate all or any part of its rights and obligations under the Loan Documents by notice to the Administrative Agent and the Borrower. It is further agreed that each bank or other financial institution which executes and delivers to the Administrative Agent and the Borrower hereunder an Assignment and Assumption substantially in the form of </w:t>
      </w:r>
      <w:r>
        <w:rPr>
          <w:rFonts w:ascii="Arial" w:cs="Arial" w:eastAsia="Arial" w:hAnsi="Arial"/>
          <w:sz w:val="12"/>
          <w:szCs w:val="12"/>
          <w:u w:val="single" w:color="auto"/>
          <w:color w:val="auto"/>
        </w:rPr>
        <w:t>Exhibit E</w:t>
      </w:r>
      <w:r>
        <w:rPr>
          <w:rFonts w:ascii="Arial" w:cs="Arial" w:eastAsia="Arial" w:hAnsi="Arial"/>
          <w:sz w:val="12"/>
          <w:szCs w:val="12"/>
          <w:color w:val="auto"/>
        </w:rPr>
        <w:t xml:space="preserve"> hereto, or such other form approved by the Administrative Agent (an “Assignment and Assumption”) together with an assignment fee in the amount of $3,500 payable by the assigning Bank to the Administrative Agent, shall, on the date specified in such Assignment and Assumption, become a party to this Agreement and the other Loan Documents for all purposes of this Agreement and the other Loan Documents, and its portion of the Commitment, the Loans and Letters of Credit shall be as set forth in such Assignment and Assumption;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Administrative Agent may, in its sole discretion, elect to waive such assignment fee. The Bank assignor thereunder shall, to the extent that rights and obligations hereunder have been assigned by it pursuant to such Assignment and Assumption, relinquish its rights (except for indemnity rights arising out of the period prior to such assignment) and be released from its obligations under this Agreement and the other Loan Documents. Upon the execution and delivery of such Assignment and Assumption (a) to the extent applicable, the Borrower shall issue Notes (and replacement Notes) or the Administrative Agent shall make appropriate entries on the applicable loan account(s) to reflect such assignment of Loan(s); and (b) this Agreement and </w:t>
      </w:r>
      <w:r>
        <w:rPr>
          <w:rFonts w:ascii="Arial" w:cs="Arial" w:eastAsia="Arial" w:hAnsi="Arial"/>
          <w:sz w:val="12"/>
          <w:szCs w:val="12"/>
          <w:u w:val="single" w:color="auto"/>
          <w:color w:val="auto"/>
        </w:rPr>
        <w:t>Schedule 1</w:t>
      </w:r>
      <w:r>
        <w:rPr>
          <w:rFonts w:ascii="Arial" w:cs="Arial" w:eastAsia="Arial" w:hAnsi="Arial"/>
          <w:sz w:val="12"/>
          <w:szCs w:val="12"/>
          <w:color w:val="auto"/>
        </w:rPr>
        <w:t xml:space="preserve"> shall be deemed to be appropriately amended to reflect (i) the status of the bank, financial institution or Bank Affiliate as a party hereto and (ii) the status and rights of the Banks hereunder.</w:t>
      </w:r>
    </w:p>
    <w:p>
      <w:pPr>
        <w:spacing w:after="0" w:line="51" w:lineRule="exact"/>
        <w:rPr>
          <w:sz w:val="20"/>
          <w:szCs w:val="20"/>
          <w:color w:val="auto"/>
        </w:rPr>
      </w:pPr>
    </w:p>
    <w:p>
      <w:pPr>
        <w:ind w:right="40" w:firstLine="164"/>
        <w:spacing w:after="0" w:line="264" w:lineRule="auto"/>
        <w:rPr>
          <w:sz w:val="20"/>
          <w:szCs w:val="20"/>
          <w:color w:val="auto"/>
        </w:rPr>
      </w:pPr>
      <w:r>
        <w:rPr>
          <w:rFonts w:ascii="Arial" w:cs="Arial" w:eastAsia="Arial" w:hAnsi="Arial"/>
          <w:sz w:val="13"/>
          <w:szCs w:val="13"/>
          <w:color w:val="auto"/>
        </w:rPr>
        <w:t>Each Bank shall also have the right to grant participations to one or more banks, other financial institutions or Bank Affiliates (other than Defaulting Banks) in its Commitment, the Loans and outstanding Letters of Credit. The documents evidencing any such participation shall limit such participating bank’s, financial institution’s or Bank Affiliate’s, voting rights with respect to this Agreement to the matters set forth in §15.9(b)(i) – (v); and each such participant shall be entitled to the benefit of §5.5 hereof to the extent of its participation, subject to the limitations set forth therein.</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Notwithstanding the foregoing, no assignment or participation shall (a) be made to the Borrower or any Affiliate or (b) operate to increase the Total Commitment hereunder or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17" w:right="239" w:bottom="1440" w:gutter="0" w:footer="0" w:header="0"/>
        </w:sectPr>
      </w:pPr>
    </w:p>
    <w:bookmarkStart w:id="172" w:name="page173"/>
    <w:bookmarkEnd w:id="172"/>
    <w:p>
      <w:pPr>
        <w:spacing w:after="0" w:line="276" w:lineRule="auto"/>
        <w:rPr>
          <w:sz w:val="20"/>
          <w:szCs w:val="20"/>
          <w:color w:val="auto"/>
        </w:rPr>
      </w:pPr>
      <w:r>
        <w:rPr>
          <w:rFonts w:ascii="Arial" w:cs="Arial" w:eastAsia="Arial" w:hAnsi="Arial"/>
          <w:sz w:val="13"/>
          <w:szCs w:val="13"/>
          <w:color w:val="auto"/>
        </w:rPr>
        <w:t>otherwise alter the substantive terms of this Agreement, and no Bank which retains a Commitment hereunder shall have a Commitment of less than $5,000,000, except as a result of reductions in the Total Commitment pursuant to §2.3 hereof.</w:t>
      </w:r>
    </w:p>
    <w:p>
      <w:pPr>
        <w:spacing w:after="0" w:line="49" w:lineRule="exact"/>
        <w:rPr>
          <w:sz w:val="20"/>
          <w:szCs w:val="20"/>
          <w:color w:val="auto"/>
        </w:rPr>
      </w:pPr>
    </w:p>
    <w:p>
      <w:pPr>
        <w:jc w:val="both"/>
        <w:ind w:right="20" w:firstLine="157"/>
        <w:spacing w:after="0" w:line="264" w:lineRule="auto"/>
        <w:rPr>
          <w:sz w:val="20"/>
          <w:szCs w:val="20"/>
          <w:color w:val="auto"/>
        </w:rPr>
      </w:pPr>
      <w:r>
        <w:rPr>
          <w:rFonts w:ascii="Arial" w:cs="Arial" w:eastAsia="Arial" w:hAnsi="Arial"/>
          <w:sz w:val="13"/>
          <w:szCs w:val="13"/>
          <w:color w:val="auto"/>
        </w:rPr>
        <w:t>Anything contained in this §20 to the contrary notwithstanding, any Bank may at any time pledge all or any portion of its interest and rights under this Agreement (including all or any portion of its Notes) to any of the twelve Federal Reserve Banks organized under §4 of the Federal Reserve Act, 12 U.S.C. §341. No such pledge or the enforcement thereof shall release the pledgor Bank from its obligations hereunder or under any of the other Loan Documents.</w:t>
      </w:r>
    </w:p>
    <w:p>
      <w:pPr>
        <w:spacing w:after="0" w:line="57" w:lineRule="exact"/>
        <w:rPr>
          <w:sz w:val="20"/>
          <w:szCs w:val="20"/>
          <w:color w:val="auto"/>
        </w:rPr>
      </w:pPr>
    </w:p>
    <w:p>
      <w:pPr>
        <w:ind w:right="260" w:firstLine="161"/>
        <w:spacing w:after="0" w:line="369" w:lineRule="auto"/>
        <w:rPr>
          <w:sz w:val="20"/>
          <w:szCs w:val="20"/>
          <w:color w:val="auto"/>
        </w:rPr>
      </w:pPr>
      <w:r>
        <w:rPr>
          <w:rFonts w:ascii="Arial" w:cs="Arial" w:eastAsia="Arial" w:hAnsi="Arial"/>
          <w:sz w:val="11"/>
          <w:szCs w:val="11"/>
          <w:color w:val="auto"/>
        </w:rPr>
        <w:t xml:space="preserve">The Borrower agrees that in addition to disclosures made in accordance with standard and customary banking practices any Bank may disclose information obtained by such Bank pursuant to this Agreement to assignees or participants and potential assignees or participants hereunder;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assignees or participants or potential assignees or participants shall agree to be bound by §18 hereof.</w:t>
      </w:r>
    </w:p>
    <w:p>
      <w:pPr>
        <w:ind w:right="260"/>
        <w:spacing w:after="0" w:line="373" w:lineRule="auto"/>
        <w:rPr>
          <w:sz w:val="20"/>
          <w:szCs w:val="20"/>
          <w:color w:val="auto"/>
        </w:rPr>
      </w:pPr>
      <w:r>
        <w:rPr>
          <w:rFonts w:ascii="Arial" w:cs="Arial" w:eastAsia="Arial" w:hAnsi="Arial"/>
          <w:sz w:val="11"/>
          <w:szCs w:val="11"/>
          <w:b w:val="1"/>
          <w:bCs w:val="1"/>
          <w:color w:val="auto"/>
        </w:rPr>
        <w:t xml:space="preserve">§21. </w:t>
      </w:r>
      <w:r>
        <w:rPr>
          <w:rFonts w:ascii="Arial" w:cs="Arial" w:eastAsia="Arial" w:hAnsi="Arial"/>
          <w:sz w:val="11"/>
          <w:szCs w:val="11"/>
          <w:b w:val="1"/>
          <w:bCs w:val="1"/>
          <w:u w:val="single" w:color="auto"/>
          <w:color w:val="auto"/>
        </w:rPr>
        <w:t>PARTIES IN INTEREST</w:t>
      </w:r>
      <w:r>
        <w:rPr>
          <w:rFonts w:ascii="Arial" w:cs="Arial" w:eastAsia="Arial" w:hAnsi="Arial"/>
          <w:sz w:val="11"/>
          <w:szCs w:val="11"/>
          <w:b w:val="1"/>
          <w:bCs w:val="1"/>
          <w:color w:val="auto"/>
        </w:rPr>
        <w:t xml:space="preserve">. </w:t>
      </w:r>
      <w:r>
        <w:rPr>
          <w:rFonts w:ascii="Arial" w:cs="Arial" w:eastAsia="Arial" w:hAnsi="Arial"/>
          <w:sz w:val="11"/>
          <w:szCs w:val="11"/>
          <w:color w:val="auto"/>
        </w:rPr>
        <w:t>All the terms of this Agreement and the other Loan Documents shall be binding upon and inure to the benefit of and be enforceable by the respective successors and assigns of the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parties hereto and thereto; </w:t>
      </w:r>
      <w:r>
        <w:rPr>
          <w:rFonts w:ascii="Arial" w:cs="Arial" w:eastAsia="Arial" w:hAnsi="Arial"/>
          <w:sz w:val="11"/>
          <w:szCs w:val="11"/>
          <w:u w:val="single" w:color="auto"/>
          <w:color w:val="auto"/>
        </w:rPr>
        <w:t>provided</w:t>
      </w:r>
      <w:r>
        <w:rPr>
          <w:rFonts w:ascii="Arial" w:cs="Arial" w:eastAsia="Arial" w:hAnsi="Arial"/>
          <w:sz w:val="11"/>
          <w:szCs w:val="11"/>
          <w:color w:val="auto"/>
        </w:rPr>
        <w:t>, that neither the Borrower nor the Guarantor shall assign or transfer its rights or obligations hereunder or thereunder without the prior written consent of each of the Banks.</w:t>
      </w:r>
    </w:p>
    <w:p>
      <w:pPr>
        <w:spacing w:after="0"/>
        <w:rPr>
          <w:sz w:val="20"/>
          <w:szCs w:val="20"/>
          <w:color w:val="auto"/>
        </w:rPr>
      </w:pPr>
      <w:r>
        <w:rPr>
          <w:rFonts w:ascii="Arial" w:cs="Arial" w:eastAsia="Arial" w:hAnsi="Arial"/>
          <w:sz w:val="13"/>
          <w:szCs w:val="13"/>
          <w:b w:val="1"/>
          <w:bCs w:val="1"/>
          <w:color w:val="auto"/>
        </w:rPr>
        <w:t xml:space="preserve">§22. </w:t>
      </w:r>
      <w:r>
        <w:rPr>
          <w:rFonts w:ascii="Arial" w:cs="Arial" w:eastAsia="Arial" w:hAnsi="Arial"/>
          <w:sz w:val="13"/>
          <w:szCs w:val="13"/>
          <w:b w:val="1"/>
          <w:bCs w:val="1"/>
          <w:u w:val="single" w:color="auto"/>
          <w:color w:val="auto"/>
        </w:rPr>
        <w:t>NOTICES, ETC</w:t>
      </w:r>
      <w:r>
        <w:rPr>
          <w:rFonts w:ascii="Arial" w:cs="Arial" w:eastAsia="Arial" w:hAnsi="Arial"/>
          <w:sz w:val="13"/>
          <w:szCs w:val="13"/>
          <w:b w:val="1"/>
          <w:bCs w:val="1"/>
          <w:color w:val="auto"/>
        </w:rPr>
        <w:t>.</w:t>
      </w:r>
    </w:p>
    <w:p>
      <w:pPr>
        <w:spacing w:after="0" w:line="90" w:lineRule="exact"/>
        <w:rPr>
          <w:sz w:val="20"/>
          <w:szCs w:val="20"/>
          <w:color w:val="auto"/>
        </w:rPr>
      </w:pPr>
    </w:p>
    <w:p>
      <w:pPr>
        <w:ind w:right="80" w:firstLine="162"/>
        <w:spacing w:after="0" w:line="264" w:lineRule="auto"/>
        <w:tabs>
          <w:tab w:leader="none" w:pos="342" w:val="left"/>
        </w:tabs>
        <w:numPr>
          <w:ilvl w:val="0"/>
          <w:numId w:val="145"/>
        </w:numPr>
        <w:rPr>
          <w:rFonts w:ascii="Arial" w:cs="Arial" w:eastAsia="Arial" w:hAnsi="Arial"/>
          <w:sz w:val="13"/>
          <w:szCs w:val="13"/>
          <w:color w:val="auto"/>
        </w:rPr>
      </w:pPr>
      <w:r>
        <w:rPr>
          <w:rFonts w:ascii="Arial" w:cs="Arial" w:eastAsia="Arial" w:hAnsi="Arial"/>
          <w:sz w:val="13"/>
          <w:szCs w:val="13"/>
          <w:color w:val="auto"/>
        </w:rPr>
        <w:t>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57" w:lineRule="exact"/>
        <w:rPr>
          <w:rFonts w:ascii="Arial" w:cs="Arial" w:eastAsia="Arial" w:hAnsi="Arial"/>
          <w:sz w:val="13"/>
          <w:szCs w:val="13"/>
          <w:color w:val="auto"/>
        </w:rPr>
      </w:pPr>
    </w:p>
    <w:p>
      <w:pPr>
        <w:ind w:left="220" w:right="600" w:firstLine="172"/>
        <w:spacing w:after="0" w:line="276" w:lineRule="auto"/>
        <w:tabs>
          <w:tab w:leader="none" w:pos="540" w:val="left"/>
        </w:tabs>
        <w:numPr>
          <w:ilvl w:val="1"/>
          <w:numId w:val="145"/>
        </w:numPr>
        <w:rPr>
          <w:rFonts w:ascii="Arial" w:cs="Arial" w:eastAsia="Arial" w:hAnsi="Arial"/>
          <w:sz w:val="13"/>
          <w:szCs w:val="13"/>
          <w:color w:val="auto"/>
        </w:rPr>
      </w:pPr>
      <w:r>
        <w:rPr>
          <w:rFonts w:ascii="Arial" w:cs="Arial" w:eastAsia="Arial" w:hAnsi="Arial"/>
          <w:sz w:val="13"/>
          <w:szCs w:val="13"/>
          <w:color w:val="auto"/>
        </w:rPr>
        <w:t xml:space="preserve">if to the Borrower, the Administrative Agent, an Issuing Bank or the Swing Line Bank, to the address, telecopier number, electronic mail address or telephone number specified for such Person on </w:t>
      </w:r>
      <w:r>
        <w:rPr>
          <w:rFonts w:ascii="Arial" w:cs="Arial" w:eastAsia="Arial" w:hAnsi="Arial"/>
          <w:sz w:val="13"/>
          <w:szCs w:val="13"/>
          <w:u w:val="single" w:color="auto"/>
          <w:color w:val="auto"/>
        </w:rPr>
        <w:t>Schedule 22</w:t>
      </w:r>
      <w:r>
        <w:rPr>
          <w:rFonts w:ascii="Arial" w:cs="Arial" w:eastAsia="Arial" w:hAnsi="Arial"/>
          <w:sz w:val="13"/>
          <w:szCs w:val="13"/>
          <w:color w:val="auto"/>
        </w:rPr>
        <w:t>; and</w:t>
      </w:r>
    </w:p>
    <w:p>
      <w:pPr>
        <w:spacing w:after="0" w:line="49" w:lineRule="exact"/>
        <w:rPr>
          <w:rFonts w:ascii="Arial" w:cs="Arial" w:eastAsia="Arial" w:hAnsi="Arial"/>
          <w:sz w:val="13"/>
          <w:szCs w:val="13"/>
          <w:color w:val="auto"/>
        </w:rPr>
      </w:pPr>
    </w:p>
    <w:p>
      <w:pPr>
        <w:ind w:left="220" w:right="180" w:firstLine="172"/>
        <w:spacing w:after="0" w:line="320" w:lineRule="auto"/>
        <w:tabs>
          <w:tab w:leader="none" w:pos="576" w:val="left"/>
        </w:tabs>
        <w:numPr>
          <w:ilvl w:val="1"/>
          <w:numId w:val="145"/>
        </w:numPr>
        <w:rPr>
          <w:rFonts w:ascii="Arial" w:cs="Arial" w:eastAsia="Arial" w:hAnsi="Arial"/>
          <w:sz w:val="12"/>
          <w:szCs w:val="12"/>
          <w:color w:val="auto"/>
        </w:rPr>
      </w:pPr>
      <w:r>
        <w:rPr>
          <w:rFonts w:ascii="Arial" w:cs="Arial" w:eastAsia="Arial" w:hAnsi="Arial"/>
          <w:sz w:val="12"/>
          <w:szCs w:val="12"/>
          <w:color w:val="auto"/>
        </w:rPr>
        <w:t>if to any other Bank, to the address, telecopier number, electronic mail address or telephone number specified in its Administrative Questionnaire (including, as appropriate, notices delivered solely to the Person designated by a Bank on its Administrative Questionnaire then in effect for the delivery of notices that may contain material non-public information relating to the Borrower).</w:t>
      </w:r>
    </w:p>
    <w:p>
      <w:pPr>
        <w:spacing w:after="0" w:line="25" w:lineRule="exact"/>
        <w:rPr>
          <w:sz w:val="20"/>
          <w:szCs w:val="20"/>
          <w:color w:val="auto"/>
        </w:rPr>
      </w:pPr>
    </w:p>
    <w:p>
      <w:pPr>
        <w:spacing w:after="0" w:line="296" w:lineRule="auto"/>
        <w:rPr>
          <w:sz w:val="20"/>
          <w:szCs w:val="20"/>
          <w:color w:val="auto"/>
        </w:rPr>
      </w:pPr>
      <w:r>
        <w:rPr>
          <w:rFonts w:ascii="Arial" w:cs="Arial" w:eastAsia="Arial" w:hAnsi="Arial"/>
          <w:sz w:val="12"/>
          <w:szCs w:val="12"/>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1" w:right="299" w:bottom="1440" w:gutter="0" w:footer="0" w:header="0"/>
        </w:sectPr>
      </w:pPr>
    </w:p>
    <w:bookmarkStart w:id="173" w:name="page174"/>
    <w:bookmarkEnd w:id="173"/>
    <w:p>
      <w:pPr>
        <w:ind w:left="-326" w:firstLine="326"/>
        <w:spacing w:after="0" w:line="306" w:lineRule="auto"/>
        <w:tabs>
          <w:tab w:leader="none" w:pos="184" w:val="left"/>
        </w:tabs>
        <w:numPr>
          <w:ilvl w:val="0"/>
          <w:numId w:val="146"/>
        </w:numPr>
        <w:rPr>
          <w:rFonts w:ascii="Arial" w:cs="Arial" w:eastAsia="Arial" w:hAnsi="Arial"/>
          <w:sz w:val="11"/>
          <w:szCs w:val="11"/>
          <w:color w:val="auto"/>
        </w:rPr>
      </w:pPr>
      <w:r>
        <w:rPr>
          <w:rFonts w:ascii="Arial" w:cs="Arial" w:eastAsia="Arial" w:hAnsi="Arial"/>
          <w:sz w:val="11"/>
          <w:szCs w:val="11"/>
          <w:color w:val="auto"/>
        </w:rPr>
        <w:t>The Borrower hereby agrees that it will provide to the Administrative Agent all information, documents and other materials that it is obligated to furnish to the Administrative Agent pursuant to this Agreement and the other Loan Documents, including, without limitation, all notices, requests, financial statements, financial and other reports, certificates and other information materials, but excluding any such communication that (i) relates to a request for a new, or a conversion of an existing, Borrowing or other extension of credit (including any election of an interest rate or Interest Period relating thereto), (ii) relates to the payment of any principal or other amount due under this Agreement prior to the scheduled date therefor, (iii) provides notice of any Default or Event of Default under this Agreement or (iv) is required to be delivered to satisfy any condition precedent to the effectiveness of this Agreement and/or any borrowing or other extension of credit thereunder (all such non-excluded communications being referred to herein collectively as “</w:t>
      </w:r>
      <w:r>
        <w:rPr>
          <w:rFonts w:ascii="Arial" w:cs="Arial" w:eastAsia="Arial" w:hAnsi="Arial"/>
          <w:sz w:val="11"/>
          <w:szCs w:val="11"/>
          <w:u w:val="single" w:color="auto"/>
          <w:color w:val="auto"/>
        </w:rPr>
        <w:t>Communications</w:t>
      </w:r>
      <w:r>
        <w:rPr>
          <w:rFonts w:ascii="Arial" w:cs="Arial" w:eastAsia="Arial" w:hAnsi="Arial"/>
          <w:sz w:val="11"/>
          <w:szCs w:val="11"/>
          <w:color w:val="auto"/>
        </w:rPr>
        <w:t xml:space="preserve">”), by transmitting the Communications in an electronic/soft medium in a format acceptable to the Administrative Agent pursuant to procedures approved by the Administrative Agent. In addition, the Borrower agrees to continue to provide the Communications to the Administrative Agent in the manner specified in this Agreement but only to the extent requested by the Administrative Agent. Unless the Administrative Agent otherwise prescribes, (i)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95" w:lineRule="exact"/>
        <w:rPr>
          <w:rFonts w:ascii="Arial" w:cs="Arial" w:eastAsia="Arial" w:hAnsi="Arial"/>
          <w:sz w:val="11"/>
          <w:szCs w:val="11"/>
          <w:color w:val="auto"/>
        </w:rPr>
      </w:pPr>
    </w:p>
    <w:p>
      <w:pPr>
        <w:ind w:left="-326" w:firstLine="326"/>
        <w:spacing w:after="0" w:line="279" w:lineRule="auto"/>
        <w:tabs>
          <w:tab w:leader="none" w:pos="177" w:val="left"/>
        </w:tabs>
        <w:numPr>
          <w:ilvl w:val="0"/>
          <w:numId w:val="146"/>
        </w:numPr>
        <w:rPr>
          <w:rFonts w:ascii="Arial" w:cs="Arial" w:eastAsia="Arial" w:hAnsi="Arial"/>
          <w:sz w:val="12"/>
          <w:szCs w:val="12"/>
          <w:color w:val="auto"/>
        </w:rPr>
      </w:pPr>
      <w:r>
        <w:rPr>
          <w:rFonts w:ascii="Arial" w:cs="Arial" w:eastAsia="Arial" w:hAnsi="Arial"/>
          <w:sz w:val="12"/>
          <w:szCs w:val="12"/>
          <w:color w:val="auto"/>
        </w:rPr>
        <w:t>The Borrower further agrees that (i) the Administrative Agent and/or the Lead Arrangers may make the Communications and/or information provided by or on behalf of the Borrower hereunder available to the Banks by posting the Communications and such other information on Intralinks or a substantially similar electronic transmission system (the “</w:t>
      </w:r>
      <w:r>
        <w:rPr>
          <w:rFonts w:ascii="Arial" w:cs="Arial" w:eastAsia="Arial" w:hAnsi="Arial"/>
          <w:sz w:val="12"/>
          <w:szCs w:val="12"/>
          <w:u w:val="single" w:color="auto"/>
          <w:color w:val="auto"/>
        </w:rPr>
        <w:t>Platform</w:t>
      </w:r>
      <w:r>
        <w:rPr>
          <w:rFonts w:ascii="Arial" w:cs="Arial" w:eastAsia="Arial" w:hAnsi="Arial"/>
          <w:sz w:val="12"/>
          <w:szCs w:val="12"/>
          <w:color w:val="auto"/>
        </w:rPr>
        <w:t>”) and (ii) certain of the Banks (each, a “Public Lender”)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all Communications and such other information that are to be made available to Public Lenders shall be clearly and conspicuously marked “PUBLIC” which, at a minimum, shall mean that the word “PUBLIC” shall appear prominently on the first page thereof; (x) by marking such Communications and other information “PUBLIC,” the Borrower shall be deemed to have authorized the Administrative Agent, the Lead Arrangers, the Issuing Banks and the Banks to treat such Communications and other information as not containing any material non-public information with respect to the Borrower or its securities for purposes of United States Federal and state securities laws (provided, however, that to the extent such Communications and other information subject to §18.1, they shall be treated as set forth in §18.1); (y) all Communications and other information marked “PUBLIC” are permitted to be made available through a portion of the Platform designated “Public Side Information;” and (z) the Administrative Agent and the Lead Arrangers shall be entitled to treat any Communications and</w:t>
      </w:r>
    </w:p>
    <w:p>
      <w:pPr>
        <w:spacing w:after="0" w:line="109" w:lineRule="exact"/>
        <w:rPr>
          <w:rFonts w:ascii="Arial" w:cs="Arial" w:eastAsia="Arial" w:hAnsi="Arial"/>
          <w:sz w:val="12"/>
          <w:szCs w:val="12"/>
          <w:color w:val="auto"/>
        </w:rPr>
      </w:pPr>
    </w:p>
    <w:p>
      <w:pPr>
        <w:ind w:left="5334" w:hanging="68"/>
        <w:spacing w:after="0"/>
        <w:tabs>
          <w:tab w:leader="none" w:pos="5334" w:val="left"/>
        </w:tabs>
        <w:numPr>
          <w:ilvl w:val="1"/>
          <w:numId w:val="146"/>
        </w:numPr>
        <w:rPr>
          <w:rFonts w:ascii="Arial" w:cs="Arial" w:eastAsia="Arial" w:hAnsi="Arial"/>
          <w:sz w:val="13"/>
          <w:szCs w:val="13"/>
          <w:color w:val="auto"/>
        </w:rPr>
      </w:pPr>
      <w:r>
        <w:rPr>
          <w:rFonts w:ascii="Arial" w:cs="Arial" w:eastAsia="Arial" w:hAnsi="Arial"/>
          <w:sz w:val="13"/>
          <w:szCs w:val="13"/>
          <w:color w:val="auto"/>
        </w:rPr>
        <w:t>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107315</wp:posOffset>
            </wp:positionV>
            <wp:extent cx="729043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34"/>
          </w:cols>
          <w:pgMar w:left="546" w:top="720" w:right="219" w:bottom="1440" w:gutter="0" w:footer="0" w:header="0"/>
        </w:sectPr>
      </w:pPr>
    </w:p>
    <w:bookmarkStart w:id="174" w:name="page175"/>
    <w:bookmarkEnd w:id="174"/>
    <w:p>
      <w:pPr>
        <w:spacing w:after="0" w:line="258" w:lineRule="auto"/>
        <w:rPr>
          <w:sz w:val="20"/>
          <w:szCs w:val="20"/>
          <w:color w:val="auto"/>
        </w:rPr>
      </w:pPr>
      <w:r>
        <w:rPr>
          <w:rFonts w:ascii="Arial" w:cs="Arial" w:eastAsia="Arial" w:hAnsi="Arial"/>
          <w:sz w:val="13"/>
          <w:szCs w:val="13"/>
          <w:color w:val="auto"/>
        </w:rPr>
        <w:t>other information that are not marked “PUBLIC” as being suitable only for posting on a portion of the Platform not designated “Public Side Information.”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61" w:lineRule="exact"/>
        <w:rPr>
          <w:sz w:val="20"/>
          <w:szCs w:val="20"/>
          <w:color w:val="auto"/>
        </w:rPr>
      </w:pPr>
    </w:p>
    <w:p>
      <w:pPr>
        <w:ind w:right="40" w:firstLine="326"/>
        <w:spacing w:after="0" w:line="254" w:lineRule="auto"/>
        <w:tabs>
          <w:tab w:leader="none" w:pos="511" w:val="left"/>
        </w:tabs>
        <w:numPr>
          <w:ilvl w:val="0"/>
          <w:numId w:val="147"/>
        </w:numPr>
        <w:rPr>
          <w:rFonts w:ascii="Arial" w:cs="Arial" w:eastAsia="Arial" w:hAnsi="Arial"/>
          <w:sz w:val="13"/>
          <w:szCs w:val="13"/>
          <w:color w:val="auto"/>
        </w:rPr>
      </w:pPr>
      <w:r>
        <w:rPr>
          <w:rFonts w:ascii="Arial" w:cs="Arial" w:eastAsia="Arial" w:hAnsi="Arial"/>
          <w:sz w:val="13"/>
          <w:szCs w:val="13"/>
          <w:color w:val="auto"/>
        </w:rPr>
        <w:t xml:space="preserve">THE PLATFORM IS PROVIDED “AS IS” AND “AS AVAILABLE”. THE AGENT PARTIES (AS DEFINED BELOW) DO NOT WARRANT THE ACCURACY OR COMPLETENESS OF THE COMMUNICATIONS, OR THE ADEQUACY OF THE PLATFORM AND EXPRESSLY DISCLAIM LIABILITY FOR ERRORS OR OMISSIONS IN THE COMMUNICATIONS. NO WARRANTY OF ANY KIND, EXPRESS, IMPLIED OR STATUTORY, INCLUDING, WITHOUT LIMITATION, AN WARRANTY OF MERCHANTABILITY, FITNESS FOR A PARTICULAR PURPOSE, NON-INFRINGEMENT OF THIRD PARTY RIGHTS OR FREEDOM FROM VIRUSES OR OTHER CODE DEFECTS, IS MADE BY THE AGENT PARTIES IN CONNECTION WITH THE COMMUNICATIONS OR THE PLATFORM. IN NO EVENT SHALL THE ADMINISTRATIVE AGENT OR ANY OF ITS AFFILIATES OR ANY OF THEIR RESPECTIVE OFFICERS, DIRECTORS, EMPLOYEES, AGENTS, ADVISORS OR REPRESENTATIVES (COLLECTIVELY, “AGENT PARTIES”) HAVE ANY LIABILITY TO THE BORROWER, ANY BANK OR ANY OTHER PERSON OR ENTITY FOR DAMAGES OF ANY KIND ARISING OUT OF THE BORROWER’S OR THE ADMINISTRATIVE AGENT’S TRANSMISSION OF COMMUNICATIONS THROUGH THE INTERNET, EXCEPT TO THE EXTENT THE LIABILITY OF ANY AGENT PARTY IS FOUND IN A FINAL NON-APPEALABLE JUDGMENT BY A COURT OF COMPETENT JURISDICTION TO HAVE RESULTED PRIMARILY FROM SUCH AGENT PARTY’S GROSS NEGLIGENCE, WILLFUL MISCONDUCT OR MATERIAL BREACH;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IN NO EVENT SHALL ANY AGENT PARTY HAVE ANY LIABILITY TO THE BORROWER, ANY BANK, ANY ISSUING BANK OR ANY OTHER PERSON FOR INDIRECT, SPECIAL, INCIDENTAL, CONSEQUENTIAL OR PUNITIVE DAMAGES (AS OPPOSED TO DIRECT OR ACTUAL DAMAGES).</w:t>
      </w:r>
    </w:p>
    <w:p>
      <w:pPr>
        <w:spacing w:after="0" w:line="68" w:lineRule="exact"/>
        <w:rPr>
          <w:rFonts w:ascii="Arial" w:cs="Arial" w:eastAsia="Arial" w:hAnsi="Arial"/>
          <w:sz w:val="13"/>
          <w:szCs w:val="13"/>
          <w:color w:val="auto"/>
        </w:rPr>
      </w:pPr>
    </w:p>
    <w:p>
      <w:pPr>
        <w:ind w:firstLine="326"/>
        <w:spacing w:after="0" w:line="289" w:lineRule="auto"/>
        <w:tabs>
          <w:tab w:leader="none" w:pos="503" w:val="left"/>
        </w:tabs>
        <w:numPr>
          <w:ilvl w:val="0"/>
          <w:numId w:val="147"/>
        </w:numPr>
        <w:rPr>
          <w:rFonts w:ascii="Arial" w:cs="Arial" w:eastAsia="Arial" w:hAnsi="Arial"/>
          <w:sz w:val="12"/>
          <w:szCs w:val="12"/>
          <w:color w:val="auto"/>
        </w:rPr>
      </w:pPr>
      <w:r>
        <w:rPr>
          <w:rFonts w:ascii="Arial" w:cs="Arial" w:eastAsia="Arial" w:hAnsi="Arial"/>
          <w:sz w:val="12"/>
          <w:szCs w:val="12"/>
          <w:color w:val="auto"/>
        </w:rPr>
        <w:t>The Administrative Agent agrees that the receipt of the Communications by the Administrative Agent at its e-mail address set forth above shall constitute effective delivery of the Communications to the Administrative Agent for purposes of this Agreement. Each Bank agrees that notice to it (as provided in the next sentence) specifying that the Communications have been posted to the Platform shall constitute effective delivery of the Communications to such Bank for purposes of this Agreement. Each Bank agrees to notify the Administrative Agent in writing (including by electronic communication) from time to time of such Bank’s e-mail address to which the foregoing notice may be sent by electronic transmission and (ii) that the foregoing notice may be sent to such e-mail address.</w:t>
      </w:r>
    </w:p>
    <w:p>
      <w:pPr>
        <w:spacing w:after="0" w:line="102" w:lineRule="exact"/>
        <w:rPr>
          <w:rFonts w:ascii="Arial" w:cs="Arial" w:eastAsia="Arial" w:hAnsi="Arial"/>
          <w:sz w:val="12"/>
          <w:szCs w:val="12"/>
          <w:color w:val="auto"/>
        </w:rPr>
      </w:pPr>
    </w:p>
    <w:p>
      <w:pPr>
        <w:ind w:left="5660" w:hanging="68"/>
        <w:spacing w:after="0"/>
        <w:tabs>
          <w:tab w:leader="none" w:pos="5660" w:val="left"/>
        </w:tabs>
        <w:numPr>
          <w:ilvl w:val="1"/>
          <w:numId w:val="147"/>
        </w:numPr>
        <w:rPr>
          <w:rFonts w:ascii="Arial" w:cs="Arial" w:eastAsia="Arial" w:hAnsi="Arial"/>
          <w:sz w:val="13"/>
          <w:szCs w:val="13"/>
          <w:color w:val="auto"/>
        </w:rPr>
      </w:pPr>
      <w:r>
        <w:rPr>
          <w:rFonts w:ascii="Arial" w:cs="Arial" w:eastAsia="Arial" w:hAnsi="Arial"/>
          <w:sz w:val="13"/>
          <w:szCs w:val="13"/>
          <w:color w:val="auto"/>
        </w:rPr>
        <w:t>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175" w:name="page176"/>
    <w:bookmarkEnd w:id="175"/>
    <w:p>
      <w:pPr>
        <w:ind w:left="320"/>
        <w:spacing w:after="0"/>
        <w:rPr>
          <w:sz w:val="20"/>
          <w:szCs w:val="20"/>
          <w:color w:val="auto"/>
        </w:rPr>
      </w:pPr>
      <w:r>
        <w:rPr>
          <w:rFonts w:ascii="Arial" w:cs="Arial" w:eastAsia="Arial" w:hAnsi="Arial"/>
          <w:sz w:val="13"/>
          <w:szCs w:val="13"/>
          <w:color w:val="auto"/>
        </w:rPr>
        <w:t>(f) Nothing herein shall prejudice the right of the Administrative Agent or any Bank to give any notice or other communication pursuant to this Agreement in any other manner specified herein.</w:t>
      </w:r>
    </w:p>
    <w:p>
      <w:pPr>
        <w:spacing w:after="0" w:line="82" w:lineRule="exact"/>
        <w:rPr>
          <w:sz w:val="20"/>
          <w:szCs w:val="20"/>
          <w:color w:val="auto"/>
        </w:rPr>
      </w:pPr>
    </w:p>
    <w:p>
      <w:pPr>
        <w:spacing w:after="0" w:line="281" w:lineRule="auto"/>
        <w:rPr>
          <w:sz w:val="20"/>
          <w:szCs w:val="20"/>
          <w:color w:val="auto"/>
        </w:rPr>
      </w:pPr>
      <w:r>
        <w:rPr>
          <w:rFonts w:ascii="Arial" w:cs="Arial" w:eastAsia="Arial" w:hAnsi="Arial"/>
          <w:sz w:val="12"/>
          <w:szCs w:val="12"/>
          <w:b w:val="1"/>
          <w:bCs w:val="1"/>
          <w:color w:val="auto"/>
        </w:rPr>
        <w:t xml:space="preserve">§23. </w:t>
      </w:r>
      <w:r>
        <w:rPr>
          <w:rFonts w:ascii="Arial" w:cs="Arial" w:eastAsia="Arial" w:hAnsi="Arial"/>
          <w:sz w:val="12"/>
          <w:szCs w:val="12"/>
          <w:b w:val="1"/>
          <w:bCs w:val="1"/>
          <w:u w:val="single" w:color="auto"/>
          <w:color w:val="auto"/>
        </w:rPr>
        <w:t>MISCELLANEOUS</w:t>
      </w:r>
      <w:r>
        <w:rPr>
          <w:rFonts w:ascii="Arial" w:cs="Arial" w:eastAsia="Arial" w:hAnsi="Arial"/>
          <w:sz w:val="12"/>
          <w:szCs w:val="12"/>
          <w:color w:val="auto"/>
        </w:rPr>
        <w:t>. The rights and remedies herein expressed are cumulative and not exclusive of any other rights which the Banks, the Issuing Banks or the Administrative Agent would otherwise have. The</w:t>
      </w:r>
      <w:r>
        <w:rPr>
          <w:rFonts w:ascii="Arial" w:cs="Arial" w:eastAsia="Arial" w:hAnsi="Arial"/>
          <w:sz w:val="12"/>
          <w:szCs w:val="12"/>
          <w:b w:val="1"/>
          <w:bCs w:val="1"/>
          <w:color w:val="auto"/>
        </w:rPr>
        <w:t xml:space="preserve"> </w:t>
      </w:r>
      <w:r>
        <w:rPr>
          <w:rFonts w:ascii="Arial" w:cs="Arial" w:eastAsia="Arial" w:hAnsi="Arial"/>
          <w:sz w:val="12"/>
          <w:szCs w:val="12"/>
          <w:color w:val="auto"/>
        </w:rPr>
        <w:t>captions in this Agreement are for convenience of reference only and shall not define or limit the provisions hereof. This Agreement and any amendment hereof may be executed in several counterparts and by each party on a separate counterpart, each of which when so executed and delivered shall be an original, but all of which together shall constitute one instrument. In proving this Agreement it shall not be necessary to produce or account for more than one such counterpart signed by the party against whom enforcement is sought. This Agreement, to the extent signed and delivered by means of a facsimile machine or other electronic imaging means, shall be treated in all manner and respects as an original agreement or instrument and shall be considered to have the same binding legal effect as if it were the original signed version thereof delivered in person. At the request of any party hereto, each other party hereto shall re-execute original forms thereof and deliver them to all other parties. No party hereto shall raise the use of a facsimile machine or other electronic imaging means to deliver a signature or the fact that any signature or agreement or instrument was transmitted or communicated through the use of a facsimile machine or other electronic imaging means as a defense to the formation of a contract and each party forever waives such defense.</w:t>
      </w:r>
    </w:p>
    <w:p>
      <w:pPr>
        <w:spacing w:after="0" w:line="44" w:lineRule="exact"/>
        <w:rPr>
          <w:sz w:val="20"/>
          <w:szCs w:val="20"/>
          <w:color w:val="auto"/>
        </w:rPr>
      </w:pPr>
    </w:p>
    <w:p>
      <w:pPr>
        <w:spacing w:after="0" w:line="257" w:lineRule="auto"/>
        <w:rPr>
          <w:sz w:val="20"/>
          <w:szCs w:val="20"/>
          <w:color w:val="auto"/>
        </w:rPr>
      </w:pPr>
      <w:r>
        <w:rPr>
          <w:rFonts w:ascii="Arial" w:cs="Arial" w:eastAsia="Arial" w:hAnsi="Arial"/>
          <w:sz w:val="13"/>
          <w:szCs w:val="13"/>
          <w:b w:val="1"/>
          <w:bCs w:val="1"/>
          <w:color w:val="auto"/>
        </w:rPr>
        <w:t xml:space="preserve">§24. </w:t>
      </w:r>
      <w:r>
        <w:rPr>
          <w:rFonts w:ascii="Arial" w:cs="Arial" w:eastAsia="Arial" w:hAnsi="Arial"/>
          <w:sz w:val="13"/>
          <w:szCs w:val="13"/>
          <w:b w:val="1"/>
          <w:bCs w:val="1"/>
          <w:u w:val="single" w:color="auto"/>
          <w:color w:val="auto"/>
        </w:rPr>
        <w:t>CONSENTS, ETC</w:t>
      </w:r>
      <w:r>
        <w:rPr>
          <w:rFonts w:ascii="Arial" w:cs="Arial" w:eastAsia="Arial" w:hAnsi="Arial"/>
          <w:sz w:val="13"/>
          <w:szCs w:val="13"/>
          <w:b w:val="1"/>
          <w:bCs w:val="1"/>
          <w:color w:val="auto"/>
        </w:rPr>
        <w:t xml:space="preserve">. </w:t>
      </w:r>
      <w:r>
        <w:rPr>
          <w:rFonts w:ascii="Arial" w:cs="Arial" w:eastAsia="Arial" w:hAnsi="Arial"/>
          <w:sz w:val="13"/>
          <w:szCs w:val="13"/>
          <w:color w:val="auto"/>
        </w:rPr>
        <w:t>Neither this Agreement nor any term hereof may be changed, waived, discharged or terminated, except as provided in this §24, subject to the provisions of §15.9. No waiver shall extend to or</w:t>
      </w:r>
      <w:r>
        <w:rPr>
          <w:rFonts w:ascii="Arial" w:cs="Arial" w:eastAsia="Arial" w:hAnsi="Arial"/>
          <w:sz w:val="13"/>
          <w:szCs w:val="13"/>
          <w:b w:val="1"/>
          <w:bCs w:val="1"/>
          <w:color w:val="auto"/>
        </w:rPr>
        <w:t xml:space="preserve"> </w:t>
      </w:r>
      <w:r>
        <w:rPr>
          <w:rFonts w:ascii="Arial" w:cs="Arial" w:eastAsia="Arial" w:hAnsi="Arial"/>
          <w:sz w:val="13"/>
          <w:szCs w:val="13"/>
          <w:color w:val="auto"/>
        </w:rPr>
        <w:t>affect any obligation not expressly waived or impair any right consequent thereon. Except as otherwise expressly provided in this Agreement, any consent or approval required or permitted by this Agreement to be given by the Banks may be given, and any term of this Agreement or of any other instrument related hereto or mentioned herein may be amended, and the performance or observance by the Borrower or the Guarantor of any terms of this Agreement or such other instrument or the continuance of any Default or Event of Default may be waived (either generally or in a particular instance and either retroactively or prospectively) with, but only with, the written consent of the Borrower and the Majority Banks. To the extent permitted by law, no course of dealing or delay or omission on the part of any of the Banks, the Issuing Banks or the Administrative Agent in exercising any right shall operate as a waiver thereof or otherwise be prejudicial thereto. No notice to or demand upon the Borrower or the Guarantor shall entitle the Borrower to other or further notice or demand in similar or other circumstances.</w:t>
      </w:r>
    </w:p>
    <w:p>
      <w:pPr>
        <w:spacing w:after="0" w:line="59" w:lineRule="exact"/>
        <w:rPr>
          <w:sz w:val="20"/>
          <w:szCs w:val="20"/>
          <w:color w:val="auto"/>
        </w:rPr>
      </w:pPr>
    </w:p>
    <w:p>
      <w:pPr>
        <w:jc w:val="both"/>
        <w:ind w:right="220"/>
        <w:spacing w:after="0" w:line="262" w:lineRule="auto"/>
        <w:rPr>
          <w:sz w:val="20"/>
          <w:szCs w:val="20"/>
          <w:color w:val="auto"/>
        </w:rPr>
      </w:pPr>
      <w:r>
        <w:rPr>
          <w:rFonts w:ascii="Arial" w:cs="Arial" w:eastAsia="Arial" w:hAnsi="Arial"/>
          <w:sz w:val="13"/>
          <w:szCs w:val="13"/>
          <w:b w:val="1"/>
          <w:bCs w:val="1"/>
          <w:color w:val="auto"/>
        </w:rPr>
        <w:t xml:space="preserve">§25. </w:t>
      </w:r>
      <w:r>
        <w:rPr>
          <w:rFonts w:ascii="Arial" w:cs="Arial" w:eastAsia="Arial" w:hAnsi="Arial"/>
          <w:sz w:val="13"/>
          <w:szCs w:val="13"/>
          <w:b w:val="1"/>
          <w:bCs w:val="1"/>
          <w:u w:val="single" w:color="auto"/>
          <w:color w:val="auto"/>
        </w:rPr>
        <w:t>WAIVER OF JURY TRIAL</w:t>
      </w:r>
      <w:r>
        <w:rPr>
          <w:rFonts w:ascii="Arial" w:cs="Arial" w:eastAsia="Arial" w:hAnsi="Arial"/>
          <w:sz w:val="13"/>
          <w:szCs w:val="13"/>
          <w:b w:val="1"/>
          <w:bCs w:val="1"/>
          <w:color w:val="auto"/>
        </w:rPr>
        <w:t>. TO THE EXTENT PERMITTED BY APPLICABLE LAW, EACH OF THE PARTIES HERETO HEREBY IRREVOCABLY WAIVES ANY AND ALL RIGHT TO A JURY TRIAL WITH RESPECT TO ANY ACTION OR CLAIM ARISING OUT OF ANY DISPUTE IN CONNECTION WITH THIS AGREEMENT, THE NOTES OR ANY OF THE OTHER LOAN DOCUMENTS, ANY RIGHTS OR OBLIGATIONS HEREUNDER OR THEREUNDER OR THE PERFORMANCE OF SUCH RIGHTS AND OBLIGATIONS. EXCEPT AS PROHIBITED BY LAW, THE BORROWER AND THE GUARANTOR HEREBY WAIVE ANY RIGHT EITHER OF THEM MAY HAVE TO CLAIM OR RECOVER IN ANY LITIGATION REFERRED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76" w:name="page177"/>
    <w:bookmarkEnd w:id="176"/>
    <w:p>
      <w:pPr>
        <w:ind w:right="40"/>
        <w:spacing w:after="0" w:line="258" w:lineRule="auto"/>
        <w:rPr>
          <w:sz w:val="20"/>
          <w:szCs w:val="20"/>
          <w:color w:val="auto"/>
        </w:rPr>
      </w:pPr>
      <w:r>
        <w:rPr>
          <w:rFonts w:ascii="Arial" w:cs="Arial" w:eastAsia="Arial" w:hAnsi="Arial"/>
          <w:sz w:val="13"/>
          <w:szCs w:val="13"/>
          <w:b w:val="1"/>
          <w:bCs w:val="1"/>
          <w:color w:val="auto"/>
        </w:rPr>
        <w:t>IN THE PRECEDING SENTENCE ANY SPECIAL, EXEMPLARY, PUNITIVE OR CONSEQUENTIAL DAMAGES OR ANY DAMAGES OTHER THAN, OR IN ADDITION TO, ACTUAL DAMAGES. THE BORROWER AND THE GUARANTOR EACH (A) CERTIFIES THAT NO REPRESENTATIVE, AGENT OR ATTORNEY OF ANY BANK, ANY ISSUING BANK, THE ADMINISTRATIVE AGENT OR ANY AGENT HAS REPRESENTED, EXPRESSLY OR OTHERWISE, THAT SUCH BANK, SUCH ISSUING BANK, THE ADMINISTRATIVE AGENT OR SUCH AGENT WOULD NOT, IN THE EVENT OF LITIGATION, SEEK TO ENFORCE THE FOREGOING WAIVERS AND (B) ACKNOWLEDGES THAT THE ADMINISTRATIVE AGENT, THE BANKS, AND THE ISSUING BANKS HAVE BEEN INDUCED TO ENTER INTO THIS AGREEMENT AND THE OTHER LOAN DOCUMENTS BECAUSE OF, AMONG OTHER THINGS, THE BORROWER’S AND THE GUARANTOR’S WAIVERS AND CERTIFICATIONS CONTAINED HEREIN.</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3"/>
          <w:szCs w:val="13"/>
          <w:b w:val="1"/>
          <w:bCs w:val="1"/>
          <w:color w:val="auto"/>
        </w:rPr>
        <w:t xml:space="preserve">§26. </w:t>
      </w:r>
      <w:r>
        <w:rPr>
          <w:rFonts w:ascii="Arial" w:cs="Arial" w:eastAsia="Arial" w:hAnsi="Arial"/>
          <w:sz w:val="13"/>
          <w:szCs w:val="13"/>
          <w:b w:val="1"/>
          <w:bCs w:val="1"/>
          <w:u w:val="single" w:color="auto"/>
          <w:color w:val="auto"/>
        </w:rPr>
        <w:t>GOVERNING LAW; SUBMISSION TO JURISDICTION</w:t>
      </w:r>
      <w:r>
        <w:rPr>
          <w:rFonts w:ascii="Arial" w:cs="Arial" w:eastAsia="Arial" w:hAnsi="Arial"/>
          <w:sz w:val="13"/>
          <w:szCs w:val="13"/>
          <w:color w:val="auto"/>
        </w:rPr>
        <w:t>. THIS AGREEMENT AND EACH OF THE OTHER LOAN DOCUMENTS ARE CONTRACTS UNDER THE LAWS OF THE STATE OF NEW</w:t>
      </w:r>
      <w:r>
        <w:rPr>
          <w:rFonts w:ascii="Arial" w:cs="Arial" w:eastAsia="Arial" w:hAnsi="Arial"/>
          <w:sz w:val="13"/>
          <w:szCs w:val="13"/>
          <w:b w:val="1"/>
          <w:bCs w:val="1"/>
          <w:color w:val="auto"/>
        </w:rPr>
        <w:t xml:space="preserve"> </w:t>
      </w:r>
      <w:r>
        <w:rPr>
          <w:rFonts w:ascii="Arial" w:cs="Arial" w:eastAsia="Arial" w:hAnsi="Arial"/>
          <w:sz w:val="13"/>
          <w:szCs w:val="13"/>
          <w:color w:val="auto"/>
        </w:rPr>
        <w:t>YORK AND SHALL, PURSUANT TO NEW YORK GENERAL OBLIGATIONS LAW §5-1401, BE CONSTRUED IN ACCORDANCE WITH AND GOVERNED BY THE LAW OF THE STATE OF NEW YORK. THE BORROWER AND THE GUARANTOR CONSENT AND AGREE THAT ANY SUIT FOR THE ENFORCEMENT OF THIS AGREEMENT OR ANY OF THE OTHER LOAN DOCUMENTS MAY BE BROUGHT IN THE COURTS OF THE STATE OF NEW YORK SITTING IN MANHATTAN OR THE UNITED STATES DISTRICT COURT OF THE SOUTHERN DISTRICT OF NEW YORK AND ANY APPELLATE COURT FROM ANY THEREOF AND CONSENTS TO THE NONEXCLUSIVE JURISDICTION OF SUCH COURTS AND SERVICE OF PROCESS IN ANY SUCH SUIT BEING MADE UPON THE BORROWER IN ACCORDANCE WITH LAW AT THE ADDRESS SPECIFIED IN §22. THE BORROWER AND THE GUARANTOR HEREBY WAIVE ANY OBJECTION THAT THEY MAY NOW OR HEREAFTER HAVE TO THE VENUE OF ANY SUCH SUIT OR ANY SUCH COURT OR THAT SUCH SUIT IS BROUGHT IN AN INCONVENIENT FORUM.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ANY PARTY HERETO MAY OTHERWISE HAVE TO BRING ANY ACTION OR PROCEEDING RELATING TO THIS AGREEMENT OR ANY OTHER LOAN DOCUMENT AGAINST ANY OTHER PARTY OR SUCH PARTY’S PROPERTIES IN THE COURTS OF ANY JURISDICTION.</w:t>
      </w:r>
    </w:p>
    <w:p>
      <w:pPr>
        <w:spacing w:after="0" w:line="61" w:lineRule="exact"/>
        <w:rPr>
          <w:sz w:val="20"/>
          <w:szCs w:val="20"/>
          <w:color w:val="auto"/>
        </w:rPr>
      </w:pPr>
    </w:p>
    <w:p>
      <w:pPr>
        <w:ind w:right="20"/>
        <w:spacing w:after="0" w:line="262" w:lineRule="auto"/>
        <w:rPr>
          <w:sz w:val="20"/>
          <w:szCs w:val="20"/>
          <w:color w:val="auto"/>
        </w:rPr>
      </w:pPr>
      <w:r>
        <w:rPr>
          <w:rFonts w:ascii="Arial" w:cs="Arial" w:eastAsia="Arial" w:hAnsi="Arial"/>
          <w:sz w:val="13"/>
          <w:szCs w:val="13"/>
          <w:b w:val="1"/>
          <w:bCs w:val="1"/>
          <w:color w:val="auto"/>
        </w:rPr>
        <w:t xml:space="preserve">§27. </w:t>
      </w:r>
      <w:r>
        <w:rPr>
          <w:rFonts w:ascii="Arial" w:cs="Arial" w:eastAsia="Arial" w:hAnsi="Arial"/>
          <w:sz w:val="13"/>
          <w:szCs w:val="13"/>
          <w:b w:val="1"/>
          <w:bCs w:val="1"/>
          <w:u w:val="single" w:color="auto"/>
          <w:color w:val="auto"/>
        </w:rPr>
        <w:t>SEVERABILITY</w:t>
      </w:r>
      <w:r>
        <w:rPr>
          <w:rFonts w:ascii="Arial" w:cs="Arial" w:eastAsia="Arial" w:hAnsi="Arial"/>
          <w:sz w:val="13"/>
          <w:szCs w:val="13"/>
          <w:color w:val="auto"/>
        </w:rPr>
        <w:t>. The provisions of this Agreement are severable and if any one clause or provision hereof shall be held invalid or unenforceable in whole or in part in any jurisdiction, then such invalidity or</w:t>
      </w:r>
      <w:r>
        <w:rPr>
          <w:rFonts w:ascii="Arial" w:cs="Arial" w:eastAsia="Arial" w:hAnsi="Arial"/>
          <w:sz w:val="13"/>
          <w:szCs w:val="13"/>
          <w:b w:val="1"/>
          <w:bCs w:val="1"/>
          <w:color w:val="auto"/>
        </w:rPr>
        <w:t xml:space="preserve"> </w:t>
      </w:r>
      <w:r>
        <w:rPr>
          <w:rFonts w:ascii="Arial" w:cs="Arial" w:eastAsia="Arial" w:hAnsi="Arial"/>
          <w:sz w:val="13"/>
          <w:szCs w:val="13"/>
          <w:color w:val="auto"/>
        </w:rPr>
        <w:t>unenforceability shall affect only such clause or provision, or part thereof, in such jurisdiction, and shall not in any manner affect such clause or provision in any other jurisdiction, or any other clause or provision of this Agreement in any jurisdiction. Without limiting the foregoing provisions of this §27, if and to the extent that the enforceability of any provisions in this Agreement relating to Defaulting Banks shall be limited by bankruptcy, insolvency, reorganization, moratorium or other similar laws, as determined in good faith by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77" w:name="page178"/>
    <w:bookmarkEnd w:id="177"/>
    <w:p>
      <w:pPr>
        <w:spacing w:after="0"/>
        <w:rPr>
          <w:sz w:val="20"/>
          <w:szCs w:val="20"/>
          <w:color w:val="auto"/>
        </w:rPr>
      </w:pPr>
      <w:r>
        <w:rPr>
          <w:rFonts w:ascii="Arial" w:cs="Arial" w:eastAsia="Arial" w:hAnsi="Arial"/>
          <w:sz w:val="13"/>
          <w:szCs w:val="13"/>
          <w:color w:val="auto"/>
        </w:rPr>
        <w:t>Administrative Agent, the Issuing Banks or the Swing Line Bank, as applicable, then such provisions shall be deemed to be in effect only to the extent not so limited.</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§28. </w:t>
      </w:r>
      <w:r>
        <w:rPr>
          <w:rFonts w:ascii="Arial" w:cs="Arial" w:eastAsia="Arial" w:hAnsi="Arial"/>
          <w:sz w:val="13"/>
          <w:szCs w:val="13"/>
          <w:b w:val="1"/>
          <w:bCs w:val="1"/>
          <w:u w:val="single" w:color="auto"/>
          <w:color w:val="auto"/>
        </w:rPr>
        <w:t>GUARANTY</w:t>
      </w:r>
      <w:r>
        <w:rPr>
          <w:rFonts w:ascii="Arial" w:cs="Arial" w:eastAsia="Arial" w:hAnsi="Arial"/>
          <w:sz w:val="13"/>
          <w:szCs w:val="13"/>
          <w:b w:val="1"/>
          <w:bCs w:val="1"/>
          <w:color w:val="auto"/>
        </w:rPr>
        <w:t>.</w:t>
      </w:r>
    </w:p>
    <w:p>
      <w:pPr>
        <w:spacing w:after="0" w:line="86" w:lineRule="exact"/>
        <w:rPr>
          <w:sz w:val="20"/>
          <w:szCs w:val="20"/>
          <w:color w:val="auto"/>
        </w:rPr>
      </w:pPr>
    </w:p>
    <w:p>
      <w:pPr>
        <w:ind w:firstLine="327"/>
        <w:spacing w:after="0" w:line="325" w:lineRule="auto"/>
        <w:rPr>
          <w:sz w:val="20"/>
          <w:szCs w:val="20"/>
          <w:color w:val="auto"/>
        </w:rPr>
      </w:pPr>
      <w:r>
        <w:rPr>
          <w:rFonts w:ascii="Arial" w:cs="Arial" w:eastAsia="Arial" w:hAnsi="Arial"/>
          <w:sz w:val="11"/>
          <w:szCs w:val="11"/>
          <w:b w:val="1"/>
          <w:bCs w:val="1"/>
          <w:color w:val="auto"/>
        </w:rPr>
        <w:t xml:space="preserve">§28.1. Guaranty. </w:t>
      </w:r>
      <w:r>
        <w:rPr>
          <w:rFonts w:ascii="Arial" w:cs="Arial" w:eastAsia="Arial" w:hAnsi="Arial"/>
          <w:sz w:val="11"/>
          <w:szCs w:val="11"/>
          <w:color w:val="auto"/>
        </w:rPr>
        <w:t>For value received and hereby acknowledged and as an inducement to the Banks and the Issuing Banks to make the Loans available to the Borrower, and issue, extend or renew Letters of Credit</w:t>
      </w:r>
      <w:r>
        <w:rPr>
          <w:rFonts w:ascii="Arial" w:cs="Arial" w:eastAsia="Arial" w:hAnsi="Arial"/>
          <w:sz w:val="11"/>
          <w:szCs w:val="11"/>
          <w:b w:val="1"/>
          <w:bCs w:val="1"/>
          <w:color w:val="auto"/>
        </w:rPr>
        <w:t xml:space="preserve"> </w:t>
      </w:r>
      <w:r>
        <w:rPr>
          <w:rFonts w:ascii="Arial" w:cs="Arial" w:eastAsia="Arial" w:hAnsi="Arial"/>
          <w:sz w:val="11"/>
          <w:szCs w:val="11"/>
          <w:color w:val="auto"/>
        </w:rPr>
        <w:t>for the account of the Borrower, the Guarantor hereby unconditionally and irrevocably guarantees (a) the full punctual payment when due, whether at stated maturity, by acceleration or otherwise, of all Obligations of the Borrower now or hereafter existing whether for principal, interest, fees, expenses or otherwise, and (b) the strict performance and observance by the Borrower of all agreements, warranties and covenants applicable to the Borrower in the Loan Documents and (c) the obligations of the Borrower under the Loan Documents (such Obligations collectively being hereafter referred to as the “Guaranteed Obligations”).</w:t>
      </w:r>
    </w:p>
    <w:p>
      <w:pPr>
        <w:spacing w:after="0" w:line="23" w:lineRule="exact"/>
        <w:rPr>
          <w:sz w:val="20"/>
          <w:szCs w:val="20"/>
          <w:color w:val="auto"/>
        </w:rPr>
      </w:pPr>
    </w:p>
    <w:p>
      <w:pPr>
        <w:ind w:firstLine="327"/>
        <w:spacing w:after="0" w:line="267" w:lineRule="auto"/>
        <w:rPr>
          <w:sz w:val="20"/>
          <w:szCs w:val="20"/>
          <w:color w:val="auto"/>
        </w:rPr>
      </w:pPr>
      <w:r>
        <w:rPr>
          <w:rFonts w:ascii="Arial" w:cs="Arial" w:eastAsia="Arial" w:hAnsi="Arial"/>
          <w:sz w:val="13"/>
          <w:szCs w:val="13"/>
          <w:b w:val="1"/>
          <w:bCs w:val="1"/>
          <w:color w:val="auto"/>
        </w:rPr>
        <w:t xml:space="preserve">§28.2. Guaranty Absolute. </w:t>
      </w:r>
      <w:r>
        <w:rPr>
          <w:rFonts w:ascii="Arial" w:cs="Arial" w:eastAsia="Arial" w:hAnsi="Arial"/>
          <w:sz w:val="13"/>
          <w:szCs w:val="13"/>
          <w:color w:val="auto"/>
        </w:rPr>
        <w:t>The Guarantor guarantees that the Guaranteed Obligations will be paid strictly in accordance with the terms hereof, regardless of any law, regulation or order now or hereafter in effect</w:t>
      </w:r>
      <w:r>
        <w:rPr>
          <w:rFonts w:ascii="Arial" w:cs="Arial" w:eastAsia="Arial" w:hAnsi="Arial"/>
          <w:sz w:val="13"/>
          <w:szCs w:val="13"/>
          <w:b w:val="1"/>
          <w:bCs w:val="1"/>
          <w:color w:val="auto"/>
        </w:rPr>
        <w:t xml:space="preserve"> </w:t>
      </w:r>
      <w:r>
        <w:rPr>
          <w:rFonts w:ascii="Arial" w:cs="Arial" w:eastAsia="Arial" w:hAnsi="Arial"/>
          <w:sz w:val="13"/>
          <w:szCs w:val="13"/>
          <w:color w:val="auto"/>
        </w:rPr>
        <w:t>in any jurisdiction affecting any of such terms or the rights of any Bank, any Issuing Bank or the Administrative Agent with respect thereto. The liability of the Guarantor under the guaranty granted under this Agreement with regard to the Guaranteed Obligations shall be absolute and unconditional irrespective of:</w:t>
      </w:r>
    </w:p>
    <w:p>
      <w:pPr>
        <w:spacing w:after="0" w:line="56" w:lineRule="exact"/>
        <w:rPr>
          <w:sz w:val="20"/>
          <w:szCs w:val="20"/>
          <w:color w:val="auto"/>
        </w:rPr>
      </w:pPr>
    </w:p>
    <w:p>
      <w:pPr>
        <w:ind w:left="220" w:firstLine="172"/>
        <w:spacing w:after="0" w:line="276" w:lineRule="auto"/>
        <w:tabs>
          <w:tab w:leader="none" w:pos="562" w:val="left"/>
        </w:tabs>
        <w:numPr>
          <w:ilvl w:val="0"/>
          <w:numId w:val="148"/>
        </w:numPr>
        <w:rPr>
          <w:rFonts w:ascii="Arial" w:cs="Arial" w:eastAsia="Arial" w:hAnsi="Arial"/>
          <w:sz w:val="13"/>
          <w:szCs w:val="13"/>
          <w:color w:val="auto"/>
        </w:rPr>
      </w:pPr>
      <w:r>
        <w:rPr>
          <w:rFonts w:ascii="Arial" w:cs="Arial" w:eastAsia="Arial" w:hAnsi="Arial"/>
          <w:sz w:val="13"/>
          <w:szCs w:val="13"/>
          <w:color w:val="auto"/>
        </w:rPr>
        <w:t>any change in the time, manner or place of payment of, or in any other term of, all or any of the Guaranteed Obligations or any other amendment or waiver of or any consent to departure from this Agreement or any other Loan Document (with regard to such Guaranteed Obligations);</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any release or amendment or waiver of or consent to departure from any other guaranty for all or any of its Guaranteed Obligations;</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any change in ownership of the Borrower;</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any acceptance of any partial payment(s) from the Borrower or the Guarantor; or</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148"/>
        </w:numPr>
        <w:rPr>
          <w:rFonts w:ascii="Arial" w:cs="Arial" w:eastAsia="Arial" w:hAnsi="Arial"/>
          <w:sz w:val="12"/>
          <w:szCs w:val="12"/>
          <w:color w:val="auto"/>
        </w:rPr>
      </w:pPr>
      <w:r>
        <w:rPr>
          <w:rFonts w:ascii="Arial" w:cs="Arial" w:eastAsia="Arial" w:hAnsi="Arial"/>
          <w:sz w:val="12"/>
          <w:szCs w:val="12"/>
          <w:color w:val="auto"/>
        </w:rPr>
        <w:t>any other circumstance whatsoever which might otherwise constitute a defense available to, or a discharge of, a guarantor or surety or the Borrower in respect of its Obligations under any Loan Document.</w:t>
      </w:r>
    </w:p>
    <w:p>
      <w:pPr>
        <w:spacing w:after="0" w:line="98" w:lineRule="exact"/>
        <w:rPr>
          <w:sz w:val="20"/>
          <w:szCs w:val="20"/>
          <w:color w:val="auto"/>
        </w:rPr>
      </w:pPr>
    </w:p>
    <w:p>
      <w:pPr>
        <w:ind w:right="300" w:firstLine="161"/>
        <w:spacing w:after="0" w:line="320" w:lineRule="auto"/>
        <w:rPr>
          <w:sz w:val="20"/>
          <w:szCs w:val="20"/>
          <w:color w:val="auto"/>
        </w:rPr>
      </w:pPr>
      <w:r>
        <w:rPr>
          <w:rFonts w:ascii="Arial" w:cs="Arial" w:eastAsia="Arial" w:hAnsi="Arial"/>
          <w:sz w:val="12"/>
          <w:szCs w:val="12"/>
          <w:color w:val="auto"/>
        </w:rPr>
        <w:t>The guaranty under this Agreement shall continue to be effective or be reinstated, as the case may be, if at any time any payment of any Guaranteed Obligation is rescinded or must otherwise be returned by the Banks, the Issuing Banks or the Administrative Agent upon the insolvency, bankruptcy or reorganization of the Borrower or otherwise, all as though such payment had not been made.</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 xml:space="preserve">§28.3. Effectiveness; Enforcement. </w:t>
      </w:r>
      <w:r>
        <w:rPr>
          <w:rFonts w:ascii="Arial" w:cs="Arial" w:eastAsia="Arial" w:hAnsi="Arial"/>
          <w:sz w:val="13"/>
          <w:szCs w:val="13"/>
          <w:color w:val="auto"/>
        </w:rPr>
        <w:t>The guaranty under this Agreement shall be effective and shall be deemed to be made with respect to each Loan and each Letter of Credit</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178" w:name="page179"/>
    <w:bookmarkEnd w:id="178"/>
    <w:p>
      <w:pPr>
        <w:jc w:val="both"/>
        <w:ind w:left="1" w:right="160"/>
        <w:spacing w:after="0" w:line="303" w:lineRule="auto"/>
        <w:rPr>
          <w:sz w:val="20"/>
          <w:szCs w:val="20"/>
          <w:color w:val="auto"/>
        </w:rPr>
      </w:pPr>
      <w:r>
        <w:rPr>
          <w:rFonts w:ascii="Arial" w:cs="Arial" w:eastAsia="Arial" w:hAnsi="Arial"/>
          <w:sz w:val="11"/>
          <w:szCs w:val="11"/>
          <w:color w:val="auto"/>
        </w:rPr>
        <w:t>as of the time it is made, issued or extended, or becomes a Letter of Credit under this Agreement, as applicable. No invalidity, irregularity or unenforceability by reason of any bankruptcy or similar law, or any law or order of any government or agency thereof purporting to reduce, amend or otherwise affect any liability of the Borrower, and no defect in or insufficiency or want of powers of the Borrower or irregular or improperly recorded exercise thereof, shall impair, affect, be a defense to or claim against such guaranty. The guaranty under this Agreement is a continuing guaranty and shall (a) survive any termination of this Agreement, and</w:t>
      </w:r>
    </w:p>
    <w:p>
      <w:pPr>
        <w:ind w:left="1" w:right="80" w:hanging="1"/>
        <w:spacing w:after="0" w:line="256" w:lineRule="auto"/>
        <w:tabs>
          <w:tab w:leader="none" w:pos="187" w:val="left"/>
        </w:tabs>
        <w:numPr>
          <w:ilvl w:val="0"/>
          <w:numId w:val="149"/>
        </w:numPr>
        <w:rPr>
          <w:rFonts w:ascii="Arial" w:cs="Arial" w:eastAsia="Arial" w:hAnsi="Arial"/>
          <w:sz w:val="13"/>
          <w:szCs w:val="13"/>
          <w:color w:val="auto"/>
        </w:rPr>
      </w:pPr>
      <w:r>
        <w:rPr>
          <w:rFonts w:ascii="Arial" w:cs="Arial" w:eastAsia="Arial" w:hAnsi="Arial"/>
          <w:sz w:val="13"/>
          <w:szCs w:val="13"/>
          <w:color w:val="auto"/>
        </w:rPr>
        <w:t>remain in full force and effect until payment in full of, and performance of, all Guaranteed Obligations and all other amounts payable under this Agreement. The guaranty under this Agreement is a guaranty of payment (and not of collection) made for the benefit of the Administrative Agent, the Issuing Banks and the Banks and their successors and assigns, and may be enforced from time to time as often as occasion therefor may arise and without requirement on the part of the Administrative Agent, the Issuing Banks or the Banks first to exercise any rights against the Borrower, or to resort to any other source or means of obtaining payment of any of the said obligations or to elect any other remedy.</w:t>
      </w:r>
    </w:p>
    <w:p>
      <w:pPr>
        <w:spacing w:after="0" w:line="58" w:lineRule="exact"/>
        <w:rPr>
          <w:sz w:val="20"/>
          <w:szCs w:val="20"/>
          <w:color w:val="auto"/>
        </w:rPr>
      </w:pPr>
    </w:p>
    <w:p>
      <w:pPr>
        <w:ind w:left="1" w:firstLine="327"/>
        <w:spacing w:after="0" w:line="325" w:lineRule="auto"/>
        <w:rPr>
          <w:sz w:val="20"/>
          <w:szCs w:val="20"/>
          <w:color w:val="auto"/>
        </w:rPr>
      </w:pPr>
      <w:r>
        <w:rPr>
          <w:rFonts w:ascii="Arial" w:cs="Arial" w:eastAsia="Arial" w:hAnsi="Arial"/>
          <w:sz w:val="11"/>
          <w:szCs w:val="11"/>
          <w:b w:val="1"/>
          <w:bCs w:val="1"/>
          <w:color w:val="auto"/>
        </w:rPr>
        <w:t xml:space="preserve">§28.4. Waiver. </w:t>
      </w:r>
      <w:r>
        <w:rPr>
          <w:rFonts w:ascii="Arial" w:cs="Arial" w:eastAsia="Arial" w:hAnsi="Arial"/>
          <w:sz w:val="11"/>
          <w:szCs w:val="11"/>
          <w:color w:val="auto"/>
        </w:rPr>
        <w:t>Except as otherwise specifically provided in any of the Loan Documents, the Guarantor hereby waives promptness, diligence, protest, notice of protest, all suretyship defenses, notice of acceptance</w:t>
      </w:r>
      <w:r>
        <w:rPr>
          <w:rFonts w:ascii="Arial" w:cs="Arial" w:eastAsia="Arial" w:hAnsi="Arial"/>
          <w:sz w:val="11"/>
          <w:szCs w:val="11"/>
          <w:b w:val="1"/>
          <w:bCs w:val="1"/>
          <w:color w:val="auto"/>
        </w:rPr>
        <w:t xml:space="preserve"> </w:t>
      </w:r>
      <w:r>
        <w:rPr>
          <w:rFonts w:ascii="Arial" w:cs="Arial" w:eastAsia="Arial" w:hAnsi="Arial"/>
          <w:sz w:val="11"/>
          <w:szCs w:val="11"/>
          <w:color w:val="auto"/>
        </w:rPr>
        <w:t>and any other notice with respect to any of its Guaranteed Obligations and the guaranty under this Agreement and any requirement that the Banks, the Issuing Banks or the Administrative Agent protect, secure, perfect any security interest or Lien or any property subject thereto or exhaust any right or take any action against the Borrower or any other Person. The Guarantor also irrevocably waives, to the fullest extent permitted by law, all defenses which at any time may be available to it in respect of its Guaranteed Obligations by virtue of any statute of limitations, valuation, stay, moratorium law or other similar law now or hereafter in effect.</w:t>
      </w:r>
    </w:p>
    <w:p>
      <w:pPr>
        <w:spacing w:after="0" w:line="23" w:lineRule="exact"/>
        <w:rPr>
          <w:sz w:val="20"/>
          <w:szCs w:val="20"/>
          <w:color w:val="auto"/>
        </w:rPr>
      </w:pPr>
    </w:p>
    <w:p>
      <w:pPr>
        <w:ind w:left="1" w:firstLine="327"/>
        <w:spacing w:after="0" w:line="258" w:lineRule="auto"/>
        <w:rPr>
          <w:sz w:val="20"/>
          <w:szCs w:val="20"/>
          <w:color w:val="auto"/>
        </w:rPr>
      </w:pPr>
      <w:r>
        <w:rPr>
          <w:rFonts w:ascii="Arial" w:cs="Arial" w:eastAsia="Arial" w:hAnsi="Arial"/>
          <w:sz w:val="13"/>
          <w:szCs w:val="13"/>
          <w:b w:val="1"/>
          <w:bCs w:val="1"/>
          <w:color w:val="auto"/>
        </w:rPr>
        <w:t xml:space="preserve">§28.5. Expenses. </w:t>
      </w:r>
      <w:r>
        <w:rPr>
          <w:rFonts w:ascii="Arial" w:cs="Arial" w:eastAsia="Arial" w:hAnsi="Arial"/>
          <w:sz w:val="13"/>
          <w:szCs w:val="13"/>
          <w:color w:val="auto"/>
        </w:rPr>
        <w:t>The Guarantor hereby promises to reimburse (a) the Administrative Agent for all reasonable out-of-pocket fees and disbursements (including all reasonable attorneys’ fees), incurred or expended</w:t>
      </w:r>
      <w:r>
        <w:rPr>
          <w:rFonts w:ascii="Arial" w:cs="Arial" w:eastAsia="Arial" w:hAnsi="Arial"/>
          <w:sz w:val="13"/>
          <w:szCs w:val="13"/>
          <w:b w:val="1"/>
          <w:bCs w:val="1"/>
          <w:color w:val="auto"/>
        </w:rPr>
        <w:t xml:space="preserve"> </w:t>
      </w:r>
      <w:r>
        <w:rPr>
          <w:rFonts w:ascii="Arial" w:cs="Arial" w:eastAsia="Arial" w:hAnsi="Arial"/>
          <w:sz w:val="13"/>
          <w:szCs w:val="13"/>
          <w:color w:val="auto"/>
        </w:rPr>
        <w:t>in connection with the preparation, filing or recording, or interpretation of the guaranty under this Agreement, the other Loan Documents or any amendment, modification, approval, consent or waiver hereof or thereof, and (b) the Administrative Agent, the Issuing Banks and the Banks and their respective affiliates for all reasonable out-of-pocket fees and disbursements (including reasonable attorneys’ fees), incurred or expended in connection with the enforcement of its Guaranteed Obligations (whether or not legal proceedings are instituted). The Guarantor will pay any taxes (including any interest and penalties in respect thereof) other than the Banks’ taxes based on overall income or profits, payable on or with respect to the transactions contemplated by the guaranty under this Agreement, the Guarantor hereby agreeing jointly and severally to indemnify each Bank with respect thereto.</w:t>
      </w:r>
    </w:p>
    <w:p>
      <w:pPr>
        <w:spacing w:after="0" w:line="58" w:lineRule="exact"/>
        <w:rPr>
          <w:sz w:val="20"/>
          <w:szCs w:val="20"/>
          <w:color w:val="auto"/>
        </w:rPr>
      </w:pPr>
    </w:p>
    <w:p>
      <w:pPr>
        <w:ind w:left="321"/>
        <w:spacing w:after="0"/>
        <w:rPr>
          <w:sz w:val="20"/>
          <w:szCs w:val="20"/>
          <w:color w:val="auto"/>
        </w:rPr>
      </w:pPr>
      <w:r>
        <w:rPr>
          <w:rFonts w:ascii="Arial" w:cs="Arial" w:eastAsia="Arial" w:hAnsi="Arial"/>
          <w:sz w:val="13"/>
          <w:szCs w:val="13"/>
          <w:b w:val="1"/>
          <w:bCs w:val="1"/>
          <w:color w:val="auto"/>
        </w:rPr>
        <w:t>§28.6. Concerning Joint and Several Liability of the Guarantor.</w:t>
      </w:r>
    </w:p>
    <w:p>
      <w:pPr>
        <w:spacing w:after="0" w:line="90" w:lineRule="exact"/>
        <w:rPr>
          <w:sz w:val="20"/>
          <w:szCs w:val="20"/>
          <w:color w:val="auto"/>
        </w:rPr>
      </w:pPr>
    </w:p>
    <w:p>
      <w:pPr>
        <w:ind w:left="221" w:right="100" w:firstLine="172"/>
        <w:spacing w:after="0" w:line="276" w:lineRule="auto"/>
        <w:tabs>
          <w:tab w:leader="none" w:pos="563" w:val="left"/>
        </w:tabs>
        <w:numPr>
          <w:ilvl w:val="0"/>
          <w:numId w:val="150"/>
        </w:numPr>
        <w:rPr>
          <w:rFonts w:ascii="Arial" w:cs="Arial" w:eastAsia="Arial" w:hAnsi="Arial"/>
          <w:sz w:val="13"/>
          <w:szCs w:val="13"/>
          <w:color w:val="auto"/>
        </w:rPr>
      </w:pPr>
      <w:r>
        <w:rPr>
          <w:rFonts w:ascii="Arial" w:cs="Arial" w:eastAsia="Arial" w:hAnsi="Arial"/>
          <w:sz w:val="13"/>
          <w:szCs w:val="13"/>
          <w:color w:val="auto"/>
        </w:rPr>
        <w:t>The Guarantor hereby irrevocably and unconditionally accepts, not merely as a surety but also as a co-debtor, joint and several liability with the Borrower, with respect to the payment and performance of all of its Guaranteed Obligations (including, without limitation, any Guaranteed Obligations arising under this §28), it being the</w:t>
      </w:r>
    </w:p>
    <w:p>
      <w:pPr>
        <w:spacing w:after="0" w:line="108" w:lineRule="exact"/>
        <w:rPr>
          <w:rFonts w:ascii="Arial" w:cs="Arial" w:eastAsia="Arial" w:hAnsi="Arial"/>
          <w:sz w:val="13"/>
          <w:szCs w:val="13"/>
          <w:color w:val="auto"/>
        </w:rPr>
      </w:pPr>
    </w:p>
    <w:p>
      <w:pPr>
        <w:ind w:left="5661" w:hanging="68"/>
        <w:spacing w:after="0"/>
        <w:tabs>
          <w:tab w:leader="none" w:pos="5661" w:val="left"/>
        </w:tabs>
        <w:numPr>
          <w:ilvl w:val="1"/>
          <w:numId w:val="150"/>
        </w:numPr>
        <w:rPr>
          <w:rFonts w:ascii="Arial" w:cs="Arial" w:eastAsia="Arial" w:hAnsi="Arial"/>
          <w:sz w:val="13"/>
          <w:szCs w:val="13"/>
          <w:color w:val="auto"/>
        </w:rPr>
      </w:pPr>
      <w:r>
        <w:rPr>
          <w:rFonts w:ascii="Arial" w:cs="Arial" w:eastAsia="Arial" w:hAnsi="Arial"/>
          <w:sz w:val="13"/>
          <w:szCs w:val="13"/>
          <w:color w:val="auto"/>
        </w:rPr>
        <w:t>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179" w:name="page180"/>
    <w:bookmarkEnd w:id="179"/>
    <w:p>
      <w:pPr>
        <w:spacing w:after="0"/>
        <w:rPr>
          <w:sz w:val="20"/>
          <w:szCs w:val="20"/>
          <w:color w:val="auto"/>
        </w:rPr>
      </w:pPr>
      <w:r>
        <w:rPr>
          <w:rFonts w:ascii="Arial" w:cs="Arial" w:eastAsia="Arial" w:hAnsi="Arial"/>
          <w:sz w:val="12"/>
          <w:szCs w:val="12"/>
          <w:color w:val="auto"/>
        </w:rPr>
        <w:t>intention of the parties hereto that all such Guaranteed Obligations shall be the joint and several Guaranteed Obligations of the Guarantor and the Borrower without preferences or distinction among them.</w:t>
      </w:r>
    </w:p>
    <w:p>
      <w:pPr>
        <w:spacing w:after="0" w:line="98" w:lineRule="exact"/>
        <w:rPr>
          <w:sz w:val="20"/>
          <w:szCs w:val="20"/>
          <w:color w:val="auto"/>
        </w:rPr>
      </w:pPr>
    </w:p>
    <w:p>
      <w:pPr>
        <w:ind w:right="360" w:firstLine="172"/>
        <w:spacing w:after="0" w:line="276" w:lineRule="auto"/>
        <w:tabs>
          <w:tab w:leader="none" w:pos="349" w:val="left"/>
        </w:tabs>
        <w:numPr>
          <w:ilvl w:val="0"/>
          <w:numId w:val="151"/>
        </w:numPr>
        <w:rPr>
          <w:rFonts w:ascii="Arial" w:cs="Arial" w:eastAsia="Arial" w:hAnsi="Arial"/>
          <w:sz w:val="13"/>
          <w:szCs w:val="13"/>
          <w:color w:val="auto"/>
        </w:rPr>
      </w:pPr>
      <w:r>
        <w:rPr>
          <w:rFonts w:ascii="Arial" w:cs="Arial" w:eastAsia="Arial" w:hAnsi="Arial"/>
          <w:sz w:val="13"/>
          <w:szCs w:val="13"/>
          <w:color w:val="auto"/>
        </w:rPr>
        <w:t>If and to the extent that the Borrower shall fail to make any payment with respect to any of its Obligations as and when due or to perform any of its Guaranteed Obligations in accordance with the terms thereof, then in each such event the Guarantor will make such payment with respect to, or perform, such Guaranteed Obligation.</w:t>
      </w:r>
    </w:p>
    <w:p>
      <w:pPr>
        <w:spacing w:after="0" w:line="49" w:lineRule="exact"/>
        <w:rPr>
          <w:rFonts w:ascii="Arial" w:cs="Arial" w:eastAsia="Arial" w:hAnsi="Arial"/>
          <w:sz w:val="13"/>
          <w:szCs w:val="13"/>
          <w:color w:val="auto"/>
        </w:rPr>
      </w:pPr>
    </w:p>
    <w:p>
      <w:pPr>
        <w:ind w:right="280" w:firstLine="172"/>
        <w:spacing w:after="0" w:line="276" w:lineRule="auto"/>
        <w:tabs>
          <w:tab w:leader="none" w:pos="342" w:val="left"/>
        </w:tabs>
        <w:numPr>
          <w:ilvl w:val="0"/>
          <w:numId w:val="151"/>
        </w:numPr>
        <w:rPr>
          <w:rFonts w:ascii="Arial" w:cs="Arial" w:eastAsia="Arial" w:hAnsi="Arial"/>
          <w:sz w:val="13"/>
          <w:szCs w:val="13"/>
          <w:color w:val="auto"/>
        </w:rPr>
      </w:pPr>
      <w:r>
        <w:rPr>
          <w:rFonts w:ascii="Arial" w:cs="Arial" w:eastAsia="Arial" w:hAnsi="Arial"/>
          <w:sz w:val="13"/>
          <w:szCs w:val="13"/>
          <w:color w:val="auto"/>
        </w:rPr>
        <w:t>The Guaranteed Obligations of the Guarantor under the provisions of this §28 constitute full recourse obligations of the Guarantor enforceable against the Guarantor to the full extent of its properties and assets, irrespective of the validity, regularity or enforceability of this Agreement or any other circumstance whatsoever.</w:t>
      </w:r>
    </w:p>
    <w:p>
      <w:pPr>
        <w:spacing w:after="0" w:line="49" w:lineRule="exact"/>
        <w:rPr>
          <w:rFonts w:ascii="Arial" w:cs="Arial" w:eastAsia="Arial" w:hAnsi="Arial"/>
          <w:sz w:val="13"/>
          <w:szCs w:val="13"/>
          <w:color w:val="auto"/>
        </w:rPr>
      </w:pPr>
    </w:p>
    <w:p>
      <w:pPr>
        <w:ind w:firstLine="172"/>
        <w:spacing w:after="0" w:line="277" w:lineRule="auto"/>
        <w:tabs>
          <w:tab w:leader="none" w:pos="349" w:val="left"/>
        </w:tabs>
        <w:numPr>
          <w:ilvl w:val="0"/>
          <w:numId w:val="151"/>
        </w:numPr>
        <w:rPr>
          <w:rFonts w:ascii="Arial" w:cs="Arial" w:eastAsia="Arial" w:hAnsi="Arial"/>
          <w:sz w:val="12"/>
          <w:szCs w:val="12"/>
          <w:color w:val="auto"/>
        </w:rPr>
      </w:pPr>
      <w:r>
        <w:rPr>
          <w:rFonts w:ascii="Arial" w:cs="Arial" w:eastAsia="Arial" w:hAnsi="Arial"/>
          <w:sz w:val="12"/>
          <w:szCs w:val="12"/>
          <w:color w:val="auto"/>
        </w:rPr>
        <w:t>Except as otherwise expressly provided in this Agreement, the Guarantor hereby waives notice of acceptance of its joint and several liability, notice of any Loans made, or Letters of Credit issued under this Agreement, notice of any action at any time taken or omitted by the Administrative Agent, the Issuing Banks or the Banks under or in respect of any of the Guaranteed Obligations, and, generally, to the extent permitted by applicable law, all demands, notices and other formalities of every kind in connection with this Agreement. The Guarantor hereby assents to, and waives notice of, any extension or postponement of the time for the payment of any of the Guaranteed Obligations, the acceptance of any payment of any of the Guaranteed Obligations, the acceptance of any partial payment thereon, any waiver, consent or other action or acquiescence by the Administrative Agent, the Issuing Banks or the Banks at any time or times in respect of any Default or Event of Default by the Borrower or the Guarantor in the performance or satisfaction of any term, covenant, condition or provision of this Agreement or any other Loan Document, any and all other indulgences whatsoever by the Administrative Agent, the Issuing Banks or the Banks in respect of any of the Guaranteed Obligations, and the taking, addition, substitution or release, in whole or in part, at any time or times, of any security for any of the Guaranteed Obligations or the addition, substitution or release, in whole or in part, of the Borrower or the Guarantor. Without limiting the generality of the foregoing, the Guarantor assents to any other action or delay in acting or failure to act on the part of the Banks, the Issuing Banks or the Administrative Agent with respect to the failure by the Borrower or the Guarantor to comply with its respective Obligations or Guaranteed Obligations, including, without limitation, any failure strictly or diligently to assert any right or to pursue any remedy or to comply fully with applicable laws or regulations thereunder, which might, but for the provisions of this §28, afford grounds for terminating, discharging or relieving the Guarantor, in whole or in part, from any of the Guaranteed Obligations under this §28, it being the intention of the Guarantor that, so long as any of the Guaranteed Obligations hereunder remain unsatisfied, the Guaranteed Obligations of the Guarantor under this §28 shall not be discharged except by performance and then only to the extent of such performance. The Guaranteed Obligations of the Guarantor under this §28 shall not be diminished or rendered unenforceable by any winding up, reorganization, arrangement, liquidation, reconstruction or similar proceeding with respect to the Borrower or the Guarantor or the Banks, the Issuing Banks or the Administrative Agent. The joint and</w:t>
      </w:r>
    </w:p>
    <w:p>
      <w:pPr>
        <w:spacing w:after="0" w:line="109" w:lineRule="exact"/>
        <w:rPr>
          <w:rFonts w:ascii="Arial" w:cs="Arial" w:eastAsia="Arial" w:hAnsi="Arial"/>
          <w:sz w:val="12"/>
          <w:szCs w:val="12"/>
          <w:color w:val="auto"/>
        </w:rPr>
      </w:pPr>
    </w:p>
    <w:p>
      <w:pPr>
        <w:ind w:left="5440" w:hanging="68"/>
        <w:spacing w:after="0"/>
        <w:tabs>
          <w:tab w:leader="none" w:pos="5440" w:val="left"/>
        </w:tabs>
        <w:numPr>
          <w:ilvl w:val="1"/>
          <w:numId w:val="151"/>
        </w:numPr>
        <w:rPr>
          <w:rFonts w:ascii="Arial" w:cs="Arial" w:eastAsia="Arial" w:hAnsi="Arial"/>
          <w:sz w:val="13"/>
          <w:szCs w:val="13"/>
          <w:color w:val="auto"/>
        </w:rPr>
      </w:pPr>
      <w:r>
        <w:rPr>
          <w:rFonts w:ascii="Arial" w:cs="Arial" w:eastAsia="Arial" w:hAnsi="Arial"/>
          <w:sz w:val="13"/>
          <w:szCs w:val="13"/>
          <w:color w:val="auto"/>
        </w:rPr>
        <w:t>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80" w:name="page181"/>
    <w:bookmarkEnd w:id="180"/>
    <w:p>
      <w:pPr>
        <w:ind w:left="220" w:right="160"/>
        <w:spacing w:after="0" w:line="276" w:lineRule="auto"/>
        <w:rPr>
          <w:sz w:val="20"/>
          <w:szCs w:val="20"/>
          <w:color w:val="auto"/>
        </w:rPr>
      </w:pPr>
      <w:r>
        <w:rPr>
          <w:rFonts w:ascii="Arial" w:cs="Arial" w:eastAsia="Arial" w:hAnsi="Arial"/>
          <w:sz w:val="13"/>
          <w:szCs w:val="13"/>
          <w:color w:val="auto"/>
        </w:rPr>
        <w:t>several liability of the Guarantor hereunder shall continue in full force and effect notwithstanding any absorption, merger, consolidation, amalgamation or any other change whatsoever in the name, membership, constitution or place of formation of the Borrower or the Guarantor, the Banks, the Issuing Banks or the Administrative Agent.</w:t>
      </w:r>
    </w:p>
    <w:p>
      <w:pPr>
        <w:spacing w:after="0" w:line="49" w:lineRule="exact"/>
        <w:rPr>
          <w:sz w:val="20"/>
          <w:szCs w:val="20"/>
          <w:color w:val="auto"/>
        </w:rPr>
      </w:pPr>
    </w:p>
    <w:p>
      <w:pPr>
        <w:ind w:left="220" w:right="20" w:firstLine="172"/>
        <w:spacing w:after="0" w:line="285" w:lineRule="auto"/>
        <w:tabs>
          <w:tab w:leader="none" w:pos="562" w:val="left"/>
        </w:tabs>
        <w:numPr>
          <w:ilvl w:val="0"/>
          <w:numId w:val="152"/>
        </w:numPr>
        <w:rPr>
          <w:rFonts w:ascii="Arial" w:cs="Arial" w:eastAsia="Arial" w:hAnsi="Arial"/>
          <w:sz w:val="12"/>
          <w:szCs w:val="12"/>
          <w:color w:val="auto"/>
        </w:rPr>
      </w:pPr>
      <w:r>
        <w:rPr>
          <w:rFonts w:ascii="Arial" w:cs="Arial" w:eastAsia="Arial" w:hAnsi="Arial"/>
          <w:sz w:val="12"/>
          <w:szCs w:val="12"/>
          <w:color w:val="auto"/>
        </w:rPr>
        <w:t>The Guarantor shall be liable under this §28 only for the maximum amount of such liabilities that can be incurred under applicable law without rendering this §28 voidable under applicable law relating to fraudulent conveyance and fraudulent transfer, and not for any greater amount. Accordingly, if any obligation under any provision under this §28 shall be declared to be invalid or unenforceable in any respect or to any extent, it is the stated intention and agreement of the Guarantor, the Administrative Agent, the Issuing Banks and the Banks that any balance of the obligation created by such provision and all other obligations of the Guarantor under this §28 to the Banks, the Issuing Banks or the Administrative Agent shall remain valid and enforceable, and that all sums not in excess of those permitted under applicable law shall remain fully collectible by the Banks, the Issuing Banks and the Administrative Agent from the Borrower or the Guarantor, as the case may be.</w:t>
      </w:r>
    </w:p>
    <w:p>
      <w:pPr>
        <w:spacing w:after="0" w:line="45" w:lineRule="exact"/>
        <w:rPr>
          <w:rFonts w:ascii="Arial" w:cs="Arial" w:eastAsia="Arial" w:hAnsi="Arial"/>
          <w:sz w:val="12"/>
          <w:szCs w:val="12"/>
          <w:color w:val="auto"/>
        </w:rPr>
      </w:pPr>
    </w:p>
    <w:p>
      <w:pPr>
        <w:ind w:left="220" w:firstLine="172"/>
        <w:spacing w:after="0" w:line="281" w:lineRule="auto"/>
        <w:tabs>
          <w:tab w:leader="none" w:pos="547" w:val="left"/>
        </w:tabs>
        <w:numPr>
          <w:ilvl w:val="0"/>
          <w:numId w:val="152"/>
        </w:numPr>
        <w:rPr>
          <w:rFonts w:ascii="Arial" w:cs="Arial" w:eastAsia="Arial" w:hAnsi="Arial"/>
          <w:sz w:val="12"/>
          <w:szCs w:val="12"/>
          <w:color w:val="auto"/>
        </w:rPr>
      </w:pPr>
      <w:r>
        <w:rPr>
          <w:rFonts w:ascii="Arial" w:cs="Arial" w:eastAsia="Arial" w:hAnsi="Arial"/>
          <w:sz w:val="12"/>
          <w:szCs w:val="12"/>
          <w:color w:val="auto"/>
        </w:rPr>
        <w:t>The provisions of this §28 are made for the benefit of the Administrative Agent, the Issuing Banks and the Banks and their successors and assigns, and may be enforced in good faith by them from time to time against the Guarantor as often as occasion therefor may arise and without requirement on the part of the Administrative Agent, the Issuing Banks or the Banks first to marshal any of their claims or to exercise any of their rights against the Borrower or the Guarantor or to exhaust any remedies available to them against the Borrower or the Guarantor or to resort to any other source or means of obtaining payment of any of the obligations hereunder or to elect any other remedy. The provisions of this §28 shall remain in effect until all of the Guaranteed Obligations shall have been paid in full or otherwise fully satisfied and the Commitments have expired and all outstanding Letters of Credit have expired, matured or otherwise been terminated. If at any time, any payment, or any part thereof, made in respect of any of the Guaranteed Obligations, is rescinded or must otherwise be restored or returned by the Banks, the Issuing Banks or the Administrative Agent upon the insolvency, bankruptcy or reorganization of the Borrower or the Guarantor, or otherwise, the provisions of this §28 will forthwith be reinstated in effect, as though such payment had not been made.</w:t>
      </w:r>
    </w:p>
    <w:p>
      <w:pPr>
        <w:spacing w:after="0" w:line="45" w:lineRule="exact"/>
        <w:rPr>
          <w:sz w:val="20"/>
          <w:szCs w:val="20"/>
          <w:color w:val="auto"/>
        </w:rPr>
      </w:pPr>
    </w:p>
    <w:p>
      <w:pPr>
        <w:ind w:firstLine="327"/>
        <w:spacing w:after="0" w:line="260" w:lineRule="auto"/>
        <w:rPr>
          <w:sz w:val="20"/>
          <w:szCs w:val="20"/>
          <w:color w:val="auto"/>
        </w:rPr>
      </w:pPr>
      <w:r>
        <w:rPr>
          <w:rFonts w:ascii="Arial" w:cs="Arial" w:eastAsia="Arial" w:hAnsi="Arial"/>
          <w:sz w:val="13"/>
          <w:szCs w:val="13"/>
          <w:b w:val="1"/>
          <w:bCs w:val="1"/>
          <w:color w:val="auto"/>
        </w:rPr>
        <w:t xml:space="preserve">§28.7. Waiver. </w:t>
      </w:r>
      <w:r>
        <w:rPr>
          <w:rFonts w:ascii="Arial" w:cs="Arial" w:eastAsia="Arial" w:hAnsi="Arial"/>
          <w:sz w:val="13"/>
          <w:szCs w:val="13"/>
          <w:color w:val="auto"/>
        </w:rPr>
        <w:t>Until the final payment and performance in full of all of the Obligations, the Guarantor shall not exercise and the Guarantor hereby waives any rights the Guarantor may have against the Borrower</w:t>
      </w:r>
      <w:r>
        <w:rPr>
          <w:rFonts w:ascii="Arial" w:cs="Arial" w:eastAsia="Arial" w:hAnsi="Arial"/>
          <w:sz w:val="13"/>
          <w:szCs w:val="13"/>
          <w:b w:val="1"/>
          <w:bCs w:val="1"/>
          <w:color w:val="auto"/>
        </w:rPr>
        <w:t xml:space="preserve"> </w:t>
      </w:r>
      <w:r>
        <w:rPr>
          <w:rFonts w:ascii="Arial" w:cs="Arial" w:eastAsia="Arial" w:hAnsi="Arial"/>
          <w:sz w:val="13"/>
          <w:szCs w:val="13"/>
          <w:color w:val="auto"/>
        </w:rPr>
        <w:t>arising as a result of payment by the Guarantor hereunder, by way of subrogation, reimbursement, restitution, contribution or otherwise, and will not prove any claim in competition with the Administrative Agent, the Issuing Banks or any Bank in respect of any payment hereunder in any bankruptcy, insolvency or reorganization case or proceedings of any nature; the Guarantor will not claim any setoff, recoupment or counterclaim against the Borrower in respect of any liability of the Borrower to the Guarantor; and the Guarantor waives any benefit of and any right to participate in any collateral security which may be held by the Administrative Agent, the Issuing Banks or any Bank.</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181" w:name="page182"/>
    <w:bookmarkEnd w:id="181"/>
    <w:p>
      <w:pPr>
        <w:ind w:right="20" w:firstLine="327"/>
        <w:spacing w:after="0" w:line="258" w:lineRule="auto"/>
        <w:rPr>
          <w:sz w:val="20"/>
          <w:szCs w:val="20"/>
          <w:color w:val="auto"/>
        </w:rPr>
      </w:pPr>
      <w:r>
        <w:rPr>
          <w:rFonts w:ascii="Arial" w:cs="Arial" w:eastAsia="Arial" w:hAnsi="Arial"/>
          <w:sz w:val="13"/>
          <w:szCs w:val="13"/>
          <w:b w:val="1"/>
          <w:bCs w:val="1"/>
          <w:color w:val="auto"/>
        </w:rPr>
        <w:t xml:space="preserve">§28.8. Subrogation; Subordination. </w:t>
      </w:r>
      <w:r>
        <w:rPr>
          <w:rFonts w:ascii="Arial" w:cs="Arial" w:eastAsia="Arial" w:hAnsi="Arial"/>
          <w:sz w:val="13"/>
          <w:szCs w:val="13"/>
          <w:color w:val="auto"/>
        </w:rPr>
        <w:t>The payment of any amounts due with respect to any indebtedness of the Borrower for money borrowed or credit received now or hereafter owed to the Guarantor is hereby</w:t>
      </w:r>
      <w:r>
        <w:rPr>
          <w:rFonts w:ascii="Arial" w:cs="Arial" w:eastAsia="Arial" w:hAnsi="Arial"/>
          <w:sz w:val="13"/>
          <w:szCs w:val="13"/>
          <w:b w:val="1"/>
          <w:bCs w:val="1"/>
          <w:color w:val="auto"/>
        </w:rPr>
        <w:t xml:space="preserve"> </w:t>
      </w:r>
      <w:r>
        <w:rPr>
          <w:rFonts w:ascii="Arial" w:cs="Arial" w:eastAsia="Arial" w:hAnsi="Arial"/>
          <w:sz w:val="13"/>
          <w:szCs w:val="13"/>
          <w:color w:val="auto"/>
        </w:rPr>
        <w:t>subordinated to the prior payment in full of all of the Obligations. The Guarantor agrees that, after the occurrence of any default in the payment or performance of any of the Obligations, the Guarantor will not demand, sue for or otherwise attempt to collect any such indebtedness of the Borrower to the Guarantor until all of the Obligations shall have been paid in full</w:t>
      </w:r>
      <w:r>
        <w:rPr>
          <w:rFonts w:ascii="Arial" w:cs="Arial" w:eastAsia="Arial" w:hAnsi="Arial"/>
          <w:sz w:val="13"/>
          <w:szCs w:val="13"/>
          <w:i w:val="1"/>
          <w:iCs w:val="1"/>
          <w:color w:val="auto"/>
        </w:rPr>
        <w:t>.</w:t>
      </w:r>
      <w:r>
        <w:rPr>
          <w:rFonts w:ascii="Arial" w:cs="Arial" w:eastAsia="Arial" w:hAnsi="Arial"/>
          <w:sz w:val="13"/>
          <w:szCs w:val="13"/>
          <w:color w:val="auto"/>
        </w:rPr>
        <w:t xml:space="preserve"> If, notwithstanding the foregoing sentence, the Guarantor shall collect, enforce or receive any amounts in respect of such indebtedness while any Obligations are still outstanding, such amounts shall be collected, enforced and received by the Guarantor as trustee for the Banks, the Issuing Banks and the Administrative Agent and be paid over to the Administrative Agent at Default, for the benefit of the Banks, the Issuing Banks, and the Administrative Agent on account of the Obligations without affecting in any manner the liability of the Guarantor under the other provisions hereof.</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§29. </w:t>
      </w:r>
      <w:r>
        <w:rPr>
          <w:rFonts w:ascii="Arial" w:cs="Arial" w:eastAsia="Arial" w:hAnsi="Arial"/>
          <w:sz w:val="13"/>
          <w:szCs w:val="13"/>
          <w:b w:val="1"/>
          <w:bCs w:val="1"/>
          <w:u w:val="single" w:color="auto"/>
          <w:color w:val="auto"/>
        </w:rPr>
        <w:t>PRO RATA TREATMENT.</w:t>
      </w:r>
    </w:p>
    <w:p>
      <w:pPr>
        <w:spacing w:after="0" w:line="90" w:lineRule="exact"/>
        <w:rPr>
          <w:sz w:val="20"/>
          <w:szCs w:val="20"/>
          <w:color w:val="auto"/>
        </w:rPr>
      </w:pPr>
    </w:p>
    <w:p>
      <w:pPr>
        <w:ind w:right="280" w:firstLine="326"/>
        <w:spacing w:after="0" w:line="320" w:lineRule="auto"/>
        <w:tabs>
          <w:tab w:leader="none" w:pos="506" w:val="left"/>
        </w:tabs>
        <w:numPr>
          <w:ilvl w:val="0"/>
          <w:numId w:val="153"/>
        </w:numPr>
        <w:rPr>
          <w:rFonts w:ascii="Arial" w:cs="Arial" w:eastAsia="Arial" w:hAnsi="Arial"/>
          <w:sz w:val="12"/>
          <w:szCs w:val="12"/>
          <w:color w:val="auto"/>
        </w:rPr>
      </w:pPr>
      <w:r>
        <w:rPr>
          <w:rFonts w:ascii="Arial" w:cs="Arial" w:eastAsia="Arial" w:hAnsi="Arial"/>
          <w:sz w:val="12"/>
          <w:szCs w:val="12"/>
          <w:color w:val="auto"/>
        </w:rPr>
        <w:t xml:space="preserve">Notwithstanding anything to the contrary set forth herein, each payment or prepayment of principal and interest received after the occurrence of an Event of Default hereunder shall be distributed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among the Banks, in accordance with the aggregate outstanding principal amount of the Obligations owing to each Bank divided by the aggregate outstanding principal amount of all Obligations.</w:t>
      </w:r>
    </w:p>
    <w:p>
      <w:pPr>
        <w:spacing w:after="0" w:line="25" w:lineRule="exact"/>
        <w:rPr>
          <w:rFonts w:ascii="Arial" w:cs="Arial" w:eastAsia="Arial" w:hAnsi="Arial"/>
          <w:sz w:val="12"/>
          <w:szCs w:val="12"/>
          <w:color w:val="auto"/>
        </w:rPr>
      </w:pPr>
    </w:p>
    <w:p>
      <w:pPr>
        <w:ind w:firstLine="326"/>
        <w:spacing w:after="0" w:line="278" w:lineRule="auto"/>
        <w:tabs>
          <w:tab w:leader="none" w:pos="513" w:val="left"/>
        </w:tabs>
        <w:numPr>
          <w:ilvl w:val="0"/>
          <w:numId w:val="153"/>
        </w:numPr>
        <w:rPr>
          <w:rFonts w:ascii="Arial" w:cs="Arial" w:eastAsia="Arial" w:hAnsi="Arial"/>
          <w:sz w:val="12"/>
          <w:szCs w:val="12"/>
          <w:color w:val="auto"/>
        </w:rPr>
      </w:pPr>
      <w:r>
        <w:rPr>
          <w:rFonts w:ascii="Arial" w:cs="Arial" w:eastAsia="Arial" w:hAnsi="Arial"/>
          <w:sz w:val="12"/>
          <w:szCs w:val="12"/>
          <w:color w:val="auto"/>
        </w:rPr>
        <w:t>Each Bank agrees that if it shall, through the exercise of a right of banker’s lien, setoff or counterclaim against the Borrower (pursuant to §13 or otherwise), including a secured claim under Section 506 of the Bankruptcy Code or other security or interest arising from or in lieu of, such secured claim, received by such Bank under any applicable bankruptcy, insolvency or other similar law or otherwise, obtain payment (voluntary or involuntary) in respect of the Notes, Loans, Reimbursement Obligations and other Obligations held by it (other than pursuant to §5.5, §5.6 or §5.8) as a result of which the unpaid principal portion of the Notes and the Obligations held by it shall be proportionately less than the unpaid principal portion of the Notes and the Obligations held by any other Bank, it shall be deemed to have simultaneously purchased from such other Bank a participation in the Notes and the Obligations held by such other Bank, so that the aggregate unpaid principal amount of the Notes and the Obligations and participations in Notes and Obligations held by each Bank shall be in the same proportion to the aggregate unpaid principal amount of the Notes and the Obligations then outstanding as the principal amount of the Notes and the Obligations held by it prior to such exercise of banker’s lien, setoff or counterclaim was to the principal amount of all Notes and Obligations outstanding prior to such exercise of banker’s lien, setoff or counterclaim; provided, however, that (i) if any such purchase or purchases or adjustments shall be made pursuant to this §29 and the payment giving rise thereto shall thereafter be recovered, such purchase or purchases or adjustments shall be rescinded to the extent of such recovery and the purchase price or prices or adjustments restored without interest and (ii) the provisions of this Section shall not be construed to apply to (x) any payment made by or on behalf of the Borrower pursuant to and in accordance with the express terms of this Agreement (including the application of funds arising from the existence of a Defaulting Bank), or (y) any payment obtained by a Bank as consideration for the assignment of or sale of a participation in any of its Syndicated Loans or subparticipations in Reimbursement Obligations or Swing Line Loans to any assignee or</w:t>
      </w:r>
    </w:p>
    <w:p>
      <w:pPr>
        <w:spacing w:after="0" w:line="109" w:lineRule="exact"/>
        <w:rPr>
          <w:rFonts w:ascii="Arial" w:cs="Arial" w:eastAsia="Arial" w:hAnsi="Arial"/>
          <w:sz w:val="12"/>
          <w:szCs w:val="12"/>
          <w:color w:val="auto"/>
        </w:rPr>
      </w:pPr>
    </w:p>
    <w:p>
      <w:pPr>
        <w:ind w:left="5660" w:hanging="68"/>
        <w:spacing w:after="0"/>
        <w:tabs>
          <w:tab w:leader="none" w:pos="5660" w:val="left"/>
        </w:tabs>
        <w:numPr>
          <w:ilvl w:val="1"/>
          <w:numId w:val="153"/>
        </w:numPr>
        <w:rPr>
          <w:rFonts w:ascii="Arial" w:cs="Arial" w:eastAsia="Arial" w:hAnsi="Arial"/>
          <w:sz w:val="13"/>
          <w:szCs w:val="13"/>
          <w:color w:val="auto"/>
        </w:rPr>
      </w:pPr>
      <w:r>
        <w:rPr>
          <w:rFonts w:ascii="Arial" w:cs="Arial" w:eastAsia="Arial" w:hAnsi="Arial"/>
          <w:sz w:val="13"/>
          <w:szCs w:val="13"/>
          <w:color w:val="auto"/>
        </w:rPr>
        <w:t>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16" w:right="239" w:bottom="1440" w:gutter="0" w:footer="0" w:header="0"/>
        </w:sectPr>
      </w:pPr>
    </w:p>
    <w:bookmarkStart w:id="182" w:name="page183"/>
    <w:bookmarkEnd w:id="182"/>
    <w:p>
      <w:pPr>
        <w:ind w:right="160"/>
        <w:spacing w:after="0" w:line="264" w:lineRule="auto"/>
        <w:rPr>
          <w:sz w:val="20"/>
          <w:szCs w:val="20"/>
          <w:color w:val="auto"/>
        </w:rPr>
      </w:pPr>
      <w:r>
        <w:rPr>
          <w:rFonts w:ascii="Arial" w:cs="Arial" w:eastAsia="Arial" w:hAnsi="Arial"/>
          <w:sz w:val="13"/>
          <w:szCs w:val="13"/>
          <w:color w:val="auto"/>
        </w:rPr>
        <w:t>participant, other than an assignment to the Borrower or any Subsidiary thereof (as to which the provisions of this Section shall apply). The Borrower expressly consents to the foregoing arrangements and agrees that any Person holding such a participation in the Obligations deemed to have been so purchased may exercise any and all rights of banker’s lien, setoff or counterclaim with respect to any and all moneys owing by the Borrower to such Person as fully as if such Person had made a Loan directly to the Borrower in the amount of such participation.</w:t>
      </w:r>
    </w:p>
    <w:p>
      <w:pPr>
        <w:spacing w:after="0" w:line="53" w:lineRule="exact"/>
        <w:rPr>
          <w:sz w:val="20"/>
          <w:szCs w:val="20"/>
          <w:color w:val="auto"/>
        </w:rPr>
      </w:pPr>
    </w:p>
    <w:p>
      <w:pPr>
        <w:ind w:right="160"/>
        <w:spacing w:after="0" w:line="327" w:lineRule="auto"/>
        <w:rPr>
          <w:sz w:val="20"/>
          <w:szCs w:val="20"/>
          <w:color w:val="auto"/>
        </w:rPr>
      </w:pPr>
      <w:r>
        <w:rPr>
          <w:rFonts w:ascii="Arial" w:cs="Arial" w:eastAsia="Arial" w:hAnsi="Arial"/>
          <w:sz w:val="12"/>
          <w:szCs w:val="12"/>
          <w:b w:val="1"/>
          <w:bCs w:val="1"/>
          <w:color w:val="auto"/>
        </w:rPr>
        <w:t xml:space="preserve">§30. </w:t>
      </w:r>
      <w:r>
        <w:rPr>
          <w:rFonts w:ascii="Arial" w:cs="Arial" w:eastAsia="Arial" w:hAnsi="Arial"/>
          <w:sz w:val="12"/>
          <w:szCs w:val="12"/>
          <w:b w:val="1"/>
          <w:bCs w:val="1"/>
          <w:u w:val="single" w:color="auto"/>
          <w:color w:val="auto"/>
        </w:rPr>
        <w:t>FINAL AGREEMENT</w:t>
      </w:r>
      <w:r>
        <w:rPr>
          <w:rFonts w:ascii="Arial" w:cs="Arial" w:eastAsia="Arial" w:hAnsi="Arial"/>
          <w:sz w:val="12"/>
          <w:szCs w:val="12"/>
          <w:color w:val="auto"/>
        </w:rPr>
        <w:t>. THIS AGREEMENT AND THE OTHER LOAN DOCUMENTS REPRESENT THE FINAL AGREEMENT BETWEEN THE PARTIES AND MAY NOT BE CONTRADICTED BY</w:t>
      </w:r>
      <w:r>
        <w:rPr>
          <w:rFonts w:ascii="Arial" w:cs="Arial" w:eastAsia="Arial" w:hAnsi="Arial"/>
          <w:sz w:val="12"/>
          <w:szCs w:val="12"/>
          <w:b w:val="1"/>
          <w:bCs w:val="1"/>
          <w:color w:val="auto"/>
        </w:rPr>
        <w:t xml:space="preserve"> </w:t>
      </w:r>
      <w:r>
        <w:rPr>
          <w:rFonts w:ascii="Arial" w:cs="Arial" w:eastAsia="Arial" w:hAnsi="Arial"/>
          <w:sz w:val="12"/>
          <w:szCs w:val="12"/>
          <w:color w:val="auto"/>
        </w:rPr>
        <w:t>EVIDENCE OF PRIOR, CONTEMPORANEOUS, OR SUBSEQUENT ORAL AGREEMENTS OF THE PARTIES. THERE ARE NO UNWRITTEN ORAL AGREEMENTS BETWEEN THE PARTIES.</w:t>
      </w:r>
    </w:p>
    <w:p>
      <w:pPr>
        <w:spacing w:after="0" w:line="17" w:lineRule="exact"/>
        <w:rPr>
          <w:sz w:val="20"/>
          <w:szCs w:val="20"/>
          <w:color w:val="auto"/>
        </w:rPr>
      </w:pPr>
    </w:p>
    <w:p>
      <w:pPr>
        <w:spacing w:after="0" w:line="267" w:lineRule="auto"/>
        <w:rPr>
          <w:sz w:val="20"/>
          <w:szCs w:val="20"/>
          <w:color w:val="auto"/>
        </w:rPr>
      </w:pPr>
      <w:r>
        <w:rPr>
          <w:rFonts w:ascii="Arial" w:cs="Arial" w:eastAsia="Arial" w:hAnsi="Arial"/>
          <w:sz w:val="13"/>
          <w:szCs w:val="13"/>
          <w:b w:val="1"/>
          <w:bCs w:val="1"/>
          <w:color w:val="auto"/>
        </w:rPr>
        <w:t xml:space="preserve">§31. </w:t>
      </w:r>
      <w:r>
        <w:rPr>
          <w:rFonts w:ascii="Arial" w:cs="Arial" w:eastAsia="Arial" w:hAnsi="Arial"/>
          <w:sz w:val="13"/>
          <w:szCs w:val="13"/>
          <w:b w:val="1"/>
          <w:bCs w:val="1"/>
          <w:u w:val="single" w:color="auto"/>
          <w:color w:val="auto"/>
        </w:rPr>
        <w:t>USA PATRIOT ACT.</w:t>
      </w:r>
      <w:r>
        <w:rPr>
          <w:rFonts w:ascii="Arial" w:cs="Arial" w:eastAsia="Arial" w:hAnsi="Arial"/>
          <w:sz w:val="13"/>
          <w:szCs w:val="13"/>
          <w:b w:val="1"/>
          <w:bCs w:val="1"/>
          <w:color w:val="auto"/>
        </w:rPr>
        <w:t xml:space="preserve"> </w:t>
      </w:r>
      <w:r>
        <w:rPr>
          <w:rFonts w:ascii="Arial" w:cs="Arial" w:eastAsia="Arial" w:hAnsi="Arial"/>
          <w:sz w:val="13"/>
          <w:szCs w:val="13"/>
          <w:color w:val="auto"/>
        </w:rPr>
        <w:t>Each Bank hereby notifies the Borrower that pursuant to the requirements of the USA Patriot Act (Title III of Pub. L. 107-56 (signed into law October 26, 2001)) (the “</w:t>
      </w:r>
      <w:r>
        <w:rPr>
          <w:rFonts w:ascii="Arial" w:cs="Arial" w:eastAsia="Arial" w:hAnsi="Arial"/>
          <w:sz w:val="13"/>
          <w:szCs w:val="13"/>
          <w:u w:val="single" w:color="auto"/>
          <w:color w:val="auto"/>
        </w:rPr>
        <w:t>Act</w:t>
      </w:r>
      <w:r>
        <w:rPr>
          <w:rFonts w:ascii="Arial" w:cs="Arial" w:eastAsia="Arial" w:hAnsi="Arial"/>
          <w:sz w:val="13"/>
          <w:szCs w:val="13"/>
          <w:color w:val="auto"/>
        </w:rPr>
        <w:t>”), it is required to</w:t>
      </w:r>
      <w:r>
        <w:rPr>
          <w:rFonts w:ascii="Arial" w:cs="Arial" w:eastAsia="Arial" w:hAnsi="Arial"/>
          <w:sz w:val="13"/>
          <w:szCs w:val="13"/>
          <w:b w:val="1"/>
          <w:bCs w:val="1"/>
          <w:color w:val="auto"/>
        </w:rPr>
        <w:t xml:space="preserve"> </w:t>
      </w:r>
      <w:r>
        <w:rPr>
          <w:rFonts w:ascii="Arial" w:cs="Arial" w:eastAsia="Arial" w:hAnsi="Arial"/>
          <w:sz w:val="13"/>
          <w:szCs w:val="13"/>
          <w:color w:val="auto"/>
        </w:rPr>
        <w:t>obtain, verify and record information that identifies the Borrower, which information includes the name and address of the Borrower and other information that will allow such Bank to identify the Borrower in accordance with the Act.</w:t>
      </w:r>
    </w:p>
    <w:p>
      <w:pPr>
        <w:spacing w:after="0" w:line="52" w:lineRule="exact"/>
        <w:rPr>
          <w:sz w:val="20"/>
          <w:szCs w:val="20"/>
          <w:color w:val="auto"/>
        </w:rPr>
      </w:pPr>
    </w:p>
    <w:p>
      <w:pPr>
        <w:ind w:right="40"/>
        <w:spacing w:after="0" w:line="277" w:lineRule="auto"/>
        <w:rPr>
          <w:sz w:val="20"/>
          <w:szCs w:val="20"/>
          <w:color w:val="auto"/>
        </w:rPr>
      </w:pPr>
      <w:r>
        <w:rPr>
          <w:rFonts w:ascii="Arial" w:cs="Arial" w:eastAsia="Arial" w:hAnsi="Arial"/>
          <w:sz w:val="12"/>
          <w:szCs w:val="12"/>
          <w:b w:val="1"/>
          <w:bCs w:val="1"/>
          <w:color w:val="auto"/>
        </w:rPr>
        <w:t xml:space="preserve">§32. </w:t>
      </w:r>
      <w:r>
        <w:rPr>
          <w:rFonts w:ascii="Arial" w:cs="Arial" w:eastAsia="Arial" w:hAnsi="Arial"/>
          <w:sz w:val="12"/>
          <w:szCs w:val="12"/>
          <w:b w:val="1"/>
          <w:bCs w:val="1"/>
          <w:u w:val="single" w:color="auto"/>
          <w:color w:val="auto"/>
        </w:rPr>
        <w:t>NO ADVISORY OR FIDUCIARY RESPONSIBILITY.</w:t>
      </w:r>
      <w:r>
        <w:rPr>
          <w:rFonts w:ascii="Arial" w:cs="Arial" w:eastAsia="Arial" w:hAnsi="Arial"/>
          <w:sz w:val="12"/>
          <w:szCs w:val="12"/>
          <w:b w:val="1"/>
          <w:bCs w:val="1"/>
          <w:color w:val="auto"/>
        </w:rPr>
        <w:t xml:space="preserve"> </w:t>
      </w:r>
      <w:r>
        <w:rPr>
          <w:rFonts w:ascii="Arial" w:cs="Arial" w:eastAsia="Arial" w:hAnsi="Arial"/>
          <w:sz w:val="12"/>
          <w:szCs w:val="12"/>
          <w:color w:val="auto"/>
        </w:rPr>
        <w:t>In connection with all aspects of each transaction contemplated hereby (including in connection with any amendment, waiver or other modification</w:t>
      </w:r>
      <w:r>
        <w:rPr>
          <w:rFonts w:ascii="Arial" w:cs="Arial" w:eastAsia="Arial" w:hAnsi="Arial"/>
          <w:sz w:val="12"/>
          <w:szCs w:val="12"/>
          <w:b w:val="1"/>
          <w:bCs w:val="1"/>
          <w:color w:val="auto"/>
        </w:rPr>
        <w:t xml:space="preserve"> </w:t>
      </w:r>
      <w:r>
        <w:rPr>
          <w:rFonts w:ascii="Arial" w:cs="Arial" w:eastAsia="Arial" w:hAnsi="Arial"/>
          <w:sz w:val="12"/>
          <w:szCs w:val="12"/>
          <w:color w:val="auto"/>
        </w:rPr>
        <w:t>hereof or of any other Loan Document), each of the Borrower and the Guarantor acknowledges and agrees, and acknowledges its affiliates’ understanding, that: (i) (A) the arranging and other services regarding this Agreement provided by the Administrative Agent, the Banks and the Lead Arrangers are arm’s-length commercial transactions between the Borrower, the Guarantor and their respective affiliates, on the one hand, and the Administrative Agent, the Banks and the other Lead Arrangers, on the other hand, (B) each of the Borrower and the Guarantor has consulted its own legal, accounting, regulatory and tax advisors to the extent it has deemed appropriate, and (C) the Borrower and the Guarantor is capable of evaluating, and understands and accepts, the terms, risks and conditions of the transactions contemplated hereby and by the other Loan Documents; (ii) (A) the Administrative Agent, each Bank and each Lead Arranger each is and has been acting solely as a principal and, except as expressly agreed in writing by the relevant parties, has not been, is not, and will not be acting as an advisor, agent or fiduciary for the Borrower, the Guarantor or any of their respective affiliates, or any other Person and (B) neither the Administrative Agent nor any Bank nor any Lead Arranger has any obligation to the Borrower, the Guarantor or any of their respective affiliates with respect to the transactions contemplated hereby except those obligations expressly set forth herein and in the other Loan Documents; and (iii) the Administrative Agent, the Banks and the Lead Arrangers and their respective affiliates may be engaged in a broad range of transactions that involve interests that differ from those of the Borrower, the Guarantor and their respective affiliates, and neither the Administrative Agent nor any Bank nor any Lead Arranger has any obligation to disclose any of such interests to the Borrower, the Guarantor or any of their respective affiliates. To the fullest extent permitted by law, each of the Borrower and the Guarantor hereby waives and releases any claims that it may have against the Administrative Agent, the Banks and the other Lead Arrangers with respect to any breach or alleged breach of any agency or fiduciary duty to the Borrower, the Guarantor or any of their respective Affiliates in connection with any aspect of any transaction contemplated hereby.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83" w:name="page184"/>
    <w:bookmarkEnd w:id="183"/>
    <w:p>
      <w:pPr>
        <w:spacing w:after="0" w:line="282" w:lineRule="auto"/>
        <w:rPr>
          <w:sz w:val="20"/>
          <w:szCs w:val="20"/>
          <w:color w:val="auto"/>
        </w:rPr>
      </w:pPr>
      <w:r>
        <w:rPr>
          <w:rFonts w:ascii="Arial" w:cs="Arial" w:eastAsia="Arial" w:hAnsi="Arial"/>
          <w:sz w:val="12"/>
          <w:szCs w:val="12"/>
          <w:b w:val="1"/>
          <w:bCs w:val="1"/>
          <w:color w:val="auto"/>
        </w:rPr>
        <w:t xml:space="preserve">§33. </w:t>
      </w:r>
      <w:r>
        <w:rPr>
          <w:rFonts w:ascii="Arial" w:cs="Arial" w:eastAsia="Arial" w:hAnsi="Arial"/>
          <w:sz w:val="12"/>
          <w:szCs w:val="12"/>
          <w:b w:val="1"/>
          <w:bCs w:val="1"/>
          <w:u w:val="single" w:color="auto"/>
          <w:color w:val="auto"/>
        </w:rPr>
        <w:t>PAYMENTS SET ASIDE.</w:t>
      </w:r>
      <w:r>
        <w:rPr>
          <w:rFonts w:ascii="Arial" w:cs="Arial" w:eastAsia="Arial" w:hAnsi="Arial"/>
          <w:sz w:val="12"/>
          <w:szCs w:val="12"/>
          <w:b w:val="1"/>
          <w:bCs w:val="1"/>
          <w:color w:val="auto"/>
        </w:rPr>
        <w:t xml:space="preserve"> </w:t>
      </w:r>
      <w:r>
        <w:rPr>
          <w:rFonts w:ascii="Arial" w:cs="Arial" w:eastAsia="Arial" w:hAnsi="Arial"/>
          <w:sz w:val="12"/>
          <w:szCs w:val="12"/>
          <w:color w:val="auto"/>
        </w:rPr>
        <w:t>To the extent that any payment by or on behalf of the Borrower is made to the Administrative Agent, an Issuing Bank or any Bank, or the Administrative Agent, an Issuing Bank or any</w:t>
      </w:r>
      <w:r>
        <w:rPr>
          <w:rFonts w:ascii="Arial" w:cs="Arial" w:eastAsia="Arial" w:hAnsi="Arial"/>
          <w:sz w:val="12"/>
          <w:szCs w:val="12"/>
          <w:b w:val="1"/>
          <w:bCs w:val="1"/>
          <w:color w:val="auto"/>
        </w:rPr>
        <w:t xml:space="preserve"> </w:t>
      </w:r>
      <w:r>
        <w:rPr>
          <w:rFonts w:ascii="Arial" w:cs="Arial" w:eastAsia="Arial" w:hAnsi="Arial"/>
          <w:sz w:val="12"/>
          <w:szCs w:val="12"/>
          <w:color w:val="auto"/>
        </w:rPr>
        <w:t>Bank exercises its right of setoff, and such payment or the proceeds of such setoff or any part thereof is subsequently invalidated, declared to be fraudulent or preferential, set aside or required (including pursuant to any settlement entered into by the Administrative Agent, an Issuing Bank or such Bank in its discretion) to be repaid to a trustee, receiver or any other party, in connection with any proceeding under any bankruptcy, insolvency or similar law or otherwise, then (a) to the extent of such recovery, the obligation or part thereof originally intended to be satisfied shall be revived and continued in full force and effect as if such payment had not been made or such setoff had not occurred, and (b) each Bank and each Issuing Bank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Banks and each Issuing Bank under clause (b) of the preceding sentence shall survive the payment in full of the Obligations and the termination of this Agreement.</w:t>
      </w:r>
    </w:p>
    <w:p>
      <w:pPr>
        <w:spacing w:after="0" w:line="45" w:lineRule="exact"/>
        <w:rPr>
          <w:sz w:val="20"/>
          <w:szCs w:val="20"/>
          <w:color w:val="auto"/>
        </w:rPr>
      </w:pPr>
    </w:p>
    <w:p>
      <w:pPr>
        <w:jc w:val="both"/>
        <w:ind w:right="40"/>
        <w:spacing w:after="0" w:line="300" w:lineRule="auto"/>
        <w:rPr>
          <w:sz w:val="20"/>
          <w:szCs w:val="20"/>
          <w:color w:val="auto"/>
        </w:rPr>
      </w:pPr>
      <w:r>
        <w:rPr>
          <w:rFonts w:ascii="Arial" w:cs="Arial" w:eastAsia="Arial" w:hAnsi="Arial"/>
          <w:sz w:val="12"/>
          <w:szCs w:val="12"/>
          <w:b w:val="1"/>
          <w:bCs w:val="1"/>
          <w:color w:val="auto"/>
        </w:rPr>
        <w:t xml:space="preserve">§34. </w:t>
      </w:r>
      <w:r>
        <w:rPr>
          <w:rFonts w:ascii="Arial" w:cs="Arial" w:eastAsia="Arial" w:hAnsi="Arial"/>
          <w:sz w:val="12"/>
          <w:szCs w:val="12"/>
          <w:b w:val="1"/>
          <w:bCs w:val="1"/>
          <w:u w:val="single" w:color="auto"/>
          <w:color w:val="auto"/>
        </w:rPr>
        <w:t>TERMINATION OF EXISTING CREDIT AGREEMENT.</w:t>
      </w:r>
      <w:r>
        <w:rPr>
          <w:rFonts w:ascii="Arial" w:cs="Arial" w:eastAsia="Arial" w:hAnsi="Arial"/>
          <w:sz w:val="12"/>
          <w:szCs w:val="12"/>
          <w:b w:val="1"/>
          <w:bCs w:val="1"/>
          <w:color w:val="auto"/>
        </w:rPr>
        <w:t xml:space="preserve"> </w:t>
      </w:r>
      <w:r>
        <w:rPr>
          <w:rFonts w:ascii="Arial" w:cs="Arial" w:eastAsia="Arial" w:hAnsi="Arial"/>
          <w:sz w:val="12"/>
          <w:szCs w:val="12"/>
          <w:color w:val="auto"/>
        </w:rPr>
        <w:t>The Borrower, the Banks which are parties to the Existing Credit Agreement (which Lenders constitute “Majority Banks” under and as defined in the</w:t>
      </w:r>
      <w:r>
        <w:rPr>
          <w:rFonts w:ascii="Arial" w:cs="Arial" w:eastAsia="Arial" w:hAnsi="Arial"/>
          <w:sz w:val="12"/>
          <w:szCs w:val="12"/>
          <w:b w:val="1"/>
          <w:bCs w:val="1"/>
          <w:color w:val="auto"/>
        </w:rPr>
        <w:t xml:space="preserve"> </w:t>
      </w:r>
      <w:r>
        <w:rPr>
          <w:rFonts w:ascii="Arial" w:cs="Arial" w:eastAsia="Arial" w:hAnsi="Arial"/>
          <w:sz w:val="12"/>
          <w:szCs w:val="12"/>
          <w:color w:val="auto"/>
        </w:rPr>
        <w:t>Existing Credit Agreement) and Citibank, N.A., as Administrative Agent under the Existing Credit Agreement, agree that on the Closing Date, the commitments under the Existing Credit Agreement shall terminate and be of no further force or effect (without regard to any requirement in §2.3.1 of the Existing Credit Agreement for prior notice of termination of the commitments thereunder).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[Remainder of page is intentionally left blank; signature pages follow]</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84" w:name="page185"/>
    <w:bookmarkEnd w:id="184"/>
    <w:p>
      <w:pPr>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undersigned have duly executed this Agreement as of the date first set forth above.</w:t>
      </w:r>
    </w:p>
    <w:p>
      <w:pPr>
        <w:spacing w:after="0" w:line="165" w:lineRule="exact"/>
        <w:rPr>
          <w:sz w:val="20"/>
          <w:szCs w:val="20"/>
          <w:color w:val="auto"/>
        </w:rPr>
      </w:pPr>
    </w:p>
    <w:p>
      <w:pPr>
        <w:ind w:left="4940"/>
        <w:spacing w:after="0"/>
        <w:rPr>
          <w:sz w:val="20"/>
          <w:szCs w:val="20"/>
          <w:color w:val="auto"/>
        </w:rPr>
      </w:pPr>
      <w:r>
        <w:rPr>
          <w:rFonts w:ascii="Arial" w:cs="Arial" w:eastAsia="Arial" w:hAnsi="Arial"/>
          <w:sz w:val="13"/>
          <w:szCs w:val="13"/>
          <w:b w:val="1"/>
          <w:bCs w:val="1"/>
          <w:u w:val="single" w:color="auto"/>
          <w:color w:val="auto"/>
        </w:rPr>
        <w:t>THE BORROWER AND GUARANTOR:</w:t>
      </w:r>
    </w:p>
    <w:p>
      <w:pPr>
        <w:spacing w:after="0" w:line="165" w:lineRule="exact"/>
        <w:rPr>
          <w:sz w:val="20"/>
          <w:szCs w:val="20"/>
          <w:color w:val="auto"/>
        </w:rPr>
      </w:pPr>
    </w:p>
    <w:p>
      <w:pPr>
        <w:ind w:left="4940"/>
        <w:spacing w:after="0"/>
        <w:rPr>
          <w:sz w:val="20"/>
          <w:szCs w:val="20"/>
          <w:color w:val="auto"/>
        </w:rPr>
      </w:pPr>
      <w:r>
        <w:rPr>
          <w:rFonts w:ascii="Arial" w:cs="Arial" w:eastAsia="Arial" w:hAnsi="Arial"/>
          <w:sz w:val="13"/>
          <w:szCs w:val="13"/>
          <w:b w:val="1"/>
          <w:bCs w:val="1"/>
          <w:color w:val="auto"/>
        </w:rPr>
        <w:t>WASTE MANAGEMENT, INC.</w:t>
      </w:r>
    </w:p>
    <w:p>
      <w:pPr>
        <w:spacing w:after="0" w:line="169" w:lineRule="exact"/>
        <w:rPr>
          <w:sz w:val="20"/>
          <w:szCs w:val="20"/>
          <w:color w:val="auto"/>
        </w:rPr>
      </w:pPr>
    </w:p>
    <w:p>
      <w:pPr>
        <w:ind w:left="4940"/>
        <w:spacing w:after="0"/>
        <w:rPr>
          <w:sz w:val="20"/>
          <w:szCs w:val="20"/>
          <w:color w:val="auto"/>
        </w:rPr>
      </w:pPr>
      <w:r>
        <w:rPr>
          <w:rFonts w:ascii="Arial" w:cs="Arial" w:eastAsia="Arial" w:hAnsi="Arial"/>
          <w:sz w:val="13"/>
          <w:szCs w:val="13"/>
          <w:color w:val="auto"/>
        </w:rPr>
        <w:t>By: /s/ 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10795</wp:posOffset>
            </wp:positionV>
            <wp:extent cx="2727325"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3"/>
          <w:szCs w:val="13"/>
          <w:color w:val="auto"/>
        </w:rPr>
        <w:t>Name: Cherie C. Rice</w:t>
      </w:r>
    </w:p>
    <w:p>
      <w:pPr>
        <w:spacing w:after="0" w:line="15" w:lineRule="exact"/>
        <w:rPr>
          <w:sz w:val="20"/>
          <w:szCs w:val="20"/>
          <w:color w:val="auto"/>
        </w:rPr>
      </w:pPr>
    </w:p>
    <w:p>
      <w:pPr>
        <w:jc w:val="both"/>
        <w:ind w:left="5200"/>
        <w:spacing w:after="0"/>
        <w:tabs>
          <w:tab w:leader="none" w:pos="5600" w:val="left"/>
        </w:tabs>
        <w:rPr>
          <w:sz w:val="20"/>
          <w:szCs w:val="20"/>
          <w:color w:val="auto"/>
        </w:rPr>
      </w:pPr>
      <w:r>
        <w:rPr>
          <w:rFonts w:ascii="Arial" w:cs="Arial" w:eastAsia="Arial" w:hAnsi="Arial"/>
          <w:sz w:val="13"/>
          <w:szCs w:val="13"/>
          <w:color w:val="auto"/>
        </w:rPr>
        <w:t>Title:</w:t>
        <w:tab/>
        <w:t>Vice President, Finance &amp; Treasurer</w:t>
      </w:r>
    </w:p>
    <w:p>
      <w:pPr>
        <w:spacing w:after="0" w:line="154" w:lineRule="exact"/>
        <w:rPr>
          <w:sz w:val="20"/>
          <w:szCs w:val="20"/>
          <w:color w:val="auto"/>
        </w:rPr>
      </w:pPr>
    </w:p>
    <w:p>
      <w:pPr>
        <w:ind w:left="4940"/>
        <w:spacing w:after="0"/>
        <w:rPr>
          <w:sz w:val="20"/>
          <w:szCs w:val="20"/>
          <w:color w:val="auto"/>
        </w:rPr>
      </w:pPr>
      <w:r>
        <w:rPr>
          <w:rFonts w:ascii="Arial" w:cs="Arial" w:eastAsia="Arial" w:hAnsi="Arial"/>
          <w:sz w:val="13"/>
          <w:szCs w:val="13"/>
          <w:b w:val="1"/>
          <w:bCs w:val="1"/>
          <w:color w:val="auto"/>
        </w:rPr>
        <w:t>WASTE MANAGEMENT HOLDINGS, INC.</w:t>
      </w:r>
    </w:p>
    <w:p>
      <w:pPr>
        <w:spacing w:after="0" w:line="169" w:lineRule="exact"/>
        <w:rPr>
          <w:sz w:val="20"/>
          <w:szCs w:val="20"/>
          <w:color w:val="auto"/>
        </w:rPr>
      </w:pPr>
    </w:p>
    <w:p>
      <w:pPr>
        <w:ind w:left="4940"/>
        <w:spacing w:after="0"/>
        <w:rPr>
          <w:sz w:val="20"/>
          <w:szCs w:val="20"/>
          <w:color w:val="auto"/>
        </w:rPr>
      </w:pPr>
      <w:r>
        <w:rPr>
          <w:rFonts w:ascii="Arial" w:cs="Arial" w:eastAsia="Arial" w:hAnsi="Arial"/>
          <w:sz w:val="13"/>
          <w:szCs w:val="13"/>
          <w:color w:val="auto"/>
        </w:rPr>
        <w:t>By: /s/ 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10795</wp:posOffset>
            </wp:positionV>
            <wp:extent cx="2727325"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3"/>
          <w:szCs w:val="13"/>
          <w:color w:val="auto"/>
        </w:rPr>
        <w:t>Name: Cherie C. Rice</w:t>
      </w:r>
    </w:p>
    <w:p>
      <w:pPr>
        <w:spacing w:after="0" w:line="15" w:lineRule="exact"/>
        <w:rPr>
          <w:sz w:val="20"/>
          <w:szCs w:val="20"/>
          <w:color w:val="auto"/>
        </w:rPr>
      </w:pPr>
    </w:p>
    <w:p>
      <w:pPr>
        <w:ind w:left="5200"/>
        <w:spacing w:after="0"/>
        <w:tabs>
          <w:tab w:leader="none" w:pos="5600" w:val="left"/>
        </w:tabs>
        <w:rPr>
          <w:sz w:val="20"/>
          <w:szCs w:val="20"/>
          <w:color w:val="auto"/>
        </w:rPr>
      </w:pPr>
      <w:r>
        <w:rPr>
          <w:rFonts w:ascii="Arial" w:cs="Arial" w:eastAsia="Arial" w:hAnsi="Arial"/>
          <w:sz w:val="13"/>
          <w:szCs w:val="13"/>
          <w:color w:val="auto"/>
        </w:rPr>
        <w:t>Title:</w:t>
        <w:tab/>
        <w:t>Vice President &amp; Treasurer</w:t>
      </w:r>
    </w:p>
    <w:p>
      <w:pPr>
        <w:spacing w:after="0" w:line="315" w:lineRule="exact"/>
        <w:rPr>
          <w:sz w:val="20"/>
          <w:szCs w:val="20"/>
          <w:color w:val="auto"/>
        </w:rPr>
      </w:pPr>
    </w:p>
    <w:p>
      <w:pPr>
        <w:ind w:left="4940"/>
        <w:spacing w:after="0"/>
        <w:rPr>
          <w:sz w:val="20"/>
          <w:szCs w:val="20"/>
          <w:color w:val="auto"/>
        </w:rPr>
      </w:pPr>
      <w:r>
        <w:rPr>
          <w:rFonts w:ascii="Arial" w:cs="Arial" w:eastAsia="Arial" w:hAnsi="Arial"/>
          <w:sz w:val="13"/>
          <w:szCs w:val="13"/>
          <w:color w:val="auto"/>
        </w:rPr>
        <w:t>By: /s/ Devina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10795</wp:posOffset>
            </wp:positionV>
            <wp:extent cx="2727325"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3"/>
          <w:szCs w:val="13"/>
          <w:color w:val="auto"/>
        </w:rPr>
        <w:t>Name: Devina Rankin</w:t>
      </w:r>
    </w:p>
    <w:p>
      <w:pPr>
        <w:spacing w:after="0" w:line="15" w:lineRule="exact"/>
        <w:rPr>
          <w:sz w:val="20"/>
          <w:szCs w:val="20"/>
          <w:color w:val="auto"/>
        </w:rPr>
      </w:pPr>
    </w:p>
    <w:p>
      <w:pPr>
        <w:ind w:left="5200"/>
        <w:spacing w:after="0"/>
        <w:tabs>
          <w:tab w:leader="none" w:pos="5600" w:val="left"/>
        </w:tabs>
        <w:rPr>
          <w:sz w:val="20"/>
          <w:szCs w:val="20"/>
          <w:color w:val="auto"/>
        </w:rPr>
      </w:pPr>
      <w:r>
        <w:rPr>
          <w:rFonts w:ascii="Arial" w:cs="Arial" w:eastAsia="Arial" w:hAnsi="Arial"/>
          <w:sz w:val="13"/>
          <w:szCs w:val="13"/>
          <w:color w:val="auto"/>
        </w:rPr>
        <w:t>Title:</w:t>
        <w:tab/>
        <w:t>Assistant Treasurer</w:t>
      </w:r>
    </w:p>
    <w:p>
      <w:pPr>
        <w:spacing w:after="0" w:line="393" w:lineRule="exact"/>
        <w:rPr>
          <w:sz w:val="20"/>
          <w:szCs w:val="20"/>
          <w:color w:val="auto"/>
        </w:rPr>
      </w:pPr>
    </w:p>
    <w:p>
      <w:pPr>
        <w:jc w:val="center"/>
        <w:ind w:right="-920"/>
        <w:spacing w:after="0"/>
        <w:rPr>
          <w:sz w:val="20"/>
          <w:szCs w:val="20"/>
          <w:color w:val="auto"/>
        </w:rPr>
      </w:pPr>
      <w:r>
        <w:rPr>
          <w:rFonts w:ascii="Arial" w:cs="Arial" w:eastAsia="Arial" w:hAnsi="Arial"/>
          <w:sz w:val="13"/>
          <w:szCs w:val="13"/>
          <w:color w:val="auto"/>
        </w:rPr>
        <w:t>Waste Management, Inc.</w:t>
      </w:r>
    </w:p>
    <w:p>
      <w:pPr>
        <w:spacing w:after="0" w:line="15" w:lineRule="exact"/>
        <w:rPr>
          <w:sz w:val="20"/>
          <w:szCs w:val="20"/>
          <w:color w:val="auto"/>
        </w:rPr>
      </w:pPr>
    </w:p>
    <w:p>
      <w:pPr>
        <w:jc w:val="center"/>
        <w:ind w:right="-920"/>
        <w:spacing w:after="0"/>
        <w:rPr>
          <w:sz w:val="20"/>
          <w:szCs w:val="20"/>
          <w:color w:val="auto"/>
        </w:rPr>
      </w:pPr>
      <w:r>
        <w:rPr>
          <w:rFonts w:ascii="Arial" w:cs="Arial" w:eastAsia="Arial" w:hAnsi="Arial"/>
          <w:sz w:val="13"/>
          <w:szCs w:val="13"/>
          <w:color w:val="auto"/>
        </w:rPr>
        <w:t>Credit Agreement</w:t>
      </w:r>
    </w:p>
    <w:p>
      <w:pPr>
        <w:spacing w:after="0" w:line="8" w:lineRule="exact"/>
        <w:rPr>
          <w:sz w:val="20"/>
          <w:szCs w:val="20"/>
          <w:color w:val="auto"/>
        </w:rPr>
      </w:pPr>
    </w:p>
    <w:p>
      <w:pPr>
        <w:jc w:val="center"/>
        <w:ind w:right="-920"/>
        <w:spacing w:after="0"/>
        <w:rPr>
          <w:sz w:val="20"/>
          <w:szCs w:val="20"/>
          <w:color w:val="auto"/>
        </w:rPr>
      </w:pPr>
      <w:r>
        <w:rPr>
          <w:rFonts w:ascii="Arial" w:cs="Arial" w:eastAsia="Arial" w:hAnsi="Arial"/>
          <w:sz w:val="13"/>
          <w:szCs w:val="13"/>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289560</wp:posOffset>
            </wp:positionV>
            <wp:extent cx="7290435"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19"/>
          </w:cols>
          <w:pgMar w:left="540" w:top="717" w:right="1440" w:bottom="1440" w:gutter="0" w:footer="0" w:header="0"/>
        </w:sectPr>
      </w:pPr>
    </w:p>
    <w:bookmarkStart w:id="185" w:name="page186"/>
    <w:bookmarkEnd w:id="185"/>
    <w:p>
      <w:pPr>
        <w:ind w:left="4340"/>
        <w:spacing w:after="0"/>
        <w:rPr>
          <w:sz w:val="20"/>
          <w:szCs w:val="20"/>
          <w:color w:val="auto"/>
        </w:rPr>
      </w:pPr>
      <w:r>
        <w:rPr>
          <w:rFonts w:ascii="Arial" w:cs="Arial" w:eastAsia="Arial" w:hAnsi="Arial"/>
          <w:sz w:val="13"/>
          <w:szCs w:val="13"/>
          <w:b w:val="1"/>
          <w:bCs w:val="1"/>
          <w:color w:val="auto"/>
        </w:rPr>
        <w:t xml:space="preserve">BANK OF AMERICA, N.A., </w:t>
      </w:r>
      <w:r>
        <w:rPr>
          <w:rFonts w:ascii="Arial" w:cs="Arial" w:eastAsia="Arial" w:hAnsi="Arial"/>
          <w:sz w:val="13"/>
          <w:szCs w:val="13"/>
          <w:color w:val="auto"/>
        </w:rPr>
        <w:t>as Administrative Agent</w:t>
      </w:r>
    </w:p>
    <w:p>
      <w:pPr>
        <w:spacing w:after="0" w:line="169" w:lineRule="exact"/>
        <w:rPr>
          <w:sz w:val="20"/>
          <w:szCs w:val="20"/>
          <w:color w:val="auto"/>
        </w:rPr>
      </w:pPr>
    </w:p>
    <w:tbl>
      <w:tblPr>
        <w:tblLayout w:type="fixed"/>
        <w:tblInd w:w="4340" w:type="dxa"/>
        <w:tblCellMar>
          <w:top w:w="0" w:type="dxa"/>
          <w:left w:w="0" w:type="dxa"/>
          <w:bottom w:w="0" w:type="dxa"/>
          <w:right w:w="0" w:type="dxa"/>
        </w:tblCellMar>
      </w:tblP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Maria F. Maia</w:t>
            </w:r>
          </w:p>
        </w:tc>
      </w:tr>
      <w:tr>
        <w:trPr>
          <w:trHeight w:val="149"/>
        </w:trPr>
        <w:tc>
          <w:tcPr>
            <w:tcW w:w="46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Maria F. Maia</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Managing Director</w:t>
            </w: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Waste Management,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186" w:name="page187"/>
    <w:bookmarkEnd w:id="186"/>
    <w:p>
      <w:pPr>
        <w:ind w:left="4340"/>
        <w:spacing w:after="0"/>
        <w:rPr>
          <w:sz w:val="20"/>
          <w:szCs w:val="20"/>
          <w:color w:val="auto"/>
        </w:rPr>
      </w:pPr>
      <w:r>
        <w:rPr>
          <w:rFonts w:ascii="Arial" w:cs="Arial" w:eastAsia="Arial" w:hAnsi="Arial"/>
          <w:sz w:val="13"/>
          <w:szCs w:val="13"/>
          <w:b w:val="1"/>
          <w:bCs w:val="1"/>
          <w:color w:val="auto"/>
        </w:rPr>
        <w:t xml:space="preserve">JPMORGAN CHASE BANK, N.A., </w:t>
      </w:r>
      <w:r>
        <w:rPr>
          <w:rFonts w:ascii="Arial" w:cs="Arial" w:eastAsia="Arial" w:hAnsi="Arial"/>
          <w:sz w:val="13"/>
          <w:szCs w:val="13"/>
          <w:color w:val="auto"/>
        </w:rPr>
        <w:t>as a Bank and an Issuing Bank</w:t>
      </w:r>
    </w:p>
    <w:p>
      <w:pPr>
        <w:spacing w:after="0" w:line="169" w:lineRule="exact"/>
        <w:rPr>
          <w:sz w:val="20"/>
          <w:szCs w:val="20"/>
          <w:color w:val="auto"/>
        </w:rPr>
      </w:pPr>
    </w:p>
    <w:tbl>
      <w:tblPr>
        <w:tblLayout w:type="fixed"/>
        <w:tblInd w:w="4340" w:type="dxa"/>
        <w:tblCellMar>
          <w:top w:w="0" w:type="dxa"/>
          <w:left w:w="0" w:type="dxa"/>
          <w:bottom w:w="0" w:type="dxa"/>
          <w:right w:w="0" w:type="dxa"/>
        </w:tblCellMar>
      </w:tblP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Anthony W. White</w:t>
            </w:r>
          </w:p>
        </w:tc>
      </w:tr>
      <w:tr>
        <w:trPr>
          <w:trHeight w:val="149"/>
        </w:trPr>
        <w:tc>
          <w:tcPr>
            <w:tcW w:w="46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Anthony W. White</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Waste Management,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187" w:name="page188"/>
    <w:bookmarkEnd w:id="187"/>
    <w:p>
      <w:pPr>
        <w:ind w:left="4340"/>
        <w:spacing w:after="0"/>
        <w:rPr>
          <w:sz w:val="20"/>
          <w:szCs w:val="20"/>
          <w:color w:val="auto"/>
        </w:rPr>
      </w:pPr>
      <w:r>
        <w:rPr>
          <w:rFonts w:ascii="Arial" w:cs="Arial" w:eastAsia="Arial" w:hAnsi="Arial"/>
          <w:sz w:val="13"/>
          <w:szCs w:val="13"/>
          <w:b w:val="1"/>
          <w:bCs w:val="1"/>
          <w:color w:val="auto"/>
        </w:rPr>
        <w:t xml:space="preserve">BANK OF AMERICA, N.A., </w:t>
      </w:r>
      <w:r>
        <w:rPr>
          <w:rFonts w:ascii="Arial" w:cs="Arial" w:eastAsia="Arial" w:hAnsi="Arial"/>
          <w:sz w:val="13"/>
          <w:szCs w:val="13"/>
          <w:color w:val="auto"/>
        </w:rPr>
        <w:t>as a Bank and an Issuing Bank</w:t>
      </w:r>
    </w:p>
    <w:p>
      <w:pPr>
        <w:spacing w:after="0" w:line="169" w:lineRule="exact"/>
        <w:rPr>
          <w:sz w:val="20"/>
          <w:szCs w:val="20"/>
          <w:color w:val="auto"/>
        </w:rPr>
      </w:pPr>
    </w:p>
    <w:tbl>
      <w:tblPr>
        <w:tblLayout w:type="fixed"/>
        <w:tblInd w:w="4340" w:type="dxa"/>
        <w:tblCellMar>
          <w:top w:w="0" w:type="dxa"/>
          <w:left w:w="0" w:type="dxa"/>
          <w:bottom w:w="0" w:type="dxa"/>
          <w:right w:w="0" w:type="dxa"/>
        </w:tblCellMar>
      </w:tblP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Maria F. Maia</w:t>
            </w:r>
          </w:p>
        </w:tc>
      </w:tr>
      <w:tr>
        <w:trPr>
          <w:trHeight w:val="149"/>
        </w:trPr>
        <w:tc>
          <w:tcPr>
            <w:tcW w:w="46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Maria F. Maia</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Managing Director</w:t>
            </w: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Waste Management,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188" w:name="page189"/>
    <w:bookmarkEnd w:id="188"/>
    <w:p>
      <w:pPr>
        <w:ind w:left="4340"/>
        <w:spacing w:after="0"/>
        <w:rPr>
          <w:sz w:val="20"/>
          <w:szCs w:val="20"/>
          <w:color w:val="auto"/>
        </w:rPr>
      </w:pPr>
      <w:r>
        <w:rPr>
          <w:rFonts w:ascii="Arial" w:cs="Arial" w:eastAsia="Arial" w:hAnsi="Arial"/>
          <w:sz w:val="13"/>
          <w:szCs w:val="13"/>
          <w:b w:val="1"/>
          <w:bCs w:val="1"/>
          <w:color w:val="auto"/>
        </w:rPr>
        <w:t xml:space="preserve">BARCLAYS BANK PLC, </w:t>
      </w:r>
      <w:r>
        <w:rPr>
          <w:rFonts w:ascii="Arial" w:cs="Arial" w:eastAsia="Arial" w:hAnsi="Arial"/>
          <w:sz w:val="13"/>
          <w:szCs w:val="13"/>
          <w:color w:val="auto"/>
        </w:rPr>
        <w:t>as a Bank and an Issuing Bank</w:t>
      </w:r>
    </w:p>
    <w:p>
      <w:pPr>
        <w:spacing w:after="0" w:line="169" w:lineRule="exact"/>
        <w:rPr>
          <w:sz w:val="20"/>
          <w:szCs w:val="20"/>
          <w:color w:val="auto"/>
        </w:rPr>
      </w:pPr>
    </w:p>
    <w:tbl>
      <w:tblPr>
        <w:tblLayout w:type="fixed"/>
        <w:tblInd w:w="4340" w:type="dxa"/>
        <w:tblCellMar>
          <w:top w:w="0" w:type="dxa"/>
          <w:left w:w="0" w:type="dxa"/>
          <w:bottom w:w="0" w:type="dxa"/>
          <w:right w:w="0" w:type="dxa"/>
        </w:tblCellMar>
      </w:tblP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Noam Azachi</w:t>
            </w:r>
          </w:p>
        </w:tc>
      </w:tr>
      <w:tr>
        <w:trPr>
          <w:trHeight w:val="149"/>
        </w:trPr>
        <w:tc>
          <w:tcPr>
            <w:tcW w:w="46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Noam Azachi</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Assistant Vice President</w:t>
            </w: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Waste Management,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189" w:name="page190"/>
    <w:bookmarkEnd w:id="189"/>
    <w:p>
      <w:pPr>
        <w:ind w:left="4340"/>
        <w:spacing w:after="0"/>
        <w:rPr>
          <w:sz w:val="20"/>
          <w:szCs w:val="20"/>
          <w:color w:val="auto"/>
        </w:rPr>
      </w:pPr>
      <w:r>
        <w:rPr>
          <w:rFonts w:ascii="Arial" w:cs="Arial" w:eastAsia="Arial" w:hAnsi="Arial"/>
          <w:sz w:val="13"/>
          <w:szCs w:val="13"/>
          <w:b w:val="1"/>
          <w:bCs w:val="1"/>
          <w:color w:val="auto"/>
        </w:rPr>
        <w:t xml:space="preserve">BNP PARIBAS, </w:t>
      </w:r>
      <w:r>
        <w:rPr>
          <w:rFonts w:ascii="Arial" w:cs="Arial" w:eastAsia="Arial" w:hAnsi="Arial"/>
          <w:sz w:val="13"/>
          <w:szCs w:val="13"/>
          <w:color w:val="auto"/>
        </w:rPr>
        <w:t>as a Bank and an Issuing Bank</w:t>
      </w:r>
    </w:p>
    <w:p>
      <w:pPr>
        <w:spacing w:after="0" w:line="169" w:lineRule="exact"/>
        <w:rPr>
          <w:sz w:val="20"/>
          <w:szCs w:val="20"/>
          <w:color w:val="auto"/>
        </w:rPr>
      </w:pPr>
    </w:p>
    <w:tbl>
      <w:tblPr>
        <w:tblLayout w:type="fixed"/>
        <w:tblInd w:w="4340" w:type="dxa"/>
        <w:tblCellMar>
          <w:top w:w="0" w:type="dxa"/>
          <w:left w:w="0" w:type="dxa"/>
          <w:bottom w:w="0" w:type="dxa"/>
          <w:right w:w="0" w:type="dxa"/>
        </w:tblCellMar>
      </w:tblP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Mike Shryock</w:t>
            </w:r>
          </w:p>
        </w:tc>
      </w:tr>
      <w:tr>
        <w:trPr>
          <w:trHeight w:val="149"/>
        </w:trPr>
        <w:tc>
          <w:tcPr>
            <w:tcW w:w="46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Mike Shryock</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Managing Director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Pearce</w:t>
            </w:r>
          </w:p>
        </w:tc>
      </w:tr>
      <w:tr>
        <w:trPr>
          <w:trHeight w:val="149"/>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Michael Pearce</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Director</w:t>
            </w: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Waste Management,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190" w:name="page191"/>
    <w:bookmarkEnd w:id="190"/>
    <w:p>
      <w:pPr>
        <w:ind w:left="4340"/>
        <w:spacing w:after="0"/>
        <w:rPr>
          <w:sz w:val="20"/>
          <w:szCs w:val="20"/>
          <w:color w:val="auto"/>
        </w:rPr>
      </w:pPr>
      <w:r>
        <w:rPr>
          <w:rFonts w:ascii="Arial" w:cs="Arial" w:eastAsia="Arial" w:hAnsi="Arial"/>
          <w:sz w:val="13"/>
          <w:szCs w:val="13"/>
          <w:b w:val="1"/>
          <w:bCs w:val="1"/>
          <w:color w:val="auto"/>
        </w:rPr>
        <w:t>CITIBANK, N.A.</w:t>
      </w:r>
    </w:p>
    <w:p>
      <w:pPr>
        <w:spacing w:after="0" w:line="169" w:lineRule="exact"/>
        <w:rPr>
          <w:sz w:val="20"/>
          <w:szCs w:val="20"/>
          <w:color w:val="auto"/>
        </w:rPr>
      </w:pPr>
    </w:p>
    <w:tbl>
      <w:tblPr>
        <w:tblLayout w:type="fixed"/>
        <w:tblInd w:w="4340" w:type="dxa"/>
        <w:tblCellMar>
          <w:top w:w="0" w:type="dxa"/>
          <w:left w:w="0" w:type="dxa"/>
          <w:bottom w:w="0" w:type="dxa"/>
          <w:right w:w="0" w:type="dxa"/>
        </w:tblCellMar>
      </w:tblP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Vasudha Saxena</w:t>
            </w:r>
          </w:p>
        </w:tc>
      </w:tr>
      <w:tr>
        <w:trPr>
          <w:trHeight w:val="149"/>
        </w:trPr>
        <w:tc>
          <w:tcPr>
            <w:tcW w:w="46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Vasudha Saxena</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Waste Management,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191" w:name="page192"/>
    <w:bookmarkEnd w:id="191"/>
    <w:p>
      <w:pPr>
        <w:ind w:left="4340"/>
        <w:spacing w:after="0"/>
        <w:rPr>
          <w:sz w:val="20"/>
          <w:szCs w:val="20"/>
          <w:color w:val="auto"/>
        </w:rPr>
      </w:pPr>
      <w:r>
        <w:rPr>
          <w:rFonts w:ascii="Arial" w:cs="Arial" w:eastAsia="Arial" w:hAnsi="Arial"/>
          <w:sz w:val="13"/>
          <w:szCs w:val="13"/>
          <w:b w:val="1"/>
          <w:bCs w:val="1"/>
          <w:color w:val="auto"/>
        </w:rPr>
        <w:t>DEUTSCHE BANK AG NEW YORK BRANCH</w:t>
      </w:r>
    </w:p>
    <w:p>
      <w:pPr>
        <w:spacing w:after="0" w:line="169" w:lineRule="exact"/>
        <w:rPr>
          <w:sz w:val="20"/>
          <w:szCs w:val="20"/>
          <w:color w:val="auto"/>
        </w:rPr>
      </w:pPr>
    </w:p>
    <w:tbl>
      <w:tblPr>
        <w:tblLayout w:type="fixed"/>
        <w:tblInd w:w="4340" w:type="dxa"/>
        <w:tblCellMar>
          <w:top w:w="0" w:type="dxa"/>
          <w:left w:w="0" w:type="dxa"/>
          <w:bottom w:w="0" w:type="dxa"/>
          <w:right w:w="0" w:type="dxa"/>
        </w:tblCellMar>
      </w:tblP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Heidi Sandquist</w:t>
            </w:r>
          </w:p>
        </w:tc>
      </w:tr>
      <w:tr>
        <w:trPr>
          <w:trHeight w:val="149"/>
        </w:trPr>
        <w:tc>
          <w:tcPr>
            <w:tcW w:w="46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Heidi Sandquist</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Director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Ming K. Chu</w:t>
            </w:r>
          </w:p>
        </w:tc>
      </w:tr>
      <w:tr>
        <w:trPr>
          <w:trHeight w:val="149"/>
        </w:trPr>
        <w:tc>
          <w:tcPr>
            <w:tcW w:w="46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Ming K. Chu</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Waste Management,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192" w:name="page193"/>
    <w:bookmarkEnd w:id="192"/>
    <w:p>
      <w:pPr>
        <w:ind w:left="4340"/>
        <w:spacing w:after="0"/>
        <w:rPr>
          <w:sz w:val="20"/>
          <w:szCs w:val="20"/>
          <w:color w:val="auto"/>
        </w:rPr>
      </w:pPr>
      <w:r>
        <w:rPr>
          <w:rFonts w:ascii="Arial" w:cs="Arial" w:eastAsia="Arial" w:hAnsi="Arial"/>
          <w:sz w:val="13"/>
          <w:szCs w:val="13"/>
          <w:b w:val="1"/>
          <w:bCs w:val="1"/>
          <w:color w:val="auto"/>
        </w:rPr>
        <w:t>THE ROYAL BANK OF SCOTLAND PLC</w:t>
      </w:r>
    </w:p>
    <w:p>
      <w:pPr>
        <w:spacing w:after="0" w:line="169" w:lineRule="exact"/>
        <w:rPr>
          <w:sz w:val="20"/>
          <w:szCs w:val="20"/>
          <w:color w:val="auto"/>
        </w:rPr>
      </w:pPr>
    </w:p>
    <w:tbl>
      <w:tblPr>
        <w:tblLayout w:type="fixed"/>
        <w:tblInd w:w="4340" w:type="dxa"/>
        <w:tblCellMar>
          <w:top w:w="0" w:type="dxa"/>
          <w:left w:w="0" w:type="dxa"/>
          <w:bottom w:w="0" w:type="dxa"/>
          <w:right w:w="0" w:type="dxa"/>
        </w:tblCellMar>
      </w:tblP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Paul Chisholm, Attorney-in-Fact</w:t>
            </w:r>
          </w:p>
        </w:tc>
      </w:tr>
      <w:tr>
        <w:trPr>
          <w:trHeight w:val="149"/>
        </w:trPr>
        <w:tc>
          <w:tcPr>
            <w:tcW w:w="46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Paul Chisholm</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Waste Management,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193" w:name="page194"/>
    <w:bookmarkEnd w:id="193"/>
    <w:p>
      <w:pPr>
        <w:ind w:left="4340"/>
        <w:spacing w:after="0"/>
        <w:rPr>
          <w:sz w:val="20"/>
          <w:szCs w:val="20"/>
          <w:color w:val="auto"/>
        </w:rPr>
      </w:pPr>
      <w:r>
        <w:rPr>
          <w:rFonts w:ascii="Arial" w:cs="Arial" w:eastAsia="Arial" w:hAnsi="Arial"/>
          <w:sz w:val="13"/>
          <w:szCs w:val="13"/>
          <w:b w:val="1"/>
          <w:bCs w:val="1"/>
          <w:color w:val="auto"/>
        </w:rPr>
        <w:t>CREDIT SUISSE AG, CAYMAN ISLANDS BRANCH</w:t>
      </w:r>
    </w:p>
    <w:p>
      <w:pPr>
        <w:spacing w:after="0" w:line="169" w:lineRule="exact"/>
        <w:rPr>
          <w:sz w:val="20"/>
          <w:szCs w:val="20"/>
          <w:color w:val="auto"/>
        </w:rPr>
      </w:pPr>
    </w:p>
    <w:tbl>
      <w:tblPr>
        <w:tblLayout w:type="fixed"/>
        <w:tblInd w:w="4340" w:type="dxa"/>
        <w:tblCellMar>
          <w:top w:w="0" w:type="dxa"/>
          <w:left w:w="0" w:type="dxa"/>
          <w:bottom w:w="0" w:type="dxa"/>
          <w:right w:w="0" w:type="dxa"/>
        </w:tblCellMar>
      </w:tblP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Shaheen Malik</w:t>
            </w:r>
          </w:p>
        </w:tc>
      </w:tr>
      <w:tr>
        <w:trPr>
          <w:trHeight w:val="149"/>
        </w:trPr>
        <w:tc>
          <w:tcPr>
            <w:tcW w:w="46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Shaheen Malik</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Kevin Buddhdew</w:t>
            </w:r>
          </w:p>
        </w:tc>
      </w:tr>
      <w:tr>
        <w:trPr>
          <w:trHeight w:val="149"/>
        </w:trPr>
        <w:tc>
          <w:tcPr>
            <w:tcW w:w="46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Kevin Buddhdew</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Associate</w:t>
            </w: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Waste Management,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194" w:name="page195"/>
    <w:bookmarkEnd w:id="194"/>
    <w:p>
      <w:pPr>
        <w:ind w:left="4340"/>
        <w:spacing w:after="0"/>
        <w:rPr>
          <w:sz w:val="20"/>
          <w:szCs w:val="20"/>
          <w:color w:val="auto"/>
        </w:rPr>
      </w:pPr>
      <w:r>
        <w:rPr>
          <w:rFonts w:ascii="Arial" w:cs="Arial" w:eastAsia="Arial" w:hAnsi="Arial"/>
          <w:sz w:val="13"/>
          <w:szCs w:val="13"/>
          <w:b w:val="1"/>
          <w:bCs w:val="1"/>
          <w:color w:val="auto"/>
        </w:rPr>
        <w:t>GOLDMAN SACHS BANK USA</w:t>
      </w:r>
    </w:p>
    <w:p>
      <w:pPr>
        <w:spacing w:after="0" w:line="169" w:lineRule="exact"/>
        <w:rPr>
          <w:sz w:val="20"/>
          <w:szCs w:val="20"/>
          <w:color w:val="auto"/>
        </w:rPr>
      </w:pPr>
    </w:p>
    <w:tbl>
      <w:tblPr>
        <w:tblLayout w:type="fixed"/>
        <w:tblInd w:w="4340" w:type="dxa"/>
        <w:tblCellMar>
          <w:top w:w="0" w:type="dxa"/>
          <w:left w:w="0" w:type="dxa"/>
          <w:bottom w:w="0" w:type="dxa"/>
          <w:right w:w="0" w:type="dxa"/>
        </w:tblCellMar>
      </w:tblP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Mark Walton</w:t>
            </w:r>
          </w:p>
        </w:tc>
      </w:tr>
      <w:tr>
        <w:trPr>
          <w:trHeight w:val="149"/>
        </w:trPr>
        <w:tc>
          <w:tcPr>
            <w:tcW w:w="46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Mark Walton</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Authorized Signatory</w:t>
            </w: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Waste Management,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195" w:name="page196"/>
    <w:bookmarkEnd w:id="195"/>
    <w:p>
      <w:pPr>
        <w:ind w:left="4340"/>
        <w:spacing w:after="0"/>
        <w:rPr>
          <w:sz w:val="20"/>
          <w:szCs w:val="20"/>
          <w:color w:val="auto"/>
        </w:rPr>
      </w:pPr>
      <w:r>
        <w:rPr>
          <w:rFonts w:ascii="Arial" w:cs="Arial" w:eastAsia="Arial" w:hAnsi="Arial"/>
          <w:sz w:val="13"/>
          <w:szCs w:val="13"/>
          <w:b w:val="1"/>
          <w:bCs w:val="1"/>
          <w:color w:val="auto"/>
        </w:rPr>
        <w:t>THE BANK OF NOVA SCOTIA</w:t>
      </w:r>
    </w:p>
    <w:p>
      <w:pPr>
        <w:spacing w:after="0" w:line="169" w:lineRule="exact"/>
        <w:rPr>
          <w:sz w:val="20"/>
          <w:szCs w:val="20"/>
          <w:color w:val="auto"/>
        </w:rPr>
      </w:pPr>
    </w:p>
    <w:tbl>
      <w:tblPr>
        <w:tblLayout w:type="fixed"/>
        <w:tblInd w:w="4340" w:type="dxa"/>
        <w:tblCellMar>
          <w:top w:w="0" w:type="dxa"/>
          <w:left w:w="0" w:type="dxa"/>
          <w:bottom w:w="0" w:type="dxa"/>
          <w:right w:w="0" w:type="dxa"/>
        </w:tblCellMar>
      </w:tblP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Paula J. Czach</w:t>
            </w:r>
          </w:p>
        </w:tc>
      </w:tr>
      <w:tr>
        <w:trPr>
          <w:trHeight w:val="149"/>
        </w:trPr>
        <w:tc>
          <w:tcPr>
            <w:tcW w:w="46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Paula J. Czach</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Director</w:t>
            </w: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Waste Management,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196" w:name="page197"/>
    <w:bookmarkEnd w:id="196"/>
    <w:p>
      <w:pPr>
        <w:ind w:left="4120"/>
        <w:spacing w:after="0"/>
        <w:rPr>
          <w:sz w:val="20"/>
          <w:szCs w:val="20"/>
          <w:color w:val="auto"/>
        </w:rPr>
      </w:pPr>
      <w:r>
        <w:rPr>
          <w:rFonts w:ascii="Arial" w:cs="Arial" w:eastAsia="Arial" w:hAnsi="Arial"/>
          <w:sz w:val="13"/>
          <w:szCs w:val="13"/>
          <w:b w:val="1"/>
          <w:bCs w:val="1"/>
          <w:color w:val="auto"/>
        </w:rPr>
        <w:t>U.S. BANK, NATIONAL ASSOCIATION</w:t>
      </w:r>
    </w:p>
    <w:p>
      <w:pPr>
        <w:spacing w:after="0" w:line="169" w:lineRule="exact"/>
        <w:rPr>
          <w:sz w:val="20"/>
          <w:szCs w:val="20"/>
          <w:color w:val="auto"/>
        </w:rPr>
      </w:pPr>
    </w:p>
    <w:tbl>
      <w:tblPr>
        <w:tblLayout w:type="fixed"/>
        <w:tblInd w:w="4120" w:type="dxa"/>
        <w:tblCellMar>
          <w:top w:w="0" w:type="dxa"/>
          <w:left w:w="0" w:type="dxa"/>
          <w:bottom w:w="0" w:type="dxa"/>
          <w:right w:w="0" w:type="dxa"/>
        </w:tblCellMar>
      </w:tblP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Adam Balbach</w:t>
            </w:r>
          </w:p>
        </w:tc>
      </w:tr>
      <w:tr>
        <w:trPr>
          <w:trHeight w:val="140"/>
        </w:trPr>
        <w:tc>
          <w:tcPr>
            <w:tcW w:w="4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4020" w:type="dxa"/>
            <w:vAlign w:val="bottom"/>
          </w:tcPr>
          <w:p>
            <w:pPr>
              <w:spacing w:after="0" w:line="140" w:lineRule="exact"/>
              <w:rPr>
                <w:sz w:val="20"/>
                <w:szCs w:val="20"/>
                <w:color w:val="auto"/>
              </w:rPr>
            </w:pPr>
            <w:r>
              <w:rPr>
                <w:rFonts w:ascii="Arial" w:cs="Arial" w:eastAsia="Arial" w:hAnsi="Arial"/>
                <w:sz w:val="13"/>
                <w:szCs w:val="13"/>
                <w:color w:val="auto"/>
              </w:rPr>
              <w:t>Adam Balbach</w:t>
            </w:r>
          </w:p>
        </w:tc>
      </w:t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4020" w:type="dxa"/>
            <w:vAlign w:val="bottom"/>
          </w:tcPr>
          <w:p>
            <w:pPr>
              <w:spacing w:after="0"/>
              <w:rPr>
                <w:sz w:val="20"/>
                <w:szCs w:val="20"/>
                <w:color w:val="auto"/>
              </w:rPr>
            </w:pPr>
            <w:r>
              <w:rPr>
                <w:rFonts w:ascii="Arial" w:cs="Arial" w:eastAsia="Arial" w:hAnsi="Arial"/>
                <w:sz w:val="13"/>
                <w:szCs w:val="13"/>
                <w:color w:val="auto"/>
              </w:rPr>
              <w:t>VP</w:t>
            </w: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Waste Management,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197" w:name="page198"/>
    <w:bookmarkEnd w:id="197"/>
    <w:p>
      <w:pPr>
        <w:ind w:left="4120"/>
        <w:spacing w:after="0"/>
        <w:rPr>
          <w:sz w:val="20"/>
          <w:szCs w:val="20"/>
          <w:color w:val="auto"/>
        </w:rPr>
      </w:pPr>
      <w:r>
        <w:rPr>
          <w:rFonts w:ascii="Arial" w:cs="Arial" w:eastAsia="Arial" w:hAnsi="Arial"/>
          <w:sz w:val="13"/>
          <w:szCs w:val="13"/>
          <w:b w:val="1"/>
          <w:bCs w:val="1"/>
          <w:color w:val="auto"/>
        </w:rPr>
        <w:t>WELLS FARGO BANK, NATIONAL</w:t>
      </w:r>
    </w:p>
    <w:p>
      <w:pPr>
        <w:spacing w:after="0" w:line="19" w:lineRule="exact"/>
        <w:rPr>
          <w:sz w:val="20"/>
          <w:szCs w:val="20"/>
          <w:color w:val="auto"/>
        </w:rPr>
      </w:pPr>
    </w:p>
    <w:p>
      <w:pPr>
        <w:ind w:left="4120"/>
        <w:spacing w:after="0"/>
        <w:rPr>
          <w:sz w:val="20"/>
          <w:szCs w:val="20"/>
          <w:color w:val="auto"/>
        </w:rPr>
      </w:pPr>
      <w:r>
        <w:rPr>
          <w:rFonts w:ascii="Arial" w:cs="Arial" w:eastAsia="Arial" w:hAnsi="Arial"/>
          <w:sz w:val="13"/>
          <w:szCs w:val="13"/>
          <w:b w:val="1"/>
          <w:bCs w:val="1"/>
          <w:color w:val="auto"/>
        </w:rPr>
        <w:t>ASSOCIATION</w:t>
      </w:r>
      <w:r>
        <w:rPr>
          <w:rFonts w:ascii="Arial" w:cs="Arial" w:eastAsia="Arial" w:hAnsi="Arial"/>
          <w:sz w:val="13"/>
          <w:szCs w:val="13"/>
          <w:color w:val="auto"/>
        </w:rPr>
        <w:t>, as a Bank and an Issuing Bank</w:t>
      </w:r>
    </w:p>
    <w:p>
      <w:pPr>
        <w:spacing w:after="0" w:line="158" w:lineRule="exact"/>
        <w:rPr>
          <w:sz w:val="20"/>
          <w:szCs w:val="20"/>
          <w:color w:val="auto"/>
        </w:rPr>
      </w:pPr>
    </w:p>
    <w:tbl>
      <w:tblPr>
        <w:tblLayout w:type="fixed"/>
        <w:tblInd w:w="4120" w:type="dxa"/>
        <w:tblCellMar>
          <w:top w:w="0" w:type="dxa"/>
          <w:left w:w="0" w:type="dxa"/>
          <w:bottom w:w="0" w:type="dxa"/>
          <w:right w:w="0" w:type="dxa"/>
        </w:tblCellMar>
      </w:tblP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Reginald Goldsmith III</w:t>
            </w:r>
          </w:p>
        </w:tc>
      </w:tr>
      <w:tr>
        <w:trPr>
          <w:trHeight w:val="140"/>
        </w:trPr>
        <w:tc>
          <w:tcPr>
            <w:tcW w:w="4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4020" w:type="dxa"/>
            <w:vAlign w:val="bottom"/>
          </w:tcPr>
          <w:p>
            <w:pPr>
              <w:spacing w:after="0" w:line="140" w:lineRule="exact"/>
              <w:rPr>
                <w:sz w:val="20"/>
                <w:szCs w:val="20"/>
                <w:color w:val="auto"/>
              </w:rPr>
            </w:pPr>
            <w:r>
              <w:rPr>
                <w:rFonts w:ascii="Arial" w:cs="Arial" w:eastAsia="Arial" w:hAnsi="Arial"/>
                <w:sz w:val="13"/>
                <w:szCs w:val="13"/>
                <w:color w:val="auto"/>
              </w:rPr>
              <w:t>Reginald Goldsmith III</w:t>
            </w:r>
          </w:p>
        </w:tc>
      </w:t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4020" w:type="dxa"/>
            <w:vAlign w:val="bottom"/>
          </w:tcPr>
          <w:p>
            <w:pPr>
              <w:spacing w:after="0"/>
              <w:rPr>
                <w:sz w:val="20"/>
                <w:szCs w:val="20"/>
                <w:color w:val="auto"/>
              </w:rPr>
            </w:pPr>
            <w:r>
              <w:rPr>
                <w:rFonts w:ascii="Arial" w:cs="Arial" w:eastAsia="Arial" w:hAnsi="Arial"/>
                <w:sz w:val="13"/>
                <w:szCs w:val="13"/>
                <w:color w:val="auto"/>
              </w:rPr>
              <w:t>Director</w:t>
            </w: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Waste Management,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198" w:name="page199"/>
    <w:bookmarkEnd w:id="198"/>
    <w:p>
      <w:pPr>
        <w:ind w:left="4120"/>
        <w:spacing w:after="0"/>
        <w:rPr>
          <w:sz w:val="20"/>
          <w:szCs w:val="20"/>
          <w:color w:val="auto"/>
        </w:rPr>
      </w:pPr>
      <w:r>
        <w:rPr>
          <w:rFonts w:ascii="Arial" w:cs="Arial" w:eastAsia="Arial" w:hAnsi="Arial"/>
          <w:sz w:val="13"/>
          <w:szCs w:val="13"/>
          <w:b w:val="1"/>
          <w:bCs w:val="1"/>
          <w:color w:val="auto"/>
        </w:rPr>
        <w:t>THE BANK OF TOKYO-MITSUBISHI UFJ, LTD., NEW YORK BRANCH</w:t>
      </w:r>
    </w:p>
    <w:p>
      <w:pPr>
        <w:spacing w:after="0" w:line="169" w:lineRule="exact"/>
        <w:rPr>
          <w:sz w:val="20"/>
          <w:szCs w:val="20"/>
          <w:color w:val="auto"/>
        </w:rPr>
      </w:pPr>
    </w:p>
    <w:tbl>
      <w:tblPr>
        <w:tblLayout w:type="fixed"/>
        <w:tblInd w:w="4120" w:type="dxa"/>
        <w:tblCellMar>
          <w:top w:w="0" w:type="dxa"/>
          <w:left w:w="0" w:type="dxa"/>
          <w:bottom w:w="0" w:type="dxa"/>
          <w:right w:w="0" w:type="dxa"/>
        </w:tblCellMar>
      </w:tblP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 Barnell</w:t>
            </w:r>
          </w:p>
        </w:tc>
      </w:tr>
      <w:tr>
        <w:trPr>
          <w:trHeight w:val="140"/>
        </w:trPr>
        <w:tc>
          <w:tcPr>
            <w:tcW w:w="4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4020" w:type="dxa"/>
            <w:vAlign w:val="bottom"/>
          </w:tcPr>
          <w:p>
            <w:pPr>
              <w:spacing w:after="0" w:line="140" w:lineRule="exact"/>
              <w:rPr>
                <w:sz w:val="20"/>
                <w:szCs w:val="20"/>
                <w:color w:val="auto"/>
              </w:rPr>
            </w:pPr>
            <w:r>
              <w:rPr>
                <w:rFonts w:ascii="Arial" w:cs="Arial" w:eastAsia="Arial" w:hAnsi="Arial"/>
                <w:sz w:val="13"/>
                <w:szCs w:val="13"/>
                <w:color w:val="auto"/>
              </w:rPr>
              <w:t>D. Barnell</w:t>
            </w:r>
          </w:p>
        </w:tc>
      </w:t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4020" w:type="dxa"/>
            <w:vAlign w:val="bottom"/>
          </w:tcPr>
          <w:p>
            <w:pPr>
              <w:spacing w:after="0"/>
              <w:rPr>
                <w:sz w:val="20"/>
                <w:szCs w:val="20"/>
                <w:color w:val="auto"/>
              </w:rPr>
            </w:pPr>
            <w:r>
              <w:rPr>
                <w:rFonts w:ascii="Arial" w:cs="Arial" w:eastAsia="Arial" w:hAnsi="Arial"/>
                <w:sz w:val="13"/>
                <w:szCs w:val="13"/>
                <w:color w:val="auto"/>
              </w:rPr>
              <w:t>Authorized Signatory</w:t>
            </w: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Waste Management,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199" w:name="page200"/>
    <w:bookmarkEnd w:id="199"/>
    <w:p>
      <w:pPr>
        <w:ind w:left="4120"/>
        <w:spacing w:after="0"/>
        <w:rPr>
          <w:sz w:val="20"/>
          <w:szCs w:val="20"/>
          <w:color w:val="auto"/>
        </w:rPr>
      </w:pPr>
      <w:r>
        <w:rPr>
          <w:rFonts w:ascii="Arial" w:cs="Arial" w:eastAsia="Arial" w:hAnsi="Arial"/>
          <w:sz w:val="13"/>
          <w:szCs w:val="13"/>
          <w:b w:val="1"/>
          <w:bCs w:val="1"/>
          <w:color w:val="auto"/>
        </w:rPr>
        <w:t>THE BANK OF NEW YORK MELLON</w:t>
      </w:r>
      <w:r>
        <w:rPr>
          <w:rFonts w:ascii="Arial" w:cs="Arial" w:eastAsia="Arial" w:hAnsi="Arial"/>
          <w:sz w:val="13"/>
          <w:szCs w:val="13"/>
          <w:color w:val="auto"/>
        </w:rPr>
        <w:t>, as a</w:t>
      </w:r>
    </w:p>
    <w:p>
      <w:pPr>
        <w:spacing w:after="0" w:line="19" w:lineRule="exact"/>
        <w:rPr>
          <w:sz w:val="20"/>
          <w:szCs w:val="20"/>
          <w:color w:val="auto"/>
        </w:rPr>
      </w:pPr>
    </w:p>
    <w:p>
      <w:pPr>
        <w:ind w:left="4120"/>
        <w:spacing w:after="0"/>
        <w:rPr>
          <w:sz w:val="20"/>
          <w:szCs w:val="20"/>
          <w:color w:val="auto"/>
        </w:rPr>
      </w:pPr>
      <w:r>
        <w:rPr>
          <w:rFonts w:ascii="Arial" w:cs="Arial" w:eastAsia="Arial" w:hAnsi="Arial"/>
          <w:sz w:val="13"/>
          <w:szCs w:val="13"/>
          <w:color w:val="auto"/>
        </w:rPr>
        <w:t>Bank and an Issuing Bank</w:t>
      </w:r>
    </w:p>
    <w:p>
      <w:pPr>
        <w:spacing w:after="0" w:line="158" w:lineRule="exact"/>
        <w:rPr>
          <w:sz w:val="20"/>
          <w:szCs w:val="20"/>
          <w:color w:val="auto"/>
        </w:rPr>
      </w:pPr>
    </w:p>
    <w:tbl>
      <w:tblPr>
        <w:tblLayout w:type="fixed"/>
        <w:tblInd w:w="4120" w:type="dxa"/>
        <w:tblCellMar>
          <w:top w:w="0" w:type="dxa"/>
          <w:left w:w="0" w:type="dxa"/>
          <w:bottom w:w="0" w:type="dxa"/>
          <w:right w:w="0" w:type="dxa"/>
        </w:tblCellMar>
      </w:tblP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Robert Besser</w:t>
            </w:r>
          </w:p>
        </w:tc>
      </w:tr>
      <w:tr>
        <w:trPr>
          <w:trHeight w:val="140"/>
        </w:trPr>
        <w:tc>
          <w:tcPr>
            <w:tcW w:w="4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4020" w:type="dxa"/>
            <w:vAlign w:val="bottom"/>
          </w:tcPr>
          <w:p>
            <w:pPr>
              <w:spacing w:after="0" w:line="140" w:lineRule="exact"/>
              <w:rPr>
                <w:sz w:val="20"/>
                <w:szCs w:val="20"/>
                <w:color w:val="auto"/>
              </w:rPr>
            </w:pPr>
            <w:r>
              <w:rPr>
                <w:rFonts w:ascii="Arial" w:cs="Arial" w:eastAsia="Arial" w:hAnsi="Arial"/>
                <w:sz w:val="13"/>
                <w:szCs w:val="13"/>
                <w:color w:val="auto"/>
              </w:rPr>
              <w:t>Robert Besser</w:t>
            </w:r>
          </w:p>
        </w:tc>
      </w:t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402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Waste Management,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200" w:name="page201"/>
    <w:bookmarkEnd w:id="200"/>
    <w:p>
      <w:pPr>
        <w:jc w:val="center"/>
        <w:ind w:right="-380"/>
        <w:spacing w:after="0"/>
        <w:rPr>
          <w:sz w:val="20"/>
          <w:szCs w:val="20"/>
          <w:color w:val="auto"/>
        </w:rPr>
      </w:pPr>
      <w:r>
        <w:rPr>
          <w:rFonts w:ascii="Arial" w:cs="Arial" w:eastAsia="Arial" w:hAnsi="Arial"/>
          <w:sz w:val="13"/>
          <w:szCs w:val="13"/>
          <w:b w:val="1"/>
          <w:bCs w:val="1"/>
          <w:color w:val="auto"/>
        </w:rPr>
        <w:t>COMERICA BANK</w:t>
      </w:r>
    </w:p>
    <w:p>
      <w:pPr>
        <w:spacing w:after="0" w:line="169" w:lineRule="exact"/>
        <w:rPr>
          <w:sz w:val="20"/>
          <w:szCs w:val="20"/>
          <w:color w:val="auto"/>
        </w:rPr>
      </w:pPr>
    </w:p>
    <w:tbl>
      <w:tblPr>
        <w:tblLayout w:type="fixed"/>
        <w:tblInd w:w="4120" w:type="dxa"/>
        <w:tblCellMar>
          <w:top w:w="0" w:type="dxa"/>
          <w:left w:w="0" w:type="dxa"/>
          <w:bottom w:w="0" w:type="dxa"/>
          <w:right w:w="0" w:type="dxa"/>
        </w:tblCellMar>
      </w:tblP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DeVon J. Lang</w:t>
            </w:r>
          </w:p>
        </w:tc>
      </w:tr>
      <w:tr>
        <w:trPr>
          <w:trHeight w:val="140"/>
        </w:trPr>
        <w:tc>
          <w:tcPr>
            <w:tcW w:w="4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4020" w:type="dxa"/>
            <w:vAlign w:val="bottom"/>
          </w:tcPr>
          <w:p>
            <w:pPr>
              <w:spacing w:after="0" w:line="140" w:lineRule="exact"/>
              <w:rPr>
                <w:sz w:val="20"/>
                <w:szCs w:val="20"/>
                <w:color w:val="auto"/>
              </w:rPr>
            </w:pPr>
            <w:r>
              <w:rPr>
                <w:rFonts w:ascii="Arial" w:cs="Arial" w:eastAsia="Arial" w:hAnsi="Arial"/>
                <w:sz w:val="13"/>
                <w:szCs w:val="13"/>
                <w:color w:val="auto"/>
              </w:rPr>
              <w:t>DeVon J. Lang</w:t>
            </w:r>
          </w:p>
        </w:tc>
      </w:t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4020" w:type="dxa"/>
            <w:vAlign w:val="bottom"/>
          </w:tcPr>
          <w:p>
            <w:pPr>
              <w:spacing w:after="0"/>
              <w:rPr>
                <w:sz w:val="20"/>
                <w:szCs w:val="20"/>
                <w:color w:val="auto"/>
              </w:rPr>
            </w:pPr>
            <w:r>
              <w:rPr>
                <w:rFonts w:ascii="Arial" w:cs="Arial" w:eastAsia="Arial" w:hAnsi="Arial"/>
                <w:sz w:val="13"/>
                <w:szCs w:val="13"/>
                <w:color w:val="auto"/>
              </w:rPr>
              <w:t>AVP</w:t>
            </w: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Waste Management,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201" w:name="page202"/>
    <w:bookmarkEnd w:id="201"/>
    <w:p>
      <w:pPr>
        <w:ind w:left="4120"/>
        <w:spacing w:after="0"/>
        <w:rPr>
          <w:sz w:val="20"/>
          <w:szCs w:val="20"/>
          <w:color w:val="auto"/>
        </w:rPr>
      </w:pPr>
      <w:r>
        <w:rPr>
          <w:rFonts w:ascii="Arial" w:cs="Arial" w:eastAsia="Arial" w:hAnsi="Arial"/>
          <w:sz w:val="13"/>
          <w:szCs w:val="13"/>
          <w:b w:val="1"/>
          <w:bCs w:val="1"/>
          <w:color w:val="auto"/>
        </w:rPr>
        <w:t>COMPASS BANK</w:t>
      </w:r>
      <w:r>
        <w:rPr>
          <w:rFonts w:ascii="Arial" w:cs="Arial" w:eastAsia="Arial" w:hAnsi="Arial"/>
          <w:sz w:val="13"/>
          <w:szCs w:val="13"/>
          <w:color w:val="auto"/>
        </w:rPr>
        <w:t>, as a Bank and an Issuing Bank</w:t>
      </w:r>
    </w:p>
    <w:p>
      <w:pPr>
        <w:spacing w:after="0" w:line="169" w:lineRule="exact"/>
        <w:rPr>
          <w:sz w:val="20"/>
          <w:szCs w:val="20"/>
          <w:color w:val="auto"/>
        </w:rPr>
      </w:pPr>
    </w:p>
    <w:tbl>
      <w:tblPr>
        <w:tblLayout w:type="fixed"/>
        <w:tblInd w:w="4120" w:type="dxa"/>
        <w:tblCellMar>
          <w:top w:w="0" w:type="dxa"/>
          <w:left w:w="0" w:type="dxa"/>
          <w:bottom w:w="0" w:type="dxa"/>
          <w:right w:w="0" w:type="dxa"/>
        </w:tblCellMar>
      </w:tblP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Andrew Widmer</w:t>
            </w:r>
          </w:p>
        </w:tc>
      </w:tr>
      <w:tr>
        <w:trPr>
          <w:trHeight w:val="140"/>
        </w:trPr>
        <w:tc>
          <w:tcPr>
            <w:tcW w:w="4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4020" w:type="dxa"/>
            <w:vAlign w:val="bottom"/>
          </w:tcPr>
          <w:p>
            <w:pPr>
              <w:spacing w:after="0" w:line="140" w:lineRule="exact"/>
              <w:rPr>
                <w:sz w:val="20"/>
                <w:szCs w:val="20"/>
                <w:color w:val="auto"/>
              </w:rPr>
            </w:pPr>
            <w:r>
              <w:rPr>
                <w:rFonts w:ascii="Arial" w:cs="Arial" w:eastAsia="Arial" w:hAnsi="Arial"/>
                <w:sz w:val="13"/>
                <w:szCs w:val="13"/>
                <w:color w:val="auto"/>
              </w:rPr>
              <w:t>Andrew Widmer</w:t>
            </w:r>
          </w:p>
        </w:tc>
      </w:t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402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Waste Management,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202" w:name="page203"/>
    <w:bookmarkEnd w:id="202"/>
    <w:p>
      <w:pPr>
        <w:ind w:left="4120"/>
        <w:spacing w:after="0"/>
        <w:rPr>
          <w:sz w:val="20"/>
          <w:szCs w:val="20"/>
          <w:color w:val="auto"/>
        </w:rPr>
      </w:pPr>
      <w:r>
        <w:rPr>
          <w:rFonts w:ascii="Arial" w:cs="Arial" w:eastAsia="Arial" w:hAnsi="Arial"/>
          <w:sz w:val="13"/>
          <w:szCs w:val="13"/>
          <w:b w:val="1"/>
          <w:bCs w:val="1"/>
          <w:color w:val="auto"/>
        </w:rPr>
        <w:t>CREDIT AGRICOLE CORPORATE AND INVESTMENT BANK</w:t>
      </w:r>
    </w:p>
    <w:p>
      <w:pPr>
        <w:spacing w:after="0" w:line="169" w:lineRule="exact"/>
        <w:rPr>
          <w:sz w:val="20"/>
          <w:szCs w:val="20"/>
          <w:color w:val="auto"/>
        </w:rPr>
      </w:pPr>
    </w:p>
    <w:tbl>
      <w:tblPr>
        <w:tblLayout w:type="fixed"/>
        <w:tblInd w:w="4120" w:type="dxa"/>
        <w:tblCellMar>
          <w:top w:w="0" w:type="dxa"/>
          <w:left w:w="0" w:type="dxa"/>
          <w:bottom w:w="0" w:type="dxa"/>
          <w:right w:w="0" w:type="dxa"/>
        </w:tblCellMar>
      </w:tblP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David Cagle</w:t>
            </w:r>
          </w:p>
        </w:tc>
      </w:tr>
      <w:tr>
        <w:trPr>
          <w:trHeight w:val="140"/>
        </w:trPr>
        <w:tc>
          <w:tcPr>
            <w:tcW w:w="4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4020" w:type="dxa"/>
            <w:vAlign w:val="bottom"/>
          </w:tcPr>
          <w:p>
            <w:pPr>
              <w:spacing w:after="0" w:line="140" w:lineRule="exact"/>
              <w:rPr>
                <w:sz w:val="20"/>
                <w:szCs w:val="20"/>
                <w:color w:val="auto"/>
              </w:rPr>
            </w:pPr>
            <w:r>
              <w:rPr>
                <w:rFonts w:ascii="Arial" w:cs="Arial" w:eastAsia="Arial" w:hAnsi="Arial"/>
                <w:sz w:val="13"/>
                <w:szCs w:val="13"/>
                <w:color w:val="auto"/>
              </w:rPr>
              <w:t>David Cagle</w:t>
            </w:r>
          </w:p>
        </w:tc>
      </w:t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4020" w:type="dxa"/>
            <w:vAlign w:val="bottom"/>
          </w:tcPr>
          <w:p>
            <w:pPr>
              <w:spacing w:after="0"/>
              <w:rPr>
                <w:sz w:val="20"/>
                <w:szCs w:val="20"/>
                <w:color w:val="auto"/>
              </w:rPr>
            </w:pPr>
            <w:r>
              <w:rPr>
                <w:rFonts w:ascii="Arial" w:cs="Arial" w:eastAsia="Arial" w:hAnsi="Arial"/>
                <w:sz w:val="13"/>
                <w:szCs w:val="13"/>
                <w:color w:val="auto"/>
              </w:rPr>
              <w:t>Managing Director</w:t>
            </w:r>
          </w:p>
        </w:tc>
      </w:tr>
      <w:tr>
        <w:trPr>
          <w:trHeight w:val="472"/>
        </w:trPr>
        <w:tc>
          <w:tcPr>
            <w:tcW w:w="420" w:type="dxa"/>
            <w:vAlign w:val="bottom"/>
          </w:tcPr>
          <w:p>
            <w:pPr>
              <w:spacing w:after="0"/>
              <w:rPr>
                <w:sz w:val="20"/>
                <w:szCs w:val="20"/>
                <w:color w:val="auto"/>
              </w:rPr>
            </w:pPr>
            <w:r>
              <w:rPr>
                <w:rFonts w:ascii="Arial" w:cs="Arial" w:eastAsia="Arial" w:hAnsi="Arial"/>
                <w:sz w:val="13"/>
                <w:szCs w:val="13"/>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Brian Myers</w:t>
            </w:r>
          </w:p>
        </w:tc>
      </w:tr>
      <w:tr>
        <w:trPr>
          <w:trHeight w:val="140"/>
        </w:trPr>
        <w:tc>
          <w:tcPr>
            <w:tcW w:w="4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4020" w:type="dxa"/>
            <w:vAlign w:val="bottom"/>
          </w:tcPr>
          <w:p>
            <w:pPr>
              <w:spacing w:after="0" w:line="140" w:lineRule="exact"/>
              <w:rPr>
                <w:sz w:val="20"/>
                <w:szCs w:val="20"/>
                <w:color w:val="auto"/>
              </w:rPr>
            </w:pPr>
            <w:r>
              <w:rPr>
                <w:rFonts w:ascii="Arial" w:cs="Arial" w:eastAsia="Arial" w:hAnsi="Arial"/>
                <w:sz w:val="13"/>
                <w:szCs w:val="13"/>
                <w:color w:val="auto"/>
              </w:rPr>
              <w:t>Brian Myers</w:t>
            </w:r>
          </w:p>
        </w:tc>
      </w:t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4020" w:type="dxa"/>
            <w:vAlign w:val="bottom"/>
          </w:tcPr>
          <w:p>
            <w:pPr>
              <w:spacing w:after="0"/>
              <w:rPr>
                <w:sz w:val="20"/>
                <w:szCs w:val="20"/>
                <w:color w:val="auto"/>
              </w:rPr>
            </w:pPr>
            <w:r>
              <w:rPr>
                <w:rFonts w:ascii="Arial" w:cs="Arial" w:eastAsia="Arial" w:hAnsi="Arial"/>
                <w:sz w:val="13"/>
                <w:szCs w:val="13"/>
                <w:color w:val="auto"/>
              </w:rPr>
              <w:t>Managing Director</w:t>
            </w: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Waste Management,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203" w:name="page204"/>
    <w:bookmarkEnd w:id="203"/>
    <w:p>
      <w:pPr>
        <w:ind w:left="4120"/>
        <w:spacing w:after="0"/>
        <w:rPr>
          <w:sz w:val="20"/>
          <w:szCs w:val="20"/>
          <w:color w:val="auto"/>
        </w:rPr>
      </w:pPr>
      <w:r>
        <w:rPr>
          <w:rFonts w:ascii="Arial" w:cs="Arial" w:eastAsia="Arial" w:hAnsi="Arial"/>
          <w:sz w:val="13"/>
          <w:szCs w:val="13"/>
          <w:color w:val="auto"/>
        </w:rPr>
        <w:t>Lloyds TSB Bank, plc,</w:t>
      </w:r>
    </w:p>
    <w:p>
      <w:pPr>
        <w:spacing w:after="0" w:line="15" w:lineRule="exact"/>
        <w:rPr>
          <w:sz w:val="20"/>
          <w:szCs w:val="20"/>
          <w:color w:val="auto"/>
        </w:rPr>
      </w:pPr>
    </w:p>
    <w:p>
      <w:pPr>
        <w:ind w:left="4120"/>
        <w:spacing w:after="0"/>
        <w:rPr>
          <w:sz w:val="20"/>
          <w:szCs w:val="20"/>
          <w:color w:val="auto"/>
        </w:rPr>
      </w:pPr>
      <w:r>
        <w:rPr>
          <w:rFonts w:ascii="Arial" w:cs="Arial" w:eastAsia="Arial" w:hAnsi="Arial"/>
          <w:sz w:val="13"/>
          <w:szCs w:val="13"/>
          <w:color w:val="auto"/>
        </w:rPr>
        <w:t>as a Bank,</w:t>
      </w:r>
    </w:p>
    <w:p>
      <w:pPr>
        <w:spacing w:after="0" w:line="158" w:lineRule="exact"/>
        <w:rPr>
          <w:sz w:val="20"/>
          <w:szCs w:val="20"/>
          <w:color w:val="auto"/>
        </w:rPr>
      </w:pPr>
    </w:p>
    <w:tbl>
      <w:tblPr>
        <w:tblLayout w:type="fixed"/>
        <w:tblInd w:w="4120" w:type="dxa"/>
        <w:tblCellMar>
          <w:top w:w="0" w:type="dxa"/>
          <w:left w:w="0" w:type="dxa"/>
          <w:bottom w:w="0" w:type="dxa"/>
          <w:right w:w="0" w:type="dxa"/>
        </w:tblCellMar>
      </w:tblP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Windsor Davios</w:t>
            </w:r>
          </w:p>
        </w:tc>
      </w:tr>
      <w:tr>
        <w:trPr>
          <w:trHeight w:val="140"/>
        </w:trPr>
        <w:tc>
          <w:tcPr>
            <w:tcW w:w="4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4020" w:type="dxa"/>
            <w:vAlign w:val="bottom"/>
          </w:tcPr>
          <w:p>
            <w:pPr>
              <w:spacing w:after="0" w:line="140" w:lineRule="exact"/>
              <w:rPr>
                <w:sz w:val="20"/>
                <w:szCs w:val="20"/>
                <w:color w:val="auto"/>
              </w:rPr>
            </w:pPr>
            <w:r>
              <w:rPr>
                <w:rFonts w:ascii="Arial" w:cs="Arial" w:eastAsia="Arial" w:hAnsi="Arial"/>
                <w:sz w:val="13"/>
                <w:szCs w:val="13"/>
                <w:color w:val="auto"/>
              </w:rPr>
              <w:t>Windsor Davios</w:t>
            </w:r>
          </w:p>
        </w:tc>
      </w:t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4020" w:type="dxa"/>
            <w:vAlign w:val="bottom"/>
          </w:tcPr>
          <w:p>
            <w:pPr>
              <w:spacing w:after="0"/>
              <w:rPr>
                <w:sz w:val="20"/>
                <w:szCs w:val="20"/>
                <w:color w:val="auto"/>
              </w:rPr>
            </w:pPr>
            <w:r>
              <w:rPr>
                <w:rFonts w:ascii="Arial" w:cs="Arial" w:eastAsia="Arial" w:hAnsi="Arial"/>
                <w:sz w:val="13"/>
                <w:szCs w:val="13"/>
                <w:color w:val="auto"/>
              </w:rPr>
              <w:t>Managing Director, Corporate Banking</w:t>
            </w:r>
          </w:p>
        </w:tc>
      </w:tr>
      <w:tr>
        <w:trPr>
          <w:trHeight w:val="472"/>
        </w:trPr>
        <w:tc>
          <w:tcPr>
            <w:tcW w:w="420" w:type="dxa"/>
            <w:vAlign w:val="bottom"/>
          </w:tcPr>
          <w:p>
            <w:pPr>
              <w:spacing w:after="0"/>
              <w:rPr>
                <w:sz w:val="20"/>
                <w:szCs w:val="20"/>
                <w:color w:val="auto"/>
              </w:rPr>
            </w:pPr>
            <w:r>
              <w:rPr>
                <w:rFonts w:ascii="Arial" w:cs="Arial" w:eastAsia="Arial" w:hAnsi="Arial"/>
                <w:sz w:val="13"/>
                <w:szCs w:val="13"/>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Deborah Carlson</w:t>
            </w:r>
          </w:p>
        </w:tc>
      </w:tr>
      <w:tr>
        <w:trPr>
          <w:trHeight w:val="140"/>
        </w:trPr>
        <w:tc>
          <w:tcPr>
            <w:tcW w:w="4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4020" w:type="dxa"/>
            <w:vAlign w:val="bottom"/>
          </w:tcPr>
          <w:p>
            <w:pPr>
              <w:spacing w:after="0" w:line="140" w:lineRule="exact"/>
              <w:rPr>
                <w:sz w:val="20"/>
                <w:szCs w:val="20"/>
                <w:color w:val="auto"/>
              </w:rPr>
            </w:pPr>
            <w:r>
              <w:rPr>
                <w:rFonts w:ascii="Arial" w:cs="Arial" w:eastAsia="Arial" w:hAnsi="Arial"/>
                <w:sz w:val="13"/>
                <w:szCs w:val="13"/>
                <w:color w:val="auto"/>
              </w:rPr>
              <w:t>Deborah Carlson</w:t>
            </w:r>
          </w:p>
        </w:tc>
      </w:t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4020" w:type="dxa"/>
            <w:vAlign w:val="bottom"/>
          </w:tcPr>
          <w:p>
            <w:pPr>
              <w:spacing w:after="0"/>
              <w:rPr>
                <w:sz w:val="20"/>
                <w:szCs w:val="20"/>
                <w:color w:val="auto"/>
              </w:rPr>
            </w:pPr>
            <w:r>
              <w:rPr>
                <w:rFonts w:ascii="Arial" w:cs="Arial" w:eastAsia="Arial" w:hAnsi="Arial"/>
                <w:sz w:val="13"/>
                <w:szCs w:val="13"/>
                <w:color w:val="auto"/>
              </w:rPr>
              <w:t>Senior Vice President, Corporate Banking</w:t>
            </w: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Waste Management,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204" w:name="page205"/>
    <w:bookmarkEnd w:id="204"/>
    <w:p>
      <w:pPr>
        <w:ind w:left="4120"/>
        <w:spacing w:after="0"/>
        <w:rPr>
          <w:sz w:val="20"/>
          <w:szCs w:val="20"/>
          <w:color w:val="auto"/>
        </w:rPr>
      </w:pPr>
      <w:r>
        <w:rPr>
          <w:rFonts w:ascii="Arial" w:cs="Arial" w:eastAsia="Arial" w:hAnsi="Arial"/>
          <w:sz w:val="13"/>
          <w:szCs w:val="13"/>
          <w:b w:val="1"/>
          <w:bCs w:val="1"/>
          <w:color w:val="auto"/>
        </w:rPr>
        <w:t>MIZUHO CORPORATE BANK (USA)</w:t>
      </w:r>
    </w:p>
    <w:p>
      <w:pPr>
        <w:spacing w:after="0" w:line="169" w:lineRule="exact"/>
        <w:rPr>
          <w:sz w:val="20"/>
          <w:szCs w:val="20"/>
          <w:color w:val="auto"/>
        </w:rPr>
      </w:pPr>
    </w:p>
    <w:tbl>
      <w:tblPr>
        <w:tblLayout w:type="fixed"/>
        <w:tblInd w:w="4120" w:type="dxa"/>
        <w:tblCellMar>
          <w:top w:w="0" w:type="dxa"/>
          <w:left w:w="0" w:type="dxa"/>
          <w:bottom w:w="0" w:type="dxa"/>
          <w:right w:w="0" w:type="dxa"/>
        </w:tblCellMar>
      </w:tblP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Leon Mo</w:t>
            </w:r>
          </w:p>
        </w:tc>
      </w:tr>
      <w:tr>
        <w:trPr>
          <w:trHeight w:val="140"/>
        </w:trPr>
        <w:tc>
          <w:tcPr>
            <w:tcW w:w="4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4020" w:type="dxa"/>
            <w:vAlign w:val="bottom"/>
          </w:tcPr>
          <w:p>
            <w:pPr>
              <w:spacing w:after="0" w:line="140" w:lineRule="exact"/>
              <w:rPr>
                <w:sz w:val="20"/>
                <w:szCs w:val="20"/>
                <w:color w:val="auto"/>
              </w:rPr>
            </w:pPr>
            <w:r>
              <w:rPr>
                <w:rFonts w:ascii="Arial" w:cs="Arial" w:eastAsia="Arial" w:hAnsi="Arial"/>
                <w:sz w:val="13"/>
                <w:szCs w:val="13"/>
                <w:color w:val="auto"/>
              </w:rPr>
              <w:t>Leon Mo</w:t>
            </w:r>
          </w:p>
        </w:tc>
      </w:t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4020" w:type="dxa"/>
            <w:vAlign w:val="bottom"/>
          </w:tcPr>
          <w:p>
            <w:pPr>
              <w:spacing w:after="0"/>
              <w:rPr>
                <w:sz w:val="20"/>
                <w:szCs w:val="20"/>
                <w:color w:val="auto"/>
              </w:rPr>
            </w:pPr>
            <w:r>
              <w:rPr>
                <w:rFonts w:ascii="Arial" w:cs="Arial" w:eastAsia="Arial" w:hAnsi="Arial"/>
                <w:sz w:val="13"/>
                <w:szCs w:val="13"/>
                <w:color w:val="auto"/>
              </w:rPr>
              <w:t>Senior Vice President</w:t>
            </w: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Waste Management,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205" w:name="page206"/>
    <w:bookmarkEnd w:id="205"/>
    <w:p>
      <w:pPr>
        <w:ind w:left="4120"/>
        <w:spacing w:after="0"/>
        <w:rPr>
          <w:sz w:val="20"/>
          <w:szCs w:val="20"/>
          <w:color w:val="auto"/>
        </w:rPr>
      </w:pPr>
      <w:r>
        <w:rPr>
          <w:rFonts w:ascii="Arial" w:cs="Arial" w:eastAsia="Arial" w:hAnsi="Arial"/>
          <w:sz w:val="13"/>
          <w:szCs w:val="13"/>
          <w:b w:val="1"/>
          <w:bCs w:val="1"/>
          <w:color w:val="auto"/>
        </w:rPr>
        <w:t>PNC BANK NATIONAL ASSOCIATION</w:t>
      </w:r>
      <w:r>
        <w:rPr>
          <w:rFonts w:ascii="Arial" w:cs="Arial" w:eastAsia="Arial" w:hAnsi="Arial"/>
          <w:sz w:val="13"/>
          <w:szCs w:val="13"/>
          <w:color w:val="auto"/>
        </w:rPr>
        <w:t>, as a</w:t>
      </w:r>
    </w:p>
    <w:p>
      <w:pPr>
        <w:spacing w:after="0" w:line="19" w:lineRule="exact"/>
        <w:rPr>
          <w:sz w:val="20"/>
          <w:szCs w:val="20"/>
          <w:color w:val="auto"/>
        </w:rPr>
      </w:pPr>
    </w:p>
    <w:p>
      <w:pPr>
        <w:ind w:left="4120"/>
        <w:spacing w:after="0"/>
        <w:rPr>
          <w:sz w:val="20"/>
          <w:szCs w:val="20"/>
          <w:color w:val="auto"/>
        </w:rPr>
      </w:pPr>
      <w:r>
        <w:rPr>
          <w:rFonts w:ascii="Arial" w:cs="Arial" w:eastAsia="Arial" w:hAnsi="Arial"/>
          <w:sz w:val="13"/>
          <w:szCs w:val="13"/>
          <w:color w:val="auto"/>
        </w:rPr>
        <w:t>Bank and an Issuing Bank</w:t>
      </w:r>
    </w:p>
    <w:p>
      <w:pPr>
        <w:spacing w:after="0" w:line="158" w:lineRule="exact"/>
        <w:rPr>
          <w:sz w:val="20"/>
          <w:szCs w:val="20"/>
          <w:color w:val="auto"/>
        </w:rPr>
      </w:pPr>
    </w:p>
    <w:tbl>
      <w:tblPr>
        <w:tblLayout w:type="fixed"/>
        <w:tblInd w:w="4120" w:type="dxa"/>
        <w:tblCellMar>
          <w:top w:w="0" w:type="dxa"/>
          <w:left w:w="0" w:type="dxa"/>
          <w:bottom w:w="0" w:type="dxa"/>
          <w:right w:w="0" w:type="dxa"/>
        </w:tblCellMar>
      </w:tblP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Philip K. Liebscher</w:t>
            </w:r>
          </w:p>
        </w:tc>
      </w:tr>
      <w:tr>
        <w:trPr>
          <w:trHeight w:val="140"/>
        </w:trPr>
        <w:tc>
          <w:tcPr>
            <w:tcW w:w="4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4020" w:type="dxa"/>
            <w:vAlign w:val="bottom"/>
          </w:tcPr>
          <w:p>
            <w:pPr>
              <w:spacing w:after="0" w:line="140" w:lineRule="exact"/>
              <w:rPr>
                <w:sz w:val="20"/>
                <w:szCs w:val="20"/>
                <w:color w:val="auto"/>
              </w:rPr>
            </w:pPr>
            <w:r>
              <w:rPr>
                <w:rFonts w:ascii="Arial" w:cs="Arial" w:eastAsia="Arial" w:hAnsi="Arial"/>
                <w:sz w:val="13"/>
                <w:szCs w:val="13"/>
                <w:color w:val="auto"/>
              </w:rPr>
              <w:t>Philip K. Liebscher</w:t>
            </w:r>
          </w:p>
        </w:tc>
      </w:t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4020" w:type="dxa"/>
            <w:vAlign w:val="bottom"/>
          </w:tcPr>
          <w:p>
            <w:pPr>
              <w:spacing w:after="0"/>
              <w:rPr>
                <w:sz w:val="20"/>
                <w:szCs w:val="20"/>
                <w:color w:val="auto"/>
              </w:rPr>
            </w:pPr>
            <w:r>
              <w:rPr>
                <w:rFonts w:ascii="Arial" w:cs="Arial" w:eastAsia="Arial" w:hAnsi="Arial"/>
                <w:sz w:val="13"/>
                <w:szCs w:val="13"/>
                <w:color w:val="auto"/>
              </w:rPr>
              <w:t>Senior Vice President</w:t>
            </w: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Waste Management,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206" w:name="page207"/>
    <w:bookmarkEnd w:id="206"/>
    <w:p>
      <w:pPr>
        <w:ind w:left="4120"/>
        <w:spacing w:after="0"/>
        <w:rPr>
          <w:sz w:val="20"/>
          <w:szCs w:val="20"/>
          <w:color w:val="auto"/>
        </w:rPr>
      </w:pPr>
      <w:r>
        <w:rPr>
          <w:rFonts w:ascii="Arial" w:cs="Arial" w:eastAsia="Arial" w:hAnsi="Arial"/>
          <w:sz w:val="13"/>
          <w:szCs w:val="13"/>
          <w:b w:val="1"/>
          <w:bCs w:val="1"/>
          <w:color w:val="auto"/>
        </w:rPr>
        <w:t>SUMITOMO MITSUI BANKING CORPORATION</w:t>
      </w:r>
    </w:p>
    <w:p>
      <w:pPr>
        <w:spacing w:after="0" w:line="169" w:lineRule="exact"/>
        <w:rPr>
          <w:sz w:val="20"/>
          <w:szCs w:val="20"/>
          <w:color w:val="auto"/>
        </w:rPr>
      </w:pPr>
    </w:p>
    <w:tbl>
      <w:tblPr>
        <w:tblLayout w:type="fixed"/>
        <w:tblInd w:w="4120" w:type="dxa"/>
        <w:tblCellMar>
          <w:top w:w="0" w:type="dxa"/>
          <w:left w:w="0" w:type="dxa"/>
          <w:bottom w:w="0" w:type="dxa"/>
          <w:right w:w="0" w:type="dxa"/>
        </w:tblCellMar>
      </w:tblP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Yasuhiko Imai</w:t>
            </w:r>
          </w:p>
        </w:tc>
      </w:tr>
      <w:tr>
        <w:trPr>
          <w:trHeight w:val="140"/>
        </w:trPr>
        <w:tc>
          <w:tcPr>
            <w:tcW w:w="4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4020" w:type="dxa"/>
            <w:vAlign w:val="bottom"/>
          </w:tcPr>
          <w:p>
            <w:pPr>
              <w:spacing w:after="0" w:line="140" w:lineRule="exact"/>
              <w:rPr>
                <w:sz w:val="20"/>
                <w:szCs w:val="20"/>
                <w:color w:val="auto"/>
              </w:rPr>
            </w:pPr>
            <w:r>
              <w:rPr>
                <w:rFonts w:ascii="Arial" w:cs="Arial" w:eastAsia="Arial" w:hAnsi="Arial"/>
                <w:sz w:val="13"/>
                <w:szCs w:val="13"/>
                <w:color w:val="auto"/>
              </w:rPr>
              <w:t>Yasuhiko Imai</w:t>
            </w:r>
          </w:p>
        </w:tc>
      </w:t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4020" w:type="dxa"/>
            <w:vAlign w:val="bottom"/>
          </w:tcPr>
          <w:p>
            <w:pPr>
              <w:spacing w:after="0"/>
              <w:rPr>
                <w:sz w:val="20"/>
                <w:szCs w:val="20"/>
                <w:color w:val="auto"/>
              </w:rPr>
            </w:pPr>
            <w:r>
              <w:rPr>
                <w:rFonts w:ascii="Arial" w:cs="Arial" w:eastAsia="Arial" w:hAnsi="Arial"/>
                <w:sz w:val="13"/>
                <w:szCs w:val="13"/>
                <w:color w:val="auto"/>
              </w:rPr>
              <w:t>Senior Vice President</w:t>
            </w: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Waste Management,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207" w:name="page208"/>
    <w:bookmarkEnd w:id="207"/>
    <w:p>
      <w:pPr>
        <w:ind w:left="4120"/>
        <w:spacing w:after="0"/>
        <w:rPr>
          <w:sz w:val="20"/>
          <w:szCs w:val="20"/>
          <w:color w:val="auto"/>
        </w:rPr>
      </w:pPr>
      <w:r>
        <w:rPr>
          <w:rFonts w:ascii="Arial" w:cs="Arial" w:eastAsia="Arial" w:hAnsi="Arial"/>
          <w:sz w:val="13"/>
          <w:szCs w:val="13"/>
          <w:b w:val="1"/>
          <w:bCs w:val="1"/>
          <w:color w:val="auto"/>
        </w:rPr>
        <w:t>MORGAN STANLEY BANK, N.A.</w:t>
      </w:r>
    </w:p>
    <w:p>
      <w:pPr>
        <w:spacing w:after="0" w:line="169" w:lineRule="exact"/>
        <w:rPr>
          <w:sz w:val="20"/>
          <w:szCs w:val="20"/>
          <w:color w:val="auto"/>
        </w:rPr>
      </w:pPr>
    </w:p>
    <w:tbl>
      <w:tblPr>
        <w:tblLayout w:type="fixed"/>
        <w:tblInd w:w="4120" w:type="dxa"/>
        <w:tblCellMar>
          <w:top w:w="0" w:type="dxa"/>
          <w:left w:w="0" w:type="dxa"/>
          <w:bottom w:w="0" w:type="dxa"/>
          <w:right w:w="0" w:type="dxa"/>
        </w:tblCellMar>
      </w:tblP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Sherrese Clarke</w:t>
            </w:r>
          </w:p>
        </w:tc>
      </w:tr>
      <w:tr>
        <w:trPr>
          <w:trHeight w:val="140"/>
        </w:trPr>
        <w:tc>
          <w:tcPr>
            <w:tcW w:w="420" w:type="dxa"/>
            <w:vAlign w:val="bottom"/>
          </w:tcPr>
          <w:p>
            <w:pPr>
              <w:spacing w:after="0" w:line="140" w:lineRule="exact"/>
              <w:rPr>
                <w:sz w:val="20"/>
                <w:szCs w:val="20"/>
                <w:color w:val="auto"/>
              </w:rPr>
            </w:pPr>
            <w:r>
              <w:rPr>
                <w:rFonts w:ascii="Arial" w:cs="Arial" w:eastAsia="Arial" w:hAnsi="Arial"/>
                <w:sz w:val="13"/>
                <w:szCs w:val="13"/>
                <w:color w:val="auto"/>
              </w:rPr>
              <w:t>Name:</w:t>
            </w:r>
          </w:p>
        </w:tc>
        <w:tc>
          <w:tcPr>
            <w:tcW w:w="4020" w:type="dxa"/>
            <w:vAlign w:val="bottom"/>
          </w:tcPr>
          <w:p>
            <w:pPr>
              <w:spacing w:after="0" w:line="140" w:lineRule="exact"/>
              <w:rPr>
                <w:sz w:val="20"/>
                <w:szCs w:val="20"/>
                <w:color w:val="auto"/>
              </w:rPr>
            </w:pPr>
            <w:r>
              <w:rPr>
                <w:rFonts w:ascii="Arial" w:cs="Arial" w:eastAsia="Arial" w:hAnsi="Arial"/>
                <w:sz w:val="13"/>
                <w:szCs w:val="13"/>
                <w:color w:val="auto"/>
              </w:rPr>
              <w:t>Sherrese Clarke</w:t>
            </w:r>
          </w:p>
        </w:tc>
      </w:t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4020" w:type="dxa"/>
            <w:vAlign w:val="bottom"/>
          </w:tcPr>
          <w:p>
            <w:pPr>
              <w:spacing w:after="0"/>
              <w:rPr>
                <w:sz w:val="20"/>
                <w:szCs w:val="20"/>
                <w:color w:val="auto"/>
              </w:rPr>
            </w:pPr>
            <w:r>
              <w:rPr>
                <w:rFonts w:ascii="Arial" w:cs="Arial" w:eastAsia="Arial" w:hAnsi="Arial"/>
                <w:sz w:val="13"/>
                <w:szCs w:val="13"/>
                <w:color w:val="auto"/>
              </w:rPr>
              <w:t>Authorized Signatory</w:t>
            </w: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Waste Management,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208" w:name="page209"/>
    <w:bookmarkEnd w:id="208"/>
    <w:p>
      <w:pPr>
        <w:ind w:left="5400"/>
        <w:spacing w:after="0"/>
        <w:rPr>
          <w:sz w:val="20"/>
          <w:szCs w:val="20"/>
          <w:color w:val="auto"/>
        </w:rPr>
      </w:pPr>
      <w:r>
        <w:rPr>
          <w:rFonts w:ascii="Arial" w:cs="Arial" w:eastAsia="Arial" w:hAnsi="Arial"/>
          <w:sz w:val="13"/>
          <w:szCs w:val="13"/>
          <w:color w:val="auto"/>
        </w:rPr>
        <w:t>EXHIBIT A</w:t>
      </w:r>
    </w:p>
    <w:p>
      <w:pPr>
        <w:spacing w:after="0" w:line="82" w:lineRule="exact"/>
        <w:rPr>
          <w:sz w:val="20"/>
          <w:szCs w:val="20"/>
          <w:color w:val="auto"/>
        </w:rPr>
      </w:pPr>
    </w:p>
    <w:p>
      <w:pPr>
        <w:ind w:left="4440"/>
        <w:spacing w:after="0"/>
        <w:rPr>
          <w:sz w:val="20"/>
          <w:szCs w:val="20"/>
          <w:color w:val="auto"/>
        </w:rPr>
      </w:pPr>
      <w:r>
        <w:rPr>
          <w:rFonts w:ascii="Arial" w:cs="Arial" w:eastAsia="Arial" w:hAnsi="Arial"/>
          <w:sz w:val="13"/>
          <w:szCs w:val="13"/>
          <w:b w:val="1"/>
          <w:bCs w:val="1"/>
          <w:u w:val="single" w:color="auto"/>
          <w:color w:val="auto"/>
        </w:rPr>
        <w:t>FORM OF SYNDICATED LOAN REQUEST</w:t>
      </w:r>
    </w:p>
    <w:p>
      <w:pPr>
        <w:spacing w:after="0" w:line="86"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WASTE MANAGEMENT,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Revolving 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“Credit Agreement) dated as of June 22, 2010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280" w:type="dxa"/>
            <w:vAlign w:val="bottom"/>
          </w:tcPr>
          <w:p>
            <w:pPr>
              <w:spacing w:after="0"/>
              <w:rPr>
                <w:sz w:val="20"/>
                <w:szCs w:val="20"/>
                <w:color w:val="auto"/>
              </w:rPr>
            </w:pPr>
            <w:r>
              <w:rPr>
                <w:rFonts w:ascii="Arial" w:cs="Arial" w:eastAsia="Arial" w:hAnsi="Arial"/>
                <w:sz w:val="13"/>
                <w:szCs w:val="13"/>
                <w:color w:val="auto"/>
              </w:rPr>
              <w:t>Syndicated Loan Request under Section 2.6(a)</w:t>
            </w: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7"/>
        </w:trPr>
        <w:tc>
          <w:tcPr>
            <w:tcW w:w="9280" w:type="dxa"/>
            <w:vAlign w:val="bottom"/>
          </w:tcPr>
          <w:p>
            <w:pPr>
              <w:spacing w:after="0" w:line="137" w:lineRule="exact"/>
              <w:rPr>
                <w:sz w:val="20"/>
                <w:szCs w:val="20"/>
                <w:color w:val="auto"/>
              </w:rPr>
            </w:pPr>
            <w:r>
              <w:rPr>
                <w:rFonts w:ascii="Arial" w:cs="Arial" w:eastAsia="Arial" w:hAnsi="Arial"/>
                <w:sz w:val="13"/>
                <w:szCs w:val="13"/>
                <w:color w:val="auto"/>
              </w:rPr>
              <w:t>Total Commitment</w:t>
            </w:r>
          </w:p>
        </w:tc>
        <w:tc>
          <w:tcPr>
            <w:tcW w:w="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7"/>
        </w:trPr>
        <w:tc>
          <w:tcPr>
            <w:tcW w:w="9280" w:type="dxa"/>
            <w:vAlign w:val="bottom"/>
          </w:tcPr>
          <w:p>
            <w:pPr>
              <w:spacing w:after="0" w:line="138" w:lineRule="exact"/>
              <w:rPr>
                <w:sz w:val="20"/>
                <w:szCs w:val="20"/>
                <w:color w:val="auto"/>
              </w:rPr>
            </w:pPr>
            <w:r>
              <w:rPr>
                <w:rFonts w:ascii="Arial" w:cs="Arial" w:eastAsia="Arial" w:hAnsi="Arial"/>
                <w:sz w:val="13"/>
                <w:szCs w:val="13"/>
                <w:color w:val="auto"/>
              </w:rPr>
              <w:t>Loans outstanding</w:t>
            </w:r>
          </w:p>
        </w:tc>
        <w:tc>
          <w:tcPr>
            <w:tcW w:w="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7"/>
        </w:trPr>
        <w:tc>
          <w:tcPr>
            <w:tcW w:w="9280" w:type="dxa"/>
            <w:vAlign w:val="bottom"/>
          </w:tcPr>
          <w:p>
            <w:pPr>
              <w:spacing w:after="0" w:line="138" w:lineRule="exact"/>
              <w:rPr>
                <w:sz w:val="20"/>
                <w:szCs w:val="20"/>
                <w:color w:val="auto"/>
              </w:rPr>
            </w:pPr>
            <w:r>
              <w:rPr>
                <w:rFonts w:ascii="Arial" w:cs="Arial" w:eastAsia="Arial" w:hAnsi="Arial"/>
                <w:sz w:val="13"/>
                <w:szCs w:val="13"/>
                <w:color w:val="auto"/>
              </w:rPr>
              <w:t>Amount of this Request</w:t>
            </w:r>
          </w:p>
        </w:tc>
        <w:tc>
          <w:tcPr>
            <w:tcW w:w="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7"/>
        </w:trPr>
        <w:tc>
          <w:tcPr>
            <w:tcW w:w="9280" w:type="dxa"/>
            <w:vAlign w:val="bottom"/>
          </w:tcPr>
          <w:p>
            <w:pPr>
              <w:spacing w:after="0" w:line="138" w:lineRule="exact"/>
              <w:rPr>
                <w:sz w:val="20"/>
                <w:szCs w:val="20"/>
                <w:color w:val="auto"/>
              </w:rPr>
            </w:pPr>
            <w:r>
              <w:rPr>
                <w:rFonts w:ascii="Arial" w:cs="Arial" w:eastAsia="Arial" w:hAnsi="Arial"/>
                <w:sz w:val="13"/>
                <w:szCs w:val="13"/>
                <w:color w:val="auto"/>
              </w:rPr>
              <w:t>Maximum Drawing Amount of outstanding Letters of Credit</w:t>
            </w:r>
          </w:p>
        </w:tc>
        <w:tc>
          <w:tcPr>
            <w:tcW w:w="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7"/>
        </w:trPr>
        <w:tc>
          <w:tcPr>
            <w:tcW w:w="9280" w:type="dxa"/>
            <w:vAlign w:val="bottom"/>
          </w:tcPr>
          <w:p>
            <w:pPr>
              <w:ind w:left="140"/>
              <w:spacing w:after="0" w:line="138" w:lineRule="exact"/>
              <w:rPr>
                <w:sz w:val="20"/>
                <w:szCs w:val="20"/>
                <w:color w:val="auto"/>
              </w:rPr>
            </w:pPr>
            <w:r>
              <w:rPr>
                <w:rFonts w:ascii="Arial" w:cs="Arial" w:eastAsia="Arial" w:hAnsi="Arial"/>
                <w:sz w:val="13"/>
                <w:szCs w:val="13"/>
                <w:color w:val="auto"/>
              </w:rPr>
              <w:t>Canadian dollar component</w:t>
            </w:r>
          </w:p>
        </w:tc>
        <w:tc>
          <w:tcPr>
            <w:tcW w:w="800" w:type="dxa"/>
            <w:vAlign w:val="bottom"/>
            <w:gridSpan w:val="2"/>
          </w:tcPr>
          <w:p>
            <w:pPr>
              <w:jc w:val="center"/>
              <w:ind w:left="534"/>
              <w:spacing w:after="0" w:line="138" w:lineRule="exact"/>
              <w:rPr>
                <w:sz w:val="20"/>
                <w:szCs w:val="20"/>
                <w:color w:val="auto"/>
              </w:rPr>
            </w:pPr>
            <w:r>
              <w:rPr>
                <w:rFonts w:ascii="Arial" w:cs="Arial" w:eastAsia="Arial" w:hAnsi="Arial"/>
                <w:sz w:val="13"/>
                <w:szCs w:val="13"/>
                <w:color w:val="auto"/>
                <w:w w:val="96"/>
              </w:rPr>
              <w:t>C$</w:t>
            </w:r>
          </w:p>
        </w:tc>
        <w:tc>
          <w:tcPr>
            <w:tcW w:w="1280" w:type="dxa"/>
            <w:vAlign w:val="bottom"/>
            <w:tcBorders>
              <w:bottom w:val="single" w:sz="8" w:color="auto"/>
            </w:tcBorders>
            <w:gridSpan w:val="2"/>
          </w:tcPr>
          <w:p>
            <w:pPr>
              <w:spacing w:after="0"/>
              <w:rPr>
                <w:sz w:val="11"/>
                <w:szCs w:val="11"/>
                <w:color w:val="auto"/>
              </w:rPr>
            </w:pPr>
          </w:p>
        </w:tc>
        <w:tc>
          <w:tcPr>
            <w:tcW w:w="100" w:type="dxa"/>
            <w:vAlign w:val="bottom"/>
            <w:gridSpan w:val="2"/>
          </w:tcPr>
          <w:p>
            <w:pPr>
              <w:spacing w:after="0"/>
              <w:rPr>
                <w:sz w:val="11"/>
                <w:szCs w:val="11"/>
                <w:color w:val="auto"/>
              </w:rPr>
            </w:pPr>
          </w:p>
        </w:tc>
      </w:tr>
      <w:tr>
        <w:trPr>
          <w:trHeight w:val="137"/>
        </w:trPr>
        <w:tc>
          <w:tcPr>
            <w:tcW w:w="9280" w:type="dxa"/>
            <w:vAlign w:val="bottom"/>
          </w:tcPr>
          <w:p>
            <w:pPr>
              <w:ind w:left="140"/>
              <w:spacing w:after="0" w:line="138" w:lineRule="exact"/>
              <w:rPr>
                <w:sz w:val="20"/>
                <w:szCs w:val="20"/>
                <w:color w:val="auto"/>
              </w:rPr>
            </w:pPr>
            <w:r>
              <w:rPr>
                <w:rFonts w:ascii="Arial" w:cs="Arial" w:eastAsia="Arial" w:hAnsi="Arial"/>
                <w:sz w:val="13"/>
                <w:szCs w:val="13"/>
                <w:color w:val="auto"/>
              </w:rPr>
              <w:t>US dollar equivalent of C$ component</w:t>
            </w:r>
          </w:p>
        </w:tc>
        <w:tc>
          <w:tcPr>
            <w:tcW w:w="2180" w:type="dxa"/>
            <w:vAlign w:val="bottom"/>
            <w:gridSpan w:val="6"/>
          </w:tcPr>
          <w:p>
            <w:pPr>
              <w:jc w:val="center"/>
              <w:ind w:right="780"/>
              <w:spacing w:after="0" w:line="138" w:lineRule="exact"/>
              <w:rPr>
                <w:sz w:val="20"/>
                <w:szCs w:val="20"/>
                <w:color w:val="auto"/>
              </w:rPr>
            </w:pPr>
            <w:r>
              <w:rPr>
                <w:rFonts w:ascii="Arial" w:cs="Arial" w:eastAsia="Arial" w:hAnsi="Arial"/>
                <w:sz w:val="13"/>
                <w:szCs w:val="13"/>
                <w:color w:val="auto"/>
                <w:w w:val="94"/>
              </w:rPr>
              <w:t>US$</w:t>
            </w:r>
          </w:p>
        </w:tc>
      </w:tr>
      <w:tr>
        <w:trPr>
          <w:trHeight w:val="158"/>
        </w:trPr>
        <w:tc>
          <w:tcPr>
            <w:tcW w:w="9280" w:type="dxa"/>
            <w:vAlign w:val="bottom"/>
          </w:tcPr>
          <w:p>
            <w:pPr>
              <w:spacing w:after="0"/>
              <w:rPr>
                <w:sz w:val="20"/>
                <w:szCs w:val="20"/>
                <w:color w:val="auto"/>
              </w:rPr>
            </w:pPr>
            <w:r>
              <w:rPr>
                <w:rFonts w:ascii="Arial" w:cs="Arial" w:eastAsia="Arial" w:hAnsi="Arial"/>
                <w:sz w:val="13"/>
                <w:szCs w:val="13"/>
                <w:color w:val="auto"/>
                <w:w w:val="98"/>
              </w:rPr>
              <w:t>Total of all outstanding and requested Loans plus Maximum Drawing Amount of all outstanding Letters of Credit plus Amount of this Request (must not exceed Total</w:t>
            </w: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37"/>
        </w:trPr>
        <w:tc>
          <w:tcPr>
            <w:tcW w:w="9280" w:type="dxa"/>
            <w:vAlign w:val="bottom"/>
          </w:tcPr>
          <w:p>
            <w:pPr>
              <w:ind w:left="140"/>
              <w:spacing w:after="0" w:line="137" w:lineRule="exact"/>
              <w:rPr>
                <w:sz w:val="20"/>
                <w:szCs w:val="20"/>
                <w:color w:val="auto"/>
              </w:rPr>
            </w:pPr>
            <w:r>
              <w:rPr>
                <w:rFonts w:ascii="Arial" w:cs="Arial" w:eastAsia="Arial" w:hAnsi="Arial"/>
                <w:sz w:val="13"/>
                <w:szCs w:val="13"/>
                <w:color w:val="auto"/>
              </w:rPr>
              <w:t>Commitment)</w:t>
            </w:r>
          </w:p>
        </w:tc>
        <w:tc>
          <w:tcPr>
            <w:tcW w:w="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7"/>
        </w:trPr>
        <w:tc>
          <w:tcPr>
            <w:tcW w:w="9280" w:type="dxa"/>
            <w:vAlign w:val="bottom"/>
          </w:tcPr>
          <w:p>
            <w:pPr>
              <w:spacing w:after="0" w:line="138" w:lineRule="exact"/>
              <w:rPr>
                <w:sz w:val="20"/>
                <w:szCs w:val="20"/>
                <w:color w:val="auto"/>
              </w:rPr>
            </w:pPr>
            <w:r>
              <w:rPr>
                <w:rFonts w:ascii="Arial" w:cs="Arial" w:eastAsia="Arial" w:hAnsi="Arial"/>
                <w:sz w:val="13"/>
                <w:szCs w:val="13"/>
                <w:color w:val="auto"/>
              </w:rPr>
              <w:t>Proposed Drawdown Date</w:t>
            </w:r>
          </w:p>
        </w:tc>
        <w:tc>
          <w:tcPr>
            <w:tcW w:w="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7"/>
        </w:trPr>
        <w:tc>
          <w:tcPr>
            <w:tcW w:w="9280" w:type="dxa"/>
            <w:vAlign w:val="bottom"/>
          </w:tcPr>
          <w:p>
            <w:pPr>
              <w:spacing w:after="0" w:line="138" w:lineRule="exact"/>
              <w:rPr>
                <w:sz w:val="20"/>
                <w:szCs w:val="20"/>
                <w:color w:val="auto"/>
              </w:rPr>
            </w:pPr>
            <w:r>
              <w:rPr>
                <w:rFonts w:ascii="Arial" w:cs="Arial" w:eastAsia="Arial" w:hAnsi="Arial"/>
                <w:sz w:val="13"/>
                <w:szCs w:val="13"/>
                <w:color w:val="auto"/>
              </w:rPr>
              <w:t>Interest Rate Option (Base Rate or Eurodollar)</w:t>
            </w:r>
          </w:p>
        </w:tc>
        <w:tc>
          <w:tcPr>
            <w:tcW w:w="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7"/>
        </w:trPr>
        <w:tc>
          <w:tcPr>
            <w:tcW w:w="9280" w:type="dxa"/>
            <w:vAlign w:val="bottom"/>
          </w:tcPr>
          <w:p>
            <w:pPr>
              <w:spacing w:after="0" w:line="138" w:lineRule="exact"/>
              <w:rPr>
                <w:sz w:val="20"/>
                <w:szCs w:val="20"/>
                <w:color w:val="auto"/>
              </w:rPr>
            </w:pPr>
            <w:r>
              <w:rPr>
                <w:rFonts w:ascii="Arial" w:cs="Arial" w:eastAsia="Arial" w:hAnsi="Arial"/>
                <w:sz w:val="13"/>
                <w:szCs w:val="13"/>
                <w:color w:val="auto"/>
              </w:rPr>
              <w:t>Interest Period (if Eurodollar)</w:t>
            </w:r>
          </w:p>
        </w:tc>
        <w:tc>
          <w:tcPr>
            <w:tcW w:w="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8"/>
        </w:trPr>
        <w:tc>
          <w:tcPr>
            <w:tcW w:w="9280" w:type="dxa"/>
            <w:vAlign w:val="bottom"/>
          </w:tcPr>
          <w:p>
            <w:pPr>
              <w:spacing w:after="0"/>
              <w:rPr>
                <w:sz w:val="20"/>
                <w:szCs w:val="20"/>
                <w:color w:val="auto"/>
              </w:rPr>
            </w:pPr>
            <w:r>
              <w:rPr>
                <w:rFonts w:ascii="Arial" w:cs="Arial" w:eastAsia="Arial" w:hAnsi="Arial"/>
                <w:sz w:val="13"/>
                <w:szCs w:val="13"/>
                <w:color w:val="auto"/>
              </w:rPr>
              <w:t>Conversion under Section 2.7</w:t>
            </w: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7"/>
        </w:trPr>
        <w:tc>
          <w:tcPr>
            <w:tcW w:w="9280" w:type="dxa"/>
            <w:vAlign w:val="bottom"/>
          </w:tcPr>
          <w:p>
            <w:pPr>
              <w:spacing w:after="0" w:line="137" w:lineRule="exact"/>
              <w:rPr>
                <w:sz w:val="20"/>
                <w:szCs w:val="20"/>
                <w:color w:val="auto"/>
              </w:rPr>
            </w:pPr>
            <w:r>
              <w:rPr>
                <w:rFonts w:ascii="Arial" w:cs="Arial" w:eastAsia="Arial" w:hAnsi="Arial"/>
                <w:sz w:val="13"/>
                <w:szCs w:val="13"/>
                <w:color w:val="auto"/>
              </w:rPr>
              <w:t>Amount to be converted from Eurodollar to Base Rate:</w:t>
            </w:r>
          </w:p>
        </w:tc>
        <w:tc>
          <w:tcPr>
            <w:tcW w:w="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7"/>
        </w:trPr>
        <w:tc>
          <w:tcPr>
            <w:tcW w:w="9280" w:type="dxa"/>
            <w:vAlign w:val="bottom"/>
          </w:tcPr>
          <w:p>
            <w:pPr>
              <w:spacing w:after="0" w:line="138" w:lineRule="exact"/>
              <w:rPr>
                <w:sz w:val="20"/>
                <w:szCs w:val="20"/>
                <w:color w:val="auto"/>
              </w:rPr>
            </w:pPr>
            <w:r>
              <w:rPr>
                <w:rFonts w:ascii="Arial" w:cs="Arial" w:eastAsia="Arial" w:hAnsi="Arial"/>
                <w:sz w:val="13"/>
                <w:szCs w:val="13"/>
                <w:color w:val="auto"/>
              </w:rPr>
              <w:t>Amount to be converted from Base Rate to Eurodollar:</w:t>
            </w:r>
          </w:p>
        </w:tc>
        <w:tc>
          <w:tcPr>
            <w:tcW w:w="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7"/>
        </w:trPr>
        <w:tc>
          <w:tcPr>
            <w:tcW w:w="9280" w:type="dxa"/>
            <w:vAlign w:val="bottom"/>
          </w:tcPr>
          <w:p>
            <w:pPr>
              <w:spacing w:after="0" w:line="138" w:lineRule="exact"/>
              <w:rPr>
                <w:sz w:val="20"/>
                <w:szCs w:val="20"/>
                <w:color w:val="auto"/>
              </w:rPr>
            </w:pPr>
            <w:r>
              <w:rPr>
                <w:rFonts w:ascii="Arial" w:cs="Arial" w:eastAsia="Arial" w:hAnsi="Arial"/>
                <w:sz w:val="13"/>
                <w:szCs w:val="13"/>
                <w:color w:val="auto"/>
              </w:rPr>
              <w:t>Amount to be maintained as Eurodollar Loan</w:t>
            </w:r>
          </w:p>
        </w:tc>
        <w:tc>
          <w:tcPr>
            <w:tcW w:w="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7"/>
        </w:trPr>
        <w:tc>
          <w:tcPr>
            <w:tcW w:w="9280" w:type="dxa"/>
            <w:vAlign w:val="bottom"/>
          </w:tcPr>
          <w:p>
            <w:pPr>
              <w:spacing w:after="0" w:line="138" w:lineRule="exact"/>
              <w:rPr>
                <w:sz w:val="20"/>
                <w:szCs w:val="20"/>
                <w:color w:val="auto"/>
              </w:rPr>
            </w:pPr>
            <w:r>
              <w:rPr>
                <w:rFonts w:ascii="Arial" w:cs="Arial" w:eastAsia="Arial" w:hAnsi="Arial"/>
                <w:sz w:val="13"/>
                <w:szCs w:val="13"/>
                <w:color w:val="auto"/>
              </w:rPr>
              <w:t>Conversion Date</w:t>
            </w:r>
          </w:p>
        </w:tc>
        <w:tc>
          <w:tcPr>
            <w:tcW w:w="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7"/>
        </w:trPr>
        <w:tc>
          <w:tcPr>
            <w:tcW w:w="9280" w:type="dxa"/>
            <w:vAlign w:val="bottom"/>
          </w:tcPr>
          <w:p>
            <w:pPr>
              <w:spacing w:after="0" w:line="138" w:lineRule="exact"/>
              <w:rPr>
                <w:sz w:val="20"/>
                <w:szCs w:val="20"/>
                <w:color w:val="auto"/>
              </w:rPr>
            </w:pPr>
            <w:r>
              <w:rPr>
                <w:rFonts w:ascii="Arial" w:cs="Arial" w:eastAsia="Arial" w:hAnsi="Arial"/>
                <w:sz w:val="13"/>
                <w:szCs w:val="13"/>
                <w:color w:val="auto"/>
              </w:rPr>
              <w:t>Interest Period (if Eurodollar)</w:t>
            </w:r>
          </w:p>
        </w:tc>
        <w:tc>
          <w:tcPr>
            <w:tcW w:w="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466"/>
        </w:trPr>
        <w:tc>
          <w:tcPr>
            <w:tcW w:w="92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209" w:name="page210"/>
    <w:bookmarkEnd w:id="209"/>
    <w:p>
      <w:pPr>
        <w:spacing w:after="0"/>
        <w:rPr>
          <w:sz w:val="20"/>
          <w:szCs w:val="20"/>
          <w:color w:val="auto"/>
        </w:rPr>
      </w:pPr>
      <w:r>
        <w:rPr>
          <w:rFonts w:ascii="Arial" w:cs="Arial" w:eastAsia="Arial" w:hAnsi="Arial"/>
          <w:sz w:val="11"/>
          <w:szCs w:val="11"/>
          <w:color w:val="auto"/>
        </w:rPr>
        <w:t>I certify that the above is true and correct, and that all of the conditions set forth in §11 of the Credit Agreement have been satisfied as of the date hereof.</w:t>
      </w:r>
    </w:p>
    <w:p>
      <w:pPr>
        <w:spacing w:after="0" w:line="184" w:lineRule="exact"/>
        <w:rPr>
          <w:sz w:val="20"/>
          <w:szCs w:val="20"/>
          <w:color w:val="auto"/>
        </w:rPr>
      </w:pPr>
    </w:p>
    <w:p>
      <w:pPr>
        <w:ind w:left="5120"/>
        <w:spacing w:after="0"/>
        <w:rPr>
          <w:sz w:val="20"/>
          <w:szCs w:val="20"/>
          <w:color w:val="auto"/>
        </w:rPr>
      </w:pPr>
      <w:r>
        <w:rPr>
          <w:rFonts w:ascii="Arial" w:cs="Arial" w:eastAsia="Arial" w:hAnsi="Arial"/>
          <w:sz w:val="13"/>
          <w:szCs w:val="13"/>
          <w:b w:val="1"/>
          <w:bCs w:val="1"/>
          <w:color w:val="auto"/>
        </w:rPr>
        <w:t>WASTE MANAGEMENT, INC.</w:t>
      </w:r>
    </w:p>
    <w:p>
      <w:pPr>
        <w:spacing w:after="0" w:line="169" w:lineRule="exact"/>
        <w:rPr>
          <w:sz w:val="20"/>
          <w:szCs w:val="20"/>
          <w:color w:val="auto"/>
        </w:rPr>
      </w:pPr>
    </w:p>
    <w:p>
      <w:pPr>
        <w:jc w:val="center"/>
        <w:ind w:right="-36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10795</wp:posOffset>
            </wp:positionV>
            <wp:extent cx="2777490"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777490" cy="6350"/>
                    </a:xfrm>
                    <a:prstGeom prst="rect">
                      <a:avLst/>
                    </a:prstGeom>
                    <a:noFill/>
                  </pic:spPr>
                </pic:pic>
              </a:graphicData>
            </a:graphic>
          </wp:anchor>
        </w:drawing>
      </w:r>
    </w:p>
    <w:p>
      <w:pPr>
        <w:spacing w:after="0" w:line="7"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105410</wp:posOffset>
            </wp:positionV>
            <wp:extent cx="2971165"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971165" cy="6350"/>
                    </a:xfrm>
                    <a:prstGeom prst="rect">
                      <a:avLst/>
                    </a:prstGeom>
                    <a:noFill/>
                  </pic:spPr>
                </pic:pic>
              </a:graphicData>
            </a:graphic>
          </wp:anchor>
        </w:drawing>
      </w:r>
    </w:p>
    <w:p>
      <w:pPr>
        <w:spacing w:after="0" w:line="157" w:lineRule="exact"/>
        <w:rPr>
          <w:sz w:val="20"/>
          <w:szCs w:val="20"/>
          <w:color w:val="auto"/>
        </w:rPr>
      </w:pPr>
    </w:p>
    <w:p>
      <w:pPr>
        <w:ind w:left="7340"/>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294640</wp:posOffset>
            </wp:positionV>
            <wp:extent cx="7290435" cy="190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079"/>
          </w:cols>
          <w:pgMar w:left="380" w:top="721" w:right="1440" w:bottom="1440" w:gutter="0" w:footer="0" w:header="0"/>
        </w:sectPr>
      </w:pPr>
    </w:p>
    <w:bookmarkStart w:id="210" w:name="page211"/>
    <w:bookmarkEnd w:id="210"/>
    <w:p>
      <w:pPr>
        <w:ind w:left="5420"/>
        <w:spacing w:after="0"/>
        <w:rPr>
          <w:sz w:val="20"/>
          <w:szCs w:val="20"/>
          <w:color w:val="auto"/>
        </w:rPr>
      </w:pPr>
      <w:r>
        <w:rPr>
          <w:rFonts w:ascii="Arial" w:cs="Arial" w:eastAsia="Arial" w:hAnsi="Arial"/>
          <w:sz w:val="13"/>
          <w:szCs w:val="13"/>
          <w:color w:val="auto"/>
        </w:rPr>
        <w:t>EXHIBIT B</w:t>
      </w:r>
    </w:p>
    <w:p>
      <w:pPr>
        <w:spacing w:after="0" w:line="82" w:lineRule="exact"/>
        <w:rPr>
          <w:sz w:val="20"/>
          <w:szCs w:val="20"/>
          <w:color w:val="auto"/>
        </w:rPr>
      </w:pPr>
    </w:p>
    <w:p>
      <w:pPr>
        <w:ind w:left="4520"/>
        <w:spacing w:after="0"/>
        <w:rPr>
          <w:sz w:val="20"/>
          <w:szCs w:val="20"/>
          <w:color w:val="auto"/>
        </w:rPr>
      </w:pPr>
      <w:r>
        <w:rPr>
          <w:rFonts w:ascii="Arial" w:cs="Arial" w:eastAsia="Arial" w:hAnsi="Arial"/>
          <w:sz w:val="13"/>
          <w:szCs w:val="13"/>
          <w:b w:val="1"/>
          <w:bCs w:val="1"/>
          <w:u w:val="single" w:color="auto"/>
          <w:color w:val="auto"/>
        </w:rPr>
        <w:t>FORM OF SWING LINE LOAN NOTICE</w:t>
      </w:r>
    </w:p>
    <w:p>
      <w:pPr>
        <w:spacing w:after="0" w:line="86"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WASTE MANAGEMENT,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Revolving 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“Credit Agreement) dated as of June 22, 2010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480" w:type="dxa"/>
            <w:vAlign w:val="bottom"/>
            <w:gridSpan w:val="3"/>
          </w:tcPr>
          <w:p>
            <w:pPr>
              <w:spacing w:after="0"/>
              <w:rPr>
                <w:sz w:val="20"/>
                <w:szCs w:val="20"/>
                <w:color w:val="auto"/>
              </w:rPr>
            </w:pPr>
            <w:r>
              <w:rPr>
                <w:rFonts w:ascii="Arial" w:cs="Arial" w:eastAsia="Arial" w:hAnsi="Arial"/>
                <w:sz w:val="13"/>
                <w:szCs w:val="13"/>
                <w:color w:val="auto"/>
              </w:rPr>
              <w:t>Swing Line Loan Request under Section 2.11</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7"/>
        </w:trPr>
        <w:tc>
          <w:tcPr>
            <w:tcW w:w="9480" w:type="dxa"/>
            <w:vAlign w:val="bottom"/>
            <w:gridSpan w:val="3"/>
          </w:tcPr>
          <w:p>
            <w:pPr>
              <w:spacing w:after="0" w:line="137" w:lineRule="exact"/>
              <w:rPr>
                <w:sz w:val="20"/>
                <w:szCs w:val="20"/>
                <w:color w:val="auto"/>
              </w:rPr>
            </w:pPr>
            <w:r>
              <w:rPr>
                <w:rFonts w:ascii="Arial" w:cs="Arial" w:eastAsia="Arial" w:hAnsi="Arial"/>
                <w:sz w:val="13"/>
                <w:szCs w:val="13"/>
                <w:color w:val="auto"/>
              </w:rPr>
              <w:t>Total Commitment</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7"/>
        </w:trPr>
        <w:tc>
          <w:tcPr>
            <w:tcW w:w="9480" w:type="dxa"/>
            <w:vAlign w:val="bottom"/>
            <w:gridSpan w:val="3"/>
          </w:tcPr>
          <w:p>
            <w:pPr>
              <w:spacing w:after="0" w:line="138" w:lineRule="exact"/>
              <w:rPr>
                <w:sz w:val="20"/>
                <w:szCs w:val="20"/>
                <w:color w:val="auto"/>
              </w:rPr>
            </w:pPr>
            <w:r>
              <w:rPr>
                <w:rFonts w:ascii="Arial" w:cs="Arial" w:eastAsia="Arial" w:hAnsi="Arial"/>
                <w:sz w:val="13"/>
                <w:szCs w:val="13"/>
                <w:color w:val="auto"/>
              </w:rPr>
              <w:t>Loans outstanding</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7"/>
        </w:trPr>
        <w:tc>
          <w:tcPr>
            <w:tcW w:w="9480" w:type="dxa"/>
            <w:vAlign w:val="bottom"/>
            <w:gridSpan w:val="3"/>
          </w:tcPr>
          <w:p>
            <w:pPr>
              <w:spacing w:after="0" w:line="138" w:lineRule="exact"/>
              <w:rPr>
                <w:sz w:val="20"/>
                <w:szCs w:val="20"/>
                <w:color w:val="auto"/>
              </w:rPr>
            </w:pPr>
            <w:r>
              <w:rPr>
                <w:rFonts w:ascii="Arial" w:cs="Arial" w:eastAsia="Arial" w:hAnsi="Arial"/>
                <w:sz w:val="13"/>
                <w:szCs w:val="13"/>
                <w:color w:val="auto"/>
              </w:rPr>
              <w:t>Amount of this requested Swing Line Loan (must not exceed the Swing Line Sublimit)</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7"/>
        </w:trPr>
        <w:tc>
          <w:tcPr>
            <w:tcW w:w="9480" w:type="dxa"/>
            <w:vAlign w:val="bottom"/>
            <w:gridSpan w:val="3"/>
          </w:tcPr>
          <w:p>
            <w:pPr>
              <w:spacing w:after="0" w:line="138" w:lineRule="exact"/>
              <w:rPr>
                <w:sz w:val="20"/>
                <w:szCs w:val="20"/>
                <w:color w:val="auto"/>
              </w:rPr>
            </w:pPr>
            <w:r>
              <w:rPr>
                <w:rFonts w:ascii="Arial" w:cs="Arial" w:eastAsia="Arial" w:hAnsi="Arial"/>
                <w:sz w:val="13"/>
                <w:szCs w:val="13"/>
                <w:color w:val="auto"/>
              </w:rPr>
              <w:t>Maximum Drawing Amount of outstanding Letters of Credit</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7"/>
        </w:trPr>
        <w:tc>
          <w:tcPr>
            <w:tcW w:w="9480" w:type="dxa"/>
            <w:vAlign w:val="bottom"/>
            <w:gridSpan w:val="3"/>
          </w:tcPr>
          <w:p>
            <w:pPr>
              <w:ind w:left="140"/>
              <w:spacing w:after="0" w:line="138" w:lineRule="exact"/>
              <w:rPr>
                <w:sz w:val="20"/>
                <w:szCs w:val="20"/>
                <w:color w:val="auto"/>
              </w:rPr>
            </w:pPr>
            <w:r>
              <w:rPr>
                <w:rFonts w:ascii="Arial" w:cs="Arial" w:eastAsia="Arial" w:hAnsi="Arial"/>
                <w:sz w:val="13"/>
                <w:szCs w:val="13"/>
                <w:color w:val="auto"/>
              </w:rPr>
              <w:t>Canadian dollar component</w:t>
            </w:r>
          </w:p>
        </w:tc>
        <w:tc>
          <w:tcPr>
            <w:tcW w:w="600" w:type="dxa"/>
            <w:vAlign w:val="bottom"/>
            <w:gridSpan w:val="3"/>
          </w:tcPr>
          <w:p>
            <w:pPr>
              <w:jc w:val="center"/>
              <w:ind w:left="334"/>
              <w:spacing w:after="0" w:line="138" w:lineRule="exact"/>
              <w:rPr>
                <w:sz w:val="20"/>
                <w:szCs w:val="20"/>
                <w:color w:val="auto"/>
              </w:rPr>
            </w:pPr>
            <w:r>
              <w:rPr>
                <w:rFonts w:ascii="Arial" w:cs="Arial" w:eastAsia="Arial" w:hAnsi="Arial"/>
                <w:sz w:val="13"/>
                <w:szCs w:val="13"/>
                <w:color w:val="auto"/>
                <w:w w:val="96"/>
              </w:rPr>
              <w:t>C$</w:t>
            </w:r>
          </w:p>
        </w:tc>
        <w:tc>
          <w:tcPr>
            <w:tcW w:w="1280" w:type="dxa"/>
            <w:vAlign w:val="bottom"/>
            <w:tcBorders>
              <w:bottom w:val="single" w:sz="8" w:color="auto"/>
            </w:tcBorders>
            <w:gridSpan w:val="2"/>
          </w:tcPr>
          <w:p>
            <w:pPr>
              <w:spacing w:after="0"/>
              <w:rPr>
                <w:sz w:val="11"/>
                <w:szCs w:val="11"/>
                <w:color w:val="auto"/>
              </w:rPr>
            </w:pPr>
          </w:p>
        </w:tc>
        <w:tc>
          <w:tcPr>
            <w:tcW w:w="100" w:type="dxa"/>
            <w:vAlign w:val="bottom"/>
            <w:gridSpan w:val="2"/>
          </w:tcPr>
          <w:p>
            <w:pPr>
              <w:spacing w:after="0"/>
              <w:rPr>
                <w:sz w:val="11"/>
                <w:szCs w:val="11"/>
                <w:color w:val="auto"/>
              </w:rPr>
            </w:pPr>
          </w:p>
        </w:tc>
      </w:tr>
      <w:tr>
        <w:trPr>
          <w:trHeight w:val="137"/>
        </w:trPr>
        <w:tc>
          <w:tcPr>
            <w:tcW w:w="9480" w:type="dxa"/>
            <w:vAlign w:val="bottom"/>
            <w:gridSpan w:val="3"/>
          </w:tcPr>
          <w:p>
            <w:pPr>
              <w:ind w:left="140"/>
              <w:spacing w:after="0" w:line="138" w:lineRule="exact"/>
              <w:rPr>
                <w:sz w:val="20"/>
                <w:szCs w:val="20"/>
                <w:color w:val="auto"/>
              </w:rPr>
            </w:pPr>
            <w:r>
              <w:rPr>
                <w:rFonts w:ascii="Arial" w:cs="Arial" w:eastAsia="Arial" w:hAnsi="Arial"/>
                <w:sz w:val="13"/>
                <w:szCs w:val="13"/>
                <w:color w:val="auto"/>
              </w:rPr>
              <w:t>US dollar equivalent of C$ component</w:t>
            </w:r>
          </w:p>
        </w:tc>
        <w:tc>
          <w:tcPr>
            <w:tcW w:w="1980" w:type="dxa"/>
            <w:vAlign w:val="bottom"/>
            <w:gridSpan w:val="7"/>
          </w:tcPr>
          <w:p>
            <w:pPr>
              <w:jc w:val="center"/>
              <w:ind w:right="980"/>
              <w:spacing w:after="0" w:line="138" w:lineRule="exact"/>
              <w:rPr>
                <w:sz w:val="20"/>
                <w:szCs w:val="20"/>
                <w:color w:val="auto"/>
              </w:rPr>
            </w:pPr>
            <w:r>
              <w:rPr>
                <w:rFonts w:ascii="Arial" w:cs="Arial" w:eastAsia="Arial" w:hAnsi="Arial"/>
                <w:sz w:val="13"/>
                <w:szCs w:val="13"/>
                <w:color w:val="auto"/>
                <w:w w:val="94"/>
              </w:rPr>
              <w:t>US$</w:t>
            </w:r>
          </w:p>
        </w:tc>
      </w:tr>
      <w:tr>
        <w:trPr>
          <w:trHeight w:val="158"/>
        </w:trPr>
        <w:tc>
          <w:tcPr>
            <w:tcW w:w="9480" w:type="dxa"/>
            <w:vAlign w:val="bottom"/>
            <w:gridSpan w:val="3"/>
          </w:tcPr>
          <w:p>
            <w:pPr>
              <w:spacing w:after="0"/>
              <w:rPr>
                <w:sz w:val="20"/>
                <w:szCs w:val="20"/>
                <w:color w:val="auto"/>
              </w:rPr>
            </w:pPr>
            <w:r>
              <w:rPr>
                <w:rFonts w:ascii="Arial" w:cs="Arial" w:eastAsia="Arial" w:hAnsi="Arial"/>
                <w:sz w:val="13"/>
                <w:szCs w:val="13"/>
                <w:color w:val="auto"/>
                <w:w w:val="95"/>
              </w:rPr>
              <w:t>Total of all outstanding and requested Loans plus Maximum Drawing Amount of all outstanding Letters of Credit plus amount requested in this notice (must not exceed Total</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37"/>
        </w:trPr>
        <w:tc>
          <w:tcPr>
            <w:tcW w:w="9480" w:type="dxa"/>
            <w:vAlign w:val="bottom"/>
            <w:gridSpan w:val="3"/>
          </w:tcPr>
          <w:p>
            <w:pPr>
              <w:ind w:left="140"/>
              <w:spacing w:after="0" w:line="137" w:lineRule="exact"/>
              <w:rPr>
                <w:sz w:val="20"/>
                <w:szCs w:val="20"/>
                <w:color w:val="auto"/>
              </w:rPr>
            </w:pPr>
            <w:r>
              <w:rPr>
                <w:rFonts w:ascii="Arial" w:cs="Arial" w:eastAsia="Arial" w:hAnsi="Arial"/>
                <w:sz w:val="13"/>
                <w:szCs w:val="13"/>
                <w:color w:val="auto"/>
              </w:rPr>
              <w:t>Commitment)</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7"/>
        </w:trPr>
        <w:tc>
          <w:tcPr>
            <w:tcW w:w="9480" w:type="dxa"/>
            <w:vAlign w:val="bottom"/>
            <w:gridSpan w:val="3"/>
          </w:tcPr>
          <w:p>
            <w:pPr>
              <w:spacing w:after="0" w:line="138" w:lineRule="exact"/>
              <w:rPr>
                <w:sz w:val="20"/>
                <w:szCs w:val="20"/>
                <w:color w:val="auto"/>
              </w:rPr>
            </w:pPr>
            <w:r>
              <w:rPr>
                <w:rFonts w:ascii="Arial" w:cs="Arial" w:eastAsia="Arial" w:hAnsi="Arial"/>
                <w:sz w:val="13"/>
                <w:szCs w:val="13"/>
                <w:color w:val="auto"/>
              </w:rPr>
              <w:t>Proposed Drawdown Date</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323"/>
        </w:trPr>
        <w:tc>
          <w:tcPr>
            <w:tcW w:w="9480" w:type="dxa"/>
            <w:vAlign w:val="bottom"/>
            <w:gridSpan w:val="3"/>
          </w:tcPr>
          <w:p>
            <w:pPr>
              <w:ind w:left="320"/>
              <w:spacing w:after="0"/>
              <w:rPr>
                <w:sz w:val="20"/>
                <w:szCs w:val="20"/>
                <w:color w:val="auto"/>
              </w:rPr>
            </w:pPr>
            <w:r>
              <w:rPr>
                <w:rFonts w:ascii="Arial" w:cs="Arial" w:eastAsia="Arial" w:hAnsi="Arial"/>
                <w:sz w:val="13"/>
                <w:szCs w:val="13"/>
                <w:color w:val="auto"/>
              </w:rPr>
              <w:t>I certify that the above is true and correct, and that all of the conditions set forth in §11 of the Credit Agreement have been satisfied as of the date hereof.</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5"/>
        </w:trPr>
        <w:tc>
          <w:tcPr>
            <w:tcW w:w="52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3"/>
                <w:szCs w:val="13"/>
                <w:b w:val="1"/>
                <w:bCs w:val="1"/>
                <w:color w:val="auto"/>
              </w:rPr>
              <w:t>WASTE MANAGEMENT, INC.</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5"/>
        </w:trPr>
        <w:tc>
          <w:tcPr>
            <w:tcW w:w="52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3"/>
                <w:szCs w:val="13"/>
                <w:color w:val="auto"/>
              </w:rPr>
              <w:t>By:</w:t>
            </w:r>
          </w:p>
        </w:tc>
        <w:tc>
          <w:tcPr>
            <w:tcW w:w="38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9"/>
        </w:trPr>
        <w:tc>
          <w:tcPr>
            <w:tcW w:w="5280" w:type="dxa"/>
            <w:vAlign w:val="bottom"/>
          </w:tcPr>
          <w:p>
            <w:pPr>
              <w:spacing w:after="0"/>
              <w:rPr>
                <w:sz w:val="12"/>
                <w:szCs w:val="12"/>
                <w:color w:val="auto"/>
              </w:rPr>
            </w:pPr>
          </w:p>
        </w:tc>
        <w:tc>
          <w:tcPr>
            <w:tcW w:w="4200" w:type="dxa"/>
            <w:vAlign w:val="bottom"/>
            <w:gridSpan w:val="2"/>
          </w:tcPr>
          <w:p>
            <w:pPr>
              <w:ind w:left="320"/>
              <w:spacing w:after="0"/>
              <w:rPr>
                <w:sz w:val="20"/>
                <w:szCs w:val="20"/>
                <w:color w:val="auto"/>
              </w:rPr>
            </w:pPr>
            <w:r>
              <w:rPr>
                <w:rFonts w:ascii="Arial" w:cs="Arial" w:eastAsia="Arial" w:hAnsi="Arial"/>
                <w:sz w:val="13"/>
                <w:szCs w:val="13"/>
                <w:color w:val="auto"/>
              </w:rPr>
              <w:t>Name: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5"/>
        </w:trPr>
        <w:tc>
          <w:tcPr>
            <w:tcW w:w="5280" w:type="dxa"/>
            <w:vAlign w:val="bottom"/>
          </w:tcPr>
          <w:p>
            <w:pPr>
              <w:spacing w:after="0"/>
              <w:rPr>
                <w:sz w:val="14"/>
                <w:szCs w:val="14"/>
                <w:color w:val="auto"/>
              </w:rPr>
            </w:pPr>
          </w:p>
        </w:tc>
        <w:tc>
          <w:tcPr>
            <w:tcW w:w="4200" w:type="dxa"/>
            <w:vAlign w:val="bottom"/>
            <w:gridSpan w:val="2"/>
          </w:tcPr>
          <w:p>
            <w:pPr>
              <w:ind w:left="320"/>
              <w:spacing w:after="0"/>
              <w:rPr>
                <w:sz w:val="20"/>
                <w:szCs w:val="20"/>
                <w:color w:val="auto"/>
              </w:rPr>
            </w:pPr>
            <w:r>
              <w:rPr>
                <w:rFonts w:ascii="Arial" w:cs="Arial" w:eastAsia="Arial" w:hAnsi="Arial"/>
                <w:sz w:val="13"/>
                <w:szCs w:val="13"/>
                <w:color w:val="auto"/>
              </w:rPr>
              <w:t>Title: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9"/>
        </w:trPr>
        <w:tc>
          <w:tcPr>
            <w:tcW w:w="52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8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5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80" w:type="dxa"/>
            <w:vAlign w:val="bottom"/>
          </w:tcPr>
          <w:p>
            <w:pPr>
              <w:ind w:left="1900"/>
              <w:spacing w:after="0"/>
              <w:rPr>
                <w:sz w:val="20"/>
                <w:szCs w:val="20"/>
                <w:color w:val="auto"/>
              </w:rPr>
            </w:pPr>
            <w:r>
              <w:rPr>
                <w:rFonts w:ascii="Arial" w:cs="Arial" w:eastAsia="Arial" w:hAnsi="Arial"/>
                <w:sz w:val="13"/>
                <w:szCs w:val="13"/>
                <w:color w:val="auto"/>
              </w:rPr>
              <w:t>Date</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458"/>
        </w:trPr>
        <w:tc>
          <w:tcPr>
            <w:tcW w:w="52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8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211" w:name="page212"/>
    <w:bookmarkEnd w:id="211"/>
    <w:p>
      <w:pPr>
        <w:jc w:val="right"/>
        <w:spacing w:after="0"/>
        <w:rPr>
          <w:sz w:val="20"/>
          <w:szCs w:val="20"/>
          <w:color w:val="auto"/>
        </w:rPr>
      </w:pPr>
      <w:r>
        <w:rPr>
          <w:rFonts w:ascii="Arial" w:cs="Arial" w:eastAsia="Arial" w:hAnsi="Arial"/>
          <w:sz w:val="13"/>
          <w:szCs w:val="13"/>
          <w:b w:val="1"/>
          <w:bCs w:val="1"/>
          <w:color w:val="auto"/>
        </w:rPr>
        <w:t>EXHIBIT C</w:t>
      </w:r>
    </w:p>
    <w:p>
      <w:pPr>
        <w:spacing w:after="0" w:line="244" w:lineRule="exact"/>
        <w:rPr>
          <w:sz w:val="20"/>
          <w:szCs w:val="20"/>
          <w:color w:val="auto"/>
        </w:rPr>
      </w:pPr>
    </w:p>
    <w:p>
      <w:pPr>
        <w:ind w:left="4440"/>
        <w:spacing w:after="0"/>
        <w:rPr>
          <w:sz w:val="20"/>
          <w:szCs w:val="20"/>
          <w:color w:val="auto"/>
        </w:rPr>
      </w:pPr>
      <w:r>
        <w:rPr>
          <w:rFonts w:ascii="Arial" w:cs="Arial" w:eastAsia="Arial" w:hAnsi="Arial"/>
          <w:sz w:val="13"/>
          <w:szCs w:val="13"/>
          <w:b w:val="1"/>
          <w:bCs w:val="1"/>
          <w:u w:val="single" w:color="auto"/>
          <w:color w:val="auto"/>
        </w:rPr>
        <w:t>FORM OF LETTER OF CREDIT REQUEST</w:t>
      </w:r>
    </w:p>
    <w:p>
      <w:pPr>
        <w:spacing w:after="0" w:line="86"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WASTE MANAGEMENT,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Revolving 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“Credit Agreement”) dated as of June 22, 2010</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Letter of Credit Request Under Section 3.1</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Total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6382385</wp:posOffset>
            </wp:positionH>
            <wp:positionV relativeFrom="paragraph">
              <wp:posOffset>-12065</wp:posOffset>
            </wp:positionV>
            <wp:extent cx="831850"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3185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Maximum Drawing Amount of Letters of Credit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6382385</wp:posOffset>
            </wp:positionH>
            <wp:positionV relativeFrom="paragraph">
              <wp:posOffset>-12065</wp:posOffset>
            </wp:positionV>
            <wp:extent cx="831850"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3185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Amount of this Request from Letter of Credit Application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6382385</wp:posOffset>
            </wp:positionH>
            <wp:positionV relativeFrom="paragraph">
              <wp:posOffset>-12065</wp:posOffset>
            </wp:positionV>
            <wp:extent cx="831850"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31850" cy="635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3"/>
          <w:szCs w:val="13"/>
          <w:color w:val="auto"/>
        </w:rPr>
        <w:t>— U.S. Dollars</w:t>
      </w:r>
    </w:p>
    <w:p>
      <w:pPr>
        <w:spacing w:after="0" w:line="7" w:lineRule="exact"/>
        <w:rPr>
          <w:sz w:val="20"/>
          <w:szCs w:val="20"/>
          <w:color w:val="auto"/>
        </w:rPr>
      </w:pPr>
    </w:p>
    <w:p>
      <w:pPr>
        <w:ind w:right="10240" w:firstLine="147"/>
        <w:spacing w:after="0" w:line="298" w:lineRule="auto"/>
        <w:rPr>
          <w:sz w:val="20"/>
          <w:szCs w:val="20"/>
          <w:color w:val="auto"/>
        </w:rPr>
      </w:pPr>
      <w:r>
        <w:rPr>
          <w:rFonts w:ascii="Arial" w:cs="Arial" w:eastAsia="Arial" w:hAnsi="Arial"/>
          <w:sz w:val="11"/>
          <w:szCs w:val="11"/>
          <w:color w:val="auto"/>
        </w:rPr>
        <w:t>— Canadian Dollars Loans Outstanding</w:t>
      </w:r>
    </w:p>
    <w:p>
      <w:pPr>
        <w:spacing w:after="0"/>
        <w:rPr>
          <w:sz w:val="20"/>
          <w:szCs w:val="20"/>
          <w:color w:val="auto"/>
        </w:rPr>
      </w:pPr>
      <w:r>
        <w:rPr>
          <w:rFonts w:ascii="Arial" w:cs="Arial" w:eastAsia="Arial" w:hAnsi="Arial"/>
          <w:sz w:val="13"/>
          <w:szCs w:val="13"/>
          <w:color w:val="auto"/>
        </w:rPr>
        <w:t>Maximum Drawing Amount of all outstanding and Requested Letters of Credit (must not exceed the Total Commitment minus Total of all Loans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6382385</wp:posOffset>
            </wp:positionH>
            <wp:positionV relativeFrom="paragraph">
              <wp:posOffset>-311785</wp:posOffset>
            </wp:positionV>
            <wp:extent cx="831850"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31850" cy="6350"/>
                    </a:xfrm>
                    <a:prstGeom prst="rect">
                      <a:avLst/>
                    </a:prstGeom>
                    <a:noFill/>
                  </pic:spPr>
                </pic:pic>
              </a:graphicData>
            </a:graphic>
          </wp:anchor>
        </w:drawing>
        <w:drawing>
          <wp:anchor simplePos="0" relativeHeight="251657728" behindDoc="1" locked="0" layoutInCell="0" allowOverlap="1">
            <wp:simplePos x="0" y="0"/>
            <wp:positionH relativeFrom="column">
              <wp:posOffset>6382385</wp:posOffset>
            </wp:positionH>
            <wp:positionV relativeFrom="paragraph">
              <wp:posOffset>-212090</wp:posOffset>
            </wp:positionV>
            <wp:extent cx="831850"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31850" cy="6350"/>
                    </a:xfrm>
                    <a:prstGeom prst="rect">
                      <a:avLst/>
                    </a:prstGeom>
                    <a:noFill/>
                  </pic:spPr>
                </pic:pic>
              </a:graphicData>
            </a:graphic>
          </wp:anchor>
        </w:drawing>
        <w:drawing>
          <wp:anchor simplePos="0" relativeHeight="251657728" behindDoc="1" locked="0" layoutInCell="0" allowOverlap="1">
            <wp:simplePos x="0" y="0"/>
            <wp:positionH relativeFrom="column">
              <wp:posOffset>6382385</wp:posOffset>
            </wp:positionH>
            <wp:positionV relativeFrom="paragraph">
              <wp:posOffset>-112395</wp:posOffset>
            </wp:positionV>
            <wp:extent cx="831850"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31850" cy="6350"/>
                    </a:xfrm>
                    <a:prstGeom prst="rect">
                      <a:avLst/>
                    </a:prstGeom>
                    <a:noFill/>
                  </pic:spPr>
                </pic:pic>
              </a:graphicData>
            </a:graphic>
          </wp:anchor>
        </w:drawing>
        <w:drawing>
          <wp:anchor simplePos="0" relativeHeight="251657728" behindDoc="1" locked="0" layoutInCell="0" allowOverlap="1">
            <wp:simplePos x="0" y="0"/>
            <wp:positionH relativeFrom="column">
              <wp:posOffset>6382385</wp:posOffset>
            </wp:positionH>
            <wp:positionV relativeFrom="paragraph">
              <wp:posOffset>-12065</wp:posOffset>
            </wp:positionV>
            <wp:extent cx="831850"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31850" cy="6350"/>
                    </a:xfrm>
                    <a:prstGeom prst="rect">
                      <a:avLst/>
                    </a:prstGeom>
                    <a:noFill/>
                  </pic:spPr>
                </pic:pic>
              </a:graphicData>
            </a:graphic>
          </wp:anchor>
        </w:drawing>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 certify that the above is true and correct, and that all of the conditions set forth in §11 of the Credit Agreement have been satisfied as of the date hereof.</w:t>
      </w:r>
    </w:p>
    <w:p>
      <w:pPr>
        <w:spacing w:after="0" w:line="161"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WASTE MANAGEMENT, INC.</w:t>
      </w:r>
    </w:p>
    <w:p>
      <w:pPr>
        <w:spacing w:after="0" w:line="169"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10795</wp:posOffset>
            </wp:positionV>
            <wp:extent cx="2777490"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777490" cy="6350"/>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3357245</wp:posOffset>
            </wp:positionH>
            <wp:positionV relativeFrom="paragraph">
              <wp:posOffset>105410</wp:posOffset>
            </wp:positionV>
            <wp:extent cx="2971165"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971165" cy="6350"/>
                    </a:xfrm>
                    <a:prstGeom prst="rect">
                      <a:avLst/>
                    </a:prstGeom>
                    <a:noFill/>
                  </pic:spPr>
                </pic:pic>
              </a:graphicData>
            </a:graphic>
          </wp:anchor>
        </w:drawing>
      </w:r>
    </w:p>
    <w:p>
      <w:pPr>
        <w:spacing w:after="0" w:line="157" w:lineRule="exact"/>
        <w:rPr>
          <w:sz w:val="20"/>
          <w:szCs w:val="20"/>
          <w:color w:val="auto"/>
        </w:rPr>
      </w:pPr>
    </w:p>
    <w:p>
      <w:pPr>
        <w:ind w:left="7500"/>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169"/>
        </w:trPr>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gridSpan w:val="2"/>
          </w:tcPr>
          <w:p>
            <w:pPr>
              <w:ind w:left="160"/>
              <w:spacing w:after="0"/>
              <w:rPr>
                <w:sz w:val="20"/>
                <w:szCs w:val="20"/>
                <w:color w:val="auto"/>
              </w:rPr>
            </w:pPr>
            <w:r>
              <w:rPr>
                <w:rFonts w:ascii="Arial" w:cs="Arial" w:eastAsia="Arial" w:hAnsi="Arial"/>
                <w:sz w:val="13"/>
                <w:szCs w:val="13"/>
                <w:b w:val="1"/>
                <w:bCs w:val="1"/>
                <w:color w:val="auto"/>
              </w:rPr>
              <w:t>EXHIBIT D</w:t>
            </w:r>
          </w:p>
        </w:tc>
      </w:tr>
      <w:tr>
        <w:trPr>
          <w:trHeight w:val="365"/>
        </w:trPr>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80" w:type="dxa"/>
            <w:vAlign w:val="bottom"/>
            <w:gridSpan w:val="7"/>
          </w:tcPr>
          <w:p>
            <w:pPr>
              <w:jc w:val="center"/>
              <w:ind w:right="3080"/>
              <w:spacing w:after="0"/>
              <w:rPr>
                <w:sz w:val="20"/>
                <w:szCs w:val="20"/>
                <w:color w:val="auto"/>
              </w:rPr>
            </w:pPr>
            <w:r>
              <w:rPr>
                <w:rFonts w:ascii="Arial" w:cs="Arial" w:eastAsia="Arial" w:hAnsi="Arial"/>
                <w:sz w:val="13"/>
                <w:szCs w:val="13"/>
                <w:b w:val="1"/>
                <w:bCs w:val="1"/>
                <w:color w:val="auto"/>
              </w:rPr>
              <w:t>FORM OF COMPLIANCE CERTIFICATE</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44"/>
        </w:trPr>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80" w:type="dxa"/>
            <w:vAlign w:val="bottom"/>
            <w:tcBorders>
              <w:top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rPr>
              <w:t>WASTE MANAGEMENT, INC.</w:t>
            </w:r>
          </w:p>
        </w:tc>
        <w:tc>
          <w:tcPr>
            <w:tcW w:w="3640" w:type="dxa"/>
            <w:vAlign w:val="bottom"/>
            <w:gridSpan w:val="2"/>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08"/>
        </w:trPr>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Arial" w:cs="Arial" w:eastAsia="Arial" w:hAnsi="Arial"/>
                <w:sz w:val="13"/>
                <w:szCs w:val="13"/>
                <w:color w:val="auto"/>
                <w:w w:val="93"/>
              </w:rPr>
              <w:t>Compliance Certificate dated</w:t>
            </w:r>
          </w:p>
        </w:tc>
        <w:tc>
          <w:tcPr>
            <w:tcW w:w="640" w:type="dxa"/>
            <w:vAlign w:val="bottom"/>
            <w:tcBorders>
              <w:bottom w:val="single" w:sz="8" w:color="auto"/>
            </w:tcBorders>
          </w:tcPr>
          <w:p>
            <w:pPr>
              <w:spacing w:after="0"/>
              <w:rPr>
                <w:sz w:val="18"/>
                <w:szCs w:val="18"/>
                <w:color w:val="auto"/>
              </w:rPr>
            </w:pPr>
          </w:p>
        </w:tc>
        <w:tc>
          <w:tcPr>
            <w:tcW w:w="3780" w:type="dxa"/>
            <w:vAlign w:val="bottom"/>
            <w:gridSpan w:val="3"/>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3"/>
                <w:szCs w:val="13"/>
                <w:color w:val="auto"/>
              </w:rPr>
              <w:t>I,</w:t>
            </w:r>
          </w:p>
        </w:tc>
        <w:tc>
          <w:tcPr>
            <w:tcW w:w="1320" w:type="dxa"/>
            <w:vAlign w:val="bottom"/>
            <w:tcBorders>
              <w:bottom w:val="single" w:sz="8" w:color="auto"/>
            </w:tcBorders>
          </w:tcPr>
          <w:p>
            <w:pPr>
              <w:spacing w:after="0"/>
              <w:rPr>
                <w:sz w:val="18"/>
                <w:szCs w:val="18"/>
                <w:color w:val="auto"/>
              </w:rPr>
            </w:pPr>
          </w:p>
        </w:tc>
        <w:tc>
          <w:tcPr>
            <w:tcW w:w="10040" w:type="dxa"/>
            <w:vAlign w:val="bottom"/>
            <w:gridSpan w:val="12"/>
          </w:tcPr>
          <w:p>
            <w:pPr>
              <w:spacing w:after="0"/>
              <w:rPr>
                <w:sz w:val="20"/>
                <w:szCs w:val="20"/>
                <w:color w:val="auto"/>
              </w:rPr>
            </w:pPr>
            <w:r>
              <w:rPr>
                <w:rFonts w:ascii="Arial" w:cs="Arial" w:eastAsia="Arial" w:hAnsi="Arial"/>
                <w:sz w:val="13"/>
                <w:szCs w:val="13"/>
                <w:color w:val="auto"/>
                <w:w w:val="96"/>
              </w:rPr>
              <w:t xml:space="preserve">, [Chief Financial Officer] [Chief Accounting Officer] [Corporate Treasurer] of </w:t>
            </w:r>
            <w:r>
              <w:rPr>
                <w:rFonts w:ascii="Arial" w:cs="Arial" w:eastAsia="Arial" w:hAnsi="Arial"/>
                <w:sz w:val="13"/>
                <w:szCs w:val="13"/>
                <w:b w:val="1"/>
                <w:bCs w:val="1"/>
                <w:color w:val="auto"/>
                <w:w w:val="96"/>
              </w:rPr>
              <w:t>WASTE MANAGEMENT, INC.</w:t>
            </w:r>
            <w:r>
              <w:rPr>
                <w:rFonts w:ascii="Arial" w:cs="Arial" w:eastAsia="Arial" w:hAnsi="Arial"/>
                <w:sz w:val="13"/>
                <w:szCs w:val="13"/>
                <w:color w:val="auto"/>
                <w:w w:val="96"/>
              </w:rPr>
              <w:t xml:space="preserve"> (the “Borrower”) certify that no Default or Event of Default exists and that</w:t>
            </w:r>
          </w:p>
        </w:tc>
      </w:tr>
      <w:tr>
        <w:trPr>
          <w:trHeight w:val="158"/>
        </w:trPr>
        <w:tc>
          <w:tcPr>
            <w:tcW w:w="11460" w:type="dxa"/>
            <w:vAlign w:val="bottom"/>
            <w:gridSpan w:val="14"/>
          </w:tcPr>
          <w:p>
            <w:pPr>
              <w:spacing w:after="0"/>
              <w:rPr>
                <w:sz w:val="20"/>
                <w:szCs w:val="20"/>
                <w:color w:val="auto"/>
              </w:rPr>
            </w:pPr>
            <w:r>
              <w:rPr>
                <w:rFonts w:ascii="Arial" w:cs="Arial" w:eastAsia="Arial" w:hAnsi="Arial"/>
                <w:sz w:val="13"/>
                <w:szCs w:val="13"/>
                <w:color w:val="auto"/>
                <w:w w:val="97"/>
              </w:rPr>
              <w:t>the Borrower is in compliance with Sections 7, 8 &amp; 9 of the Revolving Credit Agreement dated as of June 22, 2010 (as amended, modified, supplemented, restated and in effect from time to time, the “Credit</w:t>
            </w:r>
          </w:p>
        </w:tc>
      </w:tr>
      <w:tr>
        <w:trPr>
          <w:trHeight w:val="137"/>
        </w:trPr>
        <w:tc>
          <w:tcPr>
            <w:tcW w:w="2580" w:type="dxa"/>
            <w:vAlign w:val="bottom"/>
            <w:gridSpan w:val="3"/>
          </w:tcPr>
          <w:p>
            <w:pPr>
              <w:spacing w:after="0" w:line="137" w:lineRule="exact"/>
              <w:rPr>
                <w:sz w:val="20"/>
                <w:szCs w:val="20"/>
                <w:color w:val="auto"/>
              </w:rPr>
            </w:pPr>
            <w:r>
              <w:rPr>
                <w:rFonts w:ascii="Arial" w:cs="Arial" w:eastAsia="Arial" w:hAnsi="Arial"/>
                <w:sz w:val="13"/>
                <w:szCs w:val="13"/>
                <w:color w:val="auto"/>
                <w:w w:val="91"/>
              </w:rPr>
              <w:t>Agreement”), [as of the end of the quarter ended</w:t>
            </w:r>
          </w:p>
        </w:tc>
        <w:tc>
          <w:tcPr>
            <w:tcW w:w="640" w:type="dxa"/>
            <w:vAlign w:val="bottom"/>
            <w:tcBorders>
              <w:bottom w:val="single" w:sz="8" w:color="auto"/>
            </w:tcBorders>
          </w:tcPr>
          <w:p>
            <w:pPr>
              <w:spacing w:after="0"/>
              <w:rPr>
                <w:sz w:val="11"/>
                <w:szCs w:val="11"/>
                <w:color w:val="auto"/>
              </w:rPr>
            </w:pPr>
          </w:p>
        </w:tc>
        <w:tc>
          <w:tcPr>
            <w:tcW w:w="8240" w:type="dxa"/>
            <w:vAlign w:val="bottom"/>
            <w:gridSpan w:val="10"/>
          </w:tcPr>
          <w:p>
            <w:pPr>
              <w:spacing w:after="0" w:line="137" w:lineRule="exact"/>
              <w:rPr>
                <w:sz w:val="20"/>
                <w:szCs w:val="20"/>
                <w:color w:val="auto"/>
              </w:rPr>
            </w:pPr>
            <w:r>
              <w:rPr>
                <w:rFonts w:ascii="Arial" w:cs="Arial" w:eastAsia="Arial" w:hAnsi="Arial"/>
                <w:sz w:val="13"/>
                <w:szCs w:val="13"/>
                <w:color w:val="auto"/>
                <w:w w:val="92"/>
              </w:rPr>
              <w:t>]. Computations to evidence compliance with §9 of the Credit Agreement are detailed below. Capitalized terms used herein without definition shall have the</w:t>
            </w:r>
          </w:p>
        </w:tc>
      </w:tr>
      <w:tr>
        <w:trPr>
          <w:trHeight w:val="165"/>
        </w:trPr>
        <w:tc>
          <w:tcPr>
            <w:tcW w:w="3220" w:type="dxa"/>
            <w:vAlign w:val="bottom"/>
            <w:gridSpan w:val="4"/>
          </w:tcPr>
          <w:p>
            <w:pPr>
              <w:spacing w:after="0"/>
              <w:rPr>
                <w:sz w:val="20"/>
                <w:szCs w:val="20"/>
                <w:color w:val="auto"/>
              </w:rPr>
            </w:pPr>
            <w:r>
              <w:rPr>
                <w:rFonts w:ascii="Arial" w:cs="Arial" w:eastAsia="Arial" w:hAnsi="Arial"/>
                <w:sz w:val="13"/>
                <w:szCs w:val="13"/>
                <w:color w:val="auto"/>
                <w:w w:val="94"/>
              </w:rPr>
              <w:t>meanings assigned to such terms in the Credit Agreement.</w:t>
            </w: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472"/>
        </w:trPr>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120" w:type="dxa"/>
            <w:vAlign w:val="bottom"/>
            <w:gridSpan w:val="6"/>
          </w:tcPr>
          <w:p>
            <w:pPr>
              <w:jc w:val="right"/>
              <w:ind w:right="5160"/>
              <w:spacing w:after="0"/>
              <w:rPr>
                <w:sz w:val="20"/>
                <w:szCs w:val="20"/>
                <w:color w:val="auto"/>
              </w:rPr>
            </w:pPr>
            <w:r>
              <w:rPr>
                <w:rFonts w:ascii="Arial" w:cs="Arial" w:eastAsia="Arial" w:hAnsi="Arial"/>
                <w:sz w:val="13"/>
                <w:szCs w:val="13"/>
                <w:color w:val="auto"/>
              </w:rPr>
              <w:t>By:</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39"/>
        </w:trPr>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60" w:type="dxa"/>
            <w:vAlign w:val="bottom"/>
            <w:tcBorders>
              <w:top w:val="single" w:sz="8" w:color="auto"/>
            </w:tcBorders>
            <w:gridSpan w:val="4"/>
          </w:tcPr>
          <w:p>
            <w:pPr>
              <w:spacing w:after="0" w:line="139" w:lineRule="exact"/>
              <w:rPr>
                <w:sz w:val="20"/>
                <w:szCs w:val="20"/>
                <w:color w:val="auto"/>
              </w:rPr>
            </w:pPr>
            <w:r>
              <w:rPr>
                <w:rFonts w:ascii="Arial" w:cs="Arial" w:eastAsia="Arial" w:hAnsi="Arial"/>
                <w:sz w:val="13"/>
                <w:szCs w:val="13"/>
                <w:color w:val="auto"/>
              </w:rPr>
              <w:t>Name:</w:t>
            </w: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65"/>
        </w:trPr>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80" w:type="dxa"/>
            <w:vAlign w:val="bottom"/>
            <w:gridSpan w:val="5"/>
          </w:tcPr>
          <w:p>
            <w:pPr>
              <w:spacing w:after="0"/>
              <w:rPr>
                <w:sz w:val="20"/>
                <w:szCs w:val="20"/>
                <w:color w:val="auto"/>
              </w:rPr>
            </w:pPr>
            <w:r>
              <w:rPr>
                <w:rFonts w:ascii="Arial" w:cs="Arial" w:eastAsia="Arial" w:hAnsi="Arial"/>
                <w:sz w:val="13"/>
                <w:szCs w:val="13"/>
                <w:color w:val="auto"/>
              </w:rPr>
              <w:t>Title:</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472"/>
        </w:trPr>
        <w:tc>
          <w:tcPr>
            <w:tcW w:w="3220" w:type="dxa"/>
            <w:vAlign w:val="bottom"/>
            <w:gridSpan w:val="4"/>
          </w:tcPr>
          <w:p>
            <w:pPr>
              <w:spacing w:after="0"/>
              <w:rPr>
                <w:sz w:val="20"/>
                <w:szCs w:val="20"/>
                <w:color w:val="auto"/>
              </w:rPr>
            </w:pPr>
            <w:r>
              <w:rPr>
                <w:rFonts w:ascii="Arial" w:cs="Arial" w:eastAsia="Arial" w:hAnsi="Arial"/>
                <w:sz w:val="13"/>
                <w:szCs w:val="13"/>
                <w:b w:val="1"/>
                <w:bCs w:val="1"/>
                <w:color w:val="auto"/>
              </w:rPr>
              <w:t>§9.1 Interest Coverage Ratio</w:t>
            </w: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6"/>
        </w:trPr>
        <w:tc>
          <w:tcPr>
            <w:tcW w:w="3220" w:type="dxa"/>
            <w:vAlign w:val="bottom"/>
            <w:gridSpan w:val="4"/>
          </w:tcPr>
          <w:p>
            <w:pPr>
              <w:spacing w:after="0"/>
              <w:rPr>
                <w:sz w:val="20"/>
                <w:szCs w:val="20"/>
                <w:color w:val="auto"/>
              </w:rPr>
            </w:pPr>
            <w:r>
              <w:rPr>
                <w:rFonts w:ascii="Arial" w:cs="Arial" w:eastAsia="Arial" w:hAnsi="Arial"/>
                <w:sz w:val="13"/>
                <w:szCs w:val="13"/>
                <w:color w:val="auto"/>
              </w:rPr>
              <w:t>Consolidated Net Income (or Deficit)</w:t>
            </w:r>
          </w:p>
        </w:tc>
        <w:tc>
          <w:tcPr>
            <w:tcW w:w="720" w:type="dxa"/>
            <w:vAlign w:val="bottom"/>
          </w:tcPr>
          <w:p>
            <w:pPr>
              <w:spacing w:after="0"/>
              <w:rPr>
                <w:sz w:val="24"/>
                <w:szCs w:val="24"/>
                <w:color w:val="auto"/>
              </w:rPr>
            </w:pPr>
          </w:p>
        </w:tc>
        <w:tc>
          <w:tcPr>
            <w:tcW w:w="6680" w:type="dxa"/>
            <w:vAlign w:val="bottom"/>
            <w:gridSpan w:val="7"/>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(i)</w:t>
            </w:r>
          </w:p>
        </w:tc>
      </w:tr>
      <w:tr>
        <w:trPr>
          <w:trHeight w:val="158"/>
        </w:trPr>
        <w:tc>
          <w:tcPr>
            <w:tcW w:w="100" w:type="dxa"/>
            <w:vAlign w:val="bottom"/>
          </w:tcPr>
          <w:p>
            <w:pPr>
              <w:spacing w:after="0"/>
              <w:rPr>
                <w:sz w:val="13"/>
                <w:szCs w:val="13"/>
                <w:color w:val="auto"/>
              </w:rPr>
            </w:pPr>
          </w:p>
        </w:tc>
        <w:tc>
          <w:tcPr>
            <w:tcW w:w="3120" w:type="dxa"/>
            <w:vAlign w:val="bottom"/>
            <w:gridSpan w:val="3"/>
          </w:tcPr>
          <w:p>
            <w:pPr>
              <w:ind w:left="40"/>
              <w:spacing w:after="0"/>
              <w:rPr>
                <w:sz w:val="20"/>
                <w:szCs w:val="20"/>
                <w:color w:val="auto"/>
              </w:rPr>
            </w:pPr>
            <w:r>
              <w:rPr>
                <w:rFonts w:ascii="Arial" w:cs="Arial" w:eastAsia="Arial" w:hAnsi="Arial"/>
                <w:sz w:val="13"/>
                <w:szCs w:val="13"/>
                <w:color w:val="auto"/>
              </w:rPr>
              <w:t>Plus (without duplication):</w:t>
            </w: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37"/>
        </w:trPr>
        <w:tc>
          <w:tcPr>
            <w:tcW w:w="100" w:type="dxa"/>
            <w:vAlign w:val="bottom"/>
          </w:tcPr>
          <w:p>
            <w:pPr>
              <w:spacing w:after="0"/>
              <w:rPr>
                <w:sz w:val="11"/>
                <w:szCs w:val="11"/>
                <w:color w:val="auto"/>
              </w:rPr>
            </w:pPr>
          </w:p>
        </w:tc>
        <w:tc>
          <w:tcPr>
            <w:tcW w:w="3120" w:type="dxa"/>
            <w:vAlign w:val="bottom"/>
            <w:gridSpan w:val="3"/>
          </w:tcPr>
          <w:p>
            <w:pPr>
              <w:ind w:left="200"/>
              <w:spacing w:after="0" w:line="137" w:lineRule="exact"/>
              <w:rPr>
                <w:sz w:val="20"/>
                <w:szCs w:val="20"/>
                <w:color w:val="auto"/>
              </w:rPr>
            </w:pPr>
            <w:r>
              <w:rPr>
                <w:rFonts w:ascii="Arial" w:cs="Arial" w:eastAsia="Arial" w:hAnsi="Arial"/>
                <w:sz w:val="13"/>
                <w:szCs w:val="13"/>
                <w:color w:val="auto"/>
              </w:rPr>
              <w:t>interest expense</w:t>
            </w:r>
          </w:p>
        </w:tc>
        <w:tc>
          <w:tcPr>
            <w:tcW w:w="720" w:type="dxa"/>
            <w:vAlign w:val="bottom"/>
          </w:tcPr>
          <w:p>
            <w:pPr>
              <w:spacing w:after="0"/>
              <w:rPr>
                <w:sz w:val="11"/>
                <w:szCs w:val="11"/>
                <w:color w:val="auto"/>
              </w:rPr>
            </w:pPr>
          </w:p>
        </w:tc>
        <w:tc>
          <w:tcPr>
            <w:tcW w:w="6680" w:type="dxa"/>
            <w:vAlign w:val="bottom"/>
            <w:gridSpan w:val="7"/>
          </w:tcPr>
          <w:p>
            <w:pPr>
              <w:jc w:val="right"/>
              <w:spacing w:after="0" w:line="137"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spacing w:after="0"/>
              <w:rPr>
                <w:sz w:val="11"/>
                <w:szCs w:val="11"/>
                <w:color w:val="auto"/>
              </w:rPr>
            </w:pPr>
          </w:p>
        </w:tc>
        <w:tc>
          <w:tcPr>
            <w:tcW w:w="180" w:type="dxa"/>
            <w:vAlign w:val="bottom"/>
          </w:tcPr>
          <w:p>
            <w:pPr>
              <w:spacing w:after="0" w:line="137" w:lineRule="exact"/>
              <w:rPr>
                <w:sz w:val="20"/>
                <w:szCs w:val="20"/>
                <w:color w:val="auto"/>
              </w:rPr>
            </w:pPr>
            <w:r>
              <w:rPr>
                <w:rFonts w:ascii="Arial" w:cs="Arial" w:eastAsia="Arial" w:hAnsi="Arial"/>
                <w:sz w:val="13"/>
                <w:szCs w:val="13"/>
                <w:color w:val="auto"/>
              </w:rPr>
              <w:t>(ii)</w:t>
            </w:r>
          </w:p>
        </w:tc>
      </w:tr>
      <w:tr>
        <w:trPr>
          <w:trHeight w:val="137"/>
        </w:trPr>
        <w:tc>
          <w:tcPr>
            <w:tcW w:w="100" w:type="dxa"/>
            <w:vAlign w:val="bottom"/>
          </w:tcPr>
          <w:p>
            <w:pPr>
              <w:spacing w:after="0"/>
              <w:rPr>
                <w:sz w:val="11"/>
                <w:szCs w:val="11"/>
                <w:color w:val="auto"/>
              </w:rPr>
            </w:pPr>
          </w:p>
        </w:tc>
        <w:tc>
          <w:tcPr>
            <w:tcW w:w="3120" w:type="dxa"/>
            <w:vAlign w:val="bottom"/>
            <w:gridSpan w:val="3"/>
          </w:tcPr>
          <w:p>
            <w:pPr>
              <w:ind w:left="200"/>
              <w:spacing w:after="0" w:line="138" w:lineRule="exact"/>
              <w:rPr>
                <w:sz w:val="20"/>
                <w:szCs w:val="20"/>
                <w:color w:val="auto"/>
              </w:rPr>
            </w:pPr>
            <w:r>
              <w:rPr>
                <w:rFonts w:ascii="Arial" w:cs="Arial" w:eastAsia="Arial" w:hAnsi="Arial"/>
                <w:sz w:val="13"/>
                <w:szCs w:val="13"/>
                <w:color w:val="auto"/>
                <w:w w:val="96"/>
              </w:rPr>
              <w:t>equity in losses (earnings) of unconsolidated entities</w:t>
            </w:r>
          </w:p>
        </w:tc>
        <w:tc>
          <w:tcPr>
            <w:tcW w:w="720" w:type="dxa"/>
            <w:vAlign w:val="bottom"/>
          </w:tcPr>
          <w:p>
            <w:pPr>
              <w:spacing w:after="0"/>
              <w:rPr>
                <w:sz w:val="11"/>
                <w:szCs w:val="11"/>
                <w:color w:val="auto"/>
              </w:rPr>
            </w:pPr>
          </w:p>
        </w:tc>
        <w:tc>
          <w:tcPr>
            <w:tcW w:w="6680" w:type="dxa"/>
            <w:vAlign w:val="bottom"/>
            <w:gridSpan w:val="7"/>
          </w:tcPr>
          <w:p>
            <w:pPr>
              <w:jc w:val="right"/>
              <w:spacing w:after="0" w:line="138"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spacing w:after="0"/>
              <w:rPr>
                <w:sz w:val="11"/>
                <w:szCs w:val="11"/>
                <w:color w:val="auto"/>
              </w:rPr>
            </w:pPr>
          </w:p>
        </w:tc>
        <w:tc>
          <w:tcPr>
            <w:tcW w:w="180" w:type="dxa"/>
            <w:vAlign w:val="bottom"/>
          </w:tcPr>
          <w:p>
            <w:pPr>
              <w:spacing w:after="0" w:line="138" w:lineRule="exact"/>
              <w:rPr>
                <w:sz w:val="20"/>
                <w:szCs w:val="20"/>
                <w:color w:val="auto"/>
              </w:rPr>
            </w:pPr>
            <w:r>
              <w:rPr>
                <w:rFonts w:ascii="Arial" w:cs="Arial" w:eastAsia="Arial" w:hAnsi="Arial"/>
                <w:sz w:val="13"/>
                <w:szCs w:val="13"/>
                <w:color w:val="auto"/>
                <w:w w:val="92"/>
              </w:rPr>
              <w:t>(iii)</w:t>
            </w:r>
          </w:p>
        </w:tc>
      </w:tr>
      <w:tr>
        <w:trPr>
          <w:trHeight w:val="137"/>
        </w:trPr>
        <w:tc>
          <w:tcPr>
            <w:tcW w:w="100" w:type="dxa"/>
            <w:vAlign w:val="bottom"/>
          </w:tcPr>
          <w:p>
            <w:pPr>
              <w:spacing w:after="0"/>
              <w:rPr>
                <w:sz w:val="11"/>
                <w:szCs w:val="11"/>
                <w:color w:val="auto"/>
              </w:rPr>
            </w:pPr>
          </w:p>
        </w:tc>
        <w:tc>
          <w:tcPr>
            <w:tcW w:w="3120" w:type="dxa"/>
            <w:vAlign w:val="bottom"/>
            <w:gridSpan w:val="3"/>
          </w:tcPr>
          <w:p>
            <w:pPr>
              <w:ind w:left="200"/>
              <w:spacing w:after="0" w:line="138" w:lineRule="exact"/>
              <w:rPr>
                <w:sz w:val="20"/>
                <w:szCs w:val="20"/>
                <w:color w:val="auto"/>
              </w:rPr>
            </w:pPr>
            <w:r>
              <w:rPr>
                <w:rFonts w:ascii="Arial" w:cs="Arial" w:eastAsia="Arial" w:hAnsi="Arial"/>
                <w:sz w:val="13"/>
                <w:szCs w:val="13"/>
                <w:color w:val="auto"/>
              </w:rPr>
              <w:t>income tax expense</w:t>
            </w:r>
          </w:p>
        </w:tc>
        <w:tc>
          <w:tcPr>
            <w:tcW w:w="720" w:type="dxa"/>
            <w:vAlign w:val="bottom"/>
          </w:tcPr>
          <w:p>
            <w:pPr>
              <w:spacing w:after="0"/>
              <w:rPr>
                <w:sz w:val="11"/>
                <w:szCs w:val="11"/>
                <w:color w:val="auto"/>
              </w:rPr>
            </w:pPr>
          </w:p>
        </w:tc>
        <w:tc>
          <w:tcPr>
            <w:tcW w:w="6680" w:type="dxa"/>
            <w:vAlign w:val="bottom"/>
            <w:gridSpan w:val="7"/>
          </w:tcPr>
          <w:p>
            <w:pPr>
              <w:jc w:val="right"/>
              <w:spacing w:after="0" w:line="138"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spacing w:after="0"/>
              <w:rPr>
                <w:sz w:val="11"/>
                <w:szCs w:val="11"/>
                <w:color w:val="auto"/>
              </w:rPr>
            </w:pPr>
          </w:p>
        </w:tc>
        <w:tc>
          <w:tcPr>
            <w:tcW w:w="180" w:type="dxa"/>
            <w:vAlign w:val="bottom"/>
          </w:tcPr>
          <w:p>
            <w:pPr>
              <w:spacing w:after="0" w:line="138" w:lineRule="exact"/>
              <w:rPr>
                <w:sz w:val="20"/>
                <w:szCs w:val="20"/>
                <w:color w:val="auto"/>
              </w:rPr>
            </w:pPr>
            <w:r>
              <w:rPr>
                <w:rFonts w:ascii="Arial" w:cs="Arial" w:eastAsia="Arial" w:hAnsi="Arial"/>
                <w:sz w:val="13"/>
                <w:szCs w:val="13"/>
                <w:color w:val="auto"/>
                <w:w w:val="88"/>
              </w:rPr>
              <w:t>(iv)</w:t>
            </w:r>
          </w:p>
        </w:tc>
      </w:tr>
      <w:tr>
        <w:trPr>
          <w:trHeight w:val="137"/>
        </w:trPr>
        <w:tc>
          <w:tcPr>
            <w:tcW w:w="100" w:type="dxa"/>
            <w:vAlign w:val="bottom"/>
          </w:tcPr>
          <w:p>
            <w:pPr>
              <w:spacing w:after="0"/>
              <w:rPr>
                <w:sz w:val="11"/>
                <w:szCs w:val="11"/>
                <w:color w:val="auto"/>
              </w:rPr>
            </w:pPr>
          </w:p>
        </w:tc>
        <w:tc>
          <w:tcPr>
            <w:tcW w:w="3120" w:type="dxa"/>
            <w:vAlign w:val="bottom"/>
            <w:gridSpan w:val="3"/>
          </w:tcPr>
          <w:p>
            <w:pPr>
              <w:ind w:left="200"/>
              <w:spacing w:after="0" w:line="138" w:lineRule="exact"/>
              <w:rPr>
                <w:sz w:val="20"/>
                <w:szCs w:val="20"/>
                <w:color w:val="auto"/>
              </w:rPr>
            </w:pPr>
            <w:r>
              <w:rPr>
                <w:rFonts w:ascii="Arial" w:cs="Arial" w:eastAsia="Arial" w:hAnsi="Arial"/>
                <w:sz w:val="13"/>
                <w:szCs w:val="13"/>
                <w:color w:val="auto"/>
              </w:rPr>
              <w:t>non-cash writedowns or writeoffs of assets</w:t>
            </w:r>
          </w:p>
        </w:tc>
        <w:tc>
          <w:tcPr>
            <w:tcW w:w="720" w:type="dxa"/>
            <w:vAlign w:val="bottom"/>
          </w:tcPr>
          <w:p>
            <w:pPr>
              <w:spacing w:after="0"/>
              <w:rPr>
                <w:sz w:val="11"/>
                <w:szCs w:val="11"/>
                <w:color w:val="auto"/>
              </w:rPr>
            </w:pPr>
          </w:p>
        </w:tc>
        <w:tc>
          <w:tcPr>
            <w:tcW w:w="6680" w:type="dxa"/>
            <w:vAlign w:val="bottom"/>
            <w:gridSpan w:val="7"/>
          </w:tcPr>
          <w:p>
            <w:pPr>
              <w:jc w:val="right"/>
              <w:spacing w:after="0" w:line="138"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spacing w:after="0"/>
              <w:rPr>
                <w:sz w:val="11"/>
                <w:szCs w:val="11"/>
                <w:color w:val="auto"/>
              </w:rPr>
            </w:pPr>
          </w:p>
        </w:tc>
        <w:tc>
          <w:tcPr>
            <w:tcW w:w="180" w:type="dxa"/>
            <w:vAlign w:val="bottom"/>
          </w:tcPr>
          <w:p>
            <w:pPr>
              <w:spacing w:after="0" w:line="138" w:lineRule="exact"/>
              <w:rPr>
                <w:sz w:val="20"/>
                <w:szCs w:val="20"/>
                <w:color w:val="auto"/>
              </w:rPr>
            </w:pPr>
            <w:r>
              <w:rPr>
                <w:rFonts w:ascii="Arial" w:cs="Arial" w:eastAsia="Arial" w:hAnsi="Arial"/>
                <w:sz w:val="13"/>
                <w:szCs w:val="13"/>
                <w:color w:val="auto"/>
              </w:rPr>
              <w:t>(v)</w:t>
            </w:r>
          </w:p>
        </w:tc>
      </w:tr>
      <w:tr>
        <w:trPr>
          <w:trHeight w:val="137"/>
        </w:trPr>
        <w:tc>
          <w:tcPr>
            <w:tcW w:w="100" w:type="dxa"/>
            <w:vAlign w:val="bottom"/>
          </w:tcPr>
          <w:p>
            <w:pPr>
              <w:spacing w:after="0"/>
              <w:rPr>
                <w:sz w:val="11"/>
                <w:szCs w:val="11"/>
                <w:color w:val="auto"/>
              </w:rPr>
            </w:pPr>
          </w:p>
        </w:tc>
        <w:tc>
          <w:tcPr>
            <w:tcW w:w="3120" w:type="dxa"/>
            <w:vAlign w:val="bottom"/>
            <w:gridSpan w:val="3"/>
          </w:tcPr>
          <w:p>
            <w:pPr>
              <w:ind w:left="40"/>
              <w:spacing w:after="0" w:line="138" w:lineRule="exact"/>
              <w:rPr>
                <w:sz w:val="20"/>
                <w:szCs w:val="20"/>
                <w:color w:val="auto"/>
              </w:rPr>
            </w:pPr>
            <w:r>
              <w:rPr>
                <w:rFonts w:ascii="Arial" w:cs="Arial" w:eastAsia="Arial" w:hAnsi="Arial"/>
                <w:sz w:val="13"/>
                <w:szCs w:val="13"/>
                <w:color w:val="auto"/>
                <w:w w:val="93"/>
              </w:rPr>
              <w:t>Minus non-cash extraordinary gains on the sale of assets</w:t>
            </w:r>
          </w:p>
        </w:tc>
        <w:tc>
          <w:tcPr>
            <w:tcW w:w="720" w:type="dxa"/>
            <w:vAlign w:val="bottom"/>
          </w:tcPr>
          <w:p>
            <w:pPr>
              <w:spacing w:after="0"/>
              <w:rPr>
                <w:sz w:val="11"/>
                <w:szCs w:val="11"/>
                <w:color w:val="auto"/>
              </w:rPr>
            </w:pPr>
          </w:p>
        </w:tc>
        <w:tc>
          <w:tcPr>
            <w:tcW w:w="6680" w:type="dxa"/>
            <w:vAlign w:val="bottom"/>
            <w:gridSpan w:val="7"/>
          </w:tcPr>
          <w:p>
            <w:pPr>
              <w:jc w:val="right"/>
              <w:spacing w:after="0" w:line="138"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spacing w:after="0"/>
              <w:rPr>
                <w:sz w:val="11"/>
                <w:szCs w:val="11"/>
                <w:color w:val="auto"/>
              </w:rPr>
            </w:pPr>
          </w:p>
        </w:tc>
        <w:tc>
          <w:tcPr>
            <w:tcW w:w="180" w:type="dxa"/>
            <w:vAlign w:val="bottom"/>
          </w:tcPr>
          <w:p>
            <w:pPr>
              <w:spacing w:after="0" w:line="138" w:lineRule="exact"/>
              <w:rPr>
                <w:sz w:val="20"/>
                <w:szCs w:val="20"/>
                <w:color w:val="auto"/>
              </w:rPr>
            </w:pPr>
            <w:r>
              <w:rPr>
                <w:rFonts w:ascii="Arial" w:cs="Arial" w:eastAsia="Arial" w:hAnsi="Arial"/>
                <w:sz w:val="13"/>
                <w:szCs w:val="13"/>
                <w:color w:val="auto"/>
                <w:w w:val="88"/>
              </w:rPr>
              <w:t>(vi)</w:t>
            </w:r>
          </w:p>
        </w:tc>
      </w:tr>
      <w:tr>
        <w:trPr>
          <w:trHeight w:val="295"/>
        </w:trPr>
        <w:tc>
          <w:tcPr>
            <w:tcW w:w="3220" w:type="dxa"/>
            <w:vAlign w:val="bottom"/>
            <w:gridSpan w:val="4"/>
          </w:tcPr>
          <w:p>
            <w:pPr>
              <w:spacing w:after="0"/>
              <w:rPr>
                <w:sz w:val="20"/>
                <w:szCs w:val="20"/>
                <w:color w:val="auto"/>
              </w:rPr>
            </w:pPr>
            <w:r>
              <w:rPr>
                <w:rFonts w:ascii="Arial" w:cs="Arial" w:eastAsia="Arial" w:hAnsi="Arial"/>
                <w:sz w:val="13"/>
                <w:szCs w:val="13"/>
                <w:color w:val="auto"/>
              </w:rPr>
              <w:t>EBIT (sum of (i) through (v) minus (vi))</w:t>
            </w:r>
          </w:p>
        </w:tc>
        <w:tc>
          <w:tcPr>
            <w:tcW w:w="720" w:type="dxa"/>
            <w:vAlign w:val="bottom"/>
          </w:tcPr>
          <w:p>
            <w:pPr>
              <w:spacing w:after="0"/>
              <w:rPr>
                <w:sz w:val="24"/>
                <w:szCs w:val="24"/>
                <w:color w:val="auto"/>
              </w:rPr>
            </w:pPr>
          </w:p>
        </w:tc>
        <w:tc>
          <w:tcPr>
            <w:tcW w:w="6680" w:type="dxa"/>
            <w:vAlign w:val="bottom"/>
            <w:gridSpan w:val="7"/>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(a)</w:t>
            </w:r>
          </w:p>
        </w:tc>
      </w:tr>
      <w:tr>
        <w:trPr>
          <w:trHeight w:val="295"/>
        </w:trPr>
        <w:tc>
          <w:tcPr>
            <w:tcW w:w="3220" w:type="dxa"/>
            <w:vAlign w:val="bottom"/>
            <w:gridSpan w:val="4"/>
          </w:tcPr>
          <w:p>
            <w:pPr>
              <w:spacing w:after="0"/>
              <w:rPr>
                <w:sz w:val="20"/>
                <w:szCs w:val="20"/>
                <w:color w:val="auto"/>
              </w:rPr>
            </w:pPr>
            <w:r>
              <w:rPr>
                <w:rFonts w:ascii="Arial" w:cs="Arial" w:eastAsia="Arial" w:hAnsi="Arial"/>
                <w:sz w:val="13"/>
                <w:szCs w:val="13"/>
                <w:color w:val="auto"/>
              </w:rPr>
              <w:t>Consolidated Net Income of Acquired Businesses</w:t>
            </w:r>
          </w:p>
        </w:tc>
        <w:tc>
          <w:tcPr>
            <w:tcW w:w="720" w:type="dxa"/>
            <w:vAlign w:val="bottom"/>
          </w:tcPr>
          <w:p>
            <w:pPr>
              <w:spacing w:after="0"/>
              <w:rPr>
                <w:sz w:val="24"/>
                <w:szCs w:val="24"/>
                <w:color w:val="auto"/>
              </w:rPr>
            </w:pPr>
          </w:p>
        </w:tc>
        <w:tc>
          <w:tcPr>
            <w:tcW w:w="6680" w:type="dxa"/>
            <w:vAlign w:val="bottom"/>
            <w:gridSpan w:val="7"/>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(i)</w:t>
            </w:r>
          </w:p>
        </w:tc>
      </w:tr>
      <w:tr>
        <w:trPr>
          <w:trHeight w:val="158"/>
        </w:trPr>
        <w:tc>
          <w:tcPr>
            <w:tcW w:w="100" w:type="dxa"/>
            <w:vAlign w:val="bottom"/>
          </w:tcPr>
          <w:p>
            <w:pPr>
              <w:spacing w:after="0"/>
              <w:rPr>
                <w:sz w:val="13"/>
                <w:szCs w:val="13"/>
                <w:color w:val="auto"/>
              </w:rPr>
            </w:pPr>
          </w:p>
        </w:tc>
        <w:tc>
          <w:tcPr>
            <w:tcW w:w="3120" w:type="dxa"/>
            <w:vAlign w:val="bottom"/>
            <w:gridSpan w:val="3"/>
          </w:tcPr>
          <w:p>
            <w:pPr>
              <w:ind w:left="40"/>
              <w:spacing w:after="0"/>
              <w:rPr>
                <w:sz w:val="20"/>
                <w:szCs w:val="20"/>
                <w:color w:val="auto"/>
              </w:rPr>
            </w:pPr>
            <w:r>
              <w:rPr>
                <w:rFonts w:ascii="Arial" w:cs="Arial" w:eastAsia="Arial" w:hAnsi="Arial"/>
                <w:sz w:val="13"/>
                <w:szCs w:val="13"/>
                <w:color w:val="auto"/>
              </w:rPr>
              <w:t>Plus (without duplication):</w:t>
            </w: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37"/>
        </w:trPr>
        <w:tc>
          <w:tcPr>
            <w:tcW w:w="100" w:type="dxa"/>
            <w:vAlign w:val="bottom"/>
          </w:tcPr>
          <w:p>
            <w:pPr>
              <w:spacing w:after="0"/>
              <w:rPr>
                <w:sz w:val="11"/>
                <w:szCs w:val="11"/>
                <w:color w:val="auto"/>
              </w:rPr>
            </w:pPr>
          </w:p>
        </w:tc>
        <w:tc>
          <w:tcPr>
            <w:tcW w:w="3120" w:type="dxa"/>
            <w:vAlign w:val="bottom"/>
            <w:gridSpan w:val="3"/>
          </w:tcPr>
          <w:p>
            <w:pPr>
              <w:ind w:left="200"/>
              <w:spacing w:after="0" w:line="137" w:lineRule="exact"/>
              <w:rPr>
                <w:sz w:val="20"/>
                <w:szCs w:val="20"/>
                <w:color w:val="auto"/>
              </w:rPr>
            </w:pPr>
            <w:r>
              <w:rPr>
                <w:rFonts w:ascii="Arial" w:cs="Arial" w:eastAsia="Arial" w:hAnsi="Arial"/>
                <w:sz w:val="13"/>
                <w:szCs w:val="13"/>
                <w:color w:val="auto"/>
              </w:rPr>
              <w:t>interest expense</w:t>
            </w:r>
          </w:p>
        </w:tc>
        <w:tc>
          <w:tcPr>
            <w:tcW w:w="720" w:type="dxa"/>
            <w:vAlign w:val="bottom"/>
          </w:tcPr>
          <w:p>
            <w:pPr>
              <w:spacing w:after="0"/>
              <w:rPr>
                <w:sz w:val="11"/>
                <w:szCs w:val="11"/>
                <w:color w:val="auto"/>
              </w:rPr>
            </w:pPr>
          </w:p>
        </w:tc>
        <w:tc>
          <w:tcPr>
            <w:tcW w:w="6680" w:type="dxa"/>
            <w:vAlign w:val="bottom"/>
            <w:gridSpan w:val="7"/>
          </w:tcPr>
          <w:p>
            <w:pPr>
              <w:jc w:val="right"/>
              <w:spacing w:after="0" w:line="137"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spacing w:after="0"/>
              <w:rPr>
                <w:sz w:val="11"/>
                <w:szCs w:val="11"/>
                <w:color w:val="auto"/>
              </w:rPr>
            </w:pPr>
          </w:p>
        </w:tc>
        <w:tc>
          <w:tcPr>
            <w:tcW w:w="180" w:type="dxa"/>
            <w:vAlign w:val="bottom"/>
          </w:tcPr>
          <w:p>
            <w:pPr>
              <w:spacing w:after="0" w:line="137" w:lineRule="exact"/>
              <w:rPr>
                <w:sz w:val="20"/>
                <w:szCs w:val="20"/>
                <w:color w:val="auto"/>
              </w:rPr>
            </w:pPr>
            <w:r>
              <w:rPr>
                <w:rFonts w:ascii="Arial" w:cs="Arial" w:eastAsia="Arial" w:hAnsi="Arial"/>
                <w:sz w:val="13"/>
                <w:szCs w:val="13"/>
                <w:color w:val="auto"/>
              </w:rPr>
              <w:t>(ii)</w:t>
            </w:r>
          </w:p>
        </w:tc>
      </w:tr>
      <w:tr>
        <w:trPr>
          <w:trHeight w:val="137"/>
        </w:trPr>
        <w:tc>
          <w:tcPr>
            <w:tcW w:w="100" w:type="dxa"/>
            <w:vAlign w:val="bottom"/>
          </w:tcPr>
          <w:p>
            <w:pPr>
              <w:spacing w:after="0"/>
              <w:rPr>
                <w:sz w:val="11"/>
                <w:szCs w:val="11"/>
                <w:color w:val="auto"/>
              </w:rPr>
            </w:pPr>
          </w:p>
        </w:tc>
        <w:tc>
          <w:tcPr>
            <w:tcW w:w="3120" w:type="dxa"/>
            <w:vAlign w:val="bottom"/>
            <w:gridSpan w:val="3"/>
          </w:tcPr>
          <w:p>
            <w:pPr>
              <w:ind w:left="200"/>
              <w:spacing w:after="0" w:line="138" w:lineRule="exact"/>
              <w:rPr>
                <w:sz w:val="20"/>
                <w:szCs w:val="20"/>
                <w:color w:val="auto"/>
              </w:rPr>
            </w:pPr>
            <w:r>
              <w:rPr>
                <w:rFonts w:ascii="Arial" w:cs="Arial" w:eastAsia="Arial" w:hAnsi="Arial"/>
                <w:sz w:val="13"/>
                <w:szCs w:val="13"/>
                <w:color w:val="auto"/>
                <w:w w:val="96"/>
              </w:rPr>
              <w:t>equity in losses (earnings) of unconsolidated entities</w:t>
            </w:r>
          </w:p>
        </w:tc>
        <w:tc>
          <w:tcPr>
            <w:tcW w:w="720" w:type="dxa"/>
            <w:vAlign w:val="bottom"/>
          </w:tcPr>
          <w:p>
            <w:pPr>
              <w:spacing w:after="0"/>
              <w:rPr>
                <w:sz w:val="11"/>
                <w:szCs w:val="11"/>
                <w:color w:val="auto"/>
              </w:rPr>
            </w:pPr>
          </w:p>
        </w:tc>
        <w:tc>
          <w:tcPr>
            <w:tcW w:w="6680" w:type="dxa"/>
            <w:vAlign w:val="bottom"/>
            <w:gridSpan w:val="7"/>
          </w:tcPr>
          <w:p>
            <w:pPr>
              <w:jc w:val="right"/>
              <w:spacing w:after="0" w:line="138"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spacing w:after="0"/>
              <w:rPr>
                <w:sz w:val="11"/>
                <w:szCs w:val="11"/>
                <w:color w:val="auto"/>
              </w:rPr>
            </w:pPr>
          </w:p>
        </w:tc>
        <w:tc>
          <w:tcPr>
            <w:tcW w:w="180" w:type="dxa"/>
            <w:vAlign w:val="bottom"/>
          </w:tcPr>
          <w:p>
            <w:pPr>
              <w:spacing w:after="0" w:line="138" w:lineRule="exact"/>
              <w:rPr>
                <w:sz w:val="20"/>
                <w:szCs w:val="20"/>
                <w:color w:val="auto"/>
              </w:rPr>
            </w:pPr>
            <w:r>
              <w:rPr>
                <w:rFonts w:ascii="Arial" w:cs="Arial" w:eastAsia="Arial" w:hAnsi="Arial"/>
                <w:sz w:val="13"/>
                <w:szCs w:val="13"/>
                <w:color w:val="auto"/>
                <w:w w:val="92"/>
              </w:rPr>
              <w:t>(iii)</w:t>
            </w:r>
          </w:p>
        </w:tc>
      </w:tr>
      <w:tr>
        <w:trPr>
          <w:trHeight w:val="137"/>
        </w:trPr>
        <w:tc>
          <w:tcPr>
            <w:tcW w:w="100" w:type="dxa"/>
            <w:vAlign w:val="bottom"/>
          </w:tcPr>
          <w:p>
            <w:pPr>
              <w:spacing w:after="0"/>
              <w:rPr>
                <w:sz w:val="11"/>
                <w:szCs w:val="11"/>
                <w:color w:val="auto"/>
              </w:rPr>
            </w:pPr>
          </w:p>
        </w:tc>
        <w:tc>
          <w:tcPr>
            <w:tcW w:w="3120" w:type="dxa"/>
            <w:vAlign w:val="bottom"/>
            <w:gridSpan w:val="3"/>
          </w:tcPr>
          <w:p>
            <w:pPr>
              <w:ind w:left="200"/>
              <w:spacing w:after="0" w:line="138" w:lineRule="exact"/>
              <w:rPr>
                <w:sz w:val="20"/>
                <w:szCs w:val="20"/>
                <w:color w:val="auto"/>
              </w:rPr>
            </w:pPr>
            <w:r>
              <w:rPr>
                <w:rFonts w:ascii="Arial" w:cs="Arial" w:eastAsia="Arial" w:hAnsi="Arial"/>
                <w:sz w:val="13"/>
                <w:szCs w:val="13"/>
                <w:color w:val="auto"/>
              </w:rPr>
              <w:t>income tax expense</w:t>
            </w:r>
          </w:p>
        </w:tc>
        <w:tc>
          <w:tcPr>
            <w:tcW w:w="720" w:type="dxa"/>
            <w:vAlign w:val="bottom"/>
          </w:tcPr>
          <w:p>
            <w:pPr>
              <w:spacing w:after="0"/>
              <w:rPr>
                <w:sz w:val="11"/>
                <w:szCs w:val="11"/>
                <w:color w:val="auto"/>
              </w:rPr>
            </w:pPr>
          </w:p>
        </w:tc>
        <w:tc>
          <w:tcPr>
            <w:tcW w:w="6680" w:type="dxa"/>
            <w:vAlign w:val="bottom"/>
            <w:gridSpan w:val="7"/>
          </w:tcPr>
          <w:p>
            <w:pPr>
              <w:jc w:val="right"/>
              <w:spacing w:after="0" w:line="138"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spacing w:after="0"/>
              <w:rPr>
                <w:sz w:val="11"/>
                <w:szCs w:val="11"/>
                <w:color w:val="auto"/>
              </w:rPr>
            </w:pPr>
          </w:p>
        </w:tc>
        <w:tc>
          <w:tcPr>
            <w:tcW w:w="180" w:type="dxa"/>
            <w:vAlign w:val="bottom"/>
          </w:tcPr>
          <w:p>
            <w:pPr>
              <w:spacing w:after="0" w:line="138" w:lineRule="exact"/>
              <w:rPr>
                <w:sz w:val="20"/>
                <w:szCs w:val="20"/>
                <w:color w:val="auto"/>
              </w:rPr>
            </w:pPr>
            <w:r>
              <w:rPr>
                <w:rFonts w:ascii="Arial" w:cs="Arial" w:eastAsia="Arial" w:hAnsi="Arial"/>
                <w:sz w:val="13"/>
                <w:szCs w:val="13"/>
                <w:color w:val="auto"/>
                <w:w w:val="88"/>
              </w:rPr>
              <w:t>(iv)</w:t>
            </w:r>
          </w:p>
        </w:tc>
      </w:tr>
      <w:tr>
        <w:trPr>
          <w:trHeight w:val="137"/>
        </w:trPr>
        <w:tc>
          <w:tcPr>
            <w:tcW w:w="100" w:type="dxa"/>
            <w:vAlign w:val="bottom"/>
          </w:tcPr>
          <w:p>
            <w:pPr>
              <w:spacing w:after="0"/>
              <w:rPr>
                <w:sz w:val="11"/>
                <w:szCs w:val="11"/>
                <w:color w:val="auto"/>
              </w:rPr>
            </w:pPr>
          </w:p>
        </w:tc>
        <w:tc>
          <w:tcPr>
            <w:tcW w:w="3120" w:type="dxa"/>
            <w:vAlign w:val="bottom"/>
            <w:gridSpan w:val="3"/>
          </w:tcPr>
          <w:p>
            <w:pPr>
              <w:ind w:left="200"/>
              <w:spacing w:after="0" w:line="138" w:lineRule="exact"/>
              <w:rPr>
                <w:sz w:val="20"/>
                <w:szCs w:val="20"/>
                <w:color w:val="auto"/>
              </w:rPr>
            </w:pPr>
            <w:r>
              <w:rPr>
                <w:rFonts w:ascii="Arial" w:cs="Arial" w:eastAsia="Arial" w:hAnsi="Arial"/>
                <w:sz w:val="13"/>
                <w:szCs w:val="13"/>
                <w:color w:val="auto"/>
              </w:rPr>
              <w:t>non-cash writedowns or write-offs of assets</w:t>
            </w:r>
          </w:p>
        </w:tc>
        <w:tc>
          <w:tcPr>
            <w:tcW w:w="720" w:type="dxa"/>
            <w:vAlign w:val="bottom"/>
          </w:tcPr>
          <w:p>
            <w:pPr>
              <w:spacing w:after="0"/>
              <w:rPr>
                <w:sz w:val="11"/>
                <w:szCs w:val="11"/>
                <w:color w:val="auto"/>
              </w:rPr>
            </w:pPr>
          </w:p>
        </w:tc>
        <w:tc>
          <w:tcPr>
            <w:tcW w:w="6680" w:type="dxa"/>
            <w:vAlign w:val="bottom"/>
            <w:gridSpan w:val="7"/>
          </w:tcPr>
          <w:p>
            <w:pPr>
              <w:jc w:val="right"/>
              <w:spacing w:after="0" w:line="138"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spacing w:after="0"/>
              <w:rPr>
                <w:sz w:val="11"/>
                <w:szCs w:val="11"/>
                <w:color w:val="auto"/>
              </w:rPr>
            </w:pPr>
          </w:p>
        </w:tc>
        <w:tc>
          <w:tcPr>
            <w:tcW w:w="180" w:type="dxa"/>
            <w:vAlign w:val="bottom"/>
          </w:tcPr>
          <w:p>
            <w:pPr>
              <w:spacing w:after="0" w:line="138" w:lineRule="exact"/>
              <w:rPr>
                <w:sz w:val="20"/>
                <w:szCs w:val="20"/>
                <w:color w:val="auto"/>
              </w:rPr>
            </w:pPr>
            <w:r>
              <w:rPr>
                <w:rFonts w:ascii="Arial" w:cs="Arial" w:eastAsia="Arial" w:hAnsi="Arial"/>
                <w:sz w:val="13"/>
                <w:szCs w:val="13"/>
                <w:color w:val="auto"/>
              </w:rPr>
              <w:t>(v)</w:t>
            </w:r>
          </w:p>
        </w:tc>
      </w:tr>
      <w:tr>
        <w:trPr>
          <w:trHeight w:val="137"/>
        </w:trPr>
        <w:tc>
          <w:tcPr>
            <w:tcW w:w="100" w:type="dxa"/>
            <w:vAlign w:val="bottom"/>
          </w:tcPr>
          <w:p>
            <w:pPr>
              <w:spacing w:after="0"/>
              <w:rPr>
                <w:sz w:val="11"/>
                <w:szCs w:val="11"/>
                <w:color w:val="auto"/>
              </w:rPr>
            </w:pPr>
          </w:p>
        </w:tc>
        <w:tc>
          <w:tcPr>
            <w:tcW w:w="3120" w:type="dxa"/>
            <w:vAlign w:val="bottom"/>
            <w:gridSpan w:val="3"/>
          </w:tcPr>
          <w:p>
            <w:pPr>
              <w:ind w:left="40"/>
              <w:spacing w:after="0" w:line="138" w:lineRule="exact"/>
              <w:rPr>
                <w:sz w:val="20"/>
                <w:szCs w:val="20"/>
                <w:color w:val="auto"/>
              </w:rPr>
            </w:pPr>
            <w:r>
              <w:rPr>
                <w:rFonts w:ascii="Arial" w:cs="Arial" w:eastAsia="Arial" w:hAnsi="Arial"/>
                <w:sz w:val="13"/>
                <w:szCs w:val="13"/>
                <w:color w:val="auto"/>
                <w:w w:val="93"/>
              </w:rPr>
              <w:t>Minus non-cash extraordinary gains on the sale of assets</w:t>
            </w:r>
          </w:p>
        </w:tc>
        <w:tc>
          <w:tcPr>
            <w:tcW w:w="720" w:type="dxa"/>
            <w:vAlign w:val="bottom"/>
          </w:tcPr>
          <w:p>
            <w:pPr>
              <w:spacing w:after="0"/>
              <w:rPr>
                <w:sz w:val="11"/>
                <w:szCs w:val="11"/>
                <w:color w:val="auto"/>
              </w:rPr>
            </w:pPr>
          </w:p>
        </w:tc>
        <w:tc>
          <w:tcPr>
            <w:tcW w:w="6680" w:type="dxa"/>
            <w:vAlign w:val="bottom"/>
            <w:gridSpan w:val="7"/>
          </w:tcPr>
          <w:p>
            <w:pPr>
              <w:jc w:val="right"/>
              <w:spacing w:after="0" w:line="138"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spacing w:after="0"/>
              <w:rPr>
                <w:sz w:val="11"/>
                <w:szCs w:val="11"/>
                <w:color w:val="auto"/>
              </w:rPr>
            </w:pPr>
          </w:p>
        </w:tc>
        <w:tc>
          <w:tcPr>
            <w:tcW w:w="180" w:type="dxa"/>
            <w:vAlign w:val="bottom"/>
          </w:tcPr>
          <w:p>
            <w:pPr>
              <w:spacing w:after="0" w:line="138" w:lineRule="exact"/>
              <w:rPr>
                <w:sz w:val="20"/>
                <w:szCs w:val="20"/>
                <w:color w:val="auto"/>
              </w:rPr>
            </w:pPr>
            <w:r>
              <w:rPr>
                <w:rFonts w:ascii="Arial" w:cs="Arial" w:eastAsia="Arial" w:hAnsi="Arial"/>
                <w:sz w:val="13"/>
                <w:szCs w:val="13"/>
                <w:color w:val="auto"/>
                <w:w w:val="88"/>
              </w:rPr>
              <w:t>(vi)</w:t>
            </w:r>
          </w:p>
        </w:tc>
      </w:tr>
      <w:tr>
        <w:trPr>
          <w:trHeight w:val="295"/>
        </w:trPr>
        <w:tc>
          <w:tcPr>
            <w:tcW w:w="3940" w:type="dxa"/>
            <w:vAlign w:val="bottom"/>
            <w:gridSpan w:val="5"/>
          </w:tcPr>
          <w:p>
            <w:pPr>
              <w:spacing w:after="0"/>
              <w:rPr>
                <w:sz w:val="20"/>
                <w:szCs w:val="20"/>
                <w:color w:val="auto"/>
              </w:rPr>
            </w:pPr>
            <w:r>
              <w:rPr>
                <w:rFonts w:ascii="Arial" w:cs="Arial" w:eastAsia="Arial" w:hAnsi="Arial"/>
                <w:sz w:val="13"/>
                <w:szCs w:val="13"/>
                <w:color w:val="auto"/>
              </w:rPr>
              <w:t>EBIT of Acquired Businesses (sum of (i) through (v) minus (vi))</w:t>
            </w:r>
          </w:p>
        </w:tc>
        <w:tc>
          <w:tcPr>
            <w:tcW w:w="6680" w:type="dxa"/>
            <w:vAlign w:val="bottom"/>
            <w:gridSpan w:val="7"/>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(b)</w:t>
            </w:r>
          </w:p>
        </w:tc>
      </w:tr>
      <w:tr>
        <w:trPr>
          <w:trHeight w:val="466"/>
        </w:trPr>
        <w:tc>
          <w:tcPr>
            <w:tcW w:w="1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8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149"/>
        </w:trPr>
        <w:tc>
          <w:tcPr>
            <w:tcW w:w="9140" w:type="dxa"/>
            <w:vAlign w:val="bottom"/>
          </w:tcPr>
          <w:p>
            <w:pPr>
              <w:spacing w:after="0"/>
              <w:rPr>
                <w:sz w:val="20"/>
                <w:szCs w:val="20"/>
                <w:color w:val="auto"/>
              </w:rPr>
            </w:pPr>
            <w:r>
              <w:rPr>
                <w:rFonts w:ascii="Arial" w:cs="Arial" w:eastAsia="Arial" w:hAnsi="Arial"/>
                <w:sz w:val="13"/>
                <w:szCs w:val="13"/>
                <w:color w:val="auto"/>
              </w:rPr>
              <w:t>Sum of (a) plus (b)</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0" w:type="dxa"/>
            <w:vAlign w:val="bottom"/>
          </w:tcPr>
          <w:p>
            <w:pPr>
              <w:spacing w:after="0"/>
              <w:rPr>
                <w:sz w:val="20"/>
                <w:szCs w:val="20"/>
                <w:color w:val="auto"/>
              </w:rPr>
            </w:pPr>
            <w:r>
              <w:rPr>
                <w:rFonts w:ascii="Arial" w:cs="Arial" w:eastAsia="Arial" w:hAnsi="Arial"/>
                <w:sz w:val="13"/>
                <w:szCs w:val="13"/>
                <w:color w:val="auto"/>
              </w:rPr>
              <w:t>(c)</w:t>
            </w:r>
          </w:p>
        </w:tc>
      </w:tr>
      <w:tr>
        <w:trPr>
          <w:trHeight w:val="295"/>
        </w:trPr>
        <w:tc>
          <w:tcPr>
            <w:tcW w:w="9140" w:type="dxa"/>
            <w:vAlign w:val="bottom"/>
          </w:tcPr>
          <w:p>
            <w:pPr>
              <w:spacing w:after="0"/>
              <w:rPr>
                <w:sz w:val="20"/>
                <w:szCs w:val="20"/>
                <w:color w:val="auto"/>
              </w:rPr>
            </w:pPr>
            <w:r>
              <w:rPr>
                <w:rFonts w:ascii="Arial" w:cs="Arial" w:eastAsia="Arial" w:hAnsi="Arial"/>
                <w:sz w:val="13"/>
                <w:szCs w:val="13"/>
                <w:color w:val="auto"/>
              </w:rPr>
              <w:t>Consolidated Total Interest Expense</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3"/>
                <w:szCs w:val="13"/>
                <w:color w:val="auto"/>
              </w:rPr>
              <w:t>(d)</w:t>
            </w:r>
          </w:p>
        </w:tc>
      </w:tr>
      <w:tr>
        <w:trPr>
          <w:trHeight w:val="295"/>
        </w:trPr>
        <w:tc>
          <w:tcPr>
            <w:tcW w:w="9140" w:type="dxa"/>
            <w:vAlign w:val="bottom"/>
          </w:tcPr>
          <w:p>
            <w:pPr>
              <w:spacing w:after="0"/>
              <w:rPr>
                <w:sz w:val="20"/>
                <w:szCs w:val="20"/>
                <w:color w:val="auto"/>
              </w:rPr>
            </w:pPr>
            <w:r>
              <w:rPr>
                <w:rFonts w:ascii="Arial" w:cs="Arial" w:eastAsia="Arial" w:hAnsi="Arial"/>
                <w:sz w:val="13"/>
                <w:szCs w:val="13"/>
                <w:color w:val="auto"/>
              </w:rPr>
              <w:t>Ratio of (c) to (d)</w:t>
            </w:r>
          </w:p>
        </w:tc>
        <w:tc>
          <w:tcPr>
            <w:tcW w:w="1400" w:type="dxa"/>
            <w:vAlign w:val="bottom"/>
          </w:tcPr>
          <w:p>
            <w:pPr>
              <w:spacing w:after="0"/>
              <w:rPr>
                <w:sz w:val="24"/>
                <w:szCs w:val="24"/>
                <w:color w:val="auto"/>
              </w:rPr>
            </w:pPr>
          </w:p>
        </w:tc>
        <w:tc>
          <w:tcPr>
            <w:tcW w:w="300" w:type="dxa"/>
            <w:vAlign w:val="bottom"/>
            <w:tcBorders>
              <w:bottom w:val="single" w:sz="8" w:color="auto"/>
            </w:tcBorders>
            <w:gridSpan w:val="2"/>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323"/>
        </w:trPr>
        <w:tc>
          <w:tcPr>
            <w:tcW w:w="9140" w:type="dxa"/>
            <w:vAlign w:val="bottom"/>
          </w:tcPr>
          <w:p>
            <w:pPr>
              <w:spacing w:after="0"/>
              <w:rPr>
                <w:sz w:val="20"/>
                <w:szCs w:val="20"/>
                <w:color w:val="auto"/>
              </w:rPr>
            </w:pPr>
            <w:r>
              <w:rPr>
                <w:rFonts w:ascii="Arial" w:cs="Arial" w:eastAsia="Arial" w:hAnsi="Arial"/>
                <w:sz w:val="13"/>
                <w:szCs w:val="13"/>
                <w:color w:val="auto"/>
              </w:rPr>
              <w:t>Minimum ratio</w:t>
            </w:r>
          </w:p>
        </w:tc>
        <w:tc>
          <w:tcPr>
            <w:tcW w:w="1400" w:type="dxa"/>
            <w:vAlign w:val="bottom"/>
          </w:tcPr>
          <w:p>
            <w:pPr>
              <w:spacing w:after="0"/>
              <w:rPr>
                <w:sz w:val="24"/>
                <w:szCs w:val="24"/>
                <w:color w:val="auto"/>
              </w:rPr>
            </w:pPr>
          </w:p>
        </w:tc>
        <w:tc>
          <w:tcPr>
            <w:tcW w:w="340" w:type="dxa"/>
            <w:vAlign w:val="bottom"/>
            <w:gridSpan w:val="3"/>
          </w:tcPr>
          <w:p>
            <w:pPr>
              <w:spacing w:after="0"/>
              <w:rPr>
                <w:sz w:val="20"/>
                <w:szCs w:val="20"/>
                <w:color w:val="auto"/>
              </w:rPr>
            </w:pPr>
            <w:r>
              <w:rPr>
                <w:rFonts w:ascii="Arial" w:cs="Arial" w:eastAsia="Arial" w:hAnsi="Arial"/>
                <w:sz w:val="13"/>
                <w:szCs w:val="13"/>
                <w:color w:val="auto"/>
                <w:w w:val="88"/>
              </w:rPr>
              <w:t>2.75:1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15"/>
        </w:trPr>
        <w:tc>
          <w:tcPr>
            <w:tcW w:w="9140" w:type="dxa"/>
            <w:vAlign w:val="bottom"/>
          </w:tcPr>
          <w:p>
            <w:pPr>
              <w:spacing w:after="0"/>
              <w:rPr>
                <w:sz w:val="20"/>
                <w:szCs w:val="20"/>
                <w:color w:val="auto"/>
              </w:rPr>
            </w:pPr>
            <w:r>
              <w:rPr>
                <w:rFonts w:ascii="Arial" w:cs="Arial" w:eastAsia="Arial" w:hAnsi="Arial"/>
                <w:sz w:val="13"/>
                <w:szCs w:val="13"/>
                <w:b w:val="1"/>
                <w:bCs w:val="1"/>
                <w:color w:val="auto"/>
              </w:rPr>
              <w:t>§9.2 Total Debt to EBITDA</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86"/>
        </w:trPr>
        <w:tc>
          <w:tcPr>
            <w:tcW w:w="9140" w:type="dxa"/>
            <w:vAlign w:val="bottom"/>
          </w:tcPr>
          <w:p>
            <w:pPr>
              <w:spacing w:after="0"/>
              <w:rPr>
                <w:sz w:val="20"/>
                <w:szCs w:val="20"/>
                <w:color w:val="auto"/>
              </w:rPr>
            </w:pPr>
            <w:r>
              <w:rPr>
                <w:rFonts w:ascii="Arial" w:cs="Arial" w:eastAsia="Arial" w:hAnsi="Arial"/>
                <w:sz w:val="13"/>
                <w:szCs w:val="13"/>
                <w:b w:val="1"/>
                <w:bCs w:val="1"/>
                <w:color w:val="auto"/>
              </w:rPr>
              <w:t xml:space="preserve">EBIT </w:t>
            </w:r>
            <w:r>
              <w:rPr>
                <w:rFonts w:ascii="Arial" w:cs="Arial" w:eastAsia="Arial" w:hAnsi="Arial"/>
                <w:sz w:val="13"/>
                <w:szCs w:val="13"/>
                <w:color w:val="auto"/>
              </w:rPr>
              <w:t>(from §9.1 item (c) above)</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3"/>
                <w:szCs w:val="13"/>
                <w:color w:val="auto"/>
              </w:rPr>
              <w:t>(i)</w:t>
            </w:r>
          </w:p>
        </w:tc>
      </w:tr>
      <w:tr>
        <w:trPr>
          <w:trHeight w:val="315"/>
        </w:trPr>
        <w:tc>
          <w:tcPr>
            <w:tcW w:w="9140" w:type="dxa"/>
            <w:vAlign w:val="bottom"/>
          </w:tcPr>
          <w:p>
            <w:pPr>
              <w:spacing w:after="0"/>
              <w:rPr>
                <w:sz w:val="20"/>
                <w:szCs w:val="20"/>
                <w:color w:val="auto"/>
              </w:rPr>
            </w:pPr>
            <w:r>
              <w:rPr>
                <w:rFonts w:ascii="Arial" w:cs="Arial" w:eastAsia="Arial" w:hAnsi="Arial"/>
                <w:sz w:val="13"/>
                <w:szCs w:val="13"/>
                <w:color w:val="auto"/>
              </w:rPr>
              <w:t>Plus:</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37"/>
        </w:trPr>
        <w:tc>
          <w:tcPr>
            <w:tcW w:w="9140" w:type="dxa"/>
            <w:vAlign w:val="bottom"/>
          </w:tcPr>
          <w:p>
            <w:pPr>
              <w:ind w:left="140"/>
              <w:spacing w:after="0" w:line="137" w:lineRule="exact"/>
              <w:rPr>
                <w:sz w:val="20"/>
                <w:szCs w:val="20"/>
                <w:color w:val="auto"/>
              </w:rPr>
            </w:pPr>
            <w:r>
              <w:rPr>
                <w:rFonts w:ascii="Arial" w:cs="Arial" w:eastAsia="Arial" w:hAnsi="Arial"/>
                <w:sz w:val="13"/>
                <w:szCs w:val="13"/>
                <w:color w:val="auto"/>
              </w:rPr>
              <w:t>Depreciation expense</w:t>
            </w:r>
          </w:p>
        </w:tc>
        <w:tc>
          <w:tcPr>
            <w:tcW w:w="1400" w:type="dxa"/>
            <w:vAlign w:val="bottom"/>
          </w:tcPr>
          <w:p>
            <w:pPr>
              <w:jc w:val="right"/>
              <w:spacing w:after="0" w:line="137"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60" w:type="dxa"/>
            <w:vAlign w:val="bottom"/>
          </w:tcPr>
          <w:p>
            <w:pPr>
              <w:spacing w:after="0" w:line="137" w:lineRule="exact"/>
              <w:rPr>
                <w:sz w:val="20"/>
                <w:szCs w:val="20"/>
                <w:color w:val="auto"/>
              </w:rPr>
            </w:pPr>
            <w:r>
              <w:rPr>
                <w:rFonts w:ascii="Arial" w:cs="Arial" w:eastAsia="Arial" w:hAnsi="Arial"/>
                <w:sz w:val="13"/>
                <w:szCs w:val="13"/>
                <w:color w:val="auto"/>
              </w:rPr>
              <w:t>(ii)</w:t>
            </w:r>
          </w:p>
        </w:tc>
      </w:tr>
      <w:tr>
        <w:trPr>
          <w:trHeight w:val="137"/>
        </w:trPr>
        <w:tc>
          <w:tcPr>
            <w:tcW w:w="9140" w:type="dxa"/>
            <w:vAlign w:val="bottom"/>
          </w:tcPr>
          <w:p>
            <w:pPr>
              <w:ind w:left="140"/>
              <w:spacing w:after="0" w:line="138" w:lineRule="exact"/>
              <w:rPr>
                <w:sz w:val="20"/>
                <w:szCs w:val="20"/>
                <w:color w:val="auto"/>
              </w:rPr>
            </w:pPr>
            <w:r>
              <w:rPr>
                <w:rFonts w:ascii="Arial" w:cs="Arial" w:eastAsia="Arial" w:hAnsi="Arial"/>
                <w:sz w:val="13"/>
                <w:szCs w:val="13"/>
                <w:color w:val="auto"/>
              </w:rPr>
              <w:t>Amortization expense</w:t>
            </w:r>
          </w:p>
        </w:tc>
        <w:tc>
          <w:tcPr>
            <w:tcW w:w="14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60" w:type="dxa"/>
            <w:vAlign w:val="bottom"/>
          </w:tcPr>
          <w:p>
            <w:pPr>
              <w:spacing w:after="0" w:line="138" w:lineRule="exact"/>
              <w:rPr>
                <w:sz w:val="20"/>
                <w:szCs w:val="20"/>
                <w:color w:val="auto"/>
              </w:rPr>
            </w:pPr>
            <w:r>
              <w:rPr>
                <w:rFonts w:ascii="Arial" w:cs="Arial" w:eastAsia="Arial" w:hAnsi="Arial"/>
                <w:sz w:val="13"/>
                <w:szCs w:val="13"/>
                <w:color w:val="auto"/>
              </w:rPr>
              <w:t>(iii)</w:t>
            </w:r>
          </w:p>
        </w:tc>
      </w:tr>
      <w:tr>
        <w:trPr>
          <w:trHeight w:val="295"/>
        </w:trPr>
        <w:tc>
          <w:tcPr>
            <w:tcW w:w="9140" w:type="dxa"/>
            <w:vAlign w:val="bottom"/>
          </w:tcPr>
          <w:p>
            <w:pPr>
              <w:ind w:left="140"/>
              <w:spacing w:after="0"/>
              <w:rPr>
                <w:sz w:val="20"/>
                <w:szCs w:val="20"/>
                <w:color w:val="auto"/>
              </w:rPr>
            </w:pPr>
            <w:r>
              <w:rPr>
                <w:rFonts w:ascii="Arial" w:cs="Arial" w:eastAsia="Arial" w:hAnsi="Arial"/>
                <w:sz w:val="13"/>
                <w:szCs w:val="13"/>
                <w:color w:val="auto"/>
              </w:rPr>
              <w:t>EBITDA (sum of (i) through (iii))</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3"/>
                <w:szCs w:val="13"/>
                <w:color w:val="auto"/>
              </w:rPr>
              <w:t>(iv)</w:t>
            </w:r>
          </w:p>
        </w:tc>
      </w:tr>
      <w:tr>
        <w:trPr>
          <w:trHeight w:val="315"/>
        </w:trPr>
        <w:tc>
          <w:tcPr>
            <w:tcW w:w="9140" w:type="dxa"/>
            <w:vAlign w:val="bottom"/>
          </w:tcPr>
          <w:p>
            <w:pPr>
              <w:spacing w:after="0"/>
              <w:rPr>
                <w:sz w:val="20"/>
                <w:szCs w:val="20"/>
                <w:color w:val="auto"/>
              </w:rPr>
            </w:pPr>
            <w:r>
              <w:rPr>
                <w:rFonts w:ascii="Arial" w:cs="Arial" w:eastAsia="Arial" w:hAnsi="Arial"/>
                <w:sz w:val="13"/>
                <w:szCs w:val="13"/>
                <w:color w:val="auto"/>
              </w:rPr>
              <w:t>The sum of the following (calculated on a consolidated basis for the Borrower and its Subsidiaries):</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37"/>
        </w:trPr>
        <w:tc>
          <w:tcPr>
            <w:tcW w:w="9140" w:type="dxa"/>
            <w:vAlign w:val="bottom"/>
          </w:tcPr>
          <w:p>
            <w:pPr>
              <w:ind w:left="140"/>
              <w:spacing w:after="0" w:line="137" w:lineRule="exact"/>
              <w:rPr>
                <w:sz w:val="20"/>
                <w:szCs w:val="20"/>
                <w:color w:val="auto"/>
              </w:rPr>
            </w:pPr>
            <w:r>
              <w:rPr>
                <w:rFonts w:ascii="Arial" w:cs="Arial" w:eastAsia="Arial" w:hAnsi="Arial"/>
                <w:sz w:val="13"/>
                <w:szCs w:val="13"/>
                <w:color w:val="auto"/>
              </w:rPr>
              <w:t>Indebtedness for borrowed money</w:t>
            </w:r>
          </w:p>
        </w:tc>
        <w:tc>
          <w:tcPr>
            <w:tcW w:w="1400" w:type="dxa"/>
            <w:vAlign w:val="bottom"/>
          </w:tcPr>
          <w:p>
            <w:pPr>
              <w:jc w:val="right"/>
              <w:spacing w:after="0" w:line="137"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60" w:type="dxa"/>
            <w:vAlign w:val="bottom"/>
          </w:tcPr>
          <w:p>
            <w:pPr>
              <w:spacing w:after="0" w:line="137" w:lineRule="exact"/>
              <w:rPr>
                <w:sz w:val="20"/>
                <w:szCs w:val="20"/>
                <w:color w:val="auto"/>
              </w:rPr>
            </w:pPr>
            <w:r>
              <w:rPr>
                <w:rFonts w:ascii="Arial" w:cs="Arial" w:eastAsia="Arial" w:hAnsi="Arial"/>
                <w:sz w:val="13"/>
                <w:szCs w:val="13"/>
                <w:color w:val="auto"/>
              </w:rPr>
              <w:t>(v)</w:t>
            </w:r>
          </w:p>
        </w:tc>
      </w:tr>
      <w:tr>
        <w:trPr>
          <w:trHeight w:val="137"/>
        </w:trPr>
        <w:tc>
          <w:tcPr>
            <w:tcW w:w="9140" w:type="dxa"/>
            <w:vAlign w:val="bottom"/>
          </w:tcPr>
          <w:p>
            <w:pPr>
              <w:ind w:left="140"/>
              <w:spacing w:after="0" w:line="138" w:lineRule="exact"/>
              <w:rPr>
                <w:sz w:val="20"/>
                <w:szCs w:val="20"/>
                <w:color w:val="auto"/>
              </w:rPr>
            </w:pPr>
            <w:r>
              <w:rPr>
                <w:rFonts w:ascii="Arial" w:cs="Arial" w:eastAsia="Arial" w:hAnsi="Arial"/>
                <w:sz w:val="13"/>
                <w:szCs w:val="13"/>
                <w:color w:val="auto"/>
              </w:rPr>
              <w:t>Obligations for deferred purchase price of property or services (other than trade payables)</w:t>
            </w:r>
          </w:p>
        </w:tc>
        <w:tc>
          <w:tcPr>
            <w:tcW w:w="14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60" w:type="dxa"/>
            <w:vAlign w:val="bottom"/>
          </w:tcPr>
          <w:p>
            <w:pPr>
              <w:spacing w:after="0" w:line="138" w:lineRule="exact"/>
              <w:rPr>
                <w:sz w:val="20"/>
                <w:szCs w:val="20"/>
                <w:color w:val="auto"/>
              </w:rPr>
            </w:pPr>
            <w:r>
              <w:rPr>
                <w:rFonts w:ascii="Arial" w:cs="Arial" w:eastAsia="Arial" w:hAnsi="Arial"/>
                <w:sz w:val="13"/>
                <w:szCs w:val="13"/>
                <w:color w:val="auto"/>
              </w:rPr>
              <w:t>(vi)</w:t>
            </w:r>
          </w:p>
        </w:tc>
      </w:tr>
      <w:tr>
        <w:trPr>
          <w:trHeight w:val="137"/>
        </w:trPr>
        <w:tc>
          <w:tcPr>
            <w:tcW w:w="9140" w:type="dxa"/>
            <w:vAlign w:val="bottom"/>
          </w:tcPr>
          <w:p>
            <w:pPr>
              <w:ind w:left="140"/>
              <w:spacing w:after="0" w:line="138" w:lineRule="exact"/>
              <w:rPr>
                <w:sz w:val="20"/>
                <w:szCs w:val="20"/>
                <w:color w:val="auto"/>
              </w:rPr>
            </w:pPr>
            <w:r>
              <w:rPr>
                <w:rFonts w:ascii="Arial" w:cs="Arial" w:eastAsia="Arial" w:hAnsi="Arial"/>
                <w:sz w:val="13"/>
                <w:szCs w:val="13"/>
                <w:color w:val="auto"/>
              </w:rPr>
              <w:t>Obligations evidenced by debt instruments</w:t>
            </w:r>
          </w:p>
        </w:tc>
        <w:tc>
          <w:tcPr>
            <w:tcW w:w="14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60" w:type="dxa"/>
            <w:vAlign w:val="bottom"/>
          </w:tcPr>
          <w:p>
            <w:pPr>
              <w:spacing w:after="0" w:line="138" w:lineRule="exact"/>
              <w:rPr>
                <w:sz w:val="20"/>
                <w:szCs w:val="20"/>
                <w:color w:val="auto"/>
              </w:rPr>
            </w:pPr>
            <w:r>
              <w:rPr>
                <w:rFonts w:ascii="Arial" w:cs="Arial" w:eastAsia="Arial" w:hAnsi="Arial"/>
                <w:sz w:val="13"/>
                <w:szCs w:val="13"/>
                <w:color w:val="auto"/>
              </w:rPr>
              <w:t>(vii)</w:t>
            </w:r>
          </w:p>
        </w:tc>
      </w:tr>
      <w:tr>
        <w:trPr>
          <w:trHeight w:val="137"/>
        </w:trPr>
        <w:tc>
          <w:tcPr>
            <w:tcW w:w="9140" w:type="dxa"/>
            <w:vAlign w:val="bottom"/>
          </w:tcPr>
          <w:p>
            <w:pPr>
              <w:ind w:left="140"/>
              <w:spacing w:after="0" w:line="138" w:lineRule="exact"/>
              <w:rPr>
                <w:sz w:val="20"/>
                <w:szCs w:val="20"/>
                <w:color w:val="auto"/>
              </w:rPr>
            </w:pPr>
            <w:r>
              <w:rPr>
                <w:rFonts w:ascii="Arial" w:cs="Arial" w:eastAsia="Arial" w:hAnsi="Arial"/>
                <w:sz w:val="13"/>
                <w:szCs w:val="13"/>
                <w:color w:val="auto"/>
              </w:rPr>
              <w:t>Obligations under conditional sales</w:t>
            </w:r>
          </w:p>
        </w:tc>
        <w:tc>
          <w:tcPr>
            <w:tcW w:w="14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60" w:type="dxa"/>
            <w:vAlign w:val="bottom"/>
          </w:tcPr>
          <w:p>
            <w:pPr>
              <w:spacing w:after="0" w:line="138" w:lineRule="exact"/>
              <w:rPr>
                <w:sz w:val="20"/>
                <w:szCs w:val="20"/>
                <w:color w:val="auto"/>
              </w:rPr>
            </w:pPr>
            <w:r>
              <w:rPr>
                <w:rFonts w:ascii="Arial" w:cs="Arial" w:eastAsia="Arial" w:hAnsi="Arial"/>
                <w:sz w:val="13"/>
                <w:szCs w:val="13"/>
                <w:color w:val="auto"/>
              </w:rPr>
              <w:t>(viii)</w:t>
            </w:r>
          </w:p>
        </w:tc>
      </w:tr>
      <w:tr>
        <w:trPr>
          <w:trHeight w:val="137"/>
        </w:trPr>
        <w:tc>
          <w:tcPr>
            <w:tcW w:w="9140" w:type="dxa"/>
            <w:vAlign w:val="bottom"/>
          </w:tcPr>
          <w:p>
            <w:pPr>
              <w:ind w:left="140"/>
              <w:spacing w:after="0" w:line="138" w:lineRule="exact"/>
              <w:rPr>
                <w:sz w:val="20"/>
                <w:szCs w:val="20"/>
                <w:color w:val="auto"/>
              </w:rPr>
            </w:pPr>
            <w:r>
              <w:rPr>
                <w:rFonts w:ascii="Arial" w:cs="Arial" w:eastAsia="Arial" w:hAnsi="Arial"/>
                <w:sz w:val="13"/>
                <w:szCs w:val="13"/>
                <w:color w:val="auto"/>
              </w:rPr>
              <w:t>Obligations, liabilities and indebtedness under Capitalized Leases</w:t>
            </w:r>
          </w:p>
        </w:tc>
        <w:tc>
          <w:tcPr>
            <w:tcW w:w="14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60" w:type="dxa"/>
            <w:vAlign w:val="bottom"/>
          </w:tcPr>
          <w:p>
            <w:pPr>
              <w:spacing w:after="0" w:line="138" w:lineRule="exact"/>
              <w:rPr>
                <w:sz w:val="20"/>
                <w:szCs w:val="20"/>
                <w:color w:val="auto"/>
              </w:rPr>
            </w:pPr>
            <w:r>
              <w:rPr>
                <w:rFonts w:ascii="Arial" w:cs="Arial" w:eastAsia="Arial" w:hAnsi="Arial"/>
                <w:sz w:val="13"/>
                <w:szCs w:val="13"/>
                <w:color w:val="auto"/>
              </w:rPr>
              <w:t>(ix)</w:t>
            </w:r>
          </w:p>
        </w:tc>
      </w:tr>
      <w:tr>
        <w:trPr>
          <w:trHeight w:val="137"/>
        </w:trPr>
        <w:tc>
          <w:tcPr>
            <w:tcW w:w="9140" w:type="dxa"/>
            <w:vAlign w:val="bottom"/>
          </w:tcPr>
          <w:p>
            <w:pPr>
              <w:ind w:left="140"/>
              <w:spacing w:after="0" w:line="138" w:lineRule="exact"/>
              <w:rPr>
                <w:sz w:val="20"/>
                <w:szCs w:val="20"/>
                <w:color w:val="auto"/>
              </w:rPr>
            </w:pPr>
            <w:r>
              <w:rPr>
                <w:rFonts w:ascii="Arial" w:cs="Arial" w:eastAsia="Arial" w:hAnsi="Arial"/>
                <w:sz w:val="13"/>
                <w:szCs w:val="13"/>
                <w:color w:val="auto"/>
              </w:rPr>
              <w:t>Obligations, liabilities and indebtedness under bonding arrangements (to the extent that a surety has been called upon to make payment on a bond)</w:t>
            </w:r>
          </w:p>
        </w:tc>
        <w:tc>
          <w:tcPr>
            <w:tcW w:w="14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60" w:type="dxa"/>
            <w:vAlign w:val="bottom"/>
          </w:tcPr>
          <w:p>
            <w:pPr>
              <w:spacing w:after="0" w:line="138" w:lineRule="exact"/>
              <w:rPr>
                <w:sz w:val="20"/>
                <w:szCs w:val="20"/>
                <w:color w:val="auto"/>
              </w:rPr>
            </w:pPr>
            <w:r>
              <w:rPr>
                <w:rFonts w:ascii="Arial" w:cs="Arial" w:eastAsia="Arial" w:hAnsi="Arial"/>
                <w:sz w:val="13"/>
                <w:szCs w:val="13"/>
                <w:color w:val="auto"/>
              </w:rPr>
              <w:t>(x)</w:t>
            </w:r>
          </w:p>
        </w:tc>
      </w:tr>
      <w:tr>
        <w:trPr>
          <w:trHeight w:val="137"/>
        </w:trPr>
        <w:tc>
          <w:tcPr>
            <w:tcW w:w="9140" w:type="dxa"/>
            <w:vAlign w:val="bottom"/>
          </w:tcPr>
          <w:p>
            <w:pPr>
              <w:ind w:left="140"/>
              <w:spacing w:after="0" w:line="138" w:lineRule="exact"/>
              <w:rPr>
                <w:sz w:val="20"/>
                <w:szCs w:val="20"/>
                <w:color w:val="auto"/>
              </w:rPr>
            </w:pPr>
            <w:r>
              <w:rPr>
                <w:rFonts w:ascii="Arial" w:cs="Arial" w:eastAsia="Arial" w:hAnsi="Arial"/>
                <w:sz w:val="13"/>
                <w:szCs w:val="13"/>
                <w:color w:val="auto"/>
              </w:rPr>
              <w:t>Guaranties of the Indebtedness of others</w:t>
            </w:r>
          </w:p>
        </w:tc>
        <w:tc>
          <w:tcPr>
            <w:tcW w:w="14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60" w:type="dxa"/>
            <w:vAlign w:val="bottom"/>
          </w:tcPr>
          <w:p>
            <w:pPr>
              <w:spacing w:after="0" w:line="138" w:lineRule="exact"/>
              <w:rPr>
                <w:sz w:val="20"/>
                <w:szCs w:val="20"/>
                <w:color w:val="auto"/>
              </w:rPr>
            </w:pPr>
            <w:r>
              <w:rPr>
                <w:rFonts w:ascii="Arial" w:cs="Arial" w:eastAsia="Arial" w:hAnsi="Arial"/>
                <w:sz w:val="13"/>
                <w:szCs w:val="13"/>
                <w:color w:val="auto"/>
              </w:rPr>
              <w:t>(xi)</w:t>
            </w:r>
          </w:p>
        </w:tc>
      </w:tr>
      <w:tr>
        <w:trPr>
          <w:trHeight w:val="137"/>
        </w:trPr>
        <w:tc>
          <w:tcPr>
            <w:tcW w:w="9140" w:type="dxa"/>
            <w:vAlign w:val="bottom"/>
          </w:tcPr>
          <w:p>
            <w:pPr>
              <w:ind w:left="140"/>
              <w:spacing w:after="0" w:line="138" w:lineRule="exact"/>
              <w:rPr>
                <w:sz w:val="20"/>
                <w:szCs w:val="20"/>
                <w:color w:val="auto"/>
              </w:rPr>
            </w:pPr>
            <w:r>
              <w:rPr>
                <w:rFonts w:ascii="Arial" w:cs="Arial" w:eastAsia="Arial" w:hAnsi="Arial"/>
                <w:sz w:val="13"/>
                <w:szCs w:val="13"/>
                <w:color w:val="auto"/>
              </w:rPr>
              <w:t>Indebtedness secured by liens or encumbrances on property</w:t>
            </w:r>
          </w:p>
        </w:tc>
        <w:tc>
          <w:tcPr>
            <w:tcW w:w="14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60" w:type="dxa"/>
            <w:vAlign w:val="bottom"/>
          </w:tcPr>
          <w:p>
            <w:pPr>
              <w:spacing w:after="0" w:line="138" w:lineRule="exact"/>
              <w:rPr>
                <w:sz w:val="20"/>
                <w:szCs w:val="20"/>
                <w:color w:val="auto"/>
              </w:rPr>
            </w:pPr>
            <w:r>
              <w:rPr>
                <w:rFonts w:ascii="Arial" w:cs="Arial" w:eastAsia="Arial" w:hAnsi="Arial"/>
                <w:sz w:val="13"/>
                <w:szCs w:val="13"/>
                <w:color w:val="auto"/>
              </w:rPr>
              <w:t>(xii)</w:t>
            </w:r>
          </w:p>
        </w:tc>
      </w:tr>
      <w:tr>
        <w:trPr>
          <w:trHeight w:val="137"/>
        </w:trPr>
        <w:tc>
          <w:tcPr>
            <w:tcW w:w="9140" w:type="dxa"/>
            <w:vAlign w:val="bottom"/>
          </w:tcPr>
          <w:p>
            <w:pPr>
              <w:ind w:left="140"/>
              <w:spacing w:after="0" w:line="138" w:lineRule="exact"/>
              <w:rPr>
                <w:sz w:val="20"/>
                <w:szCs w:val="20"/>
                <w:color w:val="auto"/>
              </w:rPr>
            </w:pPr>
            <w:r>
              <w:rPr>
                <w:rFonts w:ascii="Arial" w:cs="Arial" w:eastAsia="Arial" w:hAnsi="Arial"/>
                <w:sz w:val="13"/>
                <w:szCs w:val="13"/>
                <w:color w:val="auto"/>
              </w:rPr>
              <w:t>Reimbursement obligations with respect to letters of credit</w:t>
            </w:r>
          </w:p>
        </w:tc>
        <w:tc>
          <w:tcPr>
            <w:tcW w:w="14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60" w:type="dxa"/>
            <w:vAlign w:val="bottom"/>
          </w:tcPr>
          <w:p>
            <w:pPr>
              <w:spacing w:after="0" w:line="138" w:lineRule="exact"/>
              <w:rPr>
                <w:sz w:val="20"/>
                <w:szCs w:val="20"/>
                <w:color w:val="auto"/>
              </w:rPr>
            </w:pPr>
            <w:r>
              <w:rPr>
                <w:rFonts w:ascii="Arial" w:cs="Arial" w:eastAsia="Arial" w:hAnsi="Arial"/>
                <w:sz w:val="13"/>
                <w:szCs w:val="13"/>
                <w:color w:val="auto"/>
              </w:rPr>
              <w:t>(xiii)</w:t>
            </w:r>
          </w:p>
        </w:tc>
      </w:tr>
      <w:tr>
        <w:trPr>
          <w:trHeight w:val="295"/>
        </w:trPr>
        <w:tc>
          <w:tcPr>
            <w:tcW w:w="9140" w:type="dxa"/>
            <w:vAlign w:val="bottom"/>
          </w:tcPr>
          <w:p>
            <w:pPr>
              <w:spacing w:after="0"/>
              <w:rPr>
                <w:sz w:val="20"/>
                <w:szCs w:val="20"/>
                <w:color w:val="auto"/>
              </w:rPr>
            </w:pPr>
            <w:r>
              <w:rPr>
                <w:rFonts w:ascii="Arial" w:cs="Arial" w:eastAsia="Arial" w:hAnsi="Arial"/>
                <w:sz w:val="13"/>
                <w:szCs w:val="13"/>
                <w:color w:val="auto"/>
              </w:rPr>
              <w:t>Total Debt (sum of v - xiii)</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3"/>
                <w:szCs w:val="13"/>
                <w:color w:val="auto"/>
                <w:w w:val="97"/>
              </w:rPr>
              <w:t>(xiv)</w:t>
            </w:r>
          </w:p>
        </w:tc>
      </w:tr>
      <w:tr>
        <w:trPr>
          <w:trHeight w:val="295"/>
        </w:trPr>
        <w:tc>
          <w:tcPr>
            <w:tcW w:w="9140" w:type="dxa"/>
            <w:vAlign w:val="bottom"/>
          </w:tcPr>
          <w:p>
            <w:pPr>
              <w:spacing w:after="0"/>
              <w:rPr>
                <w:sz w:val="20"/>
                <w:szCs w:val="20"/>
                <w:color w:val="auto"/>
              </w:rPr>
            </w:pPr>
            <w:r>
              <w:rPr>
                <w:rFonts w:ascii="Arial" w:cs="Arial" w:eastAsia="Arial" w:hAnsi="Arial"/>
                <w:sz w:val="13"/>
                <w:szCs w:val="13"/>
                <w:color w:val="auto"/>
              </w:rPr>
              <w:t>Ratio of (xiv) to (iv)</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4"/>
          </w:tcPr>
          <w:p>
            <w:pPr>
              <w:jc w:val="right"/>
              <w:ind w:right="3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r>
      <w:tr>
        <w:trPr>
          <w:trHeight w:val="20"/>
        </w:trPr>
        <w:tc>
          <w:tcPr>
            <w:tcW w:w="9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23"/>
        </w:trPr>
        <w:tc>
          <w:tcPr>
            <w:tcW w:w="9140" w:type="dxa"/>
            <w:vAlign w:val="bottom"/>
          </w:tcPr>
          <w:p>
            <w:pPr>
              <w:ind w:left="140"/>
              <w:spacing w:after="0"/>
              <w:rPr>
                <w:sz w:val="20"/>
                <w:szCs w:val="20"/>
                <w:color w:val="auto"/>
              </w:rPr>
            </w:pPr>
            <w:r>
              <w:rPr>
                <w:rFonts w:ascii="Arial" w:cs="Arial" w:eastAsia="Arial" w:hAnsi="Arial"/>
                <w:sz w:val="13"/>
                <w:szCs w:val="13"/>
                <w:color w:val="auto"/>
              </w:rPr>
              <w:t>Maximum ratio:</w:t>
            </w:r>
          </w:p>
        </w:tc>
        <w:tc>
          <w:tcPr>
            <w:tcW w:w="1400" w:type="dxa"/>
            <w:vAlign w:val="bottom"/>
          </w:tcPr>
          <w:p>
            <w:pPr>
              <w:spacing w:after="0"/>
              <w:rPr>
                <w:sz w:val="24"/>
                <w:szCs w:val="24"/>
                <w:color w:val="auto"/>
              </w:rPr>
            </w:pPr>
          </w:p>
        </w:tc>
        <w:tc>
          <w:tcPr>
            <w:tcW w:w="660" w:type="dxa"/>
            <w:vAlign w:val="bottom"/>
            <w:gridSpan w:val="5"/>
          </w:tcPr>
          <w:p>
            <w:pPr>
              <w:spacing w:after="0"/>
              <w:rPr>
                <w:sz w:val="20"/>
                <w:szCs w:val="20"/>
                <w:color w:val="auto"/>
              </w:rPr>
            </w:pPr>
            <w:r>
              <w:rPr>
                <w:rFonts w:ascii="Arial" w:cs="Arial" w:eastAsia="Arial" w:hAnsi="Arial"/>
                <w:sz w:val="13"/>
                <w:szCs w:val="13"/>
                <w:color w:val="auto"/>
              </w:rPr>
              <w:t>3.50:1.00</w:t>
            </w:r>
          </w:p>
        </w:tc>
        <w:tc>
          <w:tcPr>
            <w:tcW w:w="260" w:type="dxa"/>
            <w:vAlign w:val="bottom"/>
          </w:tcPr>
          <w:p>
            <w:pPr>
              <w:spacing w:after="0"/>
              <w:rPr>
                <w:sz w:val="24"/>
                <w:szCs w:val="24"/>
                <w:color w:val="auto"/>
              </w:rPr>
            </w:pPr>
          </w:p>
        </w:tc>
      </w:tr>
      <w:tr>
        <w:trPr>
          <w:trHeight w:val="295"/>
        </w:trPr>
        <w:tc>
          <w:tcPr>
            <w:tcW w:w="9140" w:type="dxa"/>
            <w:vAlign w:val="bottom"/>
          </w:tcPr>
          <w:p>
            <w:pPr>
              <w:ind w:left="5660"/>
              <w:spacing w:after="0"/>
              <w:rPr>
                <w:sz w:val="20"/>
                <w:szCs w:val="20"/>
                <w:color w:val="auto"/>
              </w:rPr>
            </w:pPr>
            <w:r>
              <w:rPr>
                <w:rFonts w:ascii="Arial" w:cs="Arial" w:eastAsia="Arial" w:hAnsi="Arial"/>
                <w:sz w:val="13"/>
                <w:szCs w:val="13"/>
                <w:color w:val="auto"/>
              </w:rPr>
              <w:t>-2-</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3"/>
        </w:trPr>
        <w:tc>
          <w:tcPr>
            <w:tcW w:w="9140" w:type="dxa"/>
            <w:vAlign w:val="bottom"/>
            <w:tcBorders>
              <w:bottom w:val="single" w:sz="8" w:color="808080"/>
            </w:tcBorders>
          </w:tcPr>
          <w:p>
            <w:pPr>
              <w:spacing w:after="0"/>
              <w:rPr>
                <w:sz w:val="14"/>
                <w:szCs w:val="14"/>
                <w:color w:val="auto"/>
              </w:rPr>
            </w:pPr>
          </w:p>
        </w:tc>
        <w:tc>
          <w:tcPr>
            <w:tcW w:w="14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5" w:right="219" w:bottom="1440" w:gutter="0" w:footer="0" w:header="0"/>
        </w:sectPr>
      </w:pPr>
    </w:p>
    <w:bookmarkStart w:id="214" w:name="page215"/>
    <w:bookmarkEnd w:id="214"/>
    <w:p>
      <w:pPr>
        <w:jc w:val="right"/>
        <w:spacing w:after="0"/>
        <w:rPr>
          <w:sz w:val="20"/>
          <w:szCs w:val="20"/>
          <w:color w:val="auto"/>
        </w:rPr>
      </w:pPr>
      <w:r>
        <w:rPr>
          <w:rFonts w:ascii="Arial" w:cs="Arial" w:eastAsia="Arial" w:hAnsi="Arial"/>
          <w:sz w:val="13"/>
          <w:szCs w:val="13"/>
          <w:b w:val="1"/>
          <w:bCs w:val="1"/>
          <w:color w:val="auto"/>
        </w:rPr>
        <w:t>EXHIBIT 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FORM OF ASSIGNMENT AND ASSUMPTION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ASSIGNMENT AND ASSUMPTION</w:t>
      </w:r>
    </w:p>
    <w:p>
      <w:pPr>
        <w:spacing w:after="0" w:line="90" w:lineRule="exact"/>
        <w:rPr>
          <w:sz w:val="20"/>
          <w:szCs w:val="20"/>
          <w:color w:val="auto"/>
        </w:rPr>
      </w:pPr>
    </w:p>
    <w:p>
      <w:pPr>
        <w:ind w:left="1" w:right="20"/>
        <w:spacing w:after="0" w:line="260" w:lineRule="auto"/>
        <w:rPr>
          <w:sz w:val="20"/>
          <w:szCs w:val="20"/>
          <w:color w:val="auto"/>
        </w:rPr>
      </w:pPr>
      <w:r>
        <w:rPr>
          <w:rFonts w:ascii="Arial" w:cs="Arial" w:eastAsia="Arial" w:hAnsi="Arial"/>
          <w:sz w:val="13"/>
          <w:szCs w:val="13"/>
          <w:color w:val="auto"/>
        </w:rPr>
        <w:t>This Assignment and Assumption (this “</w:t>
      </w:r>
      <w:r>
        <w:rPr>
          <w:rFonts w:ascii="Arial" w:cs="Arial" w:eastAsia="Arial" w:hAnsi="Arial"/>
          <w:sz w:val="13"/>
          <w:szCs w:val="13"/>
          <w:u w:val="single" w:color="auto"/>
          <w:color w:val="auto"/>
        </w:rPr>
        <w:t>Assignment and Assumption</w:t>
      </w:r>
      <w:r>
        <w:rPr>
          <w:rFonts w:ascii="Arial" w:cs="Arial" w:eastAsia="Arial" w:hAnsi="Arial"/>
          <w:sz w:val="13"/>
          <w:szCs w:val="13"/>
          <w:color w:val="auto"/>
        </w:rPr>
        <w:t>”) is dated as of the Effective Date set forth below and is entered into by and between the Assignor identified in item 1 below (the “</w:t>
      </w:r>
      <w:r>
        <w:rPr>
          <w:rFonts w:ascii="Arial" w:cs="Arial" w:eastAsia="Arial" w:hAnsi="Arial"/>
          <w:sz w:val="13"/>
          <w:szCs w:val="13"/>
          <w:u w:val="single" w:color="auto"/>
          <w:color w:val="auto"/>
        </w:rPr>
        <w:t>Assignor</w:t>
      </w:r>
      <w:r>
        <w:rPr>
          <w:rFonts w:ascii="Arial" w:cs="Arial" w:eastAsia="Arial" w:hAnsi="Arial"/>
          <w:sz w:val="13"/>
          <w:szCs w:val="13"/>
          <w:color w:val="auto"/>
        </w:rPr>
        <w:t>”) and the Assignee identified in item 2 below (the “</w:t>
      </w:r>
      <w:r>
        <w:rPr>
          <w:rFonts w:ascii="Arial" w:cs="Arial" w:eastAsia="Arial" w:hAnsi="Arial"/>
          <w:sz w:val="13"/>
          <w:szCs w:val="13"/>
          <w:u w:val="single" w:color="auto"/>
          <w:color w:val="auto"/>
        </w:rPr>
        <w:t>Assignee</w:t>
      </w:r>
      <w:r>
        <w:rPr>
          <w:rFonts w:ascii="Arial" w:cs="Arial" w:eastAsia="Arial" w:hAnsi="Arial"/>
          <w:sz w:val="13"/>
          <w:szCs w:val="13"/>
          <w:color w:val="auto"/>
        </w:rPr>
        <w:t>”). Capitalized terms used but not defined herein shall have the meanings given to them in the Credit Agreement identified below (the “</w:t>
      </w:r>
      <w:r>
        <w:rPr>
          <w:rFonts w:ascii="Arial" w:cs="Arial" w:eastAsia="Arial" w:hAnsi="Arial"/>
          <w:sz w:val="13"/>
          <w:szCs w:val="13"/>
          <w:u w:val="single" w:color="auto"/>
          <w:color w:val="auto"/>
        </w:rPr>
        <w:t>Credit Agreement</w:t>
      </w:r>
      <w:r>
        <w:rPr>
          <w:rFonts w:ascii="Arial" w:cs="Arial" w:eastAsia="Arial" w:hAnsi="Arial"/>
          <w:sz w:val="13"/>
          <w:szCs w:val="13"/>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60" w:lineRule="exact"/>
        <w:rPr>
          <w:sz w:val="20"/>
          <w:szCs w:val="20"/>
          <w:color w:val="auto"/>
        </w:rPr>
      </w:pPr>
    </w:p>
    <w:p>
      <w:pPr>
        <w:ind w:left="1"/>
        <w:spacing w:after="0" w:line="279" w:lineRule="auto"/>
        <w:rPr>
          <w:sz w:val="20"/>
          <w:szCs w:val="20"/>
          <w:color w:val="auto"/>
        </w:rPr>
      </w:pPr>
      <w:r>
        <w:rPr>
          <w:rFonts w:ascii="Arial" w:cs="Arial" w:eastAsia="Arial" w:hAnsi="Arial"/>
          <w:sz w:val="12"/>
          <w:szCs w:val="12"/>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Bank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without limitation, the Letters of Credit and the Swing Line Loans included in such facilities) and (ii) to the extent permitted to be assigned under applicable law, all claims, suits, causes of action and any other right of the Assignor (in its capacity as a Bank)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 Assignor to the Assignee pursuant to clauses (i) and (ii) above being referred to herein collectively as the “</w:t>
      </w:r>
      <w:r>
        <w:rPr>
          <w:rFonts w:ascii="Arial" w:cs="Arial" w:eastAsia="Arial" w:hAnsi="Arial"/>
          <w:sz w:val="12"/>
          <w:szCs w:val="12"/>
          <w:u w:val="single" w:color="auto"/>
          <w:color w:val="auto"/>
        </w:rPr>
        <w:t>Assigned Interest</w:t>
      </w:r>
      <w:r>
        <w:rPr>
          <w:rFonts w:ascii="Arial" w:cs="Arial" w:eastAsia="Arial" w:hAnsi="Arial"/>
          <w:sz w:val="12"/>
          <w:szCs w:val="12"/>
          <w:color w:val="auto"/>
        </w:rPr>
        <w:t>”). Each such sale and assignment is without recourse to the Assignor and, except as expressly provided in this Assignment and Assumption, without representation or warranty by the Assignor.</w:t>
      </w:r>
    </w:p>
    <w:p>
      <w:pPr>
        <w:spacing w:after="0" w:line="50" w:lineRule="exact"/>
        <w:rPr>
          <w:sz w:val="20"/>
          <w:szCs w:val="20"/>
          <w:color w:val="auto"/>
        </w:rPr>
      </w:pPr>
    </w:p>
    <w:p>
      <w:pPr>
        <w:ind w:left="461" w:hanging="461"/>
        <w:spacing w:after="0"/>
        <w:tabs>
          <w:tab w:leader="none" w:pos="461" w:val="left"/>
        </w:tabs>
        <w:numPr>
          <w:ilvl w:val="0"/>
          <w:numId w:val="155"/>
        </w:numPr>
        <w:rPr>
          <w:rFonts w:ascii="Arial" w:cs="Arial" w:eastAsia="Arial" w:hAnsi="Arial"/>
          <w:sz w:val="13"/>
          <w:szCs w:val="13"/>
          <w:color w:val="auto"/>
        </w:rPr>
      </w:pPr>
      <w:r>
        <w:rPr>
          <w:rFonts w:ascii="Arial" w:cs="Arial" w:eastAsia="Arial" w:hAnsi="Arial"/>
          <w:sz w:val="13"/>
          <w:szCs w:val="13"/>
          <w:u w:val="single" w:color="auto"/>
          <w:color w:val="auto"/>
        </w:rPr>
        <w:t>Assignor</w:t>
      </w:r>
      <w:r>
        <w:rPr>
          <w:rFonts w:ascii="Arial" w:cs="Arial" w:eastAsia="Arial" w:hAnsi="Arial"/>
          <w:sz w:val="13"/>
          <w:szCs w:val="13"/>
          <w:color w:val="auto"/>
        </w:rPr>
        <w:t>:</w:t>
      </w:r>
    </w:p>
    <w:p>
      <w:pPr>
        <w:spacing w:after="0" w:line="96" w:lineRule="exact"/>
        <w:rPr>
          <w:rFonts w:ascii="Arial" w:cs="Arial" w:eastAsia="Arial" w:hAnsi="Arial"/>
          <w:sz w:val="13"/>
          <w:szCs w:val="13"/>
          <w:color w:val="auto"/>
        </w:rPr>
      </w:pPr>
    </w:p>
    <w:p>
      <w:pPr>
        <w:ind w:left="461" w:hanging="461"/>
        <w:spacing w:after="0"/>
        <w:tabs>
          <w:tab w:leader="none" w:pos="461" w:val="left"/>
        </w:tabs>
        <w:numPr>
          <w:ilvl w:val="0"/>
          <w:numId w:val="155"/>
        </w:numPr>
        <w:rPr>
          <w:rFonts w:ascii="Arial" w:cs="Arial" w:eastAsia="Arial" w:hAnsi="Arial"/>
          <w:sz w:val="13"/>
          <w:szCs w:val="13"/>
          <w:color w:val="auto"/>
        </w:rPr>
      </w:pPr>
      <w:r>
        <w:rPr>
          <w:rFonts w:ascii="Arial" w:cs="Arial" w:eastAsia="Arial" w:hAnsi="Arial"/>
          <w:sz w:val="13"/>
          <w:szCs w:val="13"/>
          <w:u w:val="single" w:color="auto"/>
          <w:color w:val="auto"/>
        </w:rPr>
        <w:t>Assignee</w:t>
      </w:r>
      <w:r>
        <w:rPr>
          <w:rFonts w:ascii="Arial" w:cs="Arial" w:eastAsia="Arial" w:hAnsi="Arial"/>
          <w:sz w:val="13"/>
          <w:szCs w:val="13"/>
          <w:color w:val="auto"/>
        </w:rPr>
        <w:t>:</w:t>
      </w:r>
    </w:p>
    <w:p>
      <w:pPr>
        <w:spacing w:after="0" w:line="96" w:lineRule="exact"/>
        <w:rPr>
          <w:rFonts w:ascii="Arial" w:cs="Arial" w:eastAsia="Arial" w:hAnsi="Arial"/>
          <w:sz w:val="13"/>
          <w:szCs w:val="13"/>
          <w:color w:val="auto"/>
        </w:rPr>
      </w:pPr>
    </w:p>
    <w:p>
      <w:pPr>
        <w:ind w:left="461" w:hanging="461"/>
        <w:spacing w:after="0"/>
        <w:tabs>
          <w:tab w:leader="none" w:pos="461" w:val="left"/>
        </w:tabs>
        <w:numPr>
          <w:ilvl w:val="0"/>
          <w:numId w:val="155"/>
        </w:numPr>
        <w:rPr>
          <w:rFonts w:ascii="Arial" w:cs="Arial" w:eastAsia="Arial" w:hAnsi="Arial"/>
          <w:sz w:val="13"/>
          <w:szCs w:val="13"/>
          <w:color w:val="auto"/>
        </w:rPr>
      </w:pPr>
      <w:r>
        <w:rPr>
          <w:rFonts w:ascii="Arial" w:cs="Arial" w:eastAsia="Arial" w:hAnsi="Arial"/>
          <w:sz w:val="13"/>
          <w:szCs w:val="13"/>
          <w:u w:val="single" w:color="auto"/>
          <w:color w:val="auto"/>
        </w:rPr>
        <w:t>Borrower</w:t>
      </w:r>
      <w:r>
        <w:rPr>
          <w:rFonts w:ascii="Arial" w:cs="Arial" w:eastAsia="Arial" w:hAnsi="Arial"/>
          <w:sz w:val="13"/>
          <w:szCs w:val="13"/>
          <w:color w:val="auto"/>
        </w:rPr>
        <w:t>: Waste Management, Inc.</w:t>
      </w:r>
    </w:p>
    <w:p>
      <w:pPr>
        <w:spacing w:after="0" w:line="96" w:lineRule="exact"/>
        <w:rPr>
          <w:rFonts w:ascii="Arial" w:cs="Arial" w:eastAsia="Arial" w:hAnsi="Arial"/>
          <w:sz w:val="13"/>
          <w:szCs w:val="13"/>
          <w:color w:val="auto"/>
        </w:rPr>
      </w:pPr>
    </w:p>
    <w:p>
      <w:pPr>
        <w:ind w:left="461" w:hanging="461"/>
        <w:spacing w:after="0"/>
        <w:tabs>
          <w:tab w:leader="none" w:pos="461" w:val="left"/>
        </w:tabs>
        <w:numPr>
          <w:ilvl w:val="0"/>
          <w:numId w:val="155"/>
        </w:numPr>
        <w:rPr>
          <w:rFonts w:ascii="Arial" w:cs="Arial" w:eastAsia="Arial" w:hAnsi="Arial"/>
          <w:sz w:val="13"/>
          <w:szCs w:val="13"/>
          <w:color w:val="auto"/>
        </w:rPr>
      </w:pPr>
      <w:r>
        <w:rPr>
          <w:rFonts w:ascii="Arial" w:cs="Arial" w:eastAsia="Arial" w:hAnsi="Arial"/>
          <w:sz w:val="13"/>
          <w:szCs w:val="13"/>
          <w:u w:val="single" w:color="auto"/>
          <w:color w:val="auto"/>
        </w:rPr>
        <w:t>Administrative Agent</w:t>
      </w:r>
      <w:r>
        <w:rPr>
          <w:rFonts w:ascii="Arial" w:cs="Arial" w:eastAsia="Arial" w:hAnsi="Arial"/>
          <w:sz w:val="13"/>
          <w:szCs w:val="13"/>
          <w:color w:val="auto"/>
        </w:rPr>
        <w:t>: Bank of America, N.A., as the administrative agent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294640</wp:posOffset>
            </wp:positionV>
            <wp:extent cx="7290435" cy="19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-475615</wp:posOffset>
            </wp:positionV>
            <wp:extent cx="831850"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31850" cy="635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-319405</wp:posOffset>
            </wp:positionV>
            <wp:extent cx="831850"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31850" cy="6350"/>
                    </a:xfrm>
                    <a:prstGeom prst="rect">
                      <a:avLst/>
                    </a:prstGeom>
                    <a:noFill/>
                  </pic:spPr>
                </pic:pic>
              </a:graphicData>
            </a:graphic>
          </wp:anchor>
        </w:drawing>
      </w:r>
    </w:p>
    <w:p>
      <w:pPr>
        <w:sectPr>
          <w:pgSz w:w="11900" w:h="16838" w:orient="portrait"/>
          <w:cols w:equalWidth="0" w:num="1">
            <w:col w:w="11461"/>
          </w:cols>
          <w:pgMar w:left="219" w:top="717" w:right="219" w:bottom="1440" w:gutter="0" w:footer="0" w:header="0"/>
        </w:sectPr>
      </w:pPr>
    </w:p>
    <w:bookmarkStart w:id="215" w:name="page216"/>
    <w:bookmarkEnd w:id="215"/>
    <w:p>
      <w:pPr>
        <w:ind w:left="461" w:right="60" w:hanging="461"/>
        <w:spacing w:after="0" w:line="276" w:lineRule="auto"/>
        <w:tabs>
          <w:tab w:leader="none" w:pos="461" w:val="left"/>
        </w:tabs>
        <w:numPr>
          <w:ilvl w:val="0"/>
          <w:numId w:val="156"/>
        </w:numPr>
        <w:rPr>
          <w:rFonts w:ascii="Arial" w:cs="Arial" w:eastAsia="Arial" w:hAnsi="Arial"/>
          <w:sz w:val="13"/>
          <w:szCs w:val="13"/>
          <w:color w:val="auto"/>
        </w:rPr>
      </w:pPr>
      <w:r>
        <w:rPr>
          <w:rFonts w:ascii="Arial" w:cs="Arial" w:eastAsia="Arial" w:hAnsi="Arial"/>
          <w:sz w:val="13"/>
          <w:szCs w:val="13"/>
          <w:u w:val="single" w:color="auto"/>
          <w:color w:val="auto"/>
        </w:rPr>
        <w:t>Credit Agreement</w:t>
      </w:r>
      <w:r>
        <w:rPr>
          <w:rFonts w:ascii="Arial" w:cs="Arial" w:eastAsia="Arial" w:hAnsi="Arial"/>
          <w:sz w:val="13"/>
          <w:szCs w:val="13"/>
          <w:color w:val="auto"/>
        </w:rPr>
        <w:t>: Credit Agreement, dated as of June 22, 2010, among, Waste Management, Inc., as Borrower, Waste Management Holdings, Inc., as Guarantor, the Banks from time to time party thereto, and Bank of America, N.A., as Administrative Agent, an Issuing Bank, and Swing Line Lender</w:t>
      </w:r>
    </w:p>
    <w:p>
      <w:pPr>
        <w:spacing w:after="0" w:line="59" w:lineRule="exact"/>
        <w:rPr>
          <w:rFonts w:ascii="Arial" w:cs="Arial" w:eastAsia="Arial" w:hAnsi="Arial"/>
          <w:sz w:val="13"/>
          <w:szCs w:val="13"/>
          <w:color w:val="auto"/>
        </w:rPr>
      </w:pPr>
    </w:p>
    <w:p>
      <w:pPr>
        <w:ind w:left="461" w:hanging="461"/>
        <w:spacing w:after="0"/>
        <w:tabs>
          <w:tab w:leader="none" w:pos="461" w:val="left"/>
        </w:tabs>
        <w:numPr>
          <w:ilvl w:val="0"/>
          <w:numId w:val="156"/>
        </w:numPr>
        <w:rPr>
          <w:rFonts w:ascii="Arial" w:cs="Arial" w:eastAsia="Arial" w:hAnsi="Arial"/>
          <w:sz w:val="13"/>
          <w:szCs w:val="13"/>
          <w:color w:val="auto"/>
        </w:rPr>
      </w:pPr>
      <w:r>
        <w:rPr>
          <w:rFonts w:ascii="Arial" w:cs="Arial" w:eastAsia="Arial" w:hAnsi="Arial"/>
          <w:sz w:val="13"/>
          <w:szCs w:val="13"/>
          <w:u w:val="single" w:color="auto"/>
          <w:color w:val="auto"/>
        </w:rPr>
        <w:t>Assigned Interest</w:t>
      </w:r>
      <w:r>
        <w:rPr>
          <w:rFonts w:ascii="Arial" w:cs="Arial" w:eastAsia="Arial" w:hAnsi="Arial"/>
          <w:sz w:val="13"/>
          <w:szCs w:val="13"/>
          <w:color w:val="auto"/>
        </w:rPr>
        <w:t>:</w:t>
      </w:r>
    </w:p>
    <w:p>
      <w:pPr>
        <w:spacing w:after="0" w:line="154" w:lineRule="exact"/>
        <w:rPr>
          <w:sz w:val="20"/>
          <w:szCs w:val="20"/>
          <w:color w:val="auto"/>
        </w:rPr>
      </w:pPr>
    </w:p>
    <w:tbl>
      <w:tblPr>
        <w:tblLayout w:type="fixed"/>
        <w:tblInd w:w="1" w:type="dxa"/>
        <w:tblCellMar>
          <w:top w:w="0" w:type="dxa"/>
          <w:left w:w="0" w:type="dxa"/>
          <w:bottom w:w="0" w:type="dxa"/>
          <w:right w:w="0" w:type="dxa"/>
        </w:tblCellMar>
      </w:tblPr>
      <w:tr>
        <w:trPr>
          <w:trHeight w:val="115"/>
        </w:trPr>
        <w:tc>
          <w:tcPr>
            <w:tcW w:w="2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0" w:type="dxa"/>
            <w:vAlign w:val="bottom"/>
            <w:gridSpan w:val="3"/>
          </w:tcPr>
          <w:p>
            <w:pPr>
              <w:jc w:val="center"/>
              <w:ind w:right="751"/>
              <w:spacing w:after="0"/>
              <w:rPr>
                <w:sz w:val="20"/>
                <w:szCs w:val="20"/>
                <w:color w:val="auto"/>
              </w:rPr>
            </w:pPr>
            <w:r>
              <w:rPr>
                <w:rFonts w:ascii="Arial" w:cs="Arial" w:eastAsia="Arial" w:hAnsi="Arial"/>
                <w:sz w:val="10"/>
                <w:szCs w:val="10"/>
                <w:color w:val="auto"/>
                <w:w w:val="95"/>
              </w:rPr>
              <w:t>Aggregate</w:t>
            </w:r>
          </w:p>
        </w:tc>
        <w:tc>
          <w:tcPr>
            <w:tcW w:w="40" w:type="dxa"/>
            <w:vAlign w:val="bottom"/>
          </w:tcPr>
          <w:p>
            <w:pPr>
              <w:spacing w:after="0"/>
              <w:rPr>
                <w:sz w:val="10"/>
                <w:szCs w:val="10"/>
                <w:color w:val="auto"/>
              </w:rPr>
            </w:pPr>
          </w:p>
        </w:tc>
        <w:tc>
          <w:tcPr>
            <w:tcW w:w="640" w:type="dxa"/>
            <w:vAlign w:val="bottom"/>
          </w:tcPr>
          <w:p>
            <w:pPr>
              <w:jc w:val="center"/>
              <w:ind w:right="48"/>
              <w:spacing w:after="0"/>
              <w:rPr>
                <w:sz w:val="20"/>
                <w:szCs w:val="20"/>
                <w:color w:val="auto"/>
              </w:rPr>
            </w:pPr>
            <w:r>
              <w:rPr>
                <w:rFonts w:ascii="Arial" w:cs="Arial" w:eastAsia="Arial" w:hAnsi="Arial"/>
                <w:sz w:val="10"/>
                <w:szCs w:val="10"/>
                <w:color w:val="auto"/>
              </w:rPr>
              <w:t>Amount of</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ind w:right="8"/>
              <w:spacing w:after="0"/>
              <w:rPr>
                <w:sz w:val="20"/>
                <w:szCs w:val="20"/>
                <w:color w:val="auto"/>
              </w:rPr>
            </w:pPr>
            <w:r>
              <w:rPr>
                <w:rFonts w:ascii="Arial" w:cs="Arial" w:eastAsia="Arial" w:hAnsi="Arial"/>
                <w:sz w:val="10"/>
                <w:szCs w:val="10"/>
                <w:color w:val="auto"/>
                <w:w w:val="85"/>
              </w:rPr>
              <w:t>Percentage</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gridSpan w:val="3"/>
          </w:tcPr>
          <w:p>
            <w:pPr>
              <w:jc w:val="center"/>
              <w:ind w:right="751"/>
              <w:spacing w:after="0" w:line="108" w:lineRule="exact"/>
              <w:rPr>
                <w:sz w:val="20"/>
                <w:szCs w:val="20"/>
                <w:color w:val="auto"/>
              </w:rPr>
            </w:pPr>
            <w:r>
              <w:rPr>
                <w:rFonts w:ascii="Arial" w:cs="Arial" w:eastAsia="Arial" w:hAnsi="Arial"/>
                <w:sz w:val="10"/>
                <w:szCs w:val="10"/>
                <w:color w:val="auto"/>
                <w:w w:val="96"/>
              </w:rPr>
              <w:t>Amount of</w:t>
            </w:r>
          </w:p>
        </w:tc>
        <w:tc>
          <w:tcPr>
            <w:tcW w:w="680" w:type="dxa"/>
            <w:vAlign w:val="bottom"/>
            <w:gridSpan w:val="2"/>
          </w:tcPr>
          <w:p>
            <w:pPr>
              <w:jc w:val="center"/>
              <w:ind w:right="28"/>
              <w:spacing w:after="0" w:line="108" w:lineRule="exact"/>
              <w:rPr>
                <w:sz w:val="20"/>
                <w:szCs w:val="20"/>
                <w:color w:val="auto"/>
              </w:rPr>
            </w:pPr>
            <w:r>
              <w:rPr>
                <w:rFonts w:ascii="Arial" w:cs="Arial" w:eastAsia="Arial" w:hAnsi="Arial"/>
                <w:sz w:val="10"/>
                <w:szCs w:val="10"/>
                <w:color w:val="auto"/>
                <w:w w:val="98"/>
              </w:rPr>
              <w:t>Commitment</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center"/>
              <w:ind w:right="8"/>
              <w:spacing w:after="0" w:line="108" w:lineRule="exact"/>
              <w:rPr>
                <w:sz w:val="20"/>
                <w:szCs w:val="20"/>
                <w:color w:val="auto"/>
              </w:rPr>
            </w:pPr>
            <w:r>
              <w:rPr>
                <w:rFonts w:ascii="Arial" w:cs="Arial" w:eastAsia="Arial" w:hAnsi="Arial"/>
                <w:sz w:val="10"/>
                <w:szCs w:val="10"/>
                <w:color w:val="auto"/>
                <w:w w:val="99"/>
              </w:rPr>
              <w:t>Assigned of</w:t>
            </w: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3"/>
          </w:tcPr>
          <w:p>
            <w:pPr>
              <w:jc w:val="right"/>
              <w:ind w:right="874"/>
              <w:spacing w:after="0" w:line="108" w:lineRule="exact"/>
              <w:rPr>
                <w:sz w:val="20"/>
                <w:szCs w:val="20"/>
                <w:color w:val="auto"/>
              </w:rPr>
            </w:pPr>
            <w:r>
              <w:rPr>
                <w:rFonts w:ascii="Arial" w:cs="Arial" w:eastAsia="Arial" w:hAnsi="Arial"/>
                <w:sz w:val="10"/>
                <w:szCs w:val="10"/>
                <w:color w:val="auto"/>
              </w:rPr>
              <w:t>Facility</w:t>
            </w:r>
          </w:p>
        </w:tc>
        <w:tc>
          <w:tcPr>
            <w:tcW w:w="2000" w:type="dxa"/>
            <w:vAlign w:val="bottom"/>
            <w:gridSpan w:val="3"/>
          </w:tcPr>
          <w:p>
            <w:pPr>
              <w:jc w:val="center"/>
              <w:ind w:right="751"/>
              <w:spacing w:after="0" w:line="108" w:lineRule="exact"/>
              <w:rPr>
                <w:sz w:val="20"/>
                <w:szCs w:val="20"/>
                <w:color w:val="auto"/>
              </w:rPr>
            </w:pPr>
            <w:r>
              <w:rPr>
                <w:rFonts w:ascii="Arial" w:cs="Arial" w:eastAsia="Arial" w:hAnsi="Arial"/>
                <w:sz w:val="10"/>
                <w:szCs w:val="10"/>
                <w:color w:val="auto"/>
                <w:w w:val="96"/>
              </w:rPr>
              <w:t>Commitment/Loans</w:t>
            </w:r>
          </w:p>
        </w:tc>
        <w:tc>
          <w:tcPr>
            <w:tcW w:w="40" w:type="dxa"/>
            <w:vAlign w:val="bottom"/>
          </w:tcPr>
          <w:p>
            <w:pPr>
              <w:spacing w:after="0"/>
              <w:rPr>
                <w:sz w:val="9"/>
                <w:szCs w:val="9"/>
                <w:color w:val="auto"/>
              </w:rPr>
            </w:pPr>
          </w:p>
        </w:tc>
        <w:tc>
          <w:tcPr>
            <w:tcW w:w="640" w:type="dxa"/>
            <w:vAlign w:val="bottom"/>
          </w:tcPr>
          <w:p>
            <w:pPr>
              <w:jc w:val="center"/>
              <w:ind w:right="68"/>
              <w:spacing w:after="0" w:line="108" w:lineRule="exact"/>
              <w:rPr>
                <w:sz w:val="20"/>
                <w:szCs w:val="20"/>
                <w:color w:val="auto"/>
              </w:rPr>
            </w:pPr>
            <w:r>
              <w:rPr>
                <w:rFonts w:ascii="Arial" w:cs="Arial" w:eastAsia="Arial" w:hAnsi="Arial"/>
                <w:sz w:val="10"/>
                <w:szCs w:val="10"/>
                <w:color w:val="auto"/>
                <w:w w:val="93"/>
              </w:rPr>
              <w:t>/Loans</w:t>
            </w:r>
          </w:p>
        </w:tc>
        <w:tc>
          <w:tcPr>
            <w:tcW w:w="620" w:type="dxa"/>
            <w:vAlign w:val="bottom"/>
          </w:tcPr>
          <w:p>
            <w:pPr>
              <w:spacing w:after="0"/>
              <w:rPr>
                <w:sz w:val="9"/>
                <w:szCs w:val="9"/>
                <w:color w:val="auto"/>
              </w:rPr>
            </w:pPr>
          </w:p>
        </w:tc>
        <w:tc>
          <w:tcPr>
            <w:tcW w:w="720" w:type="dxa"/>
            <w:vAlign w:val="bottom"/>
            <w:gridSpan w:val="2"/>
          </w:tcPr>
          <w:p>
            <w:pPr>
              <w:jc w:val="center"/>
              <w:spacing w:after="0" w:line="108" w:lineRule="exact"/>
              <w:rPr>
                <w:sz w:val="20"/>
                <w:szCs w:val="20"/>
                <w:color w:val="auto"/>
              </w:rPr>
            </w:pPr>
            <w:r>
              <w:rPr>
                <w:rFonts w:ascii="Arial" w:cs="Arial" w:eastAsia="Arial" w:hAnsi="Arial"/>
                <w:sz w:val="10"/>
                <w:szCs w:val="10"/>
                <w:color w:val="auto"/>
              </w:rPr>
              <w:t>Commitment/</w:t>
            </w: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jc w:val="center"/>
              <w:spacing w:after="0" w:line="108" w:lineRule="exact"/>
              <w:rPr>
                <w:sz w:val="20"/>
                <w:szCs w:val="20"/>
                <w:color w:val="auto"/>
              </w:rPr>
            </w:pPr>
            <w:r>
              <w:rPr>
                <w:rFonts w:ascii="Arial" w:cs="Arial" w:eastAsia="Arial" w:hAnsi="Arial"/>
                <w:sz w:val="10"/>
                <w:szCs w:val="10"/>
                <w:color w:val="auto"/>
                <w:w w:val="98"/>
              </w:rPr>
              <w:t>CUSIP</w:t>
            </w:r>
          </w:p>
        </w:tc>
        <w:tc>
          <w:tcPr>
            <w:tcW w:w="0" w:type="dxa"/>
            <w:vAlign w:val="bottom"/>
          </w:tcPr>
          <w:p>
            <w:pPr>
              <w:spacing w:after="0"/>
              <w:rPr>
                <w:sz w:val="1"/>
                <w:szCs w:val="1"/>
                <w:color w:val="auto"/>
              </w:rPr>
            </w:pPr>
          </w:p>
        </w:tc>
      </w:tr>
      <w:tr>
        <w:trPr>
          <w:trHeight w:val="121"/>
        </w:trPr>
        <w:tc>
          <w:tcPr>
            <w:tcW w:w="2780" w:type="dxa"/>
            <w:vAlign w:val="bottom"/>
          </w:tcPr>
          <w:p>
            <w:pPr>
              <w:ind w:left="1200"/>
              <w:spacing w:after="0"/>
              <w:rPr>
                <w:sz w:val="20"/>
                <w:szCs w:val="20"/>
                <w:color w:val="auto"/>
              </w:rPr>
            </w:pPr>
            <w:r>
              <w:rPr>
                <w:rFonts w:ascii="Arial" w:cs="Arial" w:eastAsia="Arial" w:hAnsi="Arial"/>
                <w:sz w:val="10"/>
                <w:szCs w:val="10"/>
                <w:color w:val="auto"/>
              </w:rPr>
              <w:t>Assignor</w:t>
            </w:r>
          </w:p>
        </w:tc>
        <w:tc>
          <w:tcPr>
            <w:tcW w:w="500" w:type="dxa"/>
            <w:vAlign w:val="bottom"/>
          </w:tcPr>
          <w:p>
            <w:pPr>
              <w:spacing w:after="0"/>
              <w:rPr>
                <w:sz w:val="10"/>
                <w:szCs w:val="10"/>
                <w:color w:val="auto"/>
              </w:rPr>
            </w:pPr>
          </w:p>
        </w:tc>
        <w:tc>
          <w:tcPr>
            <w:tcW w:w="660" w:type="dxa"/>
            <w:vAlign w:val="bottom"/>
          </w:tcPr>
          <w:p>
            <w:pPr>
              <w:ind w:left="140"/>
              <w:spacing w:after="0"/>
              <w:rPr>
                <w:sz w:val="20"/>
                <w:szCs w:val="20"/>
                <w:color w:val="auto"/>
              </w:rPr>
            </w:pPr>
            <w:r>
              <w:rPr>
                <w:rFonts w:ascii="Arial" w:cs="Arial" w:eastAsia="Arial" w:hAnsi="Arial"/>
                <w:sz w:val="10"/>
                <w:szCs w:val="10"/>
                <w:color w:val="auto"/>
              </w:rPr>
              <w:t>Assignee</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3"/>
          </w:tcPr>
          <w:p>
            <w:pPr>
              <w:jc w:val="right"/>
              <w:ind w:right="854"/>
              <w:spacing w:after="0"/>
              <w:rPr>
                <w:sz w:val="20"/>
                <w:szCs w:val="20"/>
                <w:color w:val="auto"/>
              </w:rPr>
            </w:pPr>
            <w:r>
              <w:rPr>
                <w:rFonts w:ascii="Arial" w:cs="Arial" w:eastAsia="Arial" w:hAnsi="Arial"/>
                <w:sz w:val="10"/>
                <w:szCs w:val="10"/>
                <w:color w:val="auto"/>
              </w:rPr>
              <w:t>Assigned</w:t>
            </w:r>
          </w:p>
        </w:tc>
        <w:tc>
          <w:tcPr>
            <w:tcW w:w="2000" w:type="dxa"/>
            <w:vAlign w:val="bottom"/>
            <w:gridSpan w:val="3"/>
          </w:tcPr>
          <w:p>
            <w:pPr>
              <w:jc w:val="center"/>
              <w:ind w:right="771"/>
              <w:spacing w:after="0"/>
              <w:rPr>
                <w:sz w:val="20"/>
                <w:szCs w:val="20"/>
                <w:color w:val="auto"/>
              </w:rPr>
            </w:pPr>
            <w:r>
              <w:rPr>
                <w:rFonts w:ascii="Arial" w:cs="Arial" w:eastAsia="Arial" w:hAnsi="Arial"/>
                <w:sz w:val="10"/>
                <w:szCs w:val="10"/>
                <w:color w:val="auto"/>
                <w:w w:val="98"/>
              </w:rPr>
              <w:t>for all Banks</w:t>
            </w:r>
          </w:p>
        </w:tc>
        <w:tc>
          <w:tcPr>
            <w:tcW w:w="40" w:type="dxa"/>
            <w:vAlign w:val="bottom"/>
          </w:tcPr>
          <w:p>
            <w:pPr>
              <w:spacing w:after="0"/>
              <w:rPr>
                <w:sz w:val="10"/>
                <w:szCs w:val="10"/>
                <w:color w:val="auto"/>
              </w:rPr>
            </w:pPr>
          </w:p>
        </w:tc>
        <w:tc>
          <w:tcPr>
            <w:tcW w:w="640" w:type="dxa"/>
            <w:vAlign w:val="bottom"/>
          </w:tcPr>
          <w:p>
            <w:pPr>
              <w:jc w:val="center"/>
              <w:ind w:right="68"/>
              <w:spacing w:after="0"/>
              <w:rPr>
                <w:sz w:val="20"/>
                <w:szCs w:val="20"/>
                <w:color w:val="auto"/>
              </w:rPr>
            </w:pPr>
            <w:r>
              <w:rPr>
                <w:rFonts w:ascii="Arial" w:cs="Arial" w:eastAsia="Arial" w:hAnsi="Arial"/>
                <w:sz w:val="10"/>
                <w:szCs w:val="10"/>
                <w:color w:val="auto"/>
                <w:w w:val="97"/>
              </w:rPr>
              <w:t>Assigned</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ind w:right="8"/>
              <w:spacing w:after="0"/>
              <w:rPr>
                <w:sz w:val="20"/>
                <w:szCs w:val="20"/>
                <w:color w:val="auto"/>
              </w:rPr>
            </w:pPr>
            <w:r>
              <w:rPr>
                <w:rFonts w:ascii="Arial" w:cs="Arial" w:eastAsia="Arial" w:hAnsi="Arial"/>
                <w:sz w:val="10"/>
                <w:szCs w:val="10"/>
                <w:color w:val="auto"/>
                <w:w w:val="87"/>
              </w:rPr>
              <w:t>Loans</w:t>
            </w:r>
          </w:p>
        </w:tc>
        <w:tc>
          <w:tcPr>
            <w:tcW w:w="40" w:type="dxa"/>
            <w:vAlign w:val="bottom"/>
          </w:tcPr>
          <w:p>
            <w:pPr>
              <w:spacing w:after="0"/>
              <w:rPr>
                <w:sz w:val="10"/>
                <w:szCs w:val="10"/>
                <w:color w:val="auto"/>
              </w:rPr>
            </w:pPr>
          </w:p>
        </w:tc>
        <w:tc>
          <w:tcPr>
            <w:tcW w:w="640" w:type="dxa"/>
            <w:vAlign w:val="bottom"/>
            <w:vMerge w:val="restart"/>
          </w:tcPr>
          <w:p>
            <w:pPr>
              <w:jc w:val="right"/>
              <w:ind w:right="454"/>
              <w:spacing w:after="0"/>
              <w:rPr>
                <w:sz w:val="20"/>
                <w:szCs w:val="20"/>
                <w:color w:val="auto"/>
              </w:rPr>
            </w:pPr>
            <w:r>
              <w:rPr>
                <w:rFonts w:ascii="Arial" w:cs="Arial" w:eastAsia="Arial" w:hAnsi="Arial"/>
                <w:sz w:val="13"/>
                <w:szCs w:val="13"/>
                <w:color w:val="auto"/>
                <w:w w:val="86"/>
              </w:rPr>
              <w:t>%</w:t>
            </w:r>
          </w:p>
        </w:tc>
        <w:tc>
          <w:tcPr>
            <w:tcW w:w="640" w:type="dxa"/>
            <w:vAlign w:val="bottom"/>
          </w:tcPr>
          <w:p>
            <w:pPr>
              <w:jc w:val="center"/>
              <w:spacing w:after="0"/>
              <w:rPr>
                <w:sz w:val="20"/>
                <w:szCs w:val="20"/>
                <w:color w:val="auto"/>
              </w:rPr>
            </w:pPr>
            <w:r>
              <w:rPr>
                <w:rFonts w:ascii="Arial" w:cs="Arial" w:eastAsia="Arial" w:hAnsi="Arial"/>
                <w:sz w:val="10"/>
                <w:szCs w:val="10"/>
                <w:color w:val="auto"/>
                <w:w w:val="95"/>
              </w:rPr>
              <w:t>Number</w:t>
            </w:r>
          </w:p>
        </w:tc>
        <w:tc>
          <w:tcPr>
            <w:tcW w:w="0" w:type="dxa"/>
            <w:vAlign w:val="bottom"/>
          </w:tcPr>
          <w:p>
            <w:pPr>
              <w:spacing w:after="0"/>
              <w:rPr>
                <w:sz w:val="1"/>
                <w:szCs w:val="1"/>
                <w:color w:val="auto"/>
              </w:rPr>
            </w:pPr>
          </w:p>
        </w:tc>
      </w:tr>
      <w:tr>
        <w:trPr>
          <w:trHeight w:val="118"/>
        </w:trPr>
        <w:tc>
          <w:tcPr>
            <w:tcW w:w="278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Borders>
              <w:top w:val="single" w:sz="8" w:color="auto"/>
            </w:tcBorders>
          </w:tcPr>
          <w:p>
            <w:pPr>
              <w:jc w:val="right"/>
              <w:spacing w:after="0" w:line="118" w:lineRule="exact"/>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bottom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640" w:type="dxa"/>
            <w:vAlign w:val="bottom"/>
            <w:vMerge w:val="continue"/>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7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spacing w:after="0"/>
              <w:rPr>
                <w:sz w:val="11"/>
                <w:szCs w:val="11"/>
                <w:color w:val="auto"/>
              </w:rPr>
            </w:pPr>
          </w:p>
        </w:tc>
        <w:tc>
          <w:tcPr>
            <w:tcW w:w="6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40" w:type="dxa"/>
            <w:vAlign w:val="bottom"/>
          </w:tcPr>
          <w:p>
            <w:pPr>
              <w:jc w:val="right"/>
              <w:ind w:right="454"/>
              <w:spacing w:after="0" w:line="138" w:lineRule="exact"/>
              <w:rPr>
                <w:sz w:val="20"/>
                <w:szCs w:val="20"/>
                <w:color w:val="auto"/>
              </w:rPr>
            </w:pPr>
            <w:r>
              <w:rPr>
                <w:rFonts w:ascii="Arial" w:cs="Arial" w:eastAsia="Arial" w:hAnsi="Arial"/>
                <w:sz w:val="13"/>
                <w:szCs w:val="13"/>
                <w:color w:val="auto"/>
                <w:w w:val="86"/>
              </w:rPr>
              <w:t>%</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7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spacing w:after="0"/>
              <w:rPr>
                <w:sz w:val="11"/>
                <w:szCs w:val="11"/>
                <w:color w:val="auto"/>
              </w:rPr>
            </w:pPr>
          </w:p>
        </w:tc>
        <w:tc>
          <w:tcPr>
            <w:tcW w:w="6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40" w:type="dxa"/>
            <w:vAlign w:val="bottom"/>
          </w:tcPr>
          <w:p>
            <w:pPr>
              <w:jc w:val="right"/>
              <w:ind w:right="454"/>
              <w:spacing w:after="0" w:line="138" w:lineRule="exact"/>
              <w:rPr>
                <w:sz w:val="20"/>
                <w:szCs w:val="20"/>
                <w:color w:val="auto"/>
              </w:rPr>
            </w:pPr>
            <w:r>
              <w:rPr>
                <w:rFonts w:ascii="Arial" w:cs="Arial" w:eastAsia="Arial" w:hAnsi="Arial"/>
                <w:sz w:val="13"/>
                <w:szCs w:val="13"/>
                <w:color w:val="auto"/>
                <w:w w:val="86"/>
              </w:rPr>
              <w:t>%</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460" w:type="dxa"/>
            <w:vAlign w:val="bottom"/>
          </w:tcPr>
          <w:p>
            <w:pPr>
              <w:spacing w:after="0"/>
              <w:rPr>
                <w:sz w:val="20"/>
                <w:szCs w:val="20"/>
                <w:color w:val="auto"/>
              </w:rPr>
            </w:pPr>
            <w:r>
              <w:rPr>
                <w:rFonts w:ascii="Arial" w:cs="Arial" w:eastAsia="Arial" w:hAnsi="Arial"/>
                <w:sz w:val="13"/>
                <w:szCs w:val="13"/>
                <w:color w:val="auto"/>
              </w:rPr>
              <w:t>[7.</w:t>
            </w:r>
          </w:p>
        </w:tc>
        <w:tc>
          <w:tcPr>
            <w:tcW w:w="640" w:type="dxa"/>
            <w:vAlign w:val="bottom"/>
            <w:gridSpan w:val="3"/>
          </w:tcPr>
          <w:p>
            <w:pPr>
              <w:spacing w:after="0"/>
              <w:rPr>
                <w:sz w:val="20"/>
                <w:szCs w:val="20"/>
                <w:color w:val="auto"/>
              </w:rPr>
            </w:pPr>
            <w:r>
              <w:rPr>
                <w:rFonts w:ascii="Arial" w:cs="Arial" w:eastAsia="Arial" w:hAnsi="Arial"/>
                <w:sz w:val="13"/>
                <w:szCs w:val="13"/>
                <w:color w:val="auto"/>
                <w:w w:val="90"/>
              </w:rPr>
              <w:t>Trade Date:</w:t>
            </w:r>
          </w:p>
        </w:tc>
        <w:tc>
          <w:tcPr>
            <w:tcW w:w="10360" w:type="dxa"/>
            <w:vAlign w:val="bottom"/>
            <w:gridSpan w:val="3"/>
          </w:tcPr>
          <w:p>
            <w:pPr>
              <w:jc w:val="right"/>
              <w:ind w:right="8940"/>
              <w:spacing w:after="0"/>
              <w:rPr>
                <w:sz w:val="20"/>
                <w:szCs w:val="20"/>
                <w:color w:val="auto"/>
              </w:rPr>
            </w:pPr>
            <w:r>
              <w:rPr>
                <w:rFonts w:ascii="Arial" w:cs="Arial" w:eastAsia="Arial" w:hAnsi="Arial"/>
                <w:sz w:val="13"/>
                <w:szCs w:val="13"/>
                <w:color w:val="auto"/>
              </w:rPr>
              <w:t>]</w:t>
            </w:r>
            <w:r>
              <w:rPr>
                <w:rFonts w:ascii="Arial" w:cs="Arial" w:eastAsia="Arial" w:hAnsi="Arial"/>
                <w:sz w:val="11"/>
                <w:szCs w:val="11"/>
                <w:color w:val="auto"/>
              </w:rPr>
              <w:t>1</w:t>
            </w:r>
          </w:p>
        </w:tc>
      </w:tr>
      <w:tr>
        <w:trPr>
          <w:trHeight w:val="20"/>
        </w:trPr>
        <w:tc>
          <w:tcPr>
            <w:tcW w:w="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3"/>
                <w:szCs w:val="13"/>
                <w:color w:val="auto"/>
                <w:w w:val="94"/>
              </w:rPr>
              <w:t>Effective Date:</w:t>
            </w:r>
          </w:p>
        </w:tc>
        <w:tc>
          <w:tcPr>
            <w:tcW w:w="280" w:type="dxa"/>
            <w:vAlign w:val="bottom"/>
            <w:gridSpan w:val="2"/>
          </w:tcPr>
          <w:p>
            <w:pPr>
              <w:spacing w:after="0"/>
              <w:rPr>
                <w:sz w:val="18"/>
                <w:szCs w:val="18"/>
                <w:color w:val="auto"/>
              </w:rPr>
            </w:pPr>
          </w:p>
        </w:tc>
        <w:tc>
          <w:tcPr>
            <w:tcW w:w="10360" w:type="dxa"/>
            <w:vAlign w:val="bottom"/>
            <w:gridSpan w:val="3"/>
          </w:tcPr>
          <w:p>
            <w:pPr>
              <w:jc w:val="right"/>
              <w:spacing w:after="0"/>
              <w:rPr>
                <w:sz w:val="20"/>
                <w:szCs w:val="20"/>
                <w:color w:val="auto"/>
              </w:rPr>
            </w:pPr>
            <w:r>
              <w:rPr>
                <w:rFonts w:ascii="Arial" w:cs="Arial" w:eastAsia="Arial" w:hAnsi="Arial"/>
                <w:sz w:val="13"/>
                <w:szCs w:val="13"/>
                <w:color w:val="auto"/>
              </w:rPr>
              <w:t>, 20___ [TO BE INSERTED BY ADMINISTRATIVE AGENT AND WHICH SHALL BE THE EFFECTIVE DATE OF RECORDATION OF TRANSFER IN THE REGISTER</w:t>
            </w:r>
          </w:p>
        </w:tc>
      </w:tr>
      <w:tr>
        <w:trPr>
          <w:trHeight w:val="165"/>
        </w:trPr>
        <w:tc>
          <w:tcPr>
            <w:tcW w:w="820" w:type="dxa"/>
            <w:vAlign w:val="bottom"/>
            <w:gridSpan w:val="2"/>
          </w:tcPr>
          <w:p>
            <w:pPr>
              <w:spacing w:after="0"/>
              <w:rPr>
                <w:sz w:val="20"/>
                <w:szCs w:val="20"/>
                <w:color w:val="auto"/>
              </w:rPr>
            </w:pPr>
            <w:r>
              <w:rPr>
                <w:rFonts w:ascii="Arial" w:cs="Arial" w:eastAsia="Arial" w:hAnsi="Arial"/>
                <w:sz w:val="13"/>
                <w:szCs w:val="13"/>
                <w:color w:val="auto"/>
              </w:rPr>
              <w:t>THEREFOR.]</w:t>
            </w:r>
          </w:p>
        </w:tc>
        <w:tc>
          <w:tcPr>
            <w:tcW w:w="280" w:type="dxa"/>
            <w:vAlign w:val="bottom"/>
            <w:tcBorders>
              <w:top w:val="single" w:sz="8" w:color="auto"/>
            </w:tcBorders>
            <w:gridSpan w:val="2"/>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040" w:type="dxa"/>
            <w:vAlign w:val="bottom"/>
          </w:tcPr>
          <w:p>
            <w:pPr>
              <w:spacing w:after="0"/>
              <w:rPr>
                <w:sz w:val="14"/>
                <w:szCs w:val="14"/>
                <w:color w:val="auto"/>
              </w:rPr>
            </w:pPr>
          </w:p>
        </w:tc>
      </w:tr>
    </w:tbl>
    <w:p>
      <w:pPr>
        <w:spacing w:after="0" w:line="71" w:lineRule="exact"/>
        <w:rPr>
          <w:sz w:val="20"/>
          <w:szCs w:val="20"/>
          <w:color w:val="auto"/>
        </w:rPr>
      </w:pPr>
    </w:p>
    <w:p>
      <w:pPr>
        <w:ind w:left="1"/>
        <w:spacing w:after="0"/>
        <w:rPr>
          <w:sz w:val="20"/>
          <w:szCs w:val="20"/>
          <w:color w:val="auto"/>
        </w:rPr>
      </w:pPr>
      <w:r>
        <w:rPr>
          <w:rFonts w:ascii="Arial" w:cs="Arial" w:eastAsia="Arial" w:hAnsi="Arial"/>
          <w:sz w:val="13"/>
          <w:szCs w:val="13"/>
          <w:color w:val="auto"/>
        </w:rPr>
        <w:t>The terms set forth in this Assignment and Assumption are hereby agreed to:</w:t>
      </w:r>
    </w:p>
    <w:p>
      <w:pPr>
        <w:spacing w:after="0" w:line="165" w:lineRule="exact"/>
        <w:rPr>
          <w:sz w:val="20"/>
          <w:szCs w:val="20"/>
          <w:color w:val="auto"/>
        </w:rPr>
      </w:pPr>
    </w:p>
    <w:p>
      <w:pPr>
        <w:ind w:left="5441"/>
        <w:spacing w:after="0"/>
        <w:rPr>
          <w:sz w:val="20"/>
          <w:szCs w:val="20"/>
          <w:color w:val="auto"/>
        </w:rPr>
      </w:pPr>
      <w:r>
        <w:rPr>
          <w:rFonts w:ascii="Arial" w:cs="Arial" w:eastAsia="Arial" w:hAnsi="Arial"/>
          <w:sz w:val="13"/>
          <w:szCs w:val="13"/>
          <w:u w:val="single" w:color="auto"/>
          <w:color w:val="auto"/>
        </w:rPr>
        <w:t>ASSIGNOR</w:t>
      </w:r>
    </w:p>
    <w:p>
      <w:pPr>
        <w:spacing w:after="0" w:line="15" w:lineRule="exact"/>
        <w:rPr>
          <w:sz w:val="20"/>
          <w:szCs w:val="20"/>
          <w:color w:val="auto"/>
        </w:rPr>
      </w:pPr>
    </w:p>
    <w:p>
      <w:pPr>
        <w:ind w:left="5441"/>
        <w:spacing w:after="0"/>
        <w:rPr>
          <w:sz w:val="20"/>
          <w:szCs w:val="20"/>
          <w:color w:val="auto"/>
        </w:rPr>
      </w:pPr>
      <w:r>
        <w:rPr>
          <w:rFonts w:ascii="Arial" w:cs="Arial" w:eastAsia="Arial" w:hAnsi="Arial"/>
          <w:sz w:val="13"/>
          <w:szCs w:val="13"/>
          <w:color w:val="auto"/>
        </w:rPr>
        <w:t>[NAME OF ASSIGNOR]</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10795</wp:posOffset>
            </wp:positionV>
            <wp:extent cx="2590165" cy="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jc w:val="center"/>
        <w:ind w:right="-200"/>
        <w:spacing w:after="0"/>
        <w:rPr>
          <w:sz w:val="20"/>
          <w:szCs w:val="20"/>
          <w:color w:val="auto"/>
        </w:rPr>
      </w:pPr>
      <w:r>
        <w:rPr>
          <w:rFonts w:ascii="Arial" w:cs="Arial" w:eastAsia="Arial" w:hAnsi="Arial"/>
          <w:sz w:val="13"/>
          <w:szCs w:val="13"/>
          <w:color w:val="auto"/>
        </w:rPr>
        <w:t>Title:</w:t>
      </w:r>
    </w:p>
    <w:p>
      <w:pPr>
        <w:spacing w:after="0" w:line="200" w:lineRule="exact"/>
        <w:rPr>
          <w:sz w:val="20"/>
          <w:szCs w:val="20"/>
          <w:color w:val="auto"/>
        </w:rPr>
      </w:pPr>
    </w:p>
    <w:p>
      <w:pPr>
        <w:spacing w:after="0" w:line="280" w:lineRule="exact"/>
        <w:rPr>
          <w:sz w:val="20"/>
          <w:szCs w:val="20"/>
          <w:color w:val="auto"/>
        </w:rPr>
      </w:pPr>
    </w:p>
    <w:p>
      <w:pPr>
        <w:ind w:left="5441"/>
        <w:spacing w:after="0"/>
        <w:rPr>
          <w:sz w:val="20"/>
          <w:szCs w:val="20"/>
          <w:color w:val="auto"/>
        </w:rPr>
      </w:pPr>
      <w:r>
        <w:rPr>
          <w:rFonts w:ascii="Arial" w:cs="Arial" w:eastAsia="Arial" w:hAnsi="Arial"/>
          <w:sz w:val="13"/>
          <w:szCs w:val="13"/>
          <w:u w:val="single" w:color="auto"/>
          <w:color w:val="auto"/>
        </w:rPr>
        <w:t>ASSIGNEE</w:t>
      </w:r>
    </w:p>
    <w:p>
      <w:pPr>
        <w:spacing w:after="0" w:line="15" w:lineRule="exact"/>
        <w:rPr>
          <w:sz w:val="20"/>
          <w:szCs w:val="20"/>
          <w:color w:val="auto"/>
        </w:rPr>
      </w:pPr>
    </w:p>
    <w:p>
      <w:pPr>
        <w:ind w:left="5441"/>
        <w:spacing w:after="0"/>
        <w:rPr>
          <w:sz w:val="20"/>
          <w:szCs w:val="20"/>
          <w:color w:val="auto"/>
        </w:rPr>
      </w:pPr>
      <w:r>
        <w:rPr>
          <w:rFonts w:ascii="Arial" w:cs="Arial" w:eastAsia="Arial" w:hAnsi="Arial"/>
          <w:sz w:val="13"/>
          <w:szCs w:val="13"/>
          <w:color w:val="auto"/>
        </w:rPr>
        <w:t>[NAME OF ASSIGNEE]</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10795</wp:posOffset>
            </wp:positionV>
            <wp:extent cx="2590165" cy="6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jc w:val="center"/>
        <w:ind w:right="-200"/>
        <w:spacing w:after="0"/>
        <w:rPr>
          <w:sz w:val="20"/>
          <w:szCs w:val="20"/>
          <w:color w:val="auto"/>
        </w:rPr>
      </w:pPr>
      <w:r>
        <w:rPr>
          <w:rFonts w:ascii="Arial" w:cs="Arial" w:eastAsia="Arial" w:hAnsi="Arial"/>
          <w:sz w:val="13"/>
          <w:szCs w:val="13"/>
          <w:color w:val="auto"/>
        </w:rPr>
        <w:t>Title:</w:t>
      </w:r>
    </w:p>
    <w:p>
      <w:pPr>
        <w:spacing w:after="0" w:line="399" w:lineRule="exact"/>
        <w:rPr>
          <w:sz w:val="20"/>
          <w:szCs w:val="20"/>
          <w:color w:val="auto"/>
        </w:rPr>
      </w:pPr>
    </w:p>
    <w:p>
      <w:pPr>
        <w:ind w:left="1"/>
        <w:spacing w:after="0"/>
        <w:rPr>
          <w:sz w:val="20"/>
          <w:szCs w:val="20"/>
          <w:color w:val="auto"/>
        </w:rPr>
      </w:pPr>
      <w:r>
        <w:rPr>
          <w:rFonts w:ascii="Arial" w:cs="Arial" w:eastAsia="Arial" w:hAnsi="Arial"/>
          <w:sz w:val="13"/>
          <w:szCs w:val="13"/>
          <w:color w:val="auto"/>
        </w:rPr>
        <w:t>[Consented to and]</w:t>
      </w:r>
      <w:r>
        <w:rPr>
          <w:rFonts w:ascii="Arial" w:cs="Arial" w:eastAsia="Arial" w:hAnsi="Arial"/>
          <w:sz w:val="11"/>
          <w:szCs w:val="11"/>
          <w:color w:val="auto"/>
        </w:rPr>
        <w:t>2</w:t>
      </w:r>
      <w:r>
        <w:rPr>
          <w:rFonts w:ascii="Arial" w:cs="Arial" w:eastAsia="Arial" w:hAnsi="Arial"/>
          <w:sz w:val="13"/>
          <w:szCs w:val="13"/>
          <w:color w:val="auto"/>
        </w:rPr>
        <w:t xml:space="preserve"> Accepted:</w:t>
      </w:r>
    </w:p>
    <w:p>
      <w:pPr>
        <w:spacing w:after="0" w:line="89" w:lineRule="exact"/>
        <w:rPr>
          <w:sz w:val="20"/>
          <w:szCs w:val="20"/>
          <w:color w:val="auto"/>
        </w:rPr>
      </w:pPr>
    </w:p>
    <w:p>
      <w:pPr>
        <w:ind w:left="1"/>
        <w:spacing w:after="0"/>
        <w:rPr>
          <w:sz w:val="20"/>
          <w:szCs w:val="20"/>
          <w:color w:val="auto"/>
        </w:rPr>
      </w:pPr>
      <w:r>
        <w:rPr>
          <w:rFonts w:ascii="Arial" w:cs="Arial" w:eastAsia="Arial" w:hAnsi="Arial"/>
          <w:sz w:val="13"/>
          <w:szCs w:val="13"/>
          <w:color w:val="auto"/>
        </w:rPr>
        <w:t>BANK OF AMERICA, N.A., as</w:t>
      </w:r>
    </w:p>
    <w:p>
      <w:pPr>
        <w:spacing w:after="0" w:line="15" w:lineRule="exact"/>
        <w:rPr>
          <w:sz w:val="20"/>
          <w:szCs w:val="20"/>
          <w:color w:val="auto"/>
        </w:rPr>
      </w:pPr>
    </w:p>
    <w:p>
      <w:pPr>
        <w:ind w:left="161"/>
        <w:spacing w:after="0"/>
        <w:rPr>
          <w:sz w:val="20"/>
          <w:szCs w:val="20"/>
          <w:color w:val="auto"/>
        </w:rPr>
      </w:pPr>
      <w:r>
        <w:rPr>
          <w:rFonts w:ascii="Arial" w:cs="Arial" w:eastAsia="Arial" w:hAnsi="Arial"/>
          <w:sz w:val="13"/>
          <w:szCs w:val="13"/>
          <w:color w:val="auto"/>
        </w:rPr>
        <w:t>Administrative Agent</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10795</wp:posOffset>
            </wp:positionV>
            <wp:extent cx="2952115"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952115" cy="6350"/>
                    </a:xfrm>
                    <a:prstGeom prst="rect">
                      <a:avLst/>
                    </a:prstGeom>
                    <a:noFill/>
                  </pic:spPr>
                </pic:pic>
              </a:graphicData>
            </a:graphic>
          </wp:anchor>
        </w:drawing>
      </w:r>
    </w:p>
    <w:p>
      <w:pPr>
        <w:spacing w:after="0" w:line="7" w:lineRule="exact"/>
        <w:rPr>
          <w:sz w:val="20"/>
          <w:szCs w:val="20"/>
          <w:color w:val="auto"/>
        </w:rPr>
      </w:pPr>
    </w:p>
    <w:p>
      <w:pPr>
        <w:jc w:val="center"/>
        <w:ind w:right="10579"/>
        <w:spacing w:after="0"/>
        <w:rPr>
          <w:sz w:val="20"/>
          <w:szCs w:val="20"/>
          <w:color w:val="auto"/>
        </w:rPr>
      </w:pPr>
      <w:r>
        <w:rPr>
          <w:rFonts w:ascii="Arial" w:cs="Arial" w:eastAsia="Arial" w:hAnsi="Arial"/>
          <w:sz w:val="13"/>
          <w:szCs w:val="13"/>
          <w:color w:val="auto"/>
        </w:rPr>
        <w:t>Title:</w:t>
      </w:r>
    </w:p>
    <w:p>
      <w:pPr>
        <w:spacing w:after="0" w:line="84" w:lineRule="exact"/>
        <w:rPr>
          <w:sz w:val="20"/>
          <w:szCs w:val="20"/>
          <w:color w:val="auto"/>
        </w:rPr>
      </w:pPr>
    </w:p>
    <w:p>
      <w:pPr>
        <w:ind w:left="1"/>
        <w:spacing w:after="0"/>
        <w:rPr>
          <w:sz w:val="20"/>
          <w:szCs w:val="20"/>
          <w:color w:val="auto"/>
        </w:rPr>
      </w:pPr>
      <w:r>
        <w:rPr>
          <w:rFonts w:ascii="Arial" w:cs="Arial" w:eastAsia="Arial" w:hAnsi="Arial"/>
          <w:sz w:val="13"/>
          <w:szCs w:val="13"/>
          <w:color w:val="auto"/>
        </w:rPr>
        <w:t>[Consented to:]</w:t>
      </w: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1310640"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65" w:lineRule="exact"/>
        <w:rPr>
          <w:sz w:val="20"/>
          <w:szCs w:val="20"/>
          <w:color w:val="auto"/>
        </w:rPr>
      </w:pPr>
    </w:p>
    <w:p>
      <w:pPr>
        <w:ind w:left="461" w:hanging="461"/>
        <w:spacing w:after="0"/>
        <w:tabs>
          <w:tab w:leader="none" w:pos="461" w:val="left"/>
        </w:tabs>
        <w:numPr>
          <w:ilvl w:val="0"/>
          <w:numId w:val="157"/>
        </w:numPr>
        <w:rPr>
          <w:rFonts w:ascii="Arial" w:cs="Arial" w:eastAsia="Arial" w:hAnsi="Arial"/>
          <w:sz w:val="11"/>
          <w:szCs w:val="11"/>
          <w:color w:val="auto"/>
        </w:rPr>
      </w:pPr>
      <w:r>
        <w:rPr>
          <w:rFonts w:ascii="Arial" w:cs="Arial" w:eastAsia="Arial" w:hAnsi="Arial"/>
          <w:sz w:val="13"/>
          <w:szCs w:val="13"/>
          <w:color w:val="auto"/>
        </w:rPr>
        <w:t>To be completed if the Assignor and the Assignee intend that the minimum assignment amount is to be determined as of the Trade Date.</w:t>
      </w:r>
    </w:p>
    <w:p>
      <w:pPr>
        <w:spacing w:after="0" w:line="54" w:lineRule="exact"/>
        <w:rPr>
          <w:rFonts w:ascii="Arial" w:cs="Arial" w:eastAsia="Arial" w:hAnsi="Arial"/>
          <w:sz w:val="11"/>
          <w:szCs w:val="11"/>
          <w:color w:val="auto"/>
        </w:rPr>
      </w:pPr>
    </w:p>
    <w:p>
      <w:pPr>
        <w:ind w:left="1"/>
        <w:spacing w:after="0"/>
        <w:rPr>
          <w:rFonts w:ascii="Arial" w:cs="Arial" w:eastAsia="Arial" w:hAnsi="Arial"/>
          <w:sz w:val="11"/>
          <w:szCs w:val="11"/>
          <w:color w:val="auto"/>
        </w:rPr>
      </w:pPr>
      <w:r>
        <w:rPr>
          <w:rFonts w:ascii="Arial" w:cs="Arial" w:eastAsia="Arial" w:hAnsi="Arial"/>
          <w:sz w:val="11"/>
          <w:szCs w:val="11"/>
          <w:color w:val="auto"/>
        </w:rPr>
        <w:t>2To be added only if the consent of the Administrative Agent is required by the terms of the Credit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216" w:name="page217"/>
    <w:bookmarkEnd w:id="216"/>
    <w:p>
      <w:pPr>
        <w:ind w:left="1"/>
        <w:spacing w:after="0"/>
        <w:rPr>
          <w:sz w:val="20"/>
          <w:szCs w:val="20"/>
          <w:color w:val="auto"/>
        </w:rPr>
      </w:pPr>
      <w:r>
        <w:rPr>
          <w:rFonts w:ascii="Arial" w:cs="Arial" w:eastAsia="Arial" w:hAnsi="Arial"/>
          <w:sz w:val="13"/>
          <w:szCs w:val="13"/>
          <w:color w:val="auto"/>
        </w:rPr>
        <w:t>[WASTE MANAGEMENT, INC.</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10795</wp:posOffset>
            </wp:positionV>
            <wp:extent cx="2952115"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952115" cy="6350"/>
                    </a:xfrm>
                    <a:prstGeom prst="rect">
                      <a:avLst/>
                    </a:prstGeom>
                    <a:noFill/>
                  </pic:spPr>
                </pic:pic>
              </a:graphicData>
            </a:graphic>
          </wp:anchor>
        </w:drawing>
      </w:r>
    </w:p>
    <w:p>
      <w:pPr>
        <w:spacing w:after="0" w:line="7" w:lineRule="exact"/>
        <w:rPr>
          <w:sz w:val="20"/>
          <w:szCs w:val="20"/>
          <w:color w:val="auto"/>
        </w:rPr>
      </w:pPr>
    </w:p>
    <w:p>
      <w:pPr>
        <w:ind w:left="301"/>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1310640"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63" w:lineRule="exact"/>
        <w:rPr>
          <w:sz w:val="20"/>
          <w:szCs w:val="20"/>
          <w:color w:val="auto"/>
        </w:rPr>
      </w:pPr>
    </w:p>
    <w:p>
      <w:pPr>
        <w:ind w:left="5661" w:right="1459" w:hanging="5661"/>
        <w:spacing w:after="0" w:line="482" w:lineRule="auto"/>
        <w:tabs>
          <w:tab w:leader="none" w:pos="455" w:val="left"/>
        </w:tabs>
        <w:numPr>
          <w:ilvl w:val="0"/>
          <w:numId w:val="158"/>
        </w:numPr>
        <w:rPr>
          <w:rFonts w:ascii="Arial" w:cs="Arial" w:eastAsia="Arial" w:hAnsi="Arial"/>
          <w:sz w:val="11"/>
          <w:szCs w:val="11"/>
          <w:color w:val="auto"/>
        </w:rPr>
      </w:pPr>
      <w:r>
        <w:rPr>
          <w:rFonts w:ascii="Arial" w:cs="Arial" w:eastAsia="Arial" w:hAnsi="Arial"/>
          <w:sz w:val="13"/>
          <w:szCs w:val="13"/>
          <w:color w:val="auto"/>
        </w:rPr>
        <w:t>To be added only if the consent of the Borrower and/or other parties (e.g. Swing Line Lender, Issuing Banks) is required by the terms of the Credit Agreement.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7290435" cy="19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1"/>
          </w:cols>
          <w:pgMar w:left="219" w:top="720" w:right="1440" w:bottom="1440" w:gutter="0" w:footer="0" w:header="0"/>
        </w:sectPr>
      </w:pPr>
    </w:p>
    <w:bookmarkStart w:id="217" w:name="page218"/>
    <w:bookmarkEnd w:id="217"/>
    <w:p>
      <w:pPr>
        <w:jc w:val="right"/>
        <w:spacing w:after="0"/>
        <w:rPr>
          <w:sz w:val="20"/>
          <w:szCs w:val="20"/>
          <w:color w:val="auto"/>
        </w:rPr>
      </w:pPr>
      <w:r>
        <w:rPr>
          <w:rFonts w:ascii="Arial" w:cs="Arial" w:eastAsia="Arial" w:hAnsi="Arial"/>
          <w:sz w:val="13"/>
          <w:szCs w:val="13"/>
          <w:b w:val="1"/>
          <w:bCs w:val="1"/>
          <w:i w:val="1"/>
          <w:iCs w:val="1"/>
          <w:color w:val="auto"/>
        </w:rPr>
        <w:t>ANNEX 1 TO ASSIGNMENT AND ASSUMPTION</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1"/>
          <w:szCs w:val="11"/>
          <w:color w:val="auto"/>
        </w:rPr>
        <w:t>Credit Agreement, dated as of June 22, 2010, among, Waste Management, Inc., as Borrower, Waste Management Holdings, Inc., as Guarantor, the Banks from time to time party thereto, and Bank of America, N.A., as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Administrative Agent, an Issuing Bank, and Swing Line Lender</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STANDARD TERMS AND CONDITIONS FOR</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ASSIGNMENT AND ASSUMPTION</w:t>
      </w:r>
    </w:p>
    <w:p>
      <w:pPr>
        <w:spacing w:after="0" w:line="86" w:lineRule="exact"/>
        <w:rPr>
          <w:sz w:val="20"/>
          <w:szCs w:val="20"/>
          <w:color w:val="auto"/>
        </w:rPr>
      </w:pPr>
    </w:p>
    <w:p>
      <w:pPr>
        <w:ind w:left="300" w:hanging="138"/>
        <w:spacing w:after="0"/>
        <w:tabs>
          <w:tab w:leader="none" w:pos="300" w:val="left"/>
        </w:tabs>
        <w:numPr>
          <w:ilvl w:val="0"/>
          <w:numId w:val="159"/>
        </w:numPr>
        <w:rPr>
          <w:rFonts w:ascii="Arial" w:cs="Arial" w:eastAsia="Arial" w:hAnsi="Arial"/>
          <w:sz w:val="13"/>
          <w:szCs w:val="13"/>
          <w:color w:val="auto"/>
        </w:rPr>
      </w:pP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w:t>
      </w:r>
    </w:p>
    <w:p>
      <w:pPr>
        <w:spacing w:after="0" w:line="86" w:lineRule="exact"/>
        <w:rPr>
          <w:sz w:val="20"/>
          <w:szCs w:val="20"/>
          <w:color w:val="auto"/>
        </w:rPr>
      </w:pPr>
    </w:p>
    <w:p>
      <w:pPr>
        <w:ind w:right="120" w:firstLine="164"/>
        <w:spacing w:after="0" w:line="285" w:lineRule="auto"/>
        <w:rPr>
          <w:sz w:val="20"/>
          <w:szCs w:val="20"/>
          <w:color w:val="auto"/>
        </w:rPr>
      </w:pPr>
      <w:r>
        <w:rPr>
          <w:rFonts w:ascii="Arial" w:cs="Arial" w:eastAsia="Arial" w:hAnsi="Arial"/>
          <w:sz w:val="12"/>
          <w:szCs w:val="12"/>
          <w:color w:val="auto"/>
        </w:rPr>
        <w:t xml:space="preserve">1.1. </w:t>
      </w:r>
      <w:r>
        <w:rPr>
          <w:rFonts w:ascii="Arial" w:cs="Arial" w:eastAsia="Arial" w:hAnsi="Arial"/>
          <w:sz w:val="12"/>
          <w:szCs w:val="12"/>
          <w:u w:val="single" w:color="auto"/>
          <w:color w:val="auto"/>
        </w:rPr>
        <w:t>Assignor</w:t>
      </w:r>
      <w:r>
        <w:rPr>
          <w:rFonts w:ascii="Arial" w:cs="Arial" w:eastAsia="Arial" w:hAnsi="Arial"/>
          <w:sz w:val="12"/>
          <w:szCs w:val="12"/>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46" w:lineRule="exact"/>
        <w:rPr>
          <w:sz w:val="20"/>
          <w:szCs w:val="20"/>
          <w:color w:val="auto"/>
        </w:rPr>
      </w:pPr>
    </w:p>
    <w:p>
      <w:pPr>
        <w:ind w:firstLine="164"/>
        <w:spacing w:after="0" w:line="306" w:lineRule="auto"/>
        <w:rPr>
          <w:sz w:val="20"/>
          <w:szCs w:val="20"/>
          <w:color w:val="auto"/>
        </w:rPr>
      </w:pPr>
      <w:r>
        <w:rPr>
          <w:rFonts w:ascii="Arial" w:cs="Arial" w:eastAsia="Arial" w:hAnsi="Arial"/>
          <w:sz w:val="11"/>
          <w:szCs w:val="11"/>
          <w:color w:val="auto"/>
        </w:rPr>
        <w:t xml:space="preserve">1.2. </w:t>
      </w:r>
      <w:r>
        <w:rPr>
          <w:rFonts w:ascii="Arial" w:cs="Arial" w:eastAsia="Arial" w:hAnsi="Arial"/>
          <w:sz w:val="11"/>
          <w:szCs w:val="11"/>
          <w:u w:val="single" w:color="auto"/>
          <w:color w:val="auto"/>
        </w:rPr>
        <w:t>Assignee</w:t>
      </w:r>
      <w:r>
        <w:rPr>
          <w:rFonts w:ascii="Arial" w:cs="Arial" w:eastAsia="Arial" w:hAnsi="Arial"/>
          <w:sz w:val="11"/>
          <w:szCs w:val="11"/>
          <w:color w:val="auto"/>
        </w:rPr>
        <w:t xml:space="preserve">. the Assignee (a) represents and warrants that (i) it has full power and authority, and has taken all action necessary, to execute and deliver this Assignment and Assumption and to consummate the transactions contemplated hereby and to become a Bank under the Credit Agreement, (ii) it meets all the requirements to be an assignee under </w:t>
      </w:r>
      <w:r>
        <w:rPr>
          <w:rFonts w:ascii="Arial" w:cs="Arial" w:eastAsia="Arial" w:hAnsi="Arial"/>
          <w:sz w:val="11"/>
          <w:szCs w:val="11"/>
          <w:u w:val="single" w:color="auto"/>
          <w:color w:val="auto"/>
        </w:rPr>
        <w:t>Section 20</w:t>
      </w:r>
      <w:r>
        <w:rPr>
          <w:rFonts w:ascii="Arial" w:cs="Arial" w:eastAsia="Arial" w:hAnsi="Arial"/>
          <w:sz w:val="11"/>
          <w:szCs w:val="11"/>
          <w:color w:val="auto"/>
        </w:rPr>
        <w:t xml:space="preserve"> of the Credit Agreement (subject to such consents, if any, as may be required under </w:t>
      </w:r>
      <w:r>
        <w:rPr>
          <w:rFonts w:ascii="Arial" w:cs="Arial" w:eastAsia="Arial" w:hAnsi="Arial"/>
          <w:sz w:val="11"/>
          <w:szCs w:val="11"/>
          <w:u w:val="single" w:color="auto"/>
          <w:color w:val="auto"/>
        </w:rPr>
        <w:t>Section 20</w:t>
      </w:r>
      <w:r>
        <w:rPr>
          <w:rFonts w:ascii="Arial" w:cs="Arial" w:eastAsia="Arial" w:hAnsi="Arial"/>
          <w:sz w:val="11"/>
          <w:szCs w:val="11"/>
          <w:color w:val="auto"/>
        </w:rPr>
        <w:t xml:space="preserve"> of the Credit Agreement), (iii) from and after the Effective Date, it shall be bound by the provisions of the Credit Agreement as a Bank thereunder and, to the extent of the Assigned Interest, shall have the obligations of a Bank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Section 7.4 thereof, as applicable, and such other documents and information as it deems appropriate to make its own credit analysis and decision to enter into this Assignment and Assumption and to purchase the Assigned Interest, (vi) it has, independently and without reliance upon the Administrative Agent or any other Bank and based on such documents and information as it has deemed appropriate, made its own credit analysis and decision to enter into this Assignment and Assumption and to purchase the Assigned Interest, and (vii) if it is a Non-U.S. Bank, attached hereto is any documentation required to be delivered by it pursuant to the terms of the Credit Agreement, duly completed and executed by the Assignee; and (b) agrees that (i) it will, independently and without reliance upon the Administrative Agent, the Assignor or any other Bank, and based on such documents and information as it shall deem appropriate at the time, continue to make its own credit decisions in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18" w:name="page219"/>
    <w:bookmarkEnd w:id="218"/>
    <w:p>
      <w:pPr>
        <w:ind w:right="80"/>
        <w:spacing w:after="0" w:line="276" w:lineRule="auto"/>
        <w:rPr>
          <w:sz w:val="20"/>
          <w:szCs w:val="20"/>
          <w:color w:val="auto"/>
        </w:rPr>
      </w:pPr>
      <w:r>
        <w:rPr>
          <w:rFonts w:ascii="Arial" w:cs="Arial" w:eastAsia="Arial" w:hAnsi="Arial"/>
          <w:sz w:val="13"/>
          <w:szCs w:val="13"/>
          <w:color w:val="auto"/>
        </w:rPr>
        <w:t>taking or not taking action under the Loan Documents, and (ii) it will perform in accordance with their terms all of the obligations which by the terms of the Loan Documents are required to be performed by it as a Bank.</w:t>
      </w:r>
    </w:p>
    <w:p>
      <w:pPr>
        <w:spacing w:after="0" w:line="49" w:lineRule="exact"/>
        <w:rPr>
          <w:sz w:val="20"/>
          <w:szCs w:val="20"/>
          <w:color w:val="auto"/>
        </w:rPr>
      </w:pPr>
    </w:p>
    <w:p>
      <w:pPr>
        <w:ind w:right="240" w:firstLine="162"/>
        <w:spacing w:after="0" w:line="276" w:lineRule="auto"/>
        <w:tabs>
          <w:tab w:leader="none" w:pos="295" w:val="left"/>
        </w:tabs>
        <w:numPr>
          <w:ilvl w:val="0"/>
          <w:numId w:val="160"/>
        </w:numPr>
        <w:rPr>
          <w:rFonts w:ascii="Arial" w:cs="Arial" w:eastAsia="Arial" w:hAnsi="Arial"/>
          <w:sz w:val="13"/>
          <w:szCs w:val="13"/>
          <w:color w:val="auto"/>
        </w:rPr>
      </w:pPr>
      <w:r>
        <w:rPr>
          <w:rFonts w:ascii="Arial" w:cs="Arial" w:eastAsia="Arial" w:hAnsi="Arial"/>
          <w:sz w:val="13"/>
          <w:szCs w:val="13"/>
          <w:u w:val="single" w:color="auto"/>
          <w:color w:val="auto"/>
        </w:rPr>
        <w:t>Payments</w:t>
      </w:r>
      <w:r>
        <w:rPr>
          <w:rFonts w:ascii="Arial" w:cs="Arial" w:eastAsia="Arial" w:hAnsi="Arial"/>
          <w:sz w:val="13"/>
          <w:szCs w:val="13"/>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49" w:lineRule="exact"/>
        <w:rPr>
          <w:rFonts w:ascii="Arial" w:cs="Arial" w:eastAsia="Arial" w:hAnsi="Arial"/>
          <w:sz w:val="13"/>
          <w:szCs w:val="13"/>
          <w:color w:val="auto"/>
        </w:rPr>
      </w:pPr>
    </w:p>
    <w:p>
      <w:pPr>
        <w:ind w:firstLine="162"/>
        <w:spacing w:after="0" w:line="334" w:lineRule="auto"/>
        <w:tabs>
          <w:tab w:leader="none" w:pos="295" w:val="left"/>
        </w:tabs>
        <w:numPr>
          <w:ilvl w:val="0"/>
          <w:numId w:val="160"/>
        </w:numPr>
        <w:rPr>
          <w:rFonts w:ascii="Arial" w:cs="Arial" w:eastAsia="Arial" w:hAnsi="Arial"/>
          <w:sz w:val="11"/>
          <w:szCs w:val="11"/>
          <w:color w:val="auto"/>
        </w:rPr>
      </w:pPr>
      <w:r>
        <w:rPr>
          <w:rFonts w:ascii="Arial" w:cs="Arial" w:eastAsia="Arial" w:hAnsi="Arial"/>
          <w:sz w:val="11"/>
          <w:szCs w:val="11"/>
          <w:u w:val="single" w:color="auto"/>
          <w:color w:val="auto"/>
        </w:rPr>
        <w:t>General Provisions</w:t>
      </w:r>
      <w:r>
        <w:rPr>
          <w:rFonts w:ascii="Arial" w:cs="Arial" w:eastAsia="Arial" w:hAnsi="Arial"/>
          <w:sz w:val="11"/>
          <w:szCs w:val="11"/>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81"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220" w:top="721" w:right="459" w:bottom="1440" w:gutter="0" w:footer="0" w:header="0"/>
        </w:sectPr>
      </w:pPr>
    </w:p>
    <w:bookmarkStart w:id="219" w:name="page220"/>
    <w:bookmarkEnd w:id="219"/>
    <w:p>
      <w:pPr>
        <w:jc w:val="right"/>
        <w:spacing w:after="0"/>
        <w:rPr>
          <w:sz w:val="20"/>
          <w:szCs w:val="20"/>
          <w:color w:val="auto"/>
        </w:rPr>
      </w:pPr>
      <w:r>
        <w:rPr>
          <w:rFonts w:ascii="Arial" w:cs="Arial" w:eastAsia="Arial" w:hAnsi="Arial"/>
          <w:sz w:val="13"/>
          <w:szCs w:val="13"/>
          <w:b w:val="1"/>
          <w:bCs w:val="1"/>
          <w:color w:val="auto"/>
        </w:rPr>
        <w:t>EXHIBIT F</w:t>
      </w:r>
    </w:p>
    <w:p>
      <w:pPr>
        <w:spacing w:after="0" w:line="244" w:lineRule="exact"/>
        <w:rPr>
          <w:sz w:val="20"/>
          <w:szCs w:val="20"/>
          <w:color w:val="auto"/>
        </w:rPr>
      </w:pPr>
    </w:p>
    <w:p>
      <w:pPr>
        <w:ind w:left="4220"/>
        <w:spacing w:after="0"/>
        <w:rPr>
          <w:sz w:val="20"/>
          <w:szCs w:val="20"/>
          <w:color w:val="auto"/>
        </w:rPr>
      </w:pPr>
      <w:r>
        <w:rPr>
          <w:rFonts w:ascii="Arial" w:cs="Arial" w:eastAsia="Arial" w:hAnsi="Arial"/>
          <w:sz w:val="13"/>
          <w:szCs w:val="13"/>
          <w:b w:val="1"/>
          <w:bCs w:val="1"/>
          <w:u w:val="single" w:color="auto"/>
          <w:color w:val="auto"/>
        </w:rPr>
        <w:t>FORM OF COMPETITIVE BID QUOTE REQUEST</w:t>
      </w:r>
    </w:p>
    <w:p>
      <w:pPr>
        <w:spacing w:after="0" w:line="86"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WASTE MANAGEMENT,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Revolving 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“Credit Agreement”) dated as of June 22, 2010</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Competitive Bid Quote Request under Section 4.3</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Total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6798310</wp:posOffset>
            </wp:positionH>
            <wp:positionV relativeFrom="paragraph">
              <wp:posOffset>-7620</wp:posOffset>
            </wp:positionV>
            <wp:extent cx="415925" cy="63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15925" cy="635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Competitive Bid Loans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6798310</wp:posOffset>
            </wp:positionH>
            <wp:positionV relativeFrom="paragraph">
              <wp:posOffset>-7620</wp:posOffset>
            </wp:positionV>
            <wp:extent cx="415925" cy="6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15925"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Competitive Bid Loans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6798310</wp:posOffset>
            </wp:positionH>
            <wp:positionV relativeFrom="paragraph">
              <wp:posOffset>-12065</wp:posOffset>
            </wp:positionV>
            <wp:extent cx="415925" cy="63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15925"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Maximum Drawing Amount of outstanding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6798310</wp:posOffset>
            </wp:positionH>
            <wp:positionV relativeFrom="paragraph">
              <wp:posOffset>-12065</wp:posOffset>
            </wp:positionV>
            <wp:extent cx="415925" cy="63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15925"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Syndicated Loans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6798310</wp:posOffset>
            </wp:positionH>
            <wp:positionV relativeFrom="paragraph">
              <wp:posOffset>-12065</wp:posOffset>
            </wp:positionV>
            <wp:extent cx="415925" cy="63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15925"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Swing Line Loans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6798310</wp:posOffset>
            </wp:positionH>
            <wp:positionV relativeFrom="paragraph">
              <wp:posOffset>-12065</wp:posOffset>
            </wp:positionV>
            <wp:extent cx="415925" cy="63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15925" cy="6350"/>
                    </a:xfrm>
                    <a:prstGeom prst="rect">
                      <a:avLst/>
                    </a:prstGeom>
                    <a:noFill/>
                  </pic:spPr>
                </pic:pic>
              </a:graphicData>
            </a:graphic>
          </wp:anchor>
        </w:drawing>
      </w:r>
    </w:p>
    <w:p>
      <w:pPr>
        <w:ind w:left="140" w:right="2100" w:hanging="146"/>
        <w:spacing w:after="0" w:line="264" w:lineRule="auto"/>
        <w:rPr>
          <w:sz w:val="20"/>
          <w:szCs w:val="20"/>
          <w:color w:val="auto"/>
        </w:rPr>
      </w:pPr>
      <w:r>
        <w:rPr>
          <w:rFonts w:ascii="Arial" w:cs="Arial" w:eastAsia="Arial" w:hAnsi="Arial"/>
          <w:sz w:val="13"/>
          <w:szCs w:val="13"/>
          <w:color w:val="auto"/>
        </w:rPr>
        <w:t>Total of all Outstanding and Requested Competitive Bid Loans (must not exceed the lesser of the Total Commitment minus Total of all Syndicated Loans outstanding, Swing Line Loans outstanding and Maximum Drawing Amount of outstanding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6798310</wp:posOffset>
            </wp:positionH>
            <wp:positionV relativeFrom="paragraph">
              <wp:posOffset>-26670</wp:posOffset>
            </wp:positionV>
            <wp:extent cx="415925" cy="63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15925" cy="6350"/>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080" w:type="dxa"/>
            <w:vAlign w:val="bottom"/>
            <w:gridSpan w:val="2"/>
          </w:tcPr>
          <w:p>
            <w:pPr>
              <w:spacing w:after="0"/>
              <w:rPr>
                <w:sz w:val="20"/>
                <w:szCs w:val="20"/>
                <w:color w:val="auto"/>
              </w:rPr>
            </w:pPr>
            <w:r>
              <w:rPr>
                <w:rFonts w:ascii="Arial" w:cs="Arial" w:eastAsia="Arial" w:hAnsi="Arial"/>
                <w:sz w:val="13"/>
                <w:szCs w:val="13"/>
                <w:color w:val="auto"/>
              </w:rPr>
              <w:t>Type of Competitive Bid Loans Requested</w:t>
            </w:r>
          </w:p>
        </w:tc>
        <w:tc>
          <w:tcPr>
            <w:tcW w:w="1280" w:type="dxa"/>
            <w:vAlign w:val="bottom"/>
            <w:gridSpan w:val="2"/>
          </w:tcPr>
          <w:p>
            <w:pPr>
              <w:ind w:left="80"/>
              <w:spacing w:after="0"/>
              <w:rPr>
                <w:sz w:val="20"/>
                <w:szCs w:val="20"/>
                <w:color w:val="auto"/>
              </w:rPr>
            </w:pPr>
            <w:r>
              <w:rPr>
                <w:rFonts w:ascii="Arial" w:cs="Arial" w:eastAsia="Arial" w:hAnsi="Arial"/>
                <w:sz w:val="13"/>
                <w:szCs w:val="13"/>
                <w:color w:val="auto"/>
              </w:rPr>
              <w:t>Eurodollar/Absolute</w:t>
            </w:r>
          </w:p>
        </w:tc>
      </w:tr>
      <w:tr>
        <w:trPr>
          <w:trHeight w:val="286"/>
        </w:trPr>
        <w:tc>
          <w:tcPr>
            <w:tcW w:w="10060" w:type="dxa"/>
            <w:vAlign w:val="bottom"/>
          </w:tcPr>
          <w:p>
            <w:pPr>
              <w:spacing w:after="0"/>
              <w:rPr>
                <w:sz w:val="20"/>
                <w:szCs w:val="20"/>
                <w:color w:val="auto"/>
              </w:rPr>
            </w:pPr>
            <w:r>
              <w:rPr>
                <w:rFonts w:ascii="Arial" w:cs="Arial" w:eastAsia="Arial" w:hAnsi="Arial"/>
                <w:sz w:val="13"/>
                <w:szCs w:val="13"/>
                <w:color w:val="auto"/>
              </w:rPr>
              <w:t>Requested Drawdown Date</w:t>
            </w: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262"/>
        </w:trPr>
        <w:tc>
          <w:tcPr>
            <w:tcW w:w="100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Principal Amount of</w:t>
            </w:r>
          </w:p>
        </w:tc>
        <w:tc>
          <w:tcPr>
            <w:tcW w:w="5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0"/>
                <w:szCs w:val="10"/>
                <w:color w:val="auto"/>
                <w:w w:val="90"/>
              </w:rPr>
              <w:t>Requested</w:t>
            </w:r>
          </w:p>
        </w:tc>
      </w:tr>
      <w:tr>
        <w:trPr>
          <w:trHeight w:val="121"/>
        </w:trPr>
        <w:tc>
          <w:tcPr>
            <w:tcW w:w="1008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color w:val="auto"/>
                <w:w w:val="95"/>
              </w:rPr>
              <w:t>Competitive Bid Loan Requested</w:t>
            </w:r>
          </w:p>
        </w:tc>
        <w:tc>
          <w:tcPr>
            <w:tcW w:w="560" w:type="dxa"/>
            <w:vAlign w:val="bottom"/>
          </w:tcPr>
          <w:p>
            <w:pPr>
              <w:spacing w:after="0"/>
              <w:rPr>
                <w:sz w:val="10"/>
                <w:szCs w:val="1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3"/>
              </w:rPr>
              <w:t>Interest Period(s)</w:t>
            </w:r>
          </w:p>
        </w:tc>
      </w:tr>
    </w:tbl>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I certify that the above is true and correct, and that all of the conditions set forth in §11 of the Credit Agreement have been satisfied as of the date hereof.</w:t>
      </w:r>
    </w:p>
    <w:p>
      <w:pPr>
        <w:spacing w:after="0" w:line="161" w:lineRule="exact"/>
        <w:rPr>
          <w:sz w:val="20"/>
          <w:szCs w:val="20"/>
          <w:color w:val="auto"/>
        </w:rPr>
      </w:pPr>
    </w:p>
    <w:p>
      <w:pPr>
        <w:ind w:left="5140"/>
        <w:spacing w:after="0"/>
        <w:rPr>
          <w:sz w:val="20"/>
          <w:szCs w:val="20"/>
          <w:color w:val="auto"/>
        </w:rPr>
      </w:pPr>
      <w:r>
        <w:rPr>
          <w:rFonts w:ascii="Arial" w:cs="Arial" w:eastAsia="Arial" w:hAnsi="Arial"/>
          <w:sz w:val="13"/>
          <w:szCs w:val="13"/>
          <w:b w:val="1"/>
          <w:bCs w:val="1"/>
          <w:color w:val="auto"/>
        </w:rPr>
        <w:t>WASTE MANAGEMENT, INC.</w:t>
      </w:r>
    </w:p>
    <w:p>
      <w:pPr>
        <w:spacing w:after="0" w:line="169" w:lineRule="exact"/>
        <w:rPr>
          <w:sz w:val="20"/>
          <w:szCs w:val="20"/>
          <w:color w:val="auto"/>
        </w:rPr>
      </w:pPr>
    </w:p>
    <w:p>
      <w:pPr>
        <w:ind w:left="51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10795</wp:posOffset>
            </wp:positionV>
            <wp:extent cx="2858770" cy="6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858770" cy="6350"/>
                    </a:xfrm>
                    <a:prstGeom prst="rect">
                      <a:avLst/>
                    </a:prstGeom>
                    <a:noFill/>
                  </pic:spPr>
                </pic:pic>
              </a:graphicData>
            </a:graphic>
          </wp:anchor>
        </w:drawing>
      </w:r>
    </w:p>
    <w:p>
      <w:pPr>
        <w:spacing w:after="0" w:line="7" w:lineRule="exact"/>
        <w:rPr>
          <w:sz w:val="20"/>
          <w:szCs w:val="20"/>
          <w:color w:val="auto"/>
        </w:rPr>
      </w:pPr>
    </w:p>
    <w:p>
      <w:pPr>
        <w:ind w:left="514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3269615</wp:posOffset>
            </wp:positionH>
            <wp:positionV relativeFrom="paragraph">
              <wp:posOffset>105410</wp:posOffset>
            </wp:positionV>
            <wp:extent cx="3152140" cy="6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152140" cy="6350"/>
                    </a:xfrm>
                    <a:prstGeom prst="rect">
                      <a:avLst/>
                    </a:prstGeom>
                    <a:noFill/>
                  </pic:spPr>
                </pic:pic>
              </a:graphicData>
            </a:graphic>
          </wp:anchor>
        </w:drawing>
      </w:r>
    </w:p>
    <w:p>
      <w:pPr>
        <w:spacing w:after="0" w:line="157" w:lineRule="exact"/>
        <w:rPr>
          <w:sz w:val="20"/>
          <w:szCs w:val="20"/>
          <w:color w:val="auto"/>
        </w:rPr>
      </w:pPr>
    </w:p>
    <w:p>
      <w:pPr>
        <w:ind w:left="7500"/>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20" w:name="page221"/>
    <w:bookmarkEnd w:id="220"/>
    <w:p>
      <w:pPr>
        <w:jc w:val="right"/>
        <w:spacing w:after="0"/>
        <w:rPr>
          <w:sz w:val="20"/>
          <w:szCs w:val="20"/>
          <w:color w:val="auto"/>
        </w:rPr>
      </w:pPr>
      <w:r>
        <w:rPr>
          <w:rFonts w:ascii="Arial" w:cs="Arial" w:eastAsia="Arial" w:hAnsi="Arial"/>
          <w:sz w:val="13"/>
          <w:szCs w:val="13"/>
          <w:b w:val="1"/>
          <w:bCs w:val="1"/>
          <w:color w:val="auto"/>
        </w:rPr>
        <w:t>EXHIBIT G</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“Borrower”)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Revolving 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“Credit Agreement) dated as of June 22, 2010</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FORM OF INVITATION FOR COMPETITIVE BID QUOTES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ATTN: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REF:</w:t>
      </w:r>
    </w:p>
    <w:p>
      <w:pPr>
        <w:spacing w:after="0" w:line="86" w:lineRule="exact"/>
        <w:rPr>
          <w:sz w:val="20"/>
          <w:szCs w:val="20"/>
          <w:color w:val="auto"/>
        </w:rPr>
      </w:pPr>
    </w:p>
    <w:p>
      <w:pPr>
        <w:spacing w:after="0"/>
        <w:tabs>
          <w:tab w:leader="none" w:pos="580" w:val="left"/>
        </w:tabs>
        <w:rPr>
          <w:sz w:val="20"/>
          <w:szCs w:val="20"/>
          <w:color w:val="auto"/>
        </w:rPr>
      </w:pPr>
      <w:r>
        <w:rPr>
          <w:rFonts w:ascii="Arial" w:cs="Arial" w:eastAsia="Arial" w:hAnsi="Arial"/>
          <w:sz w:val="13"/>
          <w:szCs w:val="13"/>
          <w:color w:val="auto"/>
        </w:rPr>
        <w:t>RE:</w:t>
      </w:r>
      <w:r>
        <w:rPr>
          <w:sz w:val="20"/>
          <w:szCs w:val="20"/>
          <w:color w:val="auto"/>
        </w:rPr>
        <w:tab/>
      </w:r>
      <w:r>
        <w:rPr>
          <w:rFonts w:ascii="Arial" w:cs="Arial" w:eastAsia="Arial" w:hAnsi="Arial"/>
          <w:sz w:val="13"/>
          <w:szCs w:val="13"/>
          <w:color w:val="auto"/>
        </w:rPr>
        <w:t>INVITATION FOR COMPETITIVE BID QUOTES</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3"/>
          <w:szCs w:val="13"/>
          <w:color w:val="auto"/>
        </w:rPr>
        <w:t>AGT DTD / /</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BANK OF AMERICA, N.A., AS ADMINISTRATIVE AGENT INVITATION FOR COMPETITIVE BID QUOTES DATED / /</w:t>
      </w:r>
    </w:p>
    <w:p>
      <w:pPr>
        <w:spacing w:after="0" w:line="86" w:lineRule="exact"/>
        <w:rPr>
          <w:sz w:val="20"/>
          <w:szCs w:val="20"/>
          <w:color w:val="auto"/>
        </w:rPr>
      </w:pPr>
    </w:p>
    <w:p>
      <w:pPr>
        <w:ind w:right="240"/>
        <w:spacing w:after="0" w:line="276" w:lineRule="auto"/>
        <w:rPr>
          <w:sz w:val="20"/>
          <w:szCs w:val="20"/>
          <w:color w:val="auto"/>
        </w:rPr>
      </w:pPr>
      <w:r>
        <w:rPr>
          <w:rFonts w:ascii="Arial" w:cs="Arial" w:eastAsia="Arial" w:hAnsi="Arial"/>
          <w:sz w:val="13"/>
          <w:szCs w:val="13"/>
          <w:color w:val="auto"/>
        </w:rPr>
        <w:t>PURSUANT TO SECTION 4.3 OF THE ABOVE REFERENCED CREDIT AGREEMENT, YOU ARE INVITED TO SUBMIT A COMPETITIVE BID QUOTE TO THE BORROWER FOR THE FOLLOWING PROPOSED COMPETITIVE BID LOAN(S)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DATE OF BORROWING: / /</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AGGREGATE AMOUNT REQUESTED:</w:t>
      </w:r>
    </w:p>
    <w:p>
      <w:pPr>
        <w:spacing w:after="0" w:line="158" w:lineRule="exact"/>
        <w:rPr>
          <w:sz w:val="20"/>
          <w:szCs w:val="20"/>
          <w:color w:val="auto"/>
        </w:rPr>
      </w:pPr>
    </w:p>
    <w:p>
      <w:pPr>
        <w:spacing w:after="0"/>
        <w:tabs>
          <w:tab w:leader="none" w:pos="6520" w:val="left"/>
        </w:tabs>
        <w:rPr>
          <w:sz w:val="20"/>
          <w:szCs w:val="20"/>
          <w:color w:val="auto"/>
        </w:rPr>
      </w:pPr>
      <w:r>
        <w:rPr>
          <w:rFonts w:ascii="Arial" w:cs="Arial" w:eastAsia="Arial" w:hAnsi="Arial"/>
          <w:sz w:val="13"/>
          <w:szCs w:val="13"/>
          <w:u w:val="single" w:color="auto"/>
          <w:color w:val="auto"/>
        </w:rPr>
        <w:t>PRINCIPAL AMOUNT</w:t>
      </w:r>
      <w:r>
        <w:rPr>
          <w:sz w:val="20"/>
          <w:szCs w:val="20"/>
          <w:color w:val="auto"/>
        </w:rPr>
        <w:tab/>
      </w:r>
      <w:r>
        <w:rPr>
          <w:rFonts w:ascii="Arial" w:cs="Arial" w:eastAsia="Arial" w:hAnsi="Arial"/>
          <w:sz w:val="12"/>
          <w:szCs w:val="12"/>
          <w:u w:val="single" w:color="auto"/>
          <w:color w:val="auto"/>
        </w:rPr>
        <w:t>INTEREST PERIOD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SUCH COMPETITIVE BID QUOTES SHOULD OFFER COMPETITIVE BID RATE(S)/MARGIN(S).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PLEASE RESPOND IN WRITING TO THIS INVITATION BY NO LATER THAN ___ A.M./P.M. (NEW YORK TIME ON / / TO ONE OF THE FOLLOWING:</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60" w:type="dxa"/>
            <w:vAlign w:val="bottom"/>
            <w:gridSpan w:val="3"/>
          </w:tcPr>
          <w:p>
            <w:pPr>
              <w:spacing w:after="0"/>
              <w:rPr>
                <w:sz w:val="20"/>
                <w:szCs w:val="20"/>
                <w:color w:val="auto"/>
              </w:rPr>
            </w:pPr>
            <w:r>
              <w:rPr>
                <w:rFonts w:ascii="Arial" w:cs="Arial" w:eastAsia="Arial" w:hAnsi="Arial"/>
                <w:sz w:val="13"/>
                <w:szCs w:val="13"/>
                <w:color w:val="auto"/>
              </w:rPr>
              <w:t xml:space="preserve">PRIMARY FAX NO. </w:t>
            </w:r>
            <w:r>
              <w:rPr>
                <w:rFonts w:ascii="Arial" w:cs="Arial" w:eastAsia="Arial" w:hAnsi="Arial"/>
                <w:sz w:val="13"/>
                <w:szCs w:val="13"/>
                <w:b w:val="1"/>
                <w:bCs w:val="1"/>
                <w:i w:val="1"/>
                <w:iCs w:val="1"/>
                <w:color w:val="auto"/>
              </w:rPr>
              <w:t>[</w:t>
            </w:r>
          </w:p>
        </w:tc>
        <w:tc>
          <w:tcPr>
            <w:tcW w:w="760" w:type="dxa"/>
            <w:vAlign w:val="bottom"/>
            <w:gridSpan w:val="4"/>
          </w:tcPr>
          <w:p>
            <w:pPr>
              <w:ind w:left="40"/>
              <w:spacing w:after="0"/>
              <w:rPr>
                <w:sz w:val="20"/>
                <w:szCs w:val="20"/>
                <w:color w:val="auto"/>
              </w:rPr>
            </w:pPr>
            <w:r>
              <w:rPr>
                <w:rFonts w:ascii="Arial" w:cs="Arial" w:eastAsia="Arial" w:hAnsi="Arial"/>
                <w:sz w:val="13"/>
                <w:szCs w:val="13"/>
                <w:color w:val="auto"/>
              </w:rPr>
              <w:t>(Attn:</w:t>
            </w:r>
          </w:p>
        </w:tc>
        <w:tc>
          <w:tcPr>
            <w:tcW w:w="980" w:type="dxa"/>
            <w:vAlign w:val="bottom"/>
            <w:gridSpan w:val="3"/>
          </w:tcPr>
          <w:p>
            <w:pPr>
              <w:ind w:left="24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Confirm]</w:t>
            </w:r>
          </w:p>
        </w:tc>
      </w:tr>
      <w:tr>
        <w:trPr>
          <w:trHeight w:val="20"/>
        </w:trPr>
        <w:tc>
          <w:tcPr>
            <w:tcW w:w="1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37"/>
        </w:trPr>
        <w:tc>
          <w:tcPr>
            <w:tcW w:w="1360" w:type="dxa"/>
            <w:vAlign w:val="bottom"/>
            <w:gridSpan w:val="2"/>
          </w:tcPr>
          <w:p>
            <w:pPr>
              <w:spacing w:after="0" w:line="138" w:lineRule="exact"/>
              <w:rPr>
                <w:sz w:val="20"/>
                <w:szCs w:val="20"/>
                <w:color w:val="auto"/>
              </w:rPr>
            </w:pPr>
            <w:r>
              <w:rPr>
                <w:rFonts w:ascii="Arial" w:cs="Arial" w:eastAsia="Arial" w:hAnsi="Arial"/>
                <w:sz w:val="13"/>
                <w:szCs w:val="13"/>
                <w:color w:val="auto"/>
                <w:w w:val="95"/>
              </w:rPr>
              <w:t xml:space="preserve">ALTERNATE FAX NO. </w:t>
            </w:r>
            <w:r>
              <w:rPr>
                <w:rFonts w:ascii="Arial" w:cs="Arial" w:eastAsia="Arial" w:hAnsi="Arial"/>
                <w:sz w:val="13"/>
                <w:szCs w:val="13"/>
                <w:b w:val="1"/>
                <w:bCs w:val="1"/>
                <w:i w:val="1"/>
                <w:iCs w:val="1"/>
                <w:color w:val="auto"/>
                <w:w w:val="95"/>
              </w:rPr>
              <w:t>[</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3"/>
          </w:tcPr>
          <w:p>
            <w:pPr>
              <w:ind w:left="20"/>
              <w:spacing w:after="0" w:line="138" w:lineRule="exact"/>
              <w:rPr>
                <w:sz w:val="20"/>
                <w:szCs w:val="20"/>
                <w:color w:val="auto"/>
              </w:rPr>
            </w:pPr>
            <w:r>
              <w:rPr>
                <w:rFonts w:ascii="Arial" w:cs="Arial" w:eastAsia="Arial" w:hAnsi="Arial"/>
                <w:sz w:val="13"/>
                <w:szCs w:val="13"/>
                <w:color w:val="auto"/>
              </w:rPr>
              <w:t>(Attn:</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line="138" w:lineRule="exact"/>
              <w:rPr>
                <w:sz w:val="20"/>
                <w:szCs w:val="20"/>
                <w:color w:val="auto"/>
              </w:rPr>
            </w:pPr>
            <w:r>
              <w:rPr>
                <w:rFonts w:ascii="Arial" w:cs="Arial" w:eastAsia="Arial" w:hAnsi="Arial"/>
                <w:sz w:val="13"/>
                <w:szCs w:val="13"/>
                <w:color w:val="auto"/>
                <w:w w:val="90"/>
              </w:rPr>
              <w:t xml:space="preserve">) </w:t>
            </w:r>
            <w:r>
              <w:rPr>
                <w:rFonts w:ascii="Arial" w:cs="Arial" w:eastAsia="Arial" w:hAnsi="Arial"/>
                <w:sz w:val="13"/>
                <w:szCs w:val="13"/>
                <w:b w:val="1"/>
                <w:bCs w:val="1"/>
                <w:i w:val="1"/>
                <w:iCs w:val="1"/>
                <w:color w:val="auto"/>
                <w:w w:val="90"/>
              </w:rPr>
              <w:t>Confirm]</w:t>
            </w:r>
          </w:p>
        </w:tc>
      </w:tr>
      <w:tr>
        <w:trPr>
          <w:trHeight w:val="20"/>
        </w:trPr>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90" w:lineRule="exact"/>
        <w:rPr>
          <w:sz w:val="20"/>
          <w:szCs w:val="20"/>
          <w:color w:val="auto"/>
        </w:rPr>
      </w:pPr>
    </w:p>
    <w:p>
      <w:pPr>
        <w:ind w:right="260"/>
        <w:spacing w:after="0" w:line="276" w:lineRule="auto"/>
        <w:rPr>
          <w:sz w:val="20"/>
          <w:szCs w:val="20"/>
          <w:color w:val="auto"/>
        </w:rPr>
      </w:pPr>
      <w:r>
        <w:rPr>
          <w:rFonts w:ascii="Arial" w:cs="Arial" w:eastAsia="Arial" w:hAnsi="Arial"/>
          <w:sz w:val="13"/>
          <w:szCs w:val="13"/>
          <w:color w:val="auto"/>
        </w:rPr>
        <w:t>NOTE: PLEASE FOLLOW-UP YOUR SUBMITTED WRITTEN BID(S) WITH PHONE VERIFICATION TO CONFIRM. IF YOU ARE UNABLE TO SEND YOUR FAX DUE TO AN OCCUPIED FAX LINE, PLEASE CALL BY ___ A.M./P.M. IN ADDITION, PLEASE SUBMIT YOUR BID(S) IN SUBSTANTIALLY THE FORM OF “EXHIBIT H” TO THE CREDIT AGREEMENT.</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QUOTES RECEIVED AFTER ___ A.M./P.M. (NEW YORK TIME) WILL NOT BE FORWARDED TO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221" w:name="page222"/>
    <w:bookmarkEnd w:id="221"/>
    <w:p>
      <w:pPr>
        <w:spacing w:after="0"/>
        <w:rPr>
          <w:sz w:val="20"/>
          <w:szCs w:val="20"/>
          <w:color w:val="auto"/>
        </w:rPr>
      </w:pPr>
      <w:r>
        <w:rPr>
          <w:rFonts w:ascii="Arial" w:cs="Arial" w:eastAsia="Arial" w:hAnsi="Arial"/>
          <w:sz w:val="12"/>
          <w:szCs w:val="12"/>
          <w:color w:val="auto"/>
        </w:rPr>
        <w:t>SUBMITTED BIDS MUST BE TEN MILLION DOLLARS OR LARGER MULTIPLE OF ONE MILLION DOLLARS. ALSO, PLEASE SPECIFY LIMITATION AMOUNTS, IF APPLICABLE.</w:t>
      </w:r>
    </w:p>
    <w:p>
      <w:pPr>
        <w:sectPr>
          <w:pgSz w:w="11900" w:h="16838" w:orient="portrait"/>
          <w:cols w:equalWidth="0" w:num="1">
            <w:col w:w="10360"/>
          </w:cols>
          <w:pgMar w:left="220" w:top="721" w:right="1319" w:bottom="1440" w:gutter="0" w:footer="0" w:header="0"/>
        </w:sectPr>
      </w:pPr>
    </w:p>
    <w:p>
      <w:pPr>
        <w:spacing w:after="0" w:line="177" w:lineRule="exact"/>
        <w:rPr>
          <w:sz w:val="20"/>
          <w:szCs w:val="20"/>
          <w:color w:val="auto"/>
        </w:rPr>
      </w:pPr>
    </w:p>
    <w:p>
      <w:pPr>
        <w:ind w:left="5140"/>
        <w:spacing w:after="0"/>
        <w:rPr>
          <w:sz w:val="20"/>
          <w:szCs w:val="20"/>
          <w:color w:val="auto"/>
        </w:rPr>
      </w:pPr>
      <w:r>
        <w:rPr>
          <w:rFonts w:ascii="Arial" w:cs="Arial" w:eastAsia="Arial" w:hAnsi="Arial"/>
          <w:sz w:val="13"/>
          <w:szCs w:val="13"/>
          <w:color w:val="auto"/>
        </w:rPr>
        <w:t>BANK OF AMERICA, N.A.,</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3"/>
          <w:szCs w:val="13"/>
          <w:color w:val="auto"/>
        </w:rPr>
        <w:t>as Administrative Agent</w:t>
      </w:r>
    </w:p>
    <w:p>
      <w:pPr>
        <w:spacing w:after="0" w:line="158" w:lineRule="exact"/>
        <w:rPr>
          <w:sz w:val="20"/>
          <w:szCs w:val="20"/>
          <w:color w:val="auto"/>
        </w:rPr>
      </w:pPr>
    </w:p>
    <w:p>
      <w:pPr>
        <w:ind w:left="51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10795</wp:posOffset>
            </wp:positionV>
            <wp:extent cx="2858770" cy="63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858770" cy="6350"/>
                    </a:xfrm>
                    <a:prstGeom prst="rect">
                      <a:avLst/>
                    </a:prstGeom>
                    <a:noFill/>
                  </pic:spPr>
                </pic:pic>
              </a:graphicData>
            </a:graphic>
          </wp:anchor>
        </w:drawing>
      </w:r>
    </w:p>
    <w:p>
      <w:pPr>
        <w:spacing w:after="0" w:line="7" w:lineRule="exact"/>
        <w:rPr>
          <w:sz w:val="20"/>
          <w:szCs w:val="20"/>
          <w:color w:val="auto"/>
        </w:rPr>
      </w:pPr>
    </w:p>
    <w:p>
      <w:pPr>
        <w:ind w:left="514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10795</wp:posOffset>
            </wp:positionV>
            <wp:extent cx="2858770" cy="63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858770" cy="6350"/>
                    </a:xfrm>
                    <a:prstGeom prst="rect">
                      <a:avLst/>
                    </a:prstGeom>
                    <a:noFill/>
                  </pic:spPr>
                </pic:pic>
              </a:graphicData>
            </a:graphic>
          </wp:anchor>
        </w:drawing>
      </w:r>
    </w:p>
    <w:p>
      <w:pPr>
        <w:spacing w:after="0" w:line="7"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17780</wp:posOffset>
            </wp:positionV>
            <wp:extent cx="2858770" cy="6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858770" cy="6350"/>
                    </a:xfrm>
                    <a:prstGeom prst="rect">
                      <a:avLst/>
                    </a:prstGeom>
                    <a:noFill/>
                  </pic:spPr>
                </pic:pic>
              </a:graphicData>
            </a:graphic>
          </wp:anchor>
        </w:drawing>
      </w:r>
    </w:p>
    <w:p>
      <w:pPr>
        <w:spacing w:after="0" w:line="19"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17780</wp:posOffset>
            </wp:positionV>
            <wp:extent cx="2858770" cy="63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85877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314325</wp:posOffset>
            </wp:positionV>
            <wp:extent cx="7290435" cy="19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60"/>
          </w:cols>
          <w:pgMar w:left="220" w:top="721" w:right="1319" w:bottom="1440" w:gutter="0" w:footer="0" w:header="0"/>
          <w:type w:val="continuous"/>
        </w:sectPr>
      </w:pPr>
    </w:p>
    <w:bookmarkStart w:id="222" w:name="page223"/>
    <w:bookmarkEnd w:id="222"/>
    <w:p>
      <w:pPr>
        <w:jc w:val="right"/>
        <w:spacing w:after="0"/>
        <w:rPr>
          <w:sz w:val="20"/>
          <w:szCs w:val="20"/>
          <w:color w:val="auto"/>
        </w:rPr>
      </w:pPr>
      <w:r>
        <w:rPr>
          <w:rFonts w:ascii="Arial" w:cs="Arial" w:eastAsia="Arial" w:hAnsi="Arial"/>
          <w:sz w:val="13"/>
          <w:szCs w:val="13"/>
          <w:b w:val="1"/>
          <w:bCs w:val="1"/>
          <w:color w:val="auto"/>
        </w:rPr>
        <w:t>EXHIBIT H</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520" w:type="dxa"/>
            <w:vAlign w:val="bottom"/>
            <w:gridSpan w:val="2"/>
          </w:tcPr>
          <w:p>
            <w:pPr>
              <w:jc w:val="center"/>
              <w:spacing w:after="0"/>
              <w:rPr>
                <w:sz w:val="20"/>
                <w:szCs w:val="20"/>
                <w:color w:val="auto"/>
              </w:rPr>
            </w:pPr>
            <w:r>
              <w:rPr>
                <w:rFonts w:ascii="Arial" w:cs="Arial" w:eastAsia="Arial" w:hAnsi="Arial"/>
                <w:sz w:val="13"/>
                <w:szCs w:val="13"/>
                <w:b w:val="1"/>
                <w:bCs w:val="1"/>
                <w:color w:val="auto"/>
              </w:rPr>
              <w:t>FORM OF COMPETITIVE BID QUOTE</w:t>
            </w: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28"/>
        </w:trPr>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5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WASTE MANAGEMENT, INC.</w:t>
            </w: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157"/>
        </w:trPr>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520" w:type="dxa"/>
            <w:vAlign w:val="bottom"/>
            <w:gridSpan w:val="2"/>
          </w:tcPr>
          <w:p>
            <w:pPr>
              <w:jc w:val="center"/>
              <w:spacing w:after="0"/>
              <w:rPr>
                <w:sz w:val="20"/>
                <w:szCs w:val="20"/>
                <w:color w:val="auto"/>
              </w:rPr>
            </w:pPr>
            <w:r>
              <w:rPr>
                <w:rFonts w:ascii="Arial" w:cs="Arial" w:eastAsia="Arial" w:hAnsi="Arial"/>
                <w:sz w:val="13"/>
                <w:szCs w:val="13"/>
                <w:color w:val="auto"/>
                <w:w w:val="93"/>
              </w:rPr>
              <w:t>Revolving Credit Agreement</w:t>
            </w: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165"/>
        </w:trPr>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520" w:type="dxa"/>
            <w:vAlign w:val="bottom"/>
            <w:gridSpan w:val="2"/>
          </w:tcPr>
          <w:p>
            <w:pPr>
              <w:jc w:val="center"/>
              <w:ind w:right="20"/>
              <w:spacing w:after="0"/>
              <w:rPr>
                <w:sz w:val="20"/>
                <w:szCs w:val="20"/>
                <w:color w:val="auto"/>
              </w:rPr>
            </w:pPr>
            <w:r>
              <w:rPr>
                <w:rFonts w:ascii="Arial" w:cs="Arial" w:eastAsia="Arial" w:hAnsi="Arial"/>
                <w:sz w:val="13"/>
                <w:szCs w:val="13"/>
                <w:color w:val="auto"/>
                <w:w w:val="91"/>
              </w:rPr>
              <w:t>(the “Credit Agreement”) dated as of June 22, 2010</w:t>
            </w: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08"/>
        </w:trPr>
        <w:tc>
          <w:tcPr>
            <w:tcW w:w="21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w w:val="91"/>
              </w:rPr>
              <w:t>Competitive Bid Quote under Section 4.5</w:t>
            </w:r>
          </w:p>
        </w:tc>
        <w:tc>
          <w:tcPr>
            <w:tcW w:w="18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95"/>
        </w:trPr>
        <w:tc>
          <w:tcPr>
            <w:tcW w:w="3980" w:type="dxa"/>
            <w:vAlign w:val="bottom"/>
            <w:gridSpan w:val="3"/>
          </w:tcPr>
          <w:p>
            <w:pPr>
              <w:spacing w:after="0"/>
              <w:rPr>
                <w:sz w:val="20"/>
                <w:szCs w:val="20"/>
                <w:color w:val="auto"/>
              </w:rPr>
            </w:pPr>
            <w:r>
              <w:rPr>
                <w:rFonts w:ascii="Arial" w:cs="Arial" w:eastAsia="Arial" w:hAnsi="Arial"/>
                <w:sz w:val="13"/>
                <w:szCs w:val="13"/>
                <w:color w:val="auto"/>
              </w:rPr>
              <w:t>Bank</w:t>
            </w:r>
          </w:p>
        </w:tc>
        <w:tc>
          <w:tcPr>
            <w:tcW w:w="2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60" w:type="dxa"/>
            <w:vAlign w:val="bottom"/>
          </w:tcPr>
          <w:p>
            <w:pPr>
              <w:spacing w:after="0"/>
              <w:rPr>
                <w:sz w:val="24"/>
                <w:szCs w:val="24"/>
                <w:color w:val="auto"/>
              </w:rPr>
            </w:pPr>
          </w:p>
        </w:tc>
      </w:tr>
      <w:tr>
        <w:trPr>
          <w:trHeight w:val="137"/>
        </w:trPr>
        <w:tc>
          <w:tcPr>
            <w:tcW w:w="3980" w:type="dxa"/>
            <w:vAlign w:val="bottom"/>
            <w:gridSpan w:val="3"/>
          </w:tcPr>
          <w:p>
            <w:pPr>
              <w:spacing w:after="0" w:line="138" w:lineRule="exact"/>
              <w:rPr>
                <w:sz w:val="20"/>
                <w:szCs w:val="20"/>
                <w:color w:val="auto"/>
              </w:rPr>
            </w:pPr>
            <w:r>
              <w:rPr>
                <w:rFonts w:ascii="Arial" w:cs="Arial" w:eastAsia="Arial" w:hAnsi="Arial"/>
                <w:sz w:val="13"/>
                <w:szCs w:val="13"/>
                <w:color w:val="auto"/>
              </w:rPr>
              <w:t>Person to Contact</w:t>
            </w:r>
          </w:p>
        </w:tc>
        <w:tc>
          <w:tcPr>
            <w:tcW w:w="23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60" w:type="dxa"/>
            <w:vAlign w:val="bottom"/>
          </w:tcPr>
          <w:p>
            <w:pPr>
              <w:spacing w:after="0"/>
              <w:rPr>
                <w:sz w:val="11"/>
                <w:szCs w:val="11"/>
                <w:color w:val="auto"/>
              </w:rPr>
            </w:pPr>
          </w:p>
        </w:tc>
      </w:tr>
      <w:tr>
        <w:trPr>
          <w:trHeight w:val="295"/>
        </w:trPr>
        <w:tc>
          <w:tcPr>
            <w:tcW w:w="3980" w:type="dxa"/>
            <w:vAlign w:val="bottom"/>
            <w:gridSpan w:val="3"/>
          </w:tcPr>
          <w:p>
            <w:pPr>
              <w:spacing w:after="0"/>
              <w:rPr>
                <w:sz w:val="20"/>
                <w:szCs w:val="20"/>
                <w:color w:val="auto"/>
              </w:rPr>
            </w:pPr>
            <w:r>
              <w:rPr>
                <w:rFonts w:ascii="Arial" w:cs="Arial" w:eastAsia="Arial" w:hAnsi="Arial"/>
                <w:sz w:val="13"/>
                <w:szCs w:val="13"/>
                <w:color w:val="auto"/>
              </w:rPr>
              <w:t>Date of Competitive Bid Quote Request</w:t>
            </w:r>
          </w:p>
        </w:tc>
        <w:tc>
          <w:tcPr>
            <w:tcW w:w="2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60" w:type="dxa"/>
            <w:vAlign w:val="bottom"/>
          </w:tcPr>
          <w:p>
            <w:pPr>
              <w:spacing w:after="0"/>
              <w:rPr>
                <w:sz w:val="24"/>
                <w:szCs w:val="24"/>
                <w:color w:val="auto"/>
              </w:rPr>
            </w:pPr>
          </w:p>
        </w:tc>
      </w:tr>
      <w:tr>
        <w:trPr>
          <w:trHeight w:val="158"/>
        </w:trPr>
        <w:tc>
          <w:tcPr>
            <w:tcW w:w="3980" w:type="dxa"/>
            <w:vAlign w:val="bottom"/>
            <w:gridSpan w:val="3"/>
          </w:tcPr>
          <w:p>
            <w:pPr>
              <w:spacing w:after="0"/>
              <w:rPr>
                <w:sz w:val="20"/>
                <w:szCs w:val="20"/>
                <w:color w:val="auto"/>
              </w:rPr>
            </w:pPr>
            <w:r>
              <w:rPr>
                <w:rFonts w:ascii="Arial" w:cs="Arial" w:eastAsia="Arial" w:hAnsi="Arial"/>
                <w:sz w:val="13"/>
                <w:szCs w:val="13"/>
                <w:color w:val="auto"/>
              </w:rPr>
              <w:t>Type of Competitive Bid Loans Requested</w:t>
            </w:r>
          </w:p>
        </w:tc>
        <w:tc>
          <w:tcPr>
            <w:tcW w:w="2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0" w:type="dxa"/>
            <w:vAlign w:val="bottom"/>
            <w:gridSpan w:val="4"/>
          </w:tcPr>
          <w:p>
            <w:pPr>
              <w:ind w:left="420"/>
              <w:spacing w:after="0"/>
              <w:rPr>
                <w:sz w:val="20"/>
                <w:szCs w:val="20"/>
                <w:color w:val="auto"/>
              </w:rPr>
            </w:pPr>
            <w:r>
              <w:rPr>
                <w:rFonts w:ascii="Arial" w:cs="Arial" w:eastAsia="Arial" w:hAnsi="Arial"/>
                <w:sz w:val="13"/>
                <w:szCs w:val="13"/>
                <w:color w:val="auto"/>
              </w:rPr>
              <w:t>Eurodollar/Absolute</w:t>
            </w:r>
          </w:p>
        </w:tc>
      </w:tr>
      <w:tr>
        <w:trPr>
          <w:trHeight w:val="137"/>
        </w:trPr>
        <w:tc>
          <w:tcPr>
            <w:tcW w:w="3980" w:type="dxa"/>
            <w:vAlign w:val="bottom"/>
            <w:gridSpan w:val="3"/>
          </w:tcPr>
          <w:p>
            <w:pPr>
              <w:spacing w:after="0" w:line="137" w:lineRule="exact"/>
              <w:rPr>
                <w:sz w:val="20"/>
                <w:szCs w:val="20"/>
                <w:color w:val="auto"/>
              </w:rPr>
            </w:pPr>
            <w:r>
              <w:rPr>
                <w:rFonts w:ascii="Arial" w:cs="Arial" w:eastAsia="Arial" w:hAnsi="Arial"/>
                <w:sz w:val="13"/>
                <w:szCs w:val="13"/>
                <w:color w:val="auto"/>
              </w:rPr>
              <w:t>Requested Drawdown Date</w:t>
            </w:r>
          </w:p>
        </w:tc>
        <w:tc>
          <w:tcPr>
            <w:tcW w:w="23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60" w:type="dxa"/>
            <w:vAlign w:val="bottom"/>
          </w:tcPr>
          <w:p>
            <w:pPr>
              <w:spacing w:after="0"/>
              <w:rPr>
                <w:sz w:val="11"/>
                <w:szCs w:val="11"/>
                <w:color w:val="auto"/>
              </w:rPr>
            </w:pPr>
          </w:p>
        </w:tc>
      </w:tr>
      <w:tr>
        <w:trPr>
          <w:trHeight w:val="262"/>
        </w:trPr>
        <w:tc>
          <w:tcPr>
            <w:tcW w:w="3980" w:type="dxa"/>
            <w:vAlign w:val="bottom"/>
            <w:gridSpan w:val="3"/>
          </w:tcPr>
          <w:p>
            <w:pPr>
              <w:jc w:val="center"/>
              <w:ind w:right="1900"/>
              <w:spacing w:after="0"/>
              <w:rPr>
                <w:sz w:val="20"/>
                <w:szCs w:val="20"/>
                <w:color w:val="auto"/>
              </w:rPr>
            </w:pPr>
            <w:r>
              <w:rPr>
                <w:rFonts w:ascii="Arial" w:cs="Arial" w:eastAsia="Arial" w:hAnsi="Arial"/>
                <w:sz w:val="10"/>
                <w:szCs w:val="10"/>
                <w:color w:val="auto"/>
              </w:rPr>
              <w:t>Principal Amount</w:t>
            </w:r>
          </w:p>
        </w:tc>
        <w:tc>
          <w:tcPr>
            <w:tcW w:w="2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60" w:type="dxa"/>
            <w:vAlign w:val="bottom"/>
          </w:tcPr>
          <w:p>
            <w:pPr>
              <w:jc w:val="center"/>
              <w:ind w:right="628"/>
              <w:spacing w:after="0"/>
              <w:rPr>
                <w:sz w:val="20"/>
                <w:szCs w:val="20"/>
                <w:color w:val="auto"/>
              </w:rPr>
            </w:pPr>
            <w:r>
              <w:rPr>
                <w:rFonts w:ascii="Arial" w:cs="Arial" w:eastAsia="Arial" w:hAnsi="Arial"/>
                <w:sz w:val="10"/>
                <w:szCs w:val="10"/>
                <w:color w:val="auto"/>
                <w:w w:val="95"/>
              </w:rPr>
              <w:t>Proposed Competitive</w:t>
            </w:r>
          </w:p>
        </w:tc>
      </w:tr>
      <w:tr>
        <w:trPr>
          <w:trHeight w:val="108"/>
        </w:trPr>
        <w:tc>
          <w:tcPr>
            <w:tcW w:w="3980" w:type="dxa"/>
            <w:vAlign w:val="bottom"/>
            <w:gridSpan w:val="3"/>
          </w:tcPr>
          <w:p>
            <w:pPr>
              <w:jc w:val="center"/>
              <w:ind w:right="1900"/>
              <w:spacing w:after="0" w:line="108" w:lineRule="exact"/>
              <w:rPr>
                <w:sz w:val="20"/>
                <w:szCs w:val="20"/>
                <w:color w:val="auto"/>
              </w:rPr>
            </w:pPr>
            <w:r>
              <w:rPr>
                <w:rFonts w:ascii="Arial" w:cs="Arial" w:eastAsia="Arial" w:hAnsi="Arial"/>
                <w:sz w:val="10"/>
                <w:szCs w:val="10"/>
                <w:color w:val="auto"/>
              </w:rPr>
              <w:t>of Competitive</w:t>
            </w:r>
          </w:p>
        </w:tc>
        <w:tc>
          <w:tcPr>
            <w:tcW w:w="3520" w:type="dxa"/>
            <w:vAlign w:val="bottom"/>
            <w:gridSpan w:val="2"/>
          </w:tcPr>
          <w:p>
            <w:pPr>
              <w:jc w:val="center"/>
              <w:ind w:right="1200"/>
              <w:spacing w:after="0" w:line="108" w:lineRule="exact"/>
              <w:rPr>
                <w:sz w:val="20"/>
                <w:szCs w:val="20"/>
                <w:color w:val="auto"/>
              </w:rPr>
            </w:pPr>
            <w:r>
              <w:rPr>
                <w:rFonts w:ascii="Arial" w:cs="Arial" w:eastAsia="Arial" w:hAnsi="Arial"/>
                <w:sz w:val="10"/>
                <w:szCs w:val="10"/>
                <w:color w:val="auto"/>
                <w:w w:val="90"/>
              </w:rPr>
              <w:t>Requested</w:t>
            </w: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60" w:type="dxa"/>
            <w:vAlign w:val="bottom"/>
          </w:tcPr>
          <w:p>
            <w:pPr>
              <w:jc w:val="center"/>
              <w:ind w:right="648"/>
              <w:spacing w:after="0" w:line="108" w:lineRule="exact"/>
              <w:rPr>
                <w:sz w:val="20"/>
                <w:szCs w:val="20"/>
                <w:color w:val="auto"/>
              </w:rPr>
            </w:pPr>
            <w:r>
              <w:rPr>
                <w:rFonts w:ascii="Arial" w:cs="Arial" w:eastAsia="Arial" w:hAnsi="Arial"/>
                <w:sz w:val="10"/>
                <w:szCs w:val="10"/>
                <w:color w:val="auto"/>
                <w:w w:val="97"/>
              </w:rPr>
              <w:t>Bid Rate/Competitive</w:t>
            </w:r>
          </w:p>
        </w:tc>
      </w:tr>
      <w:tr>
        <w:trPr>
          <w:trHeight w:val="121"/>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Bid Loan Offered</w:t>
            </w:r>
          </w:p>
        </w:tc>
        <w:tc>
          <w:tcPr>
            <w:tcW w:w="1900" w:type="dxa"/>
            <w:vAlign w:val="bottom"/>
            <w:gridSpan w:val="2"/>
          </w:tcPr>
          <w:p>
            <w:pPr>
              <w:spacing w:after="0"/>
              <w:rPr>
                <w:sz w:val="10"/>
                <w:szCs w:val="1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3"/>
              </w:rPr>
              <w:t>Interest Period(s)</w:t>
            </w:r>
          </w:p>
        </w:tc>
        <w:tc>
          <w:tcPr>
            <w:tcW w:w="1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jc w:val="center"/>
              <w:ind w:right="648"/>
              <w:spacing w:after="0"/>
              <w:rPr>
                <w:sz w:val="20"/>
                <w:szCs w:val="20"/>
                <w:color w:val="auto"/>
              </w:rPr>
            </w:pPr>
            <w:r>
              <w:rPr>
                <w:rFonts w:ascii="Arial" w:cs="Arial" w:eastAsia="Arial" w:hAnsi="Arial"/>
                <w:sz w:val="10"/>
                <w:szCs w:val="10"/>
                <w:color w:val="auto"/>
              </w:rPr>
              <w:t>Bid Margin</w:t>
            </w:r>
          </w:p>
        </w:tc>
      </w:tr>
    </w:tbl>
    <w:p>
      <w:pPr>
        <w:spacing w:after="0" w:line="227" w:lineRule="exact"/>
        <w:rPr>
          <w:sz w:val="20"/>
          <w:szCs w:val="20"/>
          <w:color w:val="auto"/>
        </w:rPr>
      </w:pPr>
    </w:p>
    <w:p>
      <w:pPr>
        <w:ind w:right="60"/>
        <w:spacing w:after="0" w:line="276" w:lineRule="auto"/>
        <w:rPr>
          <w:sz w:val="20"/>
          <w:szCs w:val="20"/>
          <w:color w:val="auto"/>
        </w:rPr>
      </w:pPr>
      <w:r>
        <w:rPr>
          <w:rFonts w:ascii="Arial" w:cs="Arial" w:eastAsia="Arial" w:hAnsi="Arial"/>
          <w:sz w:val="13"/>
          <w:szCs w:val="13"/>
          <w:color w:val="auto"/>
        </w:rPr>
        <w:t>I certify that the above is true and correct, and that the offer(s) set forth above irrevocably obligates us to make such Competitive Bid Loan(s) if such offer(s) is/are accepted by the Borrower and all of the conditions set forth in §11 of the Credit Agreement have been satisfied as of the requested Drawdown Date.</w:t>
      </w:r>
    </w:p>
    <w:p>
      <w:pPr>
        <w:spacing w:after="0" w:line="124" w:lineRule="exact"/>
        <w:rPr>
          <w:sz w:val="20"/>
          <w:szCs w:val="20"/>
          <w:color w:val="auto"/>
        </w:rPr>
      </w:pPr>
    </w:p>
    <w:p>
      <w:pPr>
        <w:ind w:left="5140"/>
        <w:spacing w:after="0"/>
        <w:rPr>
          <w:sz w:val="20"/>
          <w:szCs w:val="20"/>
          <w:color w:val="auto"/>
        </w:rPr>
      </w:pPr>
      <w:r>
        <w:rPr>
          <w:rFonts w:ascii="Arial" w:cs="Arial" w:eastAsia="Arial" w:hAnsi="Arial"/>
          <w:sz w:val="13"/>
          <w:szCs w:val="13"/>
          <w:b w:val="1"/>
          <w:bCs w:val="1"/>
          <w:color w:val="auto"/>
        </w:rPr>
        <w:t>[NAME OF BANK]</w:t>
      </w:r>
    </w:p>
    <w:p>
      <w:pPr>
        <w:spacing w:after="0" w:line="169" w:lineRule="exact"/>
        <w:rPr>
          <w:sz w:val="20"/>
          <w:szCs w:val="20"/>
          <w:color w:val="auto"/>
        </w:rPr>
      </w:pPr>
    </w:p>
    <w:p>
      <w:pPr>
        <w:ind w:left="51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10795</wp:posOffset>
            </wp:positionV>
            <wp:extent cx="2858770" cy="6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858770" cy="6350"/>
                    </a:xfrm>
                    <a:prstGeom prst="rect">
                      <a:avLst/>
                    </a:prstGeom>
                    <a:noFill/>
                  </pic:spPr>
                </pic:pic>
              </a:graphicData>
            </a:graphic>
          </wp:anchor>
        </w:drawing>
      </w:r>
    </w:p>
    <w:p>
      <w:pPr>
        <w:spacing w:after="0" w:line="7" w:lineRule="exact"/>
        <w:rPr>
          <w:sz w:val="20"/>
          <w:szCs w:val="20"/>
          <w:color w:val="auto"/>
        </w:rPr>
      </w:pPr>
    </w:p>
    <w:p>
      <w:pPr>
        <w:ind w:left="514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10795</wp:posOffset>
            </wp:positionV>
            <wp:extent cx="2858770" cy="6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858770" cy="6350"/>
                    </a:xfrm>
                    <a:prstGeom prst="rect">
                      <a:avLst/>
                    </a:prstGeom>
                    <a:noFill/>
                  </pic:spPr>
                </pic:pic>
              </a:graphicData>
            </a:graphic>
          </wp:anchor>
        </w:drawing>
      </w:r>
    </w:p>
    <w:p>
      <w:pPr>
        <w:spacing w:after="0" w:line="7" w:lineRule="exact"/>
        <w:rPr>
          <w:sz w:val="20"/>
          <w:szCs w:val="20"/>
          <w:color w:val="auto"/>
        </w:rPr>
      </w:pPr>
    </w:p>
    <w:p>
      <w:pPr>
        <w:ind w:left="514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10795</wp:posOffset>
            </wp:positionV>
            <wp:extent cx="2858770" cy="63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858770" cy="6350"/>
                    </a:xfrm>
                    <a:prstGeom prst="rect">
                      <a:avLst/>
                    </a:prstGeom>
                    <a:noFill/>
                  </pic:spPr>
                </pic:pic>
              </a:graphicData>
            </a:graphic>
          </wp:anchor>
        </w:drawing>
      </w:r>
    </w:p>
    <w:p>
      <w:pPr>
        <w:spacing w:after="0" w:line="7" w:lineRule="exact"/>
        <w:rPr>
          <w:sz w:val="20"/>
          <w:szCs w:val="20"/>
          <w:color w:val="auto"/>
        </w:rPr>
      </w:pPr>
    </w:p>
    <w:p>
      <w:pPr>
        <w:ind w:left="5140"/>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10795</wp:posOffset>
            </wp:positionV>
            <wp:extent cx="2858770" cy="63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85877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306705</wp:posOffset>
            </wp:positionV>
            <wp:extent cx="7290435" cy="190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169"/>
        </w:trPr>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2"/>
          </w:tcPr>
          <w:p>
            <w:pPr>
              <w:ind w:left="660"/>
              <w:spacing w:after="0"/>
              <w:rPr>
                <w:sz w:val="20"/>
                <w:szCs w:val="20"/>
                <w:color w:val="auto"/>
              </w:rPr>
            </w:pPr>
            <w:r>
              <w:rPr>
                <w:rFonts w:ascii="Arial" w:cs="Arial" w:eastAsia="Arial" w:hAnsi="Arial"/>
                <w:sz w:val="13"/>
                <w:szCs w:val="13"/>
                <w:b w:val="1"/>
                <w:bCs w:val="1"/>
                <w:color w:val="auto"/>
              </w:rPr>
              <w:t>EXHIBIT I</w:t>
            </w:r>
          </w:p>
        </w:tc>
      </w:tr>
      <w:tr>
        <w:trPr>
          <w:trHeight w:val="382"/>
        </w:trPr>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0" w:type="dxa"/>
            <w:vAlign w:val="bottom"/>
            <w:gridSpan w:val="3"/>
          </w:tcPr>
          <w:p>
            <w:pPr>
              <w:jc w:val="center"/>
              <w:ind w:right="548"/>
              <w:spacing w:after="0"/>
              <w:rPr>
                <w:sz w:val="20"/>
                <w:szCs w:val="20"/>
                <w:color w:val="auto"/>
              </w:rPr>
            </w:pPr>
            <w:r>
              <w:rPr>
                <w:rFonts w:ascii="Arial" w:cs="Arial" w:eastAsia="Arial" w:hAnsi="Arial"/>
                <w:sz w:val="13"/>
                <w:szCs w:val="13"/>
                <w:b w:val="1"/>
                <w:bCs w:val="1"/>
                <w:color w:val="auto"/>
              </w:rPr>
              <w:t>FORM OF NOTICE OF ACCEPTANCE/REJECTION</w:t>
            </w:r>
          </w:p>
        </w:tc>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9"/>
        </w:trPr>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60" w:type="dxa"/>
            <w:vAlign w:val="bottom"/>
            <w:gridSpan w:val="2"/>
          </w:tcPr>
          <w:p>
            <w:pPr>
              <w:jc w:val="center"/>
              <w:ind w:right="1008"/>
              <w:spacing w:after="0"/>
              <w:rPr>
                <w:sz w:val="20"/>
                <w:szCs w:val="20"/>
                <w:color w:val="auto"/>
              </w:rPr>
            </w:pPr>
            <w:r>
              <w:rPr>
                <w:rFonts w:ascii="Arial" w:cs="Arial" w:eastAsia="Arial" w:hAnsi="Arial"/>
                <w:sz w:val="13"/>
                <w:szCs w:val="13"/>
                <w:b w:val="1"/>
                <w:bCs w:val="1"/>
                <w:color w:val="auto"/>
              </w:rPr>
              <w:t>OF COMPETITIVE BID QUOTE(S)</w:t>
            </w:r>
          </w:p>
        </w:tc>
        <w:tc>
          <w:tcPr>
            <w:tcW w:w="1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28"/>
        </w:trPr>
        <w:tc>
          <w:tcPr>
            <w:tcW w:w="1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360" w:type="dxa"/>
            <w:vAlign w:val="bottom"/>
            <w:gridSpan w:val="2"/>
          </w:tcPr>
          <w:p>
            <w:pPr>
              <w:jc w:val="center"/>
              <w:ind w:right="1008"/>
              <w:spacing w:after="0"/>
              <w:rPr>
                <w:sz w:val="20"/>
                <w:szCs w:val="20"/>
                <w:color w:val="auto"/>
              </w:rPr>
            </w:pPr>
            <w:r>
              <w:rPr>
                <w:rFonts w:ascii="Arial" w:cs="Arial" w:eastAsia="Arial" w:hAnsi="Arial"/>
                <w:sz w:val="13"/>
                <w:szCs w:val="13"/>
                <w:b w:val="1"/>
                <w:bCs w:val="1"/>
                <w:color w:val="auto"/>
              </w:rPr>
              <w:t>WASTE MANAGEMENT, INC.</w:t>
            </w:r>
          </w:p>
        </w:tc>
        <w:tc>
          <w:tcPr>
            <w:tcW w:w="1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157"/>
        </w:trPr>
        <w:tc>
          <w:tcPr>
            <w:tcW w:w="15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360" w:type="dxa"/>
            <w:vAlign w:val="bottom"/>
            <w:gridSpan w:val="2"/>
          </w:tcPr>
          <w:p>
            <w:pPr>
              <w:jc w:val="center"/>
              <w:ind w:right="988"/>
              <w:spacing w:after="0"/>
              <w:rPr>
                <w:sz w:val="20"/>
                <w:szCs w:val="20"/>
                <w:color w:val="auto"/>
              </w:rPr>
            </w:pPr>
            <w:r>
              <w:rPr>
                <w:rFonts w:ascii="Arial" w:cs="Arial" w:eastAsia="Arial" w:hAnsi="Arial"/>
                <w:sz w:val="13"/>
                <w:szCs w:val="13"/>
                <w:color w:val="auto"/>
                <w:w w:val="93"/>
              </w:rPr>
              <w:t>Revolving Credit Agreement</w:t>
            </w:r>
          </w:p>
        </w:tc>
        <w:tc>
          <w:tcPr>
            <w:tcW w:w="1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65"/>
        </w:trPr>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0" w:type="dxa"/>
            <w:vAlign w:val="bottom"/>
            <w:gridSpan w:val="3"/>
          </w:tcPr>
          <w:p>
            <w:pPr>
              <w:jc w:val="center"/>
              <w:ind w:right="568"/>
              <w:spacing w:after="0"/>
              <w:rPr>
                <w:sz w:val="20"/>
                <w:szCs w:val="20"/>
                <w:color w:val="auto"/>
              </w:rPr>
            </w:pPr>
            <w:r>
              <w:rPr>
                <w:rFonts w:ascii="Arial" w:cs="Arial" w:eastAsia="Arial" w:hAnsi="Arial"/>
                <w:sz w:val="13"/>
                <w:szCs w:val="13"/>
                <w:color w:val="auto"/>
                <w:w w:val="91"/>
              </w:rPr>
              <w:t>(the “Credit Agreement”) dated as of June 22, 2010</w:t>
            </w:r>
          </w:p>
        </w:tc>
        <w:tc>
          <w:tcPr>
            <w:tcW w:w="1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08"/>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w w:val="92"/>
              </w:rPr>
              <w:t>Notice of Competitive Bid Quote(s) under Section 4.7</w:t>
            </w:r>
          </w:p>
        </w:tc>
        <w:tc>
          <w:tcPr>
            <w:tcW w:w="4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95"/>
        </w:trPr>
        <w:tc>
          <w:tcPr>
            <w:tcW w:w="3240" w:type="dxa"/>
            <w:vAlign w:val="bottom"/>
            <w:gridSpan w:val="4"/>
          </w:tcPr>
          <w:p>
            <w:pPr>
              <w:spacing w:after="0"/>
              <w:rPr>
                <w:sz w:val="20"/>
                <w:szCs w:val="20"/>
                <w:color w:val="auto"/>
              </w:rPr>
            </w:pPr>
            <w:r>
              <w:rPr>
                <w:rFonts w:ascii="Arial" w:cs="Arial" w:eastAsia="Arial" w:hAnsi="Arial"/>
                <w:sz w:val="13"/>
                <w:szCs w:val="13"/>
                <w:color w:val="auto"/>
              </w:rPr>
              <w:t>Date of Competitive Bid Quote Request</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r>
        <w:trPr>
          <w:trHeight w:val="158"/>
        </w:trPr>
        <w:tc>
          <w:tcPr>
            <w:tcW w:w="3240" w:type="dxa"/>
            <w:vAlign w:val="bottom"/>
            <w:gridSpan w:val="4"/>
          </w:tcPr>
          <w:p>
            <w:pPr>
              <w:spacing w:after="0"/>
              <w:rPr>
                <w:sz w:val="20"/>
                <w:szCs w:val="20"/>
                <w:color w:val="auto"/>
              </w:rPr>
            </w:pPr>
            <w:r>
              <w:rPr>
                <w:rFonts w:ascii="Arial" w:cs="Arial" w:eastAsia="Arial" w:hAnsi="Arial"/>
                <w:sz w:val="13"/>
                <w:szCs w:val="13"/>
                <w:color w:val="auto"/>
              </w:rPr>
              <w:t>Type of Competitive Bid Loans Requested</w:t>
            </w: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900" w:type="dxa"/>
            <w:vAlign w:val="bottom"/>
            <w:gridSpan w:val="3"/>
          </w:tcPr>
          <w:p>
            <w:pPr>
              <w:ind w:left="600"/>
              <w:spacing w:after="0"/>
              <w:rPr>
                <w:sz w:val="20"/>
                <w:szCs w:val="20"/>
                <w:color w:val="auto"/>
              </w:rPr>
            </w:pPr>
            <w:r>
              <w:rPr>
                <w:rFonts w:ascii="Arial" w:cs="Arial" w:eastAsia="Arial" w:hAnsi="Arial"/>
                <w:sz w:val="13"/>
                <w:szCs w:val="13"/>
                <w:color w:val="auto"/>
              </w:rPr>
              <w:t>Eurodollar/Absolute</w:t>
            </w:r>
          </w:p>
        </w:tc>
      </w:tr>
      <w:tr>
        <w:trPr>
          <w:trHeight w:val="137"/>
        </w:trPr>
        <w:tc>
          <w:tcPr>
            <w:tcW w:w="3240" w:type="dxa"/>
            <w:vAlign w:val="bottom"/>
            <w:gridSpan w:val="4"/>
          </w:tcPr>
          <w:p>
            <w:pPr>
              <w:spacing w:after="0" w:line="137" w:lineRule="exact"/>
              <w:rPr>
                <w:sz w:val="20"/>
                <w:szCs w:val="20"/>
                <w:color w:val="auto"/>
              </w:rPr>
            </w:pPr>
            <w:r>
              <w:rPr>
                <w:rFonts w:ascii="Arial" w:cs="Arial" w:eastAsia="Arial" w:hAnsi="Arial"/>
                <w:sz w:val="13"/>
                <w:szCs w:val="13"/>
                <w:color w:val="auto"/>
              </w:rPr>
              <w:t>Requested Drawdown Date</w:t>
            </w: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r>
      <w:tr>
        <w:trPr>
          <w:trHeight w:val="244"/>
        </w:trPr>
        <w:tc>
          <w:tcPr>
            <w:tcW w:w="3240" w:type="dxa"/>
            <w:vAlign w:val="bottom"/>
            <w:gridSpan w:val="4"/>
          </w:tcPr>
          <w:p>
            <w:pPr>
              <w:spacing w:after="0"/>
              <w:rPr>
                <w:sz w:val="20"/>
                <w:szCs w:val="20"/>
                <w:color w:val="auto"/>
              </w:rPr>
            </w:pPr>
            <w:r>
              <w:rPr>
                <w:rFonts w:ascii="Arial" w:cs="Arial" w:eastAsia="Arial" w:hAnsi="Arial"/>
                <w:sz w:val="13"/>
                <w:szCs w:val="13"/>
                <w:color w:val="auto"/>
                <w:w w:val="95"/>
              </w:rPr>
              <w:t xml:space="preserve">We hereby </w:t>
            </w:r>
            <w:r>
              <w:rPr>
                <w:rFonts w:ascii="Arial" w:cs="Arial" w:eastAsia="Arial" w:hAnsi="Arial"/>
                <w:sz w:val="13"/>
                <w:szCs w:val="13"/>
                <w:b w:val="1"/>
                <w:bCs w:val="1"/>
                <w:i w:val="1"/>
                <w:iCs w:val="1"/>
                <w:color w:val="auto"/>
                <w:w w:val="95"/>
              </w:rPr>
              <w:t>accept</w:t>
            </w:r>
            <w:r>
              <w:rPr>
                <w:rFonts w:ascii="Arial" w:cs="Arial" w:eastAsia="Arial" w:hAnsi="Arial"/>
                <w:sz w:val="13"/>
                <w:szCs w:val="13"/>
                <w:color w:val="auto"/>
                <w:w w:val="95"/>
              </w:rPr>
              <w:t xml:space="preserve"> the following Competitive Bid Quote(s):</w:t>
            </w: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54"/>
        </w:trPr>
        <w:tc>
          <w:tcPr>
            <w:tcW w:w="15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10"/>
                <w:szCs w:val="10"/>
                <w:color w:val="auto"/>
                <w:w w:val="94"/>
              </w:rPr>
              <w:t>Competitive</w:t>
            </w:r>
          </w:p>
        </w:tc>
        <w:tc>
          <w:tcPr>
            <w:tcW w:w="1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108"/>
        </w:trPr>
        <w:tc>
          <w:tcPr>
            <w:tcW w:w="3240" w:type="dxa"/>
            <w:vAlign w:val="bottom"/>
            <w:gridSpan w:val="4"/>
          </w:tcPr>
          <w:p>
            <w:pPr>
              <w:jc w:val="center"/>
              <w:ind w:right="1660"/>
              <w:spacing w:after="0" w:line="108" w:lineRule="exact"/>
              <w:rPr>
                <w:sz w:val="20"/>
                <w:szCs w:val="20"/>
                <w:color w:val="auto"/>
              </w:rPr>
            </w:pPr>
            <w:r>
              <w:rPr>
                <w:rFonts w:ascii="Arial" w:cs="Arial" w:eastAsia="Arial" w:hAnsi="Arial"/>
                <w:sz w:val="10"/>
                <w:szCs w:val="10"/>
                <w:color w:val="auto"/>
                <w:w w:val="98"/>
              </w:rPr>
              <w:t>Principal</w:t>
            </w: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720" w:type="dxa"/>
            <w:vAlign w:val="bottom"/>
          </w:tcPr>
          <w:p>
            <w:pPr>
              <w:jc w:val="center"/>
              <w:spacing w:after="0" w:line="108" w:lineRule="exact"/>
              <w:rPr>
                <w:sz w:val="20"/>
                <w:szCs w:val="20"/>
                <w:color w:val="auto"/>
              </w:rPr>
            </w:pPr>
            <w:r>
              <w:rPr>
                <w:rFonts w:ascii="Arial" w:cs="Arial" w:eastAsia="Arial" w:hAnsi="Arial"/>
                <w:sz w:val="10"/>
                <w:szCs w:val="10"/>
                <w:color w:val="auto"/>
                <w:w w:val="98"/>
              </w:rPr>
              <w:t>Rate/ Competitive</w:t>
            </w:r>
          </w:p>
        </w:tc>
        <w:tc>
          <w:tcPr>
            <w:tcW w:w="1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121"/>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6"/>
              </w:rPr>
              <w:t>Amount of Quotes</w:t>
            </w:r>
          </w:p>
        </w:tc>
        <w:tc>
          <w:tcPr>
            <w:tcW w:w="1340" w:type="dxa"/>
            <w:vAlign w:val="bottom"/>
            <w:gridSpan w:val="2"/>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0"/>
                <w:szCs w:val="10"/>
                <w:color w:val="auto"/>
                <w:w w:val="93"/>
              </w:rPr>
              <w:t>Interest Period(s)</w:t>
            </w:r>
          </w:p>
        </w:tc>
        <w:tc>
          <w:tcPr>
            <w:tcW w:w="440" w:type="dxa"/>
            <w:vAlign w:val="bottom"/>
            <w:tcBorders>
              <w:bottom w:val="single" w:sz="8" w:color="auto"/>
            </w:tcBorders>
          </w:tcPr>
          <w:p>
            <w:pPr>
              <w:spacing w:after="0"/>
              <w:rPr>
                <w:sz w:val="10"/>
                <w:szCs w:val="10"/>
                <w:color w:val="auto"/>
              </w:rPr>
            </w:pPr>
          </w:p>
        </w:tc>
        <w:tc>
          <w:tcPr>
            <w:tcW w:w="164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Bid Margin</w:t>
            </w:r>
          </w:p>
        </w:tc>
        <w:tc>
          <w:tcPr>
            <w:tcW w:w="162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0"/>
                <w:szCs w:val="10"/>
                <w:color w:val="auto"/>
              </w:rPr>
              <w:t>Bank</w:t>
            </w:r>
          </w:p>
        </w:tc>
        <w:tc>
          <w:tcPr>
            <w:tcW w:w="260" w:type="dxa"/>
            <w:vAlign w:val="bottom"/>
          </w:tcPr>
          <w:p>
            <w:pPr>
              <w:spacing w:after="0"/>
              <w:rPr>
                <w:sz w:val="10"/>
                <w:szCs w:val="10"/>
                <w:color w:val="auto"/>
              </w:rPr>
            </w:pPr>
          </w:p>
        </w:tc>
      </w:tr>
      <w:tr>
        <w:trPr>
          <w:trHeight w:val="382"/>
        </w:trPr>
        <w:tc>
          <w:tcPr>
            <w:tcW w:w="3240" w:type="dxa"/>
            <w:vAlign w:val="bottom"/>
            <w:gridSpan w:val="4"/>
          </w:tcPr>
          <w:p>
            <w:pPr>
              <w:spacing w:after="0"/>
              <w:rPr>
                <w:sz w:val="20"/>
                <w:szCs w:val="20"/>
                <w:color w:val="auto"/>
              </w:rPr>
            </w:pPr>
            <w:r>
              <w:rPr>
                <w:rFonts w:ascii="Arial" w:cs="Arial" w:eastAsia="Arial" w:hAnsi="Arial"/>
                <w:sz w:val="13"/>
                <w:szCs w:val="13"/>
                <w:color w:val="auto"/>
                <w:w w:val="97"/>
              </w:rPr>
              <w:t xml:space="preserve">We hereby </w:t>
            </w:r>
            <w:r>
              <w:rPr>
                <w:rFonts w:ascii="Arial" w:cs="Arial" w:eastAsia="Arial" w:hAnsi="Arial"/>
                <w:sz w:val="13"/>
                <w:szCs w:val="13"/>
                <w:b w:val="1"/>
                <w:bCs w:val="1"/>
                <w:i w:val="1"/>
                <w:iCs w:val="1"/>
                <w:color w:val="auto"/>
                <w:w w:val="97"/>
              </w:rPr>
              <w:t>reject</w:t>
            </w:r>
            <w:r>
              <w:rPr>
                <w:rFonts w:ascii="Arial" w:cs="Arial" w:eastAsia="Arial" w:hAnsi="Arial"/>
                <w:sz w:val="13"/>
                <w:szCs w:val="13"/>
                <w:color w:val="auto"/>
                <w:w w:val="97"/>
              </w:rPr>
              <w:t xml:space="preserve"> the following Competitive Bid Quote(s):</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4"/>
        </w:trPr>
        <w:tc>
          <w:tcPr>
            <w:tcW w:w="15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10"/>
                <w:szCs w:val="10"/>
                <w:color w:val="auto"/>
                <w:w w:val="94"/>
              </w:rPr>
              <w:t>Competitive</w:t>
            </w:r>
          </w:p>
        </w:tc>
        <w:tc>
          <w:tcPr>
            <w:tcW w:w="1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108"/>
        </w:trPr>
        <w:tc>
          <w:tcPr>
            <w:tcW w:w="3240" w:type="dxa"/>
            <w:vAlign w:val="bottom"/>
            <w:gridSpan w:val="4"/>
          </w:tcPr>
          <w:p>
            <w:pPr>
              <w:jc w:val="center"/>
              <w:ind w:right="1660"/>
              <w:spacing w:after="0" w:line="108" w:lineRule="exact"/>
              <w:rPr>
                <w:sz w:val="20"/>
                <w:szCs w:val="20"/>
                <w:color w:val="auto"/>
              </w:rPr>
            </w:pPr>
            <w:r>
              <w:rPr>
                <w:rFonts w:ascii="Arial" w:cs="Arial" w:eastAsia="Arial" w:hAnsi="Arial"/>
                <w:sz w:val="10"/>
                <w:szCs w:val="10"/>
                <w:color w:val="auto"/>
                <w:w w:val="98"/>
              </w:rPr>
              <w:t>Principal</w:t>
            </w: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720" w:type="dxa"/>
            <w:vAlign w:val="bottom"/>
          </w:tcPr>
          <w:p>
            <w:pPr>
              <w:jc w:val="center"/>
              <w:spacing w:after="0" w:line="108" w:lineRule="exact"/>
              <w:rPr>
                <w:sz w:val="20"/>
                <w:szCs w:val="20"/>
                <w:color w:val="auto"/>
              </w:rPr>
            </w:pPr>
            <w:r>
              <w:rPr>
                <w:rFonts w:ascii="Arial" w:cs="Arial" w:eastAsia="Arial" w:hAnsi="Arial"/>
                <w:sz w:val="10"/>
                <w:szCs w:val="10"/>
                <w:color w:val="auto"/>
                <w:w w:val="98"/>
              </w:rPr>
              <w:t>Rate/ Competitive</w:t>
            </w:r>
          </w:p>
        </w:tc>
        <w:tc>
          <w:tcPr>
            <w:tcW w:w="1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121"/>
        </w:trPr>
        <w:tc>
          <w:tcPr>
            <w:tcW w:w="3240" w:type="dxa"/>
            <w:vAlign w:val="bottom"/>
            <w:gridSpan w:val="4"/>
          </w:tcPr>
          <w:p>
            <w:pPr>
              <w:jc w:val="center"/>
              <w:ind w:right="1660"/>
              <w:spacing w:after="0"/>
              <w:rPr>
                <w:sz w:val="20"/>
                <w:szCs w:val="20"/>
                <w:color w:val="auto"/>
              </w:rPr>
            </w:pPr>
            <w:r>
              <w:rPr>
                <w:rFonts w:ascii="Arial" w:cs="Arial" w:eastAsia="Arial" w:hAnsi="Arial"/>
                <w:sz w:val="10"/>
                <w:szCs w:val="10"/>
                <w:color w:val="auto"/>
                <w:w w:val="96"/>
              </w:rPr>
              <w:t>Amount of Quotes</w:t>
            </w:r>
          </w:p>
        </w:tc>
        <w:tc>
          <w:tcPr>
            <w:tcW w:w="900" w:type="dxa"/>
            <w:vAlign w:val="bottom"/>
          </w:tcPr>
          <w:p>
            <w:pPr>
              <w:ind w:left="160"/>
              <w:spacing w:after="0"/>
              <w:rPr>
                <w:sz w:val="20"/>
                <w:szCs w:val="20"/>
                <w:color w:val="auto"/>
              </w:rPr>
            </w:pPr>
            <w:r>
              <w:rPr>
                <w:rFonts w:ascii="Arial" w:cs="Arial" w:eastAsia="Arial" w:hAnsi="Arial"/>
                <w:sz w:val="10"/>
                <w:szCs w:val="10"/>
                <w:color w:val="auto"/>
                <w:w w:val="93"/>
              </w:rPr>
              <w:t>Interest Period(s)</w:t>
            </w:r>
          </w:p>
        </w:tc>
        <w:tc>
          <w:tcPr>
            <w:tcW w:w="4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Arial" w:cs="Arial" w:eastAsia="Arial" w:hAnsi="Arial"/>
                <w:sz w:val="10"/>
                <w:szCs w:val="10"/>
                <w:color w:val="auto"/>
              </w:rPr>
              <w:t>Bid Margin</w:t>
            </w:r>
          </w:p>
        </w:tc>
        <w:tc>
          <w:tcPr>
            <w:tcW w:w="1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00" w:type="dxa"/>
            <w:vAlign w:val="bottom"/>
            <w:gridSpan w:val="2"/>
          </w:tcPr>
          <w:p>
            <w:pPr>
              <w:ind w:left="100"/>
              <w:spacing w:after="0"/>
              <w:rPr>
                <w:sz w:val="20"/>
                <w:szCs w:val="20"/>
                <w:color w:val="auto"/>
              </w:rPr>
            </w:pPr>
            <w:r>
              <w:rPr>
                <w:rFonts w:ascii="Arial" w:cs="Arial" w:eastAsia="Arial" w:hAnsi="Arial"/>
                <w:sz w:val="10"/>
                <w:szCs w:val="10"/>
                <w:color w:val="auto"/>
              </w:rPr>
              <w:t>Bank</w:t>
            </w:r>
          </w:p>
        </w:tc>
      </w:tr>
      <w:tr>
        <w:trPr>
          <w:trHeight w:val="604"/>
        </w:trPr>
        <w:tc>
          <w:tcPr>
            <w:tcW w:w="1580" w:type="dxa"/>
            <w:vAlign w:val="bottom"/>
            <w:tcBorders>
              <w:top w:val="single" w:sz="8" w:color="auto"/>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20" w:type="dxa"/>
            <w:vAlign w:val="bottom"/>
            <w:tcBorders>
              <w:top w:val="single" w:sz="8" w:color="auto"/>
              <w:bottom w:val="single" w:sz="8" w:color="808080"/>
            </w:tcBorders>
          </w:tcPr>
          <w:p>
            <w:pPr>
              <w:spacing w:after="0"/>
              <w:rPr>
                <w:sz w:val="24"/>
                <w:szCs w:val="24"/>
                <w:color w:val="auto"/>
              </w:rPr>
            </w:pPr>
          </w:p>
        </w:tc>
        <w:tc>
          <w:tcPr>
            <w:tcW w:w="900" w:type="dxa"/>
            <w:vAlign w:val="bottom"/>
            <w:tcBorders>
              <w:top w:val="single" w:sz="8" w:color="auto"/>
              <w:bottom w:val="single" w:sz="8" w:color="808080"/>
            </w:tcBorders>
          </w:tcPr>
          <w:p>
            <w:pPr>
              <w:spacing w:after="0"/>
              <w:rPr>
                <w:sz w:val="24"/>
                <w:szCs w:val="24"/>
                <w:color w:val="auto"/>
              </w:rPr>
            </w:pPr>
          </w:p>
        </w:tc>
        <w:tc>
          <w:tcPr>
            <w:tcW w:w="440" w:type="dxa"/>
            <w:vAlign w:val="bottom"/>
            <w:tcBorders>
              <w:top w:val="single" w:sz="8" w:color="auto"/>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1720" w:type="dxa"/>
            <w:vAlign w:val="bottom"/>
            <w:tcBorders>
              <w:top w:val="single" w:sz="8" w:color="auto"/>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600" w:type="dxa"/>
            <w:vAlign w:val="bottom"/>
            <w:tcBorders>
              <w:top w:val="single" w:sz="8" w:color="auto"/>
              <w:bottom w:val="single" w:sz="8" w:color="808080"/>
            </w:tcBorders>
          </w:tcPr>
          <w:p>
            <w:pPr>
              <w:spacing w:after="0"/>
              <w:rPr>
                <w:sz w:val="24"/>
                <w:szCs w:val="24"/>
                <w:color w:val="auto"/>
              </w:rPr>
            </w:pPr>
          </w:p>
        </w:tc>
        <w:tc>
          <w:tcPr>
            <w:tcW w:w="1040" w:type="dxa"/>
            <w:vAlign w:val="bottom"/>
            <w:tcBorders>
              <w:top w:val="single" w:sz="8" w:color="auto"/>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224" w:name="page225"/>
    <w:bookmarkEnd w:id="224"/>
    <w:p>
      <w:pPr>
        <w:ind w:left="160"/>
        <w:spacing w:after="0"/>
        <w:rPr>
          <w:sz w:val="20"/>
          <w:szCs w:val="20"/>
          <w:color w:val="auto"/>
        </w:rPr>
      </w:pPr>
      <w:r>
        <w:rPr>
          <w:rFonts w:ascii="Arial" w:cs="Arial" w:eastAsia="Arial" w:hAnsi="Arial"/>
          <w:sz w:val="11"/>
          <w:szCs w:val="11"/>
          <w:color w:val="auto"/>
        </w:rPr>
        <w:t>The accepted and rejected Competitive Bid Quotes described above constitute all Competitive Bid Quotes submitted by the Banks in accordance with §4.5 of the Credit Agreement.</w:t>
      </w:r>
    </w:p>
    <w:p>
      <w:pPr>
        <w:spacing w:after="0" w:line="184" w:lineRule="exact"/>
        <w:rPr>
          <w:sz w:val="20"/>
          <w:szCs w:val="20"/>
          <w:color w:val="auto"/>
        </w:rPr>
      </w:pPr>
    </w:p>
    <w:p>
      <w:pPr>
        <w:ind w:left="5140"/>
        <w:spacing w:after="0"/>
        <w:rPr>
          <w:sz w:val="20"/>
          <w:szCs w:val="20"/>
          <w:color w:val="auto"/>
        </w:rPr>
      </w:pPr>
      <w:r>
        <w:rPr>
          <w:rFonts w:ascii="Arial" w:cs="Arial" w:eastAsia="Arial" w:hAnsi="Arial"/>
          <w:sz w:val="13"/>
          <w:szCs w:val="13"/>
          <w:b w:val="1"/>
          <w:bCs w:val="1"/>
          <w:color w:val="auto"/>
        </w:rPr>
        <w:t>WASTE MANAGEMENT, INC.</w:t>
      </w:r>
    </w:p>
    <w:p>
      <w:pPr>
        <w:spacing w:after="0" w:line="169" w:lineRule="exact"/>
        <w:rPr>
          <w:sz w:val="20"/>
          <w:szCs w:val="20"/>
          <w:color w:val="auto"/>
        </w:rPr>
      </w:pPr>
    </w:p>
    <w:p>
      <w:pPr>
        <w:ind w:left="51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10795</wp:posOffset>
            </wp:positionV>
            <wp:extent cx="2858770" cy="63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858770" cy="6350"/>
                    </a:xfrm>
                    <a:prstGeom prst="rect">
                      <a:avLst/>
                    </a:prstGeom>
                    <a:noFill/>
                  </pic:spPr>
                </pic:pic>
              </a:graphicData>
            </a:graphic>
          </wp:anchor>
        </w:drawing>
      </w:r>
    </w:p>
    <w:p>
      <w:pPr>
        <w:spacing w:after="0" w:line="7" w:lineRule="exact"/>
        <w:rPr>
          <w:sz w:val="20"/>
          <w:szCs w:val="20"/>
          <w:color w:val="auto"/>
        </w:rPr>
      </w:pPr>
    </w:p>
    <w:p>
      <w:pPr>
        <w:ind w:left="514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10795</wp:posOffset>
            </wp:positionV>
            <wp:extent cx="2858770" cy="6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858770" cy="6350"/>
                    </a:xfrm>
                    <a:prstGeom prst="rect">
                      <a:avLst/>
                    </a:prstGeom>
                    <a:noFill/>
                  </pic:spPr>
                </pic:pic>
              </a:graphicData>
            </a:graphic>
          </wp:anchor>
        </w:drawing>
      </w:r>
    </w:p>
    <w:p>
      <w:pPr>
        <w:spacing w:after="0" w:line="7" w:lineRule="exact"/>
        <w:rPr>
          <w:sz w:val="20"/>
          <w:szCs w:val="20"/>
          <w:color w:val="auto"/>
        </w:rPr>
      </w:pPr>
    </w:p>
    <w:p>
      <w:pPr>
        <w:jc w:val="center"/>
        <w:ind w:right="-34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10795</wp:posOffset>
            </wp:positionV>
            <wp:extent cx="2858770" cy="6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858770" cy="6350"/>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-7620</wp:posOffset>
            </wp:positionV>
            <wp:extent cx="1247775" cy="6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47775" cy="6350"/>
                    </a:xfrm>
                    <a:prstGeom prst="rect">
                      <a:avLst/>
                    </a:prstGeom>
                    <a:noFill/>
                  </pic:spPr>
                </pic:pic>
              </a:graphicData>
            </a:graphic>
          </wp:anchor>
        </w:drawing>
      </w:r>
    </w:p>
    <w:p>
      <w:pPr>
        <w:sectPr>
          <w:pgSz w:w="11900" w:h="16838" w:orient="portrait"/>
          <w:cols w:equalWidth="0" w:num="1">
            <w:col w:w="10239"/>
          </w:cols>
          <w:pgMar w:left="220" w:top="721" w:right="1440" w:bottom="1440" w:gutter="0" w:footer="0" w:header="0"/>
        </w:sectPr>
      </w:pPr>
    </w:p>
    <w:bookmarkStart w:id="225" w:name="page226"/>
    <w:bookmarkEnd w:id="225"/>
    <w:p>
      <w:pPr>
        <w:jc w:val="right"/>
        <w:spacing w:after="0"/>
        <w:rPr>
          <w:sz w:val="20"/>
          <w:szCs w:val="20"/>
          <w:color w:val="auto"/>
        </w:rPr>
      </w:pPr>
      <w:r>
        <w:rPr>
          <w:rFonts w:ascii="Arial" w:cs="Arial" w:eastAsia="Arial" w:hAnsi="Arial"/>
          <w:sz w:val="13"/>
          <w:szCs w:val="13"/>
          <w:b w:val="1"/>
          <w:bCs w:val="1"/>
          <w:color w:val="auto"/>
        </w:rPr>
        <w:t>EXHIBIT J</w:t>
      </w:r>
    </w:p>
    <w:p>
      <w:pPr>
        <w:spacing w:after="0" w:line="244" w:lineRule="exact"/>
        <w:rPr>
          <w:sz w:val="20"/>
          <w:szCs w:val="20"/>
          <w:color w:val="auto"/>
        </w:rPr>
      </w:pPr>
    </w:p>
    <w:p>
      <w:pPr>
        <w:jc w:val="center"/>
        <w:ind w:right="1200"/>
        <w:spacing w:after="0"/>
        <w:rPr>
          <w:sz w:val="20"/>
          <w:szCs w:val="20"/>
          <w:color w:val="auto"/>
        </w:rPr>
      </w:pPr>
      <w:r>
        <w:rPr>
          <w:rFonts w:ascii="Arial" w:cs="Arial" w:eastAsia="Arial" w:hAnsi="Arial"/>
          <w:sz w:val="13"/>
          <w:szCs w:val="13"/>
          <w:b w:val="1"/>
          <w:bCs w:val="1"/>
          <w:color w:val="auto"/>
        </w:rPr>
        <w:t>FORM OF ADMINISTRATIVE QUESTIONNAIRE</w:t>
      </w:r>
    </w:p>
    <w:p>
      <w:pPr>
        <w:spacing w:after="0" w:line="90" w:lineRule="exact"/>
        <w:rPr>
          <w:sz w:val="20"/>
          <w:szCs w:val="20"/>
          <w:color w:val="auto"/>
        </w:rPr>
      </w:pPr>
    </w:p>
    <w:p>
      <w:pPr>
        <w:jc w:val="center"/>
        <w:ind w:right="1200"/>
        <w:spacing w:after="0"/>
        <w:rPr>
          <w:sz w:val="20"/>
          <w:szCs w:val="20"/>
          <w:color w:val="auto"/>
        </w:rPr>
      </w:pPr>
      <w:r>
        <w:rPr>
          <w:rFonts w:ascii="Arial" w:cs="Arial" w:eastAsia="Arial" w:hAnsi="Arial"/>
          <w:sz w:val="13"/>
          <w:szCs w:val="13"/>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294640</wp:posOffset>
            </wp:positionV>
            <wp:extent cx="7290435" cy="190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717" w:right="219" w:bottom="1440" w:gutter="0" w:footer="0" w:header="0"/>
        </w:sectPr>
      </w:pPr>
    </w:p>
    <w:bookmarkStart w:id="226" w:name="page227"/>
    <w:bookmarkEnd w:id="226"/>
    <w:p>
      <w:pPr>
        <w:jc w:val="right"/>
        <w:spacing w:after="0"/>
        <w:rPr>
          <w:sz w:val="20"/>
          <w:szCs w:val="20"/>
          <w:color w:val="auto"/>
        </w:rPr>
      </w:pPr>
      <w:r>
        <w:rPr>
          <w:rFonts w:ascii="Arial" w:cs="Arial" w:eastAsia="Arial" w:hAnsi="Arial"/>
          <w:sz w:val="13"/>
          <w:szCs w:val="13"/>
          <w:b w:val="1"/>
          <w:bCs w:val="1"/>
          <w:color w:val="auto"/>
        </w:rPr>
        <w:t>ADMINISTRATIVE DETAILS REPLY FORM — US DOLLAR ONLY</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CONFIDENTIAL</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FAX ALONG WITH COMMITMENT LETTER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1884045</wp:posOffset>
            </wp:positionH>
            <wp:positionV relativeFrom="paragraph">
              <wp:posOffset>9525</wp:posOffset>
            </wp:positionV>
            <wp:extent cx="5398770" cy="6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398770" cy="6350"/>
                    </a:xfrm>
                    <a:prstGeom prst="rect">
                      <a:avLst/>
                    </a:prstGeom>
                    <a:noFill/>
                  </pic:spPr>
                </pic:pic>
              </a:graphicData>
            </a:graphic>
          </wp:anchor>
        </w:drawing>
      </w:r>
    </w:p>
    <w:p>
      <w:pPr>
        <w:spacing w:after="0" w:line="3" w:lineRule="exact"/>
        <w:rPr>
          <w:sz w:val="20"/>
          <w:szCs w:val="20"/>
          <w:color w:val="auto"/>
        </w:rPr>
      </w:pPr>
    </w:p>
    <w:p>
      <w:pPr>
        <w:ind w:left="2560"/>
        <w:spacing w:after="0"/>
        <w:rPr>
          <w:sz w:val="20"/>
          <w:szCs w:val="20"/>
          <w:color w:val="auto"/>
        </w:rPr>
      </w:pPr>
      <w:r>
        <w:rPr>
          <w:rFonts w:ascii="Arial" w:cs="Arial" w:eastAsia="Arial" w:hAnsi="Arial"/>
          <w:sz w:val="13"/>
          <w:szCs w:val="13"/>
          <w:i w:val="1"/>
          <w:iCs w:val="1"/>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1884045</wp:posOffset>
            </wp:positionH>
            <wp:positionV relativeFrom="paragraph">
              <wp:posOffset>5715</wp:posOffset>
            </wp:positionV>
            <wp:extent cx="5398770" cy="63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398770" cy="635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 Borrower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9525</wp:posOffset>
            </wp:positionV>
            <wp:extent cx="6403975" cy="63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403975" cy="6350"/>
                    </a:xfrm>
                    <a:prstGeom prst="rect">
                      <a:avLst/>
                    </a:prstGeom>
                    <a:noFill/>
                  </pic:spPr>
                </pic:pic>
              </a:graphicData>
            </a:graphic>
          </wp:anchor>
        </w:drawing>
      </w:r>
    </w:p>
    <w:p>
      <w:pPr>
        <w:spacing w:after="0" w:line="145" w:lineRule="exact"/>
        <w:rPr>
          <w:sz w:val="20"/>
          <w:szCs w:val="20"/>
          <w:color w:val="auto"/>
        </w:rPr>
      </w:pPr>
    </w:p>
    <w:p>
      <w:pPr>
        <w:ind w:left="1620"/>
        <w:spacing w:after="0"/>
        <w:tabs>
          <w:tab w:leader="none" w:pos="618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color w:val="auto"/>
        </w:rPr>
        <w:t>Type of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1135380</wp:posOffset>
            </wp:positionH>
            <wp:positionV relativeFrom="paragraph">
              <wp:posOffset>9525</wp:posOffset>
            </wp:positionV>
            <wp:extent cx="6148070" cy="63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148070" cy="635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II. Legal Name of Lender of Record for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84085" cy="63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297"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200" w:type="dxa"/>
            <w:vAlign w:val="bottom"/>
          </w:tcPr>
          <w:p>
            <w:pPr>
              <w:spacing w:after="0"/>
              <w:rPr>
                <w:sz w:val="20"/>
                <w:szCs w:val="20"/>
                <w:color w:val="auto"/>
              </w:rPr>
            </w:pPr>
            <w:r>
              <w:rPr>
                <w:rFonts w:ascii="Arial" w:cs="Arial" w:eastAsia="Arial" w:hAnsi="Arial"/>
                <w:sz w:val="13"/>
                <w:szCs w:val="13"/>
                <w:b w:val="1"/>
                <w:bCs w:val="1"/>
                <w:color w:val="auto"/>
              </w:rPr>
              <w:t>•</w:t>
            </w:r>
          </w:p>
        </w:tc>
        <w:tc>
          <w:tcPr>
            <w:tcW w:w="2560" w:type="dxa"/>
            <w:vAlign w:val="bottom"/>
          </w:tcPr>
          <w:p>
            <w:pPr>
              <w:ind w:left="140"/>
              <w:spacing w:after="0"/>
              <w:rPr>
                <w:sz w:val="20"/>
                <w:szCs w:val="20"/>
                <w:color w:val="auto"/>
              </w:rPr>
            </w:pPr>
            <w:r>
              <w:rPr>
                <w:rFonts w:ascii="Arial" w:cs="Arial" w:eastAsia="Arial" w:hAnsi="Arial"/>
                <w:sz w:val="13"/>
                <w:szCs w:val="13"/>
                <w:b w:val="1"/>
                <w:bCs w:val="1"/>
                <w:color w:val="auto"/>
              </w:rPr>
              <w:t>Signing Credit Agreement</w:t>
            </w:r>
          </w:p>
        </w:tc>
        <w:tc>
          <w:tcPr>
            <w:tcW w:w="360" w:type="dxa"/>
            <w:vAlign w:val="bottom"/>
            <w:tcBorders>
              <w:bottom w:val="single" w:sz="8" w:color="auto"/>
            </w:tcBorders>
          </w:tcPr>
          <w:p>
            <w:pPr>
              <w:spacing w:after="0"/>
              <w:rPr>
                <w:sz w:val="13"/>
                <w:szCs w:val="13"/>
                <w:color w:val="auto"/>
              </w:rPr>
            </w:pPr>
          </w:p>
        </w:tc>
        <w:tc>
          <w:tcPr>
            <w:tcW w:w="960" w:type="dxa"/>
            <w:vAlign w:val="bottom"/>
          </w:tcPr>
          <w:p>
            <w:pPr>
              <w:spacing w:after="0"/>
              <w:rPr>
                <w:sz w:val="20"/>
                <w:szCs w:val="20"/>
                <w:color w:val="auto"/>
              </w:rPr>
            </w:pPr>
            <w:r>
              <w:rPr>
                <w:rFonts w:ascii="Arial" w:cs="Arial" w:eastAsia="Arial" w:hAnsi="Arial"/>
                <w:sz w:val="13"/>
                <w:szCs w:val="13"/>
                <w:b w:val="1"/>
                <w:bCs w:val="1"/>
                <w:color w:val="auto"/>
              </w:rPr>
              <w:t>YES</w:t>
            </w:r>
          </w:p>
        </w:tc>
        <w:tc>
          <w:tcPr>
            <w:tcW w:w="360" w:type="dxa"/>
            <w:vAlign w:val="bottom"/>
            <w:tcBorders>
              <w:bottom w:val="single" w:sz="8" w:color="auto"/>
            </w:tcBorders>
          </w:tcPr>
          <w:p>
            <w:pPr>
              <w:spacing w:after="0"/>
              <w:rPr>
                <w:sz w:val="13"/>
                <w:szCs w:val="13"/>
                <w:color w:val="auto"/>
              </w:rPr>
            </w:pPr>
          </w:p>
        </w:tc>
        <w:tc>
          <w:tcPr>
            <w:tcW w:w="200" w:type="dxa"/>
            <w:vAlign w:val="bottom"/>
          </w:tcPr>
          <w:p>
            <w:pPr>
              <w:spacing w:after="0"/>
              <w:rPr>
                <w:sz w:val="20"/>
                <w:szCs w:val="20"/>
                <w:color w:val="auto"/>
              </w:rPr>
            </w:pPr>
            <w:r>
              <w:rPr>
                <w:rFonts w:ascii="Arial" w:cs="Arial" w:eastAsia="Arial" w:hAnsi="Arial"/>
                <w:sz w:val="13"/>
                <w:szCs w:val="13"/>
                <w:b w:val="1"/>
                <w:bCs w:val="1"/>
                <w:color w:val="auto"/>
                <w:w w:val="92"/>
              </w:rPr>
              <w:t>NO</w:t>
            </w:r>
          </w:p>
        </w:tc>
      </w:tr>
      <w:tr>
        <w:trPr>
          <w:trHeight w:val="275"/>
        </w:trPr>
        <w:tc>
          <w:tcPr>
            <w:tcW w:w="200" w:type="dxa"/>
            <w:vAlign w:val="bottom"/>
          </w:tcPr>
          <w:p>
            <w:pPr>
              <w:spacing w:after="0"/>
              <w:rPr>
                <w:sz w:val="20"/>
                <w:szCs w:val="20"/>
                <w:color w:val="auto"/>
              </w:rPr>
            </w:pPr>
            <w:r>
              <w:rPr>
                <w:rFonts w:ascii="Arial" w:cs="Arial" w:eastAsia="Arial" w:hAnsi="Arial"/>
                <w:sz w:val="13"/>
                <w:szCs w:val="13"/>
                <w:b w:val="1"/>
                <w:bCs w:val="1"/>
                <w:color w:val="auto"/>
              </w:rPr>
              <w:t>•</w:t>
            </w:r>
          </w:p>
        </w:tc>
        <w:tc>
          <w:tcPr>
            <w:tcW w:w="2560" w:type="dxa"/>
            <w:vAlign w:val="bottom"/>
          </w:tcPr>
          <w:p>
            <w:pPr>
              <w:ind w:left="140"/>
              <w:spacing w:after="0"/>
              <w:rPr>
                <w:sz w:val="20"/>
                <w:szCs w:val="20"/>
                <w:color w:val="auto"/>
              </w:rPr>
            </w:pPr>
            <w:r>
              <w:rPr>
                <w:rFonts w:ascii="Arial" w:cs="Arial" w:eastAsia="Arial" w:hAnsi="Arial"/>
                <w:sz w:val="13"/>
                <w:szCs w:val="13"/>
                <w:b w:val="1"/>
                <w:bCs w:val="1"/>
                <w:color w:val="auto"/>
              </w:rPr>
              <w:t>Coming in via Assignment</w:t>
            </w:r>
          </w:p>
        </w:tc>
        <w:tc>
          <w:tcPr>
            <w:tcW w:w="360" w:type="dxa"/>
            <w:vAlign w:val="bottom"/>
            <w:tcBorders>
              <w:bottom w:val="single" w:sz="8" w:color="auto"/>
            </w:tcBorders>
          </w:tcPr>
          <w:p>
            <w:pPr>
              <w:spacing w:after="0"/>
              <w:rPr>
                <w:sz w:val="23"/>
                <w:szCs w:val="23"/>
                <w:color w:val="auto"/>
              </w:rPr>
            </w:pPr>
          </w:p>
        </w:tc>
        <w:tc>
          <w:tcPr>
            <w:tcW w:w="960" w:type="dxa"/>
            <w:vAlign w:val="bottom"/>
          </w:tcPr>
          <w:p>
            <w:pPr>
              <w:spacing w:after="0"/>
              <w:rPr>
                <w:sz w:val="20"/>
                <w:szCs w:val="20"/>
                <w:color w:val="auto"/>
              </w:rPr>
            </w:pPr>
            <w:r>
              <w:rPr>
                <w:rFonts w:ascii="Arial" w:cs="Arial" w:eastAsia="Arial" w:hAnsi="Arial"/>
                <w:sz w:val="13"/>
                <w:szCs w:val="13"/>
                <w:b w:val="1"/>
                <w:bCs w:val="1"/>
                <w:color w:val="auto"/>
              </w:rPr>
              <w:t>YES</w:t>
            </w:r>
          </w:p>
        </w:tc>
        <w:tc>
          <w:tcPr>
            <w:tcW w:w="360" w:type="dxa"/>
            <w:vAlign w:val="bottom"/>
            <w:tcBorders>
              <w:bottom w:val="single" w:sz="8" w:color="auto"/>
            </w:tcBorders>
          </w:tcPr>
          <w:p>
            <w:pPr>
              <w:spacing w:after="0"/>
              <w:rPr>
                <w:sz w:val="23"/>
                <w:szCs w:val="23"/>
                <w:color w:val="auto"/>
              </w:rPr>
            </w:pPr>
          </w:p>
        </w:tc>
        <w:tc>
          <w:tcPr>
            <w:tcW w:w="200" w:type="dxa"/>
            <w:vAlign w:val="bottom"/>
          </w:tcPr>
          <w:p>
            <w:pPr>
              <w:spacing w:after="0"/>
              <w:rPr>
                <w:sz w:val="20"/>
                <w:szCs w:val="20"/>
                <w:color w:val="auto"/>
              </w:rPr>
            </w:pPr>
            <w:r>
              <w:rPr>
                <w:rFonts w:ascii="Arial" w:cs="Arial" w:eastAsia="Arial" w:hAnsi="Arial"/>
                <w:sz w:val="13"/>
                <w:szCs w:val="13"/>
                <w:b w:val="1"/>
                <w:bCs w:val="1"/>
                <w:color w:val="auto"/>
                <w:w w:val="92"/>
              </w:rPr>
              <w:t>NO</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III. Type of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798195</wp:posOffset>
            </wp:positionH>
            <wp:positionV relativeFrom="paragraph">
              <wp:posOffset>9525</wp:posOffset>
            </wp:positionV>
            <wp:extent cx="6485255" cy="6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485255" cy="6350"/>
                    </a:xfrm>
                    <a:prstGeom prst="rect">
                      <a:avLst/>
                    </a:prstGeom>
                    <a:noFill/>
                  </pic:spPr>
                </pic:pic>
              </a:graphicData>
            </a:graphic>
          </wp:anchor>
        </w:drawing>
      </w:r>
    </w:p>
    <w:p>
      <w:pPr>
        <w:spacing w:after="0" w:line="3" w:lineRule="exact"/>
        <w:rPr>
          <w:sz w:val="20"/>
          <w:szCs w:val="20"/>
          <w:color w:val="auto"/>
        </w:rPr>
      </w:pPr>
    </w:p>
    <w:p>
      <w:pPr>
        <w:ind w:right="200"/>
        <w:spacing w:after="0" w:line="264" w:lineRule="auto"/>
        <w:rPr>
          <w:sz w:val="20"/>
          <w:szCs w:val="20"/>
          <w:color w:val="auto"/>
        </w:rPr>
      </w:pPr>
      <w:r>
        <w:rPr>
          <w:rFonts w:ascii="Arial" w:cs="Arial" w:eastAsia="Arial" w:hAnsi="Arial"/>
          <w:sz w:val="13"/>
          <w:szCs w:val="13"/>
          <w:b w:val="1"/>
          <w:bCs w:val="1"/>
          <w:color w:val="auto"/>
        </w:rPr>
        <w:t>(Bank, Asset Manager, Broker/Dealer, CLO/CDO, Finance Company, Hedge Fund, Insurance, Mutual Fund, Pension Fund, Other Regulated Investment Fund, Special Purpose Vehicle, Other — please specify)</w:t>
      </w:r>
    </w:p>
    <w:p>
      <w:pPr>
        <w:sectPr>
          <w:pgSz w:w="11900" w:h="16838" w:orient="portrait"/>
          <w:cols w:equalWidth="0" w:num="1">
            <w:col w:w="11460"/>
          </w:cols>
          <w:pgMar w:left="220" w:top="713" w:right="219" w:bottom="1440" w:gutter="0" w:footer="0" w:header="0"/>
        </w:sectPr>
      </w:pP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IV. Domestic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3457575" cy="63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5757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252730</wp:posOffset>
            </wp:positionV>
            <wp:extent cx="3457575" cy="63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5757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402590</wp:posOffset>
            </wp:positionV>
            <wp:extent cx="3457575" cy="6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5757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552450</wp:posOffset>
            </wp:positionV>
            <wp:extent cx="3457575" cy="6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575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VI. </w:t>
      </w:r>
      <w:r>
        <w:rPr>
          <w:rFonts w:ascii="Arial" w:cs="Arial" w:eastAsia="Arial" w:hAnsi="Arial"/>
          <w:sz w:val="13"/>
          <w:szCs w:val="13"/>
          <w:b w:val="1"/>
          <w:bCs w:val="1"/>
          <w:color w:val="auto"/>
        </w:rPr>
        <w:t>Contact Information:</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 Eurodollar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3463925" cy="63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6392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259715</wp:posOffset>
            </wp:positionV>
            <wp:extent cx="3463925" cy="63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6392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409575</wp:posOffset>
            </wp:positionV>
            <wp:extent cx="3463925" cy="63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6392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559435</wp:posOffset>
            </wp:positionV>
            <wp:extent cx="3463925" cy="63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63925" cy="6350"/>
                    </a:xfrm>
                    <a:prstGeom prst="rect">
                      <a:avLst/>
                    </a:prstGeom>
                    <a:noFill/>
                  </pic:spPr>
                </pic:pic>
              </a:graphicData>
            </a:graphic>
          </wp:anchor>
        </w:drawing>
      </w:r>
    </w:p>
    <w:p>
      <w:pPr>
        <w:spacing w:after="0" w:line="1268" w:lineRule="exact"/>
        <w:rPr>
          <w:sz w:val="20"/>
          <w:szCs w:val="20"/>
          <w:color w:val="auto"/>
        </w:rPr>
      </w:pPr>
    </w:p>
    <w:p>
      <w:pPr>
        <w:sectPr>
          <w:pgSz w:w="11900" w:h="16838" w:orient="portrait"/>
          <w:cols w:equalWidth="0" w:num="2">
            <w:col w:w="5300" w:space="720"/>
            <w:col w:w="5440"/>
          </w:cols>
          <w:pgMar w:left="220" w:top="713" w:right="219" w:bottom="1440" w:gutter="0" w:footer="0" w:header="0"/>
          <w:type w:val="continuous"/>
        </w:sectPr>
      </w:pPr>
    </w:p>
    <w:p>
      <w:pPr>
        <w:spacing w:after="0" w:line="255" w:lineRule="auto"/>
        <w:rPr>
          <w:sz w:val="20"/>
          <w:szCs w:val="20"/>
          <w:color w:val="auto"/>
        </w:rPr>
      </w:pPr>
      <w:r>
        <w:rPr>
          <w:rFonts w:ascii="Arial" w:cs="Arial" w:eastAsia="Arial" w:hAnsi="Arial"/>
          <w:sz w:val="13"/>
          <w:szCs w:val="13"/>
          <w:b w:val="1"/>
          <w:bCs w:val="1"/>
          <w:i w:val="1"/>
          <w:iCs w:val="1"/>
          <w:color w:val="auto"/>
        </w:rPr>
        <w:t>Syndicate level information (which may contain material non-public information about the Borrower and its related parties or their respective securities will be made available to the Credit Contact(s). The Credit Contacts identified must be able to receive such information in accordance with his/her institution’s compliance procedures and applicable laws, including Federal and State securities laws.</w:t>
      </w:r>
    </w:p>
    <w:p>
      <w:pPr>
        <w:spacing w:after="0" w:line="133" w:lineRule="exact"/>
        <w:rPr>
          <w:sz w:val="20"/>
          <w:szCs w:val="20"/>
          <w:color w:val="auto"/>
        </w:rPr>
      </w:pPr>
    </w:p>
    <w:p>
      <w:pPr>
        <w:ind w:left="8260"/>
        <w:spacing w:after="0"/>
        <w:tabs>
          <w:tab w:leader="none" w:pos="10340" w:val="left"/>
        </w:tabs>
        <w:rPr>
          <w:sz w:val="20"/>
          <w:szCs w:val="20"/>
          <w:color w:val="auto"/>
        </w:rPr>
      </w:pPr>
      <w:r>
        <w:rPr>
          <w:rFonts w:ascii="Arial" w:cs="Arial" w:eastAsia="Arial" w:hAnsi="Arial"/>
          <w:sz w:val="10"/>
          <w:szCs w:val="10"/>
          <w:color w:val="auto"/>
        </w:rPr>
        <w:t>Primary</w:t>
      </w:r>
      <w:r>
        <w:rPr>
          <w:sz w:val="20"/>
          <w:szCs w:val="20"/>
          <w:color w:val="auto"/>
        </w:rPr>
        <w:tab/>
      </w:r>
      <w:r>
        <w:rPr>
          <w:rFonts w:ascii="Arial" w:cs="Arial" w:eastAsia="Arial" w:hAnsi="Arial"/>
          <w:sz w:val="10"/>
          <w:szCs w:val="10"/>
          <w:color w:val="auto"/>
        </w:rPr>
        <w:t>Secondary</w:t>
      </w:r>
    </w:p>
    <w:p>
      <w:pPr>
        <w:spacing w:after="0" w:line="3" w:lineRule="exact"/>
        <w:rPr>
          <w:sz w:val="20"/>
          <w:szCs w:val="20"/>
          <w:color w:val="auto"/>
        </w:rPr>
      </w:pPr>
    </w:p>
    <w:p>
      <w:pPr>
        <w:ind w:left="5920"/>
        <w:spacing w:after="0"/>
        <w:tabs>
          <w:tab w:leader="none" w:pos="7960" w:val="left"/>
          <w:tab w:leader="none" w:pos="10140" w:val="left"/>
        </w:tabs>
        <w:rPr>
          <w:sz w:val="20"/>
          <w:szCs w:val="20"/>
          <w:color w:val="auto"/>
        </w:rPr>
      </w:pPr>
      <w:r>
        <w:rPr>
          <w:rFonts w:ascii="Arial" w:cs="Arial" w:eastAsia="Arial" w:hAnsi="Arial"/>
          <w:sz w:val="10"/>
          <w:szCs w:val="10"/>
          <w:color w:val="auto"/>
        </w:rPr>
        <w:t>Credit Contact</w:t>
      </w:r>
      <w:r>
        <w:rPr>
          <w:sz w:val="20"/>
          <w:szCs w:val="20"/>
          <w:color w:val="auto"/>
        </w:rPr>
        <w:tab/>
      </w:r>
      <w:r>
        <w:rPr>
          <w:rFonts w:ascii="Arial" w:cs="Arial" w:eastAsia="Arial" w:hAnsi="Arial"/>
          <w:sz w:val="10"/>
          <w:szCs w:val="10"/>
          <w:color w:val="auto"/>
        </w:rPr>
        <w:t>Operations Contact</w:t>
      </w:r>
      <w:r>
        <w:rPr>
          <w:sz w:val="20"/>
          <w:szCs w:val="20"/>
          <w:color w:val="auto"/>
        </w:rPr>
        <w:tab/>
      </w:r>
      <w:r>
        <w:rPr>
          <w:rFonts w:ascii="Arial" w:cs="Arial" w:eastAsia="Arial" w:hAnsi="Arial"/>
          <w:sz w:val="10"/>
          <w:szCs w:val="10"/>
          <w:color w:val="auto"/>
        </w:rPr>
        <w:t>Operations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0</wp:posOffset>
            </wp:positionV>
            <wp:extent cx="3856990" cy="63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85699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0</wp:posOffset>
            </wp:positionV>
            <wp:extent cx="3856990" cy="6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856990" cy="635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0</wp:posOffset>
            </wp:positionV>
            <wp:extent cx="3856990" cy="6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856990" cy="635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0</wp:posOffset>
            </wp:positionV>
            <wp:extent cx="3856990"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856990" cy="6350"/>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198755</wp:posOffset>
            </wp:positionV>
            <wp:extent cx="3856990" cy="63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856990" cy="635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3"/>
          <w:szCs w:val="13"/>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0</wp:posOffset>
            </wp:positionV>
            <wp:extent cx="3856990" cy="63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856990" cy="635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0</wp:posOffset>
            </wp:positionV>
            <wp:extent cx="3856990" cy="63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856990" cy="635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E 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0</wp:posOffset>
            </wp:positionV>
            <wp:extent cx="3856990" cy="63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856990" cy="635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IntraLinks E 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0</wp:posOffset>
            </wp:positionV>
            <wp:extent cx="3856990" cy="63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856990" cy="6350"/>
                    </a:xfrm>
                    <a:prstGeom prst="rect">
                      <a:avLst/>
                    </a:prstGeom>
                    <a:noFill/>
                  </pic:spPr>
                </pic:pic>
              </a:graphicData>
            </a:graphic>
          </wp:anchor>
        </w:drawing>
      </w:r>
    </w:p>
    <w:p>
      <w:pPr>
        <w:spacing w:after="0" w:line="135" w:lineRule="exact"/>
        <w:rPr>
          <w:sz w:val="20"/>
          <w:szCs w:val="20"/>
          <w:color w:val="auto"/>
        </w:rPr>
      </w:pPr>
    </w:p>
    <w:p>
      <w:pPr>
        <w:ind w:left="3280"/>
        <w:spacing w:after="0"/>
        <w:tabs>
          <w:tab w:leader="none" w:pos="7200" w:val="left"/>
          <w:tab w:leader="none" w:pos="7980" w:val="left"/>
        </w:tabs>
        <w:rPr>
          <w:sz w:val="20"/>
          <w:szCs w:val="20"/>
          <w:color w:val="auto"/>
        </w:rPr>
      </w:pPr>
      <w:r>
        <w:rPr>
          <w:rFonts w:ascii="Arial" w:cs="Arial" w:eastAsia="Arial" w:hAnsi="Arial"/>
          <w:sz w:val="13"/>
          <w:szCs w:val="13"/>
          <w:color w:val="auto"/>
        </w:rPr>
        <w:t>Does Secondary Operations Contact need copy of notices?</w:t>
      </w:r>
      <w:r>
        <w:rPr>
          <w:sz w:val="20"/>
          <w:szCs w:val="20"/>
          <w:color w:val="auto"/>
        </w:rPr>
        <w:tab/>
      </w:r>
      <w:r>
        <w:rPr>
          <w:rFonts w:ascii="Arial" w:cs="Arial" w:eastAsia="Arial" w:hAnsi="Arial"/>
          <w:sz w:val="13"/>
          <w:szCs w:val="13"/>
          <w:color w:val="auto"/>
        </w:rPr>
        <w:t>YES</w:t>
      </w:r>
      <w:r>
        <w:rPr>
          <w:sz w:val="20"/>
          <w:szCs w:val="20"/>
          <w:color w:val="auto"/>
        </w:rPr>
        <w:tab/>
      </w:r>
      <w:r>
        <w:rPr>
          <w:rFonts w:ascii="Arial" w:cs="Arial" w:eastAsia="Arial" w:hAnsi="Arial"/>
          <w:sz w:val="13"/>
          <w:szCs w:val="13"/>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-12700</wp:posOffset>
            </wp:positionV>
            <wp:extent cx="231140" cy="63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31140" cy="635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-12700</wp:posOffset>
            </wp:positionV>
            <wp:extent cx="231140" cy="63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31140" cy="6350"/>
                    </a:xfrm>
                    <a:prstGeom prst="rect">
                      <a:avLst/>
                    </a:prstGeom>
                    <a:noFill/>
                  </pic:spPr>
                </pic:pic>
              </a:graphicData>
            </a:graphic>
          </wp:anchor>
        </w:drawing>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12/2007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861060" cy="1060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61060" cy="106045"/>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3" w:right="219" w:bottom="1440" w:gutter="0" w:footer="0" w:header="0"/>
          <w:type w:val="continuous"/>
        </w:sectPr>
      </w:pPr>
    </w:p>
    <w:bookmarkStart w:id="227" w:name="page228"/>
    <w:bookmarkEnd w:id="227"/>
    <w:p>
      <w:pPr>
        <w:jc w:val="right"/>
        <w:spacing w:after="0"/>
        <w:rPr>
          <w:sz w:val="20"/>
          <w:szCs w:val="20"/>
          <w:color w:val="auto"/>
        </w:rPr>
      </w:pPr>
      <w:r>
        <w:rPr>
          <w:rFonts w:ascii="Arial" w:cs="Arial" w:eastAsia="Arial" w:hAnsi="Arial"/>
          <w:sz w:val="13"/>
          <w:szCs w:val="13"/>
          <w:b w:val="1"/>
          <w:bCs w:val="1"/>
          <w:color w:val="auto"/>
        </w:rPr>
        <w:t>ADMINISTRATIVE DETAILS REPLY FORM — US DOLLAR ONLY</w:t>
      </w:r>
    </w:p>
    <w:p>
      <w:pPr>
        <w:spacing w:after="0" w:line="155" w:lineRule="exact"/>
        <w:rPr>
          <w:sz w:val="20"/>
          <w:szCs w:val="20"/>
          <w:color w:val="auto"/>
        </w:rPr>
      </w:pPr>
    </w:p>
    <w:tbl>
      <w:tblPr>
        <w:tblLayout w:type="fixed"/>
        <w:tblInd w:w="3440" w:type="dxa"/>
        <w:tblCellMar>
          <w:top w:w="0" w:type="dxa"/>
          <w:left w:w="0" w:type="dxa"/>
          <w:bottom w:w="0" w:type="dxa"/>
          <w:right w:w="0" w:type="dxa"/>
        </w:tblCellMar>
      </w:tblPr>
      <w:tr>
        <w:trPr>
          <w:trHeight w:val="173"/>
        </w:trPr>
        <w:tc>
          <w:tcPr>
            <w:tcW w:w="2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80" w:type="dxa"/>
            <w:vAlign w:val="bottom"/>
          </w:tcPr>
          <w:p>
            <w:pPr>
              <w:ind w:left="1320"/>
              <w:spacing w:after="0"/>
              <w:rPr>
                <w:sz w:val="20"/>
                <w:szCs w:val="20"/>
                <w:color w:val="auto"/>
              </w:rPr>
            </w:pPr>
            <w:r>
              <w:rPr>
                <w:rFonts w:ascii="Arial" w:cs="Arial" w:eastAsia="Arial" w:hAnsi="Arial"/>
                <w:sz w:val="13"/>
                <w:szCs w:val="13"/>
                <w:b w:val="1"/>
                <w:bCs w:val="1"/>
                <w:color w:val="auto"/>
                <w:w w:val="97"/>
              </w:rPr>
              <w:t>CONFIDENTIAL</w:t>
            </w:r>
          </w:p>
        </w:tc>
      </w:tr>
      <w:tr>
        <w:trPr>
          <w:trHeight w:val="260"/>
        </w:trPr>
        <w:tc>
          <w:tcPr>
            <w:tcW w:w="2300" w:type="dxa"/>
            <w:vAlign w:val="bottom"/>
          </w:tcPr>
          <w:p>
            <w:pPr>
              <w:jc w:val="center"/>
              <w:spacing w:after="0"/>
              <w:rPr>
                <w:sz w:val="20"/>
                <w:szCs w:val="20"/>
                <w:color w:val="auto"/>
              </w:rPr>
            </w:pPr>
            <w:r>
              <w:rPr>
                <w:rFonts w:ascii="Arial" w:cs="Arial" w:eastAsia="Arial" w:hAnsi="Arial"/>
                <w:sz w:val="10"/>
                <w:szCs w:val="10"/>
                <w:color w:val="auto"/>
              </w:rPr>
              <w:t>Letter of Credit</w:t>
            </w:r>
          </w:p>
        </w:tc>
        <w:tc>
          <w:tcPr>
            <w:tcW w:w="580" w:type="dxa"/>
            <w:vAlign w:val="bottom"/>
          </w:tcPr>
          <w:p>
            <w:pPr>
              <w:spacing w:after="0"/>
              <w:rPr>
                <w:sz w:val="22"/>
                <w:szCs w:val="22"/>
                <w:color w:val="auto"/>
              </w:rPr>
            </w:pPr>
          </w:p>
        </w:tc>
        <w:tc>
          <w:tcPr>
            <w:tcW w:w="2280" w:type="dxa"/>
            <w:vAlign w:val="bottom"/>
          </w:tcPr>
          <w:p>
            <w:pPr>
              <w:jc w:val="center"/>
              <w:spacing w:after="0"/>
              <w:rPr>
                <w:sz w:val="20"/>
                <w:szCs w:val="20"/>
                <w:color w:val="auto"/>
              </w:rPr>
            </w:pPr>
            <w:r>
              <w:rPr>
                <w:rFonts w:ascii="Arial" w:cs="Arial" w:eastAsia="Arial" w:hAnsi="Arial"/>
                <w:sz w:val="10"/>
                <w:szCs w:val="10"/>
                <w:color w:val="auto"/>
              </w:rPr>
              <w:t>Draft Documentation</w:t>
            </w:r>
          </w:p>
        </w:tc>
        <w:tc>
          <w:tcPr>
            <w:tcW w:w="58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114"/>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Contact</w:t>
            </w:r>
          </w:p>
        </w:tc>
        <w:tc>
          <w:tcPr>
            <w:tcW w:w="580" w:type="dxa"/>
            <w:vAlign w:val="bottom"/>
          </w:tcPr>
          <w:p>
            <w:pPr>
              <w:spacing w:after="0"/>
              <w:rPr>
                <w:sz w:val="9"/>
                <w:szCs w:val="9"/>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Contact</w:t>
            </w:r>
          </w:p>
        </w:tc>
        <w:tc>
          <w:tcPr>
            <w:tcW w:w="580" w:type="dxa"/>
            <w:vAlign w:val="bottom"/>
          </w:tcPr>
          <w:p>
            <w:pPr>
              <w:spacing w:after="0"/>
              <w:rPr>
                <w:sz w:val="9"/>
                <w:szCs w:val="9"/>
                <w:color w:val="auto"/>
              </w:rPr>
            </w:pPr>
          </w:p>
        </w:tc>
        <w:tc>
          <w:tcPr>
            <w:tcW w:w="2280" w:type="dxa"/>
            <w:vAlign w:val="bottom"/>
            <w:tcBorders>
              <w:bottom w:val="single" w:sz="8" w:color="auto"/>
            </w:tcBorders>
          </w:tcPr>
          <w:p>
            <w:pPr>
              <w:ind w:left="800"/>
              <w:spacing w:after="0"/>
              <w:rPr>
                <w:sz w:val="20"/>
                <w:szCs w:val="20"/>
                <w:color w:val="auto"/>
              </w:rPr>
            </w:pPr>
            <w:r>
              <w:rPr>
                <w:rFonts w:ascii="Arial" w:cs="Arial" w:eastAsia="Arial" w:hAnsi="Arial"/>
                <w:sz w:val="10"/>
                <w:szCs w:val="10"/>
                <w:color w:val="auto"/>
              </w:rPr>
              <w:t>Legal Counsel</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0</wp:posOffset>
            </wp:positionV>
            <wp:extent cx="5093335" cy="6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093335" cy="635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0</wp:posOffset>
            </wp:positionV>
            <wp:extent cx="5093335"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093335" cy="635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0</wp:posOffset>
            </wp:positionV>
            <wp:extent cx="5093335"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093335" cy="635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0</wp:posOffset>
            </wp:positionV>
            <wp:extent cx="5093335" cy="63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093335" cy="635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0</wp:posOffset>
            </wp:positionV>
            <wp:extent cx="5093335" cy="63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093335" cy="635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E 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0</wp:posOffset>
            </wp:positionV>
            <wp:extent cx="5093335" cy="63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093335" cy="635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VII. Lender’s Standby Letter of Credit, Commercial Letter of Credit, and Bankers’ Acceptance Fed Wire Payment Instructions (if applicable):</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Pay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92710</wp:posOffset>
            </wp:positionV>
            <wp:extent cx="2914650" cy="6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3"/>
          <w:szCs w:val="13"/>
          <w:color w:val="auto"/>
        </w:rPr>
        <w:t>(Bank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92710</wp:posOffset>
            </wp:positionV>
            <wp:extent cx="2914650" cy="6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3"/>
          <w:szCs w:val="13"/>
          <w:color w:val="auto"/>
        </w:rPr>
        <w:t>(ABA#)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92710</wp:posOffset>
            </wp:positionV>
            <wp:extent cx="2914650" cy="6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3"/>
          <w:szCs w:val="13"/>
          <w:color w:val="auto"/>
        </w:rPr>
        <w:t>(Account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92710</wp:posOffset>
            </wp:positionV>
            <wp:extent cx="2914650" cy="6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3"/>
          <w:szCs w:val="13"/>
          <w:color w:val="auto"/>
        </w:rPr>
        <w:t>(Attention)</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VIII. Lender’s Fed Wire Payment Instructions: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Pay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92710</wp:posOffset>
            </wp:positionV>
            <wp:extent cx="6478905" cy="63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478905" cy="6350"/>
                    </a:xfrm>
                    <a:prstGeom prst="rect">
                      <a:avLst/>
                    </a:prstGeom>
                    <a:noFill/>
                  </pic:spPr>
                </pic:pic>
              </a:graphicData>
            </a:graphic>
          </wp:anchor>
        </w:drawing>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3"/>
          <w:szCs w:val="13"/>
          <w:color w:val="auto"/>
        </w:rPr>
        <w:t>(Bank Name)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0" w:type="dxa"/>
            <w:vAlign w:val="bottom"/>
          </w:tcPr>
          <w:p>
            <w:pPr>
              <w:spacing w:after="0"/>
              <w:rPr>
                <w:sz w:val="15"/>
                <w:szCs w:val="15"/>
                <w:color w:val="auto"/>
              </w:rPr>
            </w:pPr>
          </w:p>
        </w:tc>
        <w:tc>
          <w:tcPr>
            <w:tcW w:w="26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(ABA#)</w:t>
            </w:r>
          </w:p>
        </w:tc>
        <w:tc>
          <w:tcPr>
            <w:tcW w:w="7520" w:type="dxa"/>
            <w:vAlign w:val="bottom"/>
            <w:tcBorders>
              <w:top w:val="single" w:sz="8" w:color="auto"/>
            </w:tcBorders>
          </w:tcPr>
          <w:p>
            <w:pPr>
              <w:ind w:left="2020"/>
              <w:spacing w:after="0"/>
              <w:rPr>
                <w:sz w:val="20"/>
                <w:szCs w:val="20"/>
                <w:color w:val="auto"/>
              </w:rPr>
            </w:pPr>
            <w:r>
              <w:rPr>
                <w:rFonts w:ascii="Arial" w:cs="Arial" w:eastAsia="Arial" w:hAnsi="Arial"/>
                <w:sz w:val="13"/>
                <w:szCs w:val="13"/>
                <w:color w:val="auto"/>
              </w:rPr>
              <w:t>(City/State)</w:t>
            </w:r>
          </w:p>
        </w:tc>
        <w:tc>
          <w:tcPr>
            <w:tcW w:w="680" w:type="dxa"/>
            <w:vAlign w:val="bottom"/>
          </w:tcPr>
          <w:p>
            <w:pPr>
              <w:spacing w:after="0"/>
              <w:rPr>
                <w:sz w:val="15"/>
                <w:szCs w:val="15"/>
                <w:color w:val="auto"/>
              </w:rPr>
            </w:pPr>
          </w:p>
        </w:tc>
      </w:tr>
      <w:tr>
        <w:trPr>
          <w:trHeight w:val="139"/>
        </w:trPr>
        <w:tc>
          <w:tcPr>
            <w:tcW w:w="580" w:type="dxa"/>
            <w:vAlign w:val="bottom"/>
          </w:tcPr>
          <w:p>
            <w:pPr>
              <w:spacing w:after="0"/>
              <w:rPr>
                <w:sz w:val="12"/>
                <w:szCs w:val="12"/>
                <w:color w:val="auto"/>
              </w:rPr>
            </w:pPr>
          </w:p>
        </w:tc>
        <w:tc>
          <w:tcPr>
            <w:tcW w:w="2680" w:type="dxa"/>
            <w:vAlign w:val="bottom"/>
            <w:tcBorders>
              <w:bottom w:val="single" w:sz="8" w:color="auto"/>
            </w:tcBorders>
          </w:tcPr>
          <w:p>
            <w:pPr>
              <w:spacing w:after="0"/>
              <w:rPr>
                <w:sz w:val="12"/>
                <w:szCs w:val="12"/>
                <w:color w:val="auto"/>
              </w:rPr>
            </w:pPr>
          </w:p>
        </w:tc>
        <w:tc>
          <w:tcPr>
            <w:tcW w:w="752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r>
      <w:tr>
        <w:trPr>
          <w:trHeight w:val="156"/>
        </w:trPr>
        <w:tc>
          <w:tcPr>
            <w:tcW w:w="580" w:type="dxa"/>
            <w:vAlign w:val="bottom"/>
          </w:tcPr>
          <w:p>
            <w:pPr>
              <w:spacing w:after="0"/>
              <w:rPr>
                <w:sz w:val="13"/>
                <w:szCs w:val="13"/>
                <w:color w:val="auto"/>
              </w:rPr>
            </w:pPr>
          </w:p>
        </w:tc>
        <w:tc>
          <w:tcPr>
            <w:tcW w:w="2680" w:type="dxa"/>
            <w:vAlign w:val="bottom"/>
          </w:tcPr>
          <w:p>
            <w:pPr>
              <w:spacing w:after="0"/>
              <w:rPr>
                <w:sz w:val="20"/>
                <w:szCs w:val="20"/>
                <w:color w:val="auto"/>
              </w:rPr>
            </w:pPr>
            <w:r>
              <w:rPr>
                <w:rFonts w:ascii="Arial" w:cs="Arial" w:eastAsia="Arial" w:hAnsi="Arial"/>
                <w:sz w:val="13"/>
                <w:szCs w:val="13"/>
                <w:color w:val="auto"/>
              </w:rPr>
              <w:t>(Account #)</w:t>
            </w:r>
          </w:p>
        </w:tc>
        <w:tc>
          <w:tcPr>
            <w:tcW w:w="8200" w:type="dxa"/>
            <w:vAlign w:val="bottom"/>
            <w:gridSpan w:val="2"/>
          </w:tcPr>
          <w:p>
            <w:pPr>
              <w:ind w:left="2020"/>
              <w:spacing w:after="0"/>
              <w:rPr>
                <w:sz w:val="20"/>
                <w:szCs w:val="20"/>
                <w:color w:val="auto"/>
              </w:rPr>
            </w:pPr>
            <w:r>
              <w:rPr>
                <w:rFonts w:ascii="Arial" w:cs="Arial" w:eastAsia="Arial" w:hAnsi="Arial"/>
                <w:sz w:val="13"/>
                <w:szCs w:val="13"/>
                <w:color w:val="auto"/>
              </w:rPr>
              <w:t>(Account Name)</w:t>
            </w:r>
          </w:p>
        </w:tc>
      </w:tr>
      <w:tr>
        <w:trPr>
          <w:trHeight w:val="139"/>
        </w:trPr>
        <w:tc>
          <w:tcPr>
            <w:tcW w:w="580" w:type="dxa"/>
            <w:vAlign w:val="bottom"/>
          </w:tcPr>
          <w:p>
            <w:pPr>
              <w:spacing w:after="0"/>
              <w:rPr>
                <w:sz w:val="12"/>
                <w:szCs w:val="12"/>
                <w:color w:val="auto"/>
              </w:rPr>
            </w:pPr>
          </w:p>
        </w:tc>
        <w:tc>
          <w:tcPr>
            <w:tcW w:w="2680" w:type="dxa"/>
            <w:vAlign w:val="bottom"/>
            <w:tcBorders>
              <w:bottom w:val="single" w:sz="8" w:color="auto"/>
            </w:tcBorders>
          </w:tcPr>
          <w:p>
            <w:pPr>
              <w:spacing w:after="0"/>
              <w:rPr>
                <w:sz w:val="12"/>
                <w:szCs w:val="12"/>
                <w:color w:val="auto"/>
              </w:rPr>
            </w:pPr>
          </w:p>
        </w:tc>
        <w:tc>
          <w:tcPr>
            <w:tcW w:w="752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r>
      <w:tr>
        <w:trPr>
          <w:trHeight w:val="156"/>
        </w:trPr>
        <w:tc>
          <w:tcPr>
            <w:tcW w:w="580" w:type="dxa"/>
            <w:vAlign w:val="bottom"/>
          </w:tcPr>
          <w:p>
            <w:pPr>
              <w:spacing w:after="0"/>
              <w:rPr>
                <w:sz w:val="13"/>
                <w:szCs w:val="13"/>
                <w:color w:val="auto"/>
              </w:rPr>
            </w:pPr>
          </w:p>
        </w:tc>
        <w:tc>
          <w:tcPr>
            <w:tcW w:w="2680" w:type="dxa"/>
            <w:vAlign w:val="bottom"/>
          </w:tcPr>
          <w:p>
            <w:pPr>
              <w:spacing w:after="0"/>
              <w:rPr>
                <w:sz w:val="20"/>
                <w:szCs w:val="20"/>
                <w:color w:val="auto"/>
              </w:rPr>
            </w:pPr>
            <w:r>
              <w:rPr>
                <w:rFonts w:ascii="Arial" w:cs="Arial" w:eastAsia="Arial" w:hAnsi="Arial"/>
                <w:sz w:val="13"/>
                <w:szCs w:val="13"/>
                <w:color w:val="auto"/>
              </w:rPr>
              <w:t>(Attention)</w:t>
            </w:r>
          </w:p>
        </w:tc>
        <w:tc>
          <w:tcPr>
            <w:tcW w:w="75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236"/>
        </w:trPr>
        <w:tc>
          <w:tcPr>
            <w:tcW w:w="5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8200" w:type="dxa"/>
            <w:vAlign w:val="bottom"/>
            <w:gridSpan w:val="2"/>
          </w:tcPr>
          <w:p>
            <w:pPr>
              <w:jc w:val="right"/>
              <w:spacing w:after="0"/>
              <w:rPr>
                <w:sz w:val="20"/>
                <w:szCs w:val="20"/>
                <w:color w:val="auto"/>
              </w:rPr>
            </w:pPr>
            <w:r>
              <w:rPr>
                <w:rFonts w:ascii="Arial" w:cs="Arial" w:eastAsia="Arial" w:hAnsi="Arial"/>
                <w:sz w:val="13"/>
                <w:szCs w:val="13"/>
                <w:b w:val="1"/>
                <w:bCs w:val="1"/>
                <w:color w:val="auto"/>
              </w:rPr>
              <w:t>12/2007</w:t>
            </w:r>
          </w:p>
        </w:tc>
      </w:tr>
      <w:tr>
        <w:trPr>
          <w:trHeight w:val="285"/>
        </w:trPr>
        <w:tc>
          <w:tcPr>
            <w:tcW w:w="5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7520" w:type="dxa"/>
            <w:vAlign w:val="bottom"/>
          </w:tcPr>
          <w:p>
            <w:pPr>
              <w:jc w:val="right"/>
              <w:ind w:right="4934"/>
              <w:spacing w:after="0"/>
              <w:rPr>
                <w:sz w:val="20"/>
                <w:szCs w:val="20"/>
                <w:color w:val="auto"/>
              </w:rPr>
            </w:pPr>
            <w:r>
              <w:rPr>
                <w:rFonts w:ascii="Arial" w:cs="Arial" w:eastAsia="Arial" w:hAnsi="Arial"/>
                <w:sz w:val="13"/>
                <w:szCs w:val="13"/>
                <w:color w:val="auto"/>
              </w:rPr>
              <w:t>2</w:t>
            </w:r>
          </w:p>
        </w:tc>
        <w:tc>
          <w:tcPr>
            <w:tcW w:w="680" w:type="dxa"/>
            <w:vAlign w:val="bottom"/>
          </w:tcPr>
          <w:p>
            <w:pPr>
              <w:spacing w:after="0"/>
              <w:rPr>
                <w:sz w:val="24"/>
                <w:szCs w:val="24"/>
                <w:color w:val="auto"/>
              </w:rPr>
            </w:pPr>
          </w:p>
        </w:tc>
      </w:tr>
      <w:tr>
        <w:trPr>
          <w:trHeight w:val="153"/>
        </w:trPr>
        <w:tc>
          <w:tcPr>
            <w:tcW w:w="580" w:type="dxa"/>
            <w:vAlign w:val="bottom"/>
            <w:tcBorders>
              <w:bottom w:val="single" w:sz="8" w:color="808080"/>
            </w:tcBorders>
          </w:tcPr>
          <w:p>
            <w:pPr>
              <w:spacing w:after="0"/>
              <w:rPr>
                <w:sz w:val="13"/>
                <w:szCs w:val="13"/>
                <w:color w:val="auto"/>
              </w:rPr>
            </w:pPr>
          </w:p>
        </w:tc>
        <w:tc>
          <w:tcPr>
            <w:tcW w:w="2680" w:type="dxa"/>
            <w:vAlign w:val="bottom"/>
            <w:tcBorders>
              <w:bottom w:val="single" w:sz="8" w:color="808080"/>
            </w:tcBorders>
          </w:tcPr>
          <w:p>
            <w:pPr>
              <w:spacing w:after="0"/>
              <w:rPr>
                <w:sz w:val="13"/>
                <w:szCs w:val="13"/>
                <w:color w:val="auto"/>
              </w:rPr>
            </w:pPr>
          </w:p>
        </w:tc>
        <w:tc>
          <w:tcPr>
            <w:tcW w:w="752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-395605</wp:posOffset>
            </wp:positionV>
            <wp:extent cx="861060" cy="1060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61060" cy="106045"/>
                    </a:xfrm>
                    <a:prstGeom prst="rect">
                      <a:avLst/>
                    </a:prstGeom>
                    <a:noFill/>
                  </pic:spPr>
                </pic:pic>
              </a:graphicData>
            </a:graphic>
          </wp:anchor>
        </w:drawing>
      </w:r>
    </w:p>
    <w:p>
      <w:pPr>
        <w:sectPr>
          <w:pgSz w:w="11900" w:h="16838" w:orient="portrait"/>
          <w:cols w:equalWidth="0" w:num="1">
            <w:col w:w="11460"/>
          </w:cols>
          <w:pgMar w:left="220" w:top="713" w:right="219" w:bottom="1440" w:gutter="0" w:footer="0" w:header="0"/>
        </w:sectPr>
      </w:pPr>
    </w:p>
    <w:bookmarkStart w:id="228" w:name="page229"/>
    <w:bookmarkEnd w:id="228"/>
    <w:p>
      <w:pPr>
        <w:jc w:val="right"/>
        <w:spacing w:after="0"/>
        <w:rPr>
          <w:sz w:val="20"/>
          <w:szCs w:val="20"/>
          <w:color w:val="auto"/>
        </w:rPr>
      </w:pPr>
      <w:r>
        <w:rPr>
          <w:rFonts w:ascii="Arial" w:cs="Arial" w:eastAsia="Arial" w:hAnsi="Arial"/>
          <w:sz w:val="13"/>
          <w:szCs w:val="13"/>
          <w:b w:val="1"/>
          <w:bCs w:val="1"/>
          <w:color w:val="auto"/>
        </w:rPr>
        <w:t>ADMINISTRATIVE DETAILS REPLY FORM — US DOLLAR ONLY</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CONFIDENTIAL</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IX. Organizational Structure and Tax Status</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Please refer to the enclosed withholding tax instructions below and then complete this section accordingly:</w:t>
      </w:r>
    </w:p>
    <w:p>
      <w:pPr>
        <w:spacing w:after="0" w:line="161" w:lineRule="exact"/>
        <w:rPr>
          <w:sz w:val="20"/>
          <w:szCs w:val="20"/>
          <w:color w:val="auto"/>
        </w:rPr>
      </w:pPr>
    </w:p>
    <w:p>
      <w:pPr>
        <w:spacing w:after="0"/>
        <w:tabs>
          <w:tab w:leader="none" w:pos="5880" w:val="left"/>
        </w:tabs>
        <w:rPr>
          <w:sz w:val="20"/>
          <w:szCs w:val="20"/>
          <w:color w:val="auto"/>
        </w:rPr>
      </w:pPr>
      <w:r>
        <w:rPr>
          <w:rFonts w:ascii="Arial" w:cs="Arial" w:eastAsia="Arial" w:hAnsi="Arial"/>
          <w:sz w:val="13"/>
          <w:szCs w:val="13"/>
          <w:color w:val="auto"/>
        </w:rPr>
        <w:t>Lender Taxpayer Identification Number (TIN):</w:t>
      </w:r>
      <w:r>
        <w:rPr>
          <w:sz w:val="20"/>
          <w:szCs w:val="20"/>
          <w:color w:val="auto"/>
        </w:rPr>
        <w:tab/>
      </w:r>
      <w:r>
        <w:rPr>
          <w:rFonts w:ascii="Arial" w:cs="Arial" w:eastAsia="Arial" w:hAnsi="Arial"/>
          <w:sz w:val="13"/>
          <w:szCs w:val="13"/>
          <w:color w:val="auto"/>
        </w:rPr>
        <w:t>___ ___ — ___ ___ ___ ___ ___ ___</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Tax Withholding Form Delivered to Bank of America*:</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W-9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462280" cy="6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62280" cy="6350"/>
                    </a:xfrm>
                    <a:prstGeom prst="rect">
                      <a:avLst/>
                    </a:prstGeom>
                    <a:noFill/>
                  </pic:spPr>
                </pic:pic>
              </a:graphicData>
            </a:graphic>
          </wp:anchor>
        </w:drawing>
      </w:r>
    </w:p>
    <w:p>
      <w:pPr>
        <w:spacing w:after="0" w:line="57"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W-8BEN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462280" cy="6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62280" cy="6350"/>
                    </a:xfrm>
                    <a:prstGeom prst="rect">
                      <a:avLst/>
                    </a:prstGeom>
                    <a:noFill/>
                  </pic:spPr>
                </pic:pic>
              </a:graphicData>
            </a:graphic>
          </wp:anchor>
        </w:drawing>
      </w:r>
    </w:p>
    <w:p>
      <w:pPr>
        <w:spacing w:after="0" w:line="57"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W-8ECI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462280" cy="6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62280" cy="6350"/>
                    </a:xfrm>
                    <a:prstGeom prst="rect">
                      <a:avLst/>
                    </a:prstGeom>
                    <a:noFill/>
                  </pic:spPr>
                </pic:pic>
              </a:graphicData>
            </a:graphic>
          </wp:anchor>
        </w:drawing>
      </w:r>
    </w:p>
    <w:p>
      <w:pPr>
        <w:spacing w:after="0" w:line="57"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W-8EXP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462280"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62280" cy="6350"/>
                    </a:xfrm>
                    <a:prstGeom prst="rect">
                      <a:avLst/>
                    </a:prstGeom>
                    <a:noFill/>
                  </pic:spPr>
                </pic:pic>
              </a:graphicData>
            </a:graphic>
          </wp:anchor>
        </w:drawing>
      </w:r>
    </w:p>
    <w:p>
      <w:pPr>
        <w:spacing w:after="0" w:line="57"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W-8IMY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462280" cy="63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62280" cy="6350"/>
                    </a:xfrm>
                    <a:prstGeom prst="rect">
                      <a:avLst/>
                    </a:prstGeom>
                    <a:noFill/>
                  </pic:spPr>
                </pic:pic>
              </a:graphicData>
            </a:graphic>
          </wp:anchor>
        </w:drawing>
      </w:r>
    </w:p>
    <w:p>
      <w:pPr>
        <w:spacing w:after="0" w:line="125" w:lineRule="exact"/>
        <w:rPr>
          <w:sz w:val="20"/>
          <w:szCs w:val="20"/>
          <w:color w:val="auto"/>
        </w:rPr>
      </w:pPr>
    </w:p>
    <w:p>
      <w:pPr>
        <w:ind w:left="2740"/>
        <w:spacing w:after="0"/>
        <w:rPr>
          <w:sz w:val="20"/>
          <w:szCs w:val="20"/>
          <w:color w:val="auto"/>
        </w:rPr>
      </w:pPr>
      <w:r>
        <w:rPr>
          <w:rFonts w:ascii="Arial" w:cs="Arial" w:eastAsia="Arial" w:hAnsi="Arial"/>
          <w:sz w:val="13"/>
          <w:szCs w:val="13"/>
          <w:b w:val="1"/>
          <w:bCs w:val="1"/>
          <w:u w:val="single" w:color="auto"/>
          <w:color w:val="auto"/>
        </w:rPr>
        <w:t>Tax Contact</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1241425</wp:posOffset>
            </wp:positionH>
            <wp:positionV relativeFrom="paragraph">
              <wp:posOffset>0</wp:posOffset>
            </wp:positionV>
            <wp:extent cx="1466850" cy="63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466850" cy="635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1241425</wp:posOffset>
            </wp:positionH>
            <wp:positionV relativeFrom="paragraph">
              <wp:posOffset>0</wp:posOffset>
            </wp:positionV>
            <wp:extent cx="1466850" cy="63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466850" cy="635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1241425</wp:posOffset>
            </wp:positionH>
            <wp:positionV relativeFrom="paragraph">
              <wp:posOffset>0</wp:posOffset>
            </wp:positionV>
            <wp:extent cx="1466850" cy="63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466850" cy="635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1241425</wp:posOffset>
            </wp:positionH>
            <wp:positionV relativeFrom="paragraph">
              <wp:posOffset>0</wp:posOffset>
            </wp:positionV>
            <wp:extent cx="1466850" cy="63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466850" cy="635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1241425</wp:posOffset>
            </wp:positionH>
            <wp:positionV relativeFrom="paragraph">
              <wp:posOffset>0</wp:posOffset>
            </wp:positionV>
            <wp:extent cx="1466850" cy="63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466850" cy="635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E 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1241425</wp:posOffset>
            </wp:positionH>
            <wp:positionV relativeFrom="paragraph">
              <wp:posOffset>0</wp:posOffset>
            </wp:positionV>
            <wp:extent cx="1466850" cy="63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466850" cy="635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3"/>
          <w:szCs w:val="13"/>
          <w:color w:val="auto"/>
        </w:rPr>
        <w:t>NON-U.S. LENDER INSTITUTIONS</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1. Corporations:</w:t>
      </w:r>
    </w:p>
    <w:p>
      <w:pPr>
        <w:spacing w:after="0" w:line="77" w:lineRule="exact"/>
        <w:rPr>
          <w:sz w:val="20"/>
          <w:szCs w:val="20"/>
          <w:color w:val="auto"/>
        </w:rPr>
      </w:pPr>
    </w:p>
    <w:p>
      <w:pPr>
        <w:jc w:val="both"/>
        <w:ind w:right="100"/>
        <w:spacing w:after="0" w:line="242" w:lineRule="auto"/>
        <w:rPr>
          <w:sz w:val="20"/>
          <w:szCs w:val="20"/>
          <w:color w:val="auto"/>
        </w:rPr>
      </w:pPr>
      <w:r>
        <w:rPr>
          <w:rFonts w:ascii="Arial" w:cs="Arial" w:eastAsia="Arial" w:hAnsi="Arial"/>
          <w:sz w:val="13"/>
          <w:szCs w:val="13"/>
          <w:color w:val="auto"/>
        </w:rPr>
        <w:t>If your institution is incorporated outside of the United States for U.S. federal income tax purposes, and is the beneficial owner of the interest and other income it receives, you must complete one of the following three tax forms, as applicable to your institution: a.) Form W-8BEN (Certificate of Foreign Status of Beneficial Owner), b.) Form W-8ECI (Income Effectively Connected to a U.S. Trade or Business), or c.) Form W-8EXP (Certificate of Foreign Government or Governmental Agency).</w:t>
      </w:r>
    </w:p>
    <w:p>
      <w:pPr>
        <w:spacing w:after="0" w:line="69" w:lineRule="exact"/>
        <w:rPr>
          <w:sz w:val="20"/>
          <w:szCs w:val="20"/>
          <w:color w:val="auto"/>
        </w:rPr>
      </w:pPr>
    </w:p>
    <w:p>
      <w:pPr>
        <w:ind w:right="40"/>
        <w:spacing w:after="0" w:line="242" w:lineRule="auto"/>
        <w:rPr>
          <w:sz w:val="20"/>
          <w:szCs w:val="20"/>
          <w:color w:val="auto"/>
        </w:rPr>
      </w:pPr>
      <w:r>
        <w:rPr>
          <w:rFonts w:ascii="Arial" w:cs="Arial" w:eastAsia="Arial" w:hAnsi="Arial"/>
          <w:sz w:val="13"/>
          <w:szCs w:val="13"/>
          <w:color w:val="auto"/>
        </w:rPr>
        <w:t xml:space="preserve">A U.S. taxpayer identification number is required for any institution submitting a Form W-8 ECI. It is also required on Form W-8BEN for certain institutions claiming the benefits of a tax treaty with the U.S. Please refer to the instructions when completing the form applicable to your institution. In addition, please be advised that U.S. tax regulations do not permit the acceptance of faxed forms. </w:t>
      </w:r>
      <w:r>
        <w:rPr>
          <w:rFonts w:ascii="Arial" w:cs="Arial" w:eastAsia="Arial" w:hAnsi="Arial"/>
          <w:sz w:val="13"/>
          <w:szCs w:val="13"/>
          <w:b w:val="1"/>
          <w:bCs w:val="1"/>
          <w:color w:val="auto"/>
        </w:rPr>
        <w:t>An</w:t>
      </w:r>
      <w:r>
        <w:rPr>
          <w:rFonts w:ascii="Arial" w:cs="Arial" w:eastAsia="Arial" w:hAnsi="Arial"/>
          <w:sz w:val="13"/>
          <w:szCs w:val="13"/>
          <w:color w:val="auto"/>
        </w:rPr>
        <w:t xml:space="preserve"> </w:t>
      </w:r>
      <w:r>
        <w:rPr>
          <w:rFonts w:ascii="Arial" w:cs="Arial" w:eastAsia="Arial" w:hAnsi="Arial"/>
          <w:sz w:val="13"/>
          <w:szCs w:val="13"/>
          <w:b w:val="1"/>
          <w:bCs w:val="1"/>
          <w:color w:val="auto"/>
        </w:rPr>
        <w:t>original tax form must be submitted.</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12/2007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861060" cy="1060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61060" cy="106045"/>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2" w:right="219" w:bottom="1440" w:gutter="0" w:footer="0" w:header="0"/>
        </w:sectPr>
      </w:pPr>
    </w:p>
    <w:bookmarkStart w:id="229" w:name="page230"/>
    <w:bookmarkEnd w:id="229"/>
    <w:p>
      <w:pPr>
        <w:jc w:val="right"/>
        <w:spacing w:after="0"/>
        <w:rPr>
          <w:sz w:val="20"/>
          <w:szCs w:val="20"/>
          <w:color w:val="auto"/>
        </w:rPr>
      </w:pPr>
      <w:r>
        <w:rPr>
          <w:rFonts w:ascii="Arial" w:cs="Arial" w:eastAsia="Arial" w:hAnsi="Arial"/>
          <w:sz w:val="13"/>
          <w:szCs w:val="13"/>
          <w:b w:val="1"/>
          <w:bCs w:val="1"/>
          <w:color w:val="auto"/>
        </w:rPr>
        <w:t>ADMINISTRATIVE DETAILS REPLY FORM — US DOLLAR ONLY</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CONFIDENTIAL</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2. Flow-Through Entities</w:t>
      </w:r>
    </w:p>
    <w:p>
      <w:pPr>
        <w:spacing w:after="0" w:line="77" w:lineRule="exact"/>
        <w:rPr>
          <w:sz w:val="20"/>
          <w:szCs w:val="20"/>
          <w:color w:val="auto"/>
        </w:rPr>
      </w:pPr>
    </w:p>
    <w:p>
      <w:pPr>
        <w:ind w:right="180"/>
        <w:spacing w:after="0" w:line="242" w:lineRule="auto"/>
        <w:rPr>
          <w:sz w:val="20"/>
          <w:szCs w:val="20"/>
          <w:color w:val="auto"/>
        </w:rPr>
      </w:pPr>
      <w:r>
        <w:rPr>
          <w:rFonts w:ascii="Arial" w:cs="Arial" w:eastAsia="Arial" w:hAnsi="Arial"/>
          <w:sz w:val="13"/>
          <w:szCs w:val="13"/>
          <w:color w:val="auto"/>
        </w:rPr>
        <w:t>If your institution is organized outside the U.S., and is classified for U.S. federal income tax purposes as either a Partnership, Trust, Qualified or Non-Qualified Intermediary, or other non-U.S. flow-through entity, an original Form W-8IMY (Certificate of Foreign Intermediary, Foreign Flow-Through Entity, or Certain U.S. branches for United States Tax Withholding) must be completed by the intermediary together with a withholding statement. Flow-through entities other than Qualified Intermediaries are required to include tax forms for each of the underlying beneficial owners.</w:t>
      </w:r>
    </w:p>
    <w:p>
      <w:pPr>
        <w:spacing w:after="0" w:line="53" w:lineRule="exact"/>
        <w:rPr>
          <w:sz w:val="20"/>
          <w:szCs w:val="20"/>
          <w:color w:val="auto"/>
        </w:rPr>
      </w:pPr>
    </w:p>
    <w:p>
      <w:pPr>
        <w:ind w:right="480"/>
        <w:spacing w:after="0" w:line="273" w:lineRule="auto"/>
        <w:rPr>
          <w:sz w:val="20"/>
          <w:szCs w:val="20"/>
          <w:color w:val="auto"/>
        </w:rPr>
      </w:pPr>
      <w:r>
        <w:rPr>
          <w:rFonts w:ascii="Arial" w:cs="Arial" w:eastAsia="Arial" w:hAnsi="Arial"/>
          <w:sz w:val="13"/>
          <w:szCs w:val="13"/>
          <w:color w:val="auto"/>
        </w:rPr>
        <w:t xml:space="preserve">Please refer to the instructions when completing this form. In addition, please be advised that U.S. tax regulations do not permit the acceptance of faxed forms. </w:t>
      </w:r>
      <w:r>
        <w:rPr>
          <w:rFonts w:ascii="Arial" w:cs="Arial" w:eastAsia="Arial" w:hAnsi="Arial"/>
          <w:sz w:val="13"/>
          <w:szCs w:val="13"/>
          <w:b w:val="1"/>
          <w:bCs w:val="1"/>
          <w:color w:val="auto"/>
        </w:rPr>
        <w:t>Original tax form(s) must be</w:t>
      </w:r>
      <w:r>
        <w:rPr>
          <w:rFonts w:ascii="Arial" w:cs="Arial" w:eastAsia="Arial" w:hAnsi="Arial"/>
          <w:sz w:val="13"/>
          <w:szCs w:val="13"/>
          <w:color w:val="auto"/>
        </w:rPr>
        <w:t xml:space="preserve"> </w:t>
      </w:r>
      <w:r>
        <w:rPr>
          <w:rFonts w:ascii="Arial" w:cs="Arial" w:eastAsia="Arial" w:hAnsi="Arial"/>
          <w:sz w:val="13"/>
          <w:szCs w:val="13"/>
          <w:b w:val="1"/>
          <w:bCs w:val="1"/>
          <w:color w:val="auto"/>
        </w:rPr>
        <w:t>submitted.</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U.S. LENDER INSTITUTIONS:</w:t>
      </w:r>
    </w:p>
    <w:p>
      <w:pPr>
        <w:spacing w:after="0" w:line="61" w:lineRule="exact"/>
        <w:rPr>
          <w:sz w:val="20"/>
          <w:szCs w:val="20"/>
          <w:color w:val="auto"/>
        </w:rPr>
      </w:pPr>
    </w:p>
    <w:p>
      <w:pPr>
        <w:ind w:right="180"/>
        <w:spacing w:after="0" w:line="273" w:lineRule="auto"/>
        <w:rPr>
          <w:sz w:val="20"/>
          <w:szCs w:val="20"/>
          <w:color w:val="auto"/>
        </w:rPr>
      </w:pPr>
      <w:r>
        <w:rPr>
          <w:rFonts w:ascii="Arial" w:cs="Arial" w:eastAsia="Arial" w:hAnsi="Arial"/>
          <w:sz w:val="13"/>
          <w:szCs w:val="13"/>
          <w:color w:val="auto"/>
        </w:rPr>
        <w:t xml:space="preserve">If your institution is incorporated or organized within the United States, you must complete and return Form W-9 (Request for Taxpayer Identification Number and Certification). </w:t>
      </w:r>
      <w:r>
        <w:rPr>
          <w:rFonts w:ascii="Arial" w:cs="Arial" w:eastAsia="Arial" w:hAnsi="Arial"/>
          <w:sz w:val="13"/>
          <w:szCs w:val="13"/>
          <w:b w:val="1"/>
          <w:bCs w:val="1"/>
          <w:color w:val="auto"/>
        </w:rPr>
        <w:t>Please be advised</w:t>
      </w:r>
      <w:r>
        <w:rPr>
          <w:rFonts w:ascii="Arial" w:cs="Arial" w:eastAsia="Arial" w:hAnsi="Arial"/>
          <w:sz w:val="13"/>
          <w:szCs w:val="13"/>
          <w:color w:val="auto"/>
        </w:rPr>
        <w:t xml:space="preserve"> </w:t>
      </w:r>
      <w:r>
        <w:rPr>
          <w:rFonts w:ascii="Arial" w:cs="Arial" w:eastAsia="Arial" w:hAnsi="Arial"/>
          <w:sz w:val="13"/>
          <w:szCs w:val="13"/>
          <w:b w:val="1"/>
          <w:bCs w:val="1"/>
          <w:color w:val="auto"/>
        </w:rPr>
        <w:t>that we require an original form W-9.</w:t>
      </w:r>
    </w:p>
    <w:p>
      <w:pPr>
        <w:spacing w:after="0" w:line="33" w:lineRule="exact"/>
        <w:rPr>
          <w:sz w:val="20"/>
          <w:szCs w:val="20"/>
          <w:color w:val="auto"/>
        </w:rPr>
      </w:pPr>
    </w:p>
    <w:p>
      <w:pPr>
        <w:ind w:right="240"/>
        <w:spacing w:after="0" w:line="273" w:lineRule="auto"/>
        <w:rPr>
          <w:sz w:val="20"/>
          <w:szCs w:val="20"/>
          <w:color w:val="auto"/>
        </w:rPr>
      </w:pPr>
      <w:r>
        <w:rPr>
          <w:rFonts w:ascii="Arial" w:cs="Arial" w:eastAsia="Arial" w:hAnsi="Arial"/>
          <w:sz w:val="13"/>
          <w:szCs w:val="13"/>
          <w:b w:val="1"/>
          <w:bCs w:val="1"/>
          <w:i w:val="1"/>
          <w:iCs w:val="1"/>
          <w:color w:val="auto"/>
        </w:rPr>
        <w:t>Pursuant to the language contained in the tax section of the Credit Agreement, the applicable tax form for your institution must be completed and returned on or prior to the date on which your institution becomes a lender under this Credit Agreement. Failure to provide the proper tax form when requested will subject your institution to U.S. tax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310640" cy="6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*Additional guidance and instructions as to where to submit this documentation can be found at this link:</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X. Bank of America Payment Instructions:</w:t>
      </w:r>
    </w:p>
    <w:p>
      <w:pPr>
        <w:sectPr>
          <w:pgSz w:w="11900" w:h="16838" w:orient="portrait"/>
          <w:cols w:equalWidth="0" w:num="1">
            <w:col w:w="11460"/>
          </w:cols>
          <w:pgMar w:left="220" w:top="713" w:right="21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color w:val="auto"/>
        </w:rPr>
        <w:t>Pay to:</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Bank of America, N.A.</w:t>
      </w:r>
    </w:p>
    <w:p>
      <w:pPr>
        <w:spacing w:after="0" w:line="236" w:lineRule="auto"/>
        <w:rPr>
          <w:sz w:val="20"/>
          <w:szCs w:val="20"/>
          <w:color w:val="auto"/>
        </w:rPr>
      </w:pPr>
      <w:r>
        <w:rPr>
          <w:rFonts w:ascii="Arial" w:cs="Arial" w:eastAsia="Arial" w:hAnsi="Arial"/>
          <w:sz w:val="13"/>
          <w:szCs w:val="13"/>
          <w:color w:val="auto"/>
        </w:rPr>
        <w:t>ABA # 026009593</w:t>
      </w:r>
    </w:p>
    <w:p>
      <w:pPr>
        <w:spacing w:after="0" w:line="237" w:lineRule="auto"/>
        <w:rPr>
          <w:sz w:val="20"/>
          <w:szCs w:val="20"/>
          <w:color w:val="auto"/>
        </w:rPr>
      </w:pPr>
      <w:r>
        <w:rPr>
          <w:rFonts w:ascii="Arial" w:cs="Arial" w:eastAsia="Arial" w:hAnsi="Arial"/>
          <w:sz w:val="13"/>
          <w:szCs w:val="13"/>
          <w:color w:val="auto"/>
        </w:rPr>
        <w:t>New York, NY</w:t>
      </w:r>
    </w:p>
    <w:p>
      <w:pPr>
        <w:spacing w:after="0" w:line="237" w:lineRule="auto"/>
        <w:rPr>
          <w:sz w:val="20"/>
          <w:szCs w:val="20"/>
          <w:color w:val="auto"/>
        </w:rPr>
      </w:pPr>
      <w:r>
        <w:rPr>
          <w:rFonts w:ascii="Arial" w:cs="Arial" w:eastAsia="Arial" w:hAnsi="Arial"/>
          <w:sz w:val="13"/>
          <w:szCs w:val="13"/>
          <w:color w:val="auto"/>
        </w:rPr>
        <w:t>Acct. # 1292000883</w:t>
      </w:r>
    </w:p>
    <w:p>
      <w:pPr>
        <w:spacing w:after="0" w:line="236" w:lineRule="auto"/>
        <w:rPr>
          <w:sz w:val="20"/>
          <w:szCs w:val="20"/>
          <w:color w:val="auto"/>
        </w:rPr>
      </w:pPr>
      <w:r>
        <w:rPr>
          <w:rFonts w:ascii="Arial" w:cs="Arial" w:eastAsia="Arial" w:hAnsi="Arial"/>
          <w:sz w:val="13"/>
          <w:szCs w:val="13"/>
          <w:color w:val="auto"/>
        </w:rPr>
        <w:t>Attn: Corporate Credit Services</w:t>
      </w:r>
    </w:p>
    <w:p>
      <w:pPr>
        <w:spacing w:after="0"/>
        <w:rPr>
          <w:sz w:val="20"/>
          <w:szCs w:val="20"/>
          <w:color w:val="auto"/>
        </w:rPr>
      </w:pPr>
      <w:r>
        <w:rPr>
          <w:rFonts w:ascii="Arial" w:cs="Arial" w:eastAsia="Arial" w:hAnsi="Arial"/>
          <w:sz w:val="13"/>
          <w:szCs w:val="13"/>
          <w:color w:val="auto"/>
        </w:rPr>
        <w:t>Ref: Waste Management Inc.</w:t>
      </w:r>
    </w:p>
    <w:p>
      <w:pPr>
        <w:spacing w:after="0" w:line="70" w:lineRule="exact"/>
        <w:rPr>
          <w:sz w:val="20"/>
          <w:szCs w:val="20"/>
          <w:color w:val="auto"/>
        </w:rPr>
      </w:pPr>
    </w:p>
    <w:p>
      <w:pPr>
        <w:sectPr>
          <w:pgSz w:w="11900" w:h="16838" w:orient="portrait"/>
          <w:cols w:equalWidth="0" w:num="2">
            <w:col w:w="420" w:space="720"/>
            <w:col w:w="10320"/>
          </w:cols>
          <w:pgMar w:left="220" w:top="713" w:right="219" w:bottom="1440" w:gutter="0" w:footer="0" w:header="0"/>
          <w:type w:val="continuous"/>
        </w:sectPr>
      </w:pPr>
    </w:p>
    <w:p>
      <w:pPr>
        <w:jc w:val="right"/>
        <w:spacing w:after="0"/>
        <w:rPr>
          <w:sz w:val="20"/>
          <w:szCs w:val="20"/>
          <w:color w:val="auto"/>
        </w:rPr>
      </w:pPr>
      <w:r>
        <w:rPr>
          <w:rFonts w:ascii="Arial" w:cs="Arial" w:eastAsia="Arial" w:hAnsi="Arial"/>
          <w:sz w:val="13"/>
          <w:szCs w:val="13"/>
          <w:b w:val="1"/>
          <w:bCs w:val="1"/>
          <w:color w:val="auto"/>
        </w:rPr>
        <w:t>12/2007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861060" cy="1060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61060" cy="106045"/>
                    </a:xfrm>
                    <a:prstGeom prst="rect">
                      <a:avLst/>
                    </a:prstGeom>
                    <a:noFill/>
                  </pic:spPr>
                </pic:pic>
              </a:graphicData>
            </a:graphic>
          </wp:anchor>
        </w:drawing>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3" w:right="219" w:bottom="1440" w:gutter="0" w:footer="0" w:header="0"/>
          <w:type w:val="continuous"/>
        </w:sectPr>
      </w:pPr>
    </w:p>
    <w:bookmarkStart w:id="230" w:name="page231"/>
    <w:bookmarkEnd w:id="230"/>
    <w:p>
      <w:pPr>
        <w:jc w:val="center"/>
        <w:spacing w:after="0"/>
        <w:rPr>
          <w:sz w:val="20"/>
          <w:szCs w:val="20"/>
          <w:color w:val="auto"/>
        </w:rPr>
      </w:pPr>
      <w:r>
        <w:rPr>
          <w:rFonts w:ascii="Arial" w:cs="Arial" w:eastAsia="Arial" w:hAnsi="Arial"/>
          <w:sz w:val="13"/>
          <w:szCs w:val="13"/>
          <w:color w:val="auto"/>
        </w:rPr>
        <w:t>SCHEDULE 1</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BANKS; COMMITMENTS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9900" w:type="dxa"/>
            <w:vAlign w:val="bottom"/>
            <w:tcBorders>
              <w:bottom w:val="single" w:sz="8" w:color="auto"/>
            </w:tcBorders>
          </w:tcPr>
          <w:p>
            <w:pPr>
              <w:ind w:left="4800"/>
              <w:spacing w:after="0"/>
              <w:rPr>
                <w:sz w:val="20"/>
                <w:szCs w:val="20"/>
                <w:color w:val="auto"/>
              </w:rPr>
            </w:pPr>
            <w:r>
              <w:rPr>
                <w:rFonts w:ascii="Arial" w:cs="Arial" w:eastAsia="Arial" w:hAnsi="Arial"/>
                <w:sz w:val="10"/>
                <w:szCs w:val="10"/>
                <w:b w:val="1"/>
                <w:bCs w:val="1"/>
                <w:color w:val="auto"/>
              </w:rPr>
              <w:t>BANK</w:t>
            </w:r>
          </w:p>
        </w:tc>
        <w:tc>
          <w:tcPr>
            <w:tcW w:w="580" w:type="dxa"/>
            <w:vAlign w:val="bottom"/>
          </w:tcPr>
          <w:p>
            <w:pPr>
              <w:spacing w:after="0"/>
              <w:rPr>
                <w:sz w:val="10"/>
                <w:szCs w:val="10"/>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COMMITMENT</w:t>
            </w:r>
          </w:p>
        </w:tc>
        <w:tc>
          <w:tcPr>
            <w:tcW w:w="100" w:type="dxa"/>
            <w:vAlign w:val="bottom"/>
          </w:tcPr>
          <w:p>
            <w:pPr>
              <w:spacing w:after="0"/>
              <w:rPr>
                <w:sz w:val="10"/>
                <w:szCs w:val="10"/>
                <w:color w:val="auto"/>
              </w:rPr>
            </w:pPr>
          </w:p>
        </w:tc>
      </w:tr>
      <w:tr>
        <w:trPr>
          <w:trHeight w:val="147"/>
        </w:trPr>
        <w:tc>
          <w:tcPr>
            <w:tcW w:w="20" w:type="dxa"/>
            <w:vAlign w:val="bottom"/>
          </w:tcPr>
          <w:p>
            <w:pPr>
              <w:spacing w:after="0"/>
              <w:rPr>
                <w:sz w:val="12"/>
                <w:szCs w:val="12"/>
                <w:color w:val="auto"/>
              </w:rPr>
            </w:pPr>
          </w:p>
        </w:tc>
        <w:tc>
          <w:tcPr>
            <w:tcW w:w="99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JPMorgan Chase Bank, N.A.</w:t>
            </w:r>
          </w:p>
        </w:tc>
        <w:tc>
          <w:tcPr>
            <w:tcW w:w="6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180,000,000</w:t>
            </w:r>
          </w:p>
        </w:tc>
        <w:tc>
          <w:tcPr>
            <w:tcW w:w="100" w:type="dxa"/>
            <w:vAlign w:val="bottom"/>
            <w:shd w:val="clear" w:color="auto" w:fill="CCEEFF"/>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9900" w:type="dxa"/>
            <w:vAlign w:val="bottom"/>
          </w:tcPr>
          <w:p>
            <w:pPr>
              <w:spacing w:after="0"/>
              <w:rPr>
                <w:sz w:val="20"/>
                <w:szCs w:val="20"/>
                <w:color w:val="auto"/>
              </w:rPr>
            </w:pPr>
            <w:r>
              <w:rPr>
                <w:rFonts w:ascii="Arial" w:cs="Arial" w:eastAsia="Arial" w:hAnsi="Arial"/>
                <w:sz w:val="13"/>
                <w:szCs w:val="13"/>
                <w:color w:val="auto"/>
              </w:rPr>
              <w:t>Bank of America, N.A.</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180,000,000</w:t>
            </w:r>
          </w:p>
        </w:tc>
        <w:tc>
          <w:tcPr>
            <w:tcW w:w="10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3"/>
                <w:szCs w:val="13"/>
                <w:color w:val="auto"/>
              </w:rPr>
              <w:t>Barclays Bank PLC</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180,000,000</w:t>
            </w:r>
          </w:p>
        </w:tc>
        <w:tc>
          <w:tcPr>
            <w:tcW w:w="100" w:type="dxa"/>
            <w:vAlign w:val="bottom"/>
            <w:shd w:val="clear" w:color="auto" w:fill="CCEEFF"/>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900" w:type="dxa"/>
            <w:vAlign w:val="bottom"/>
          </w:tcPr>
          <w:p>
            <w:pPr>
              <w:spacing w:after="0"/>
              <w:rPr>
                <w:sz w:val="20"/>
                <w:szCs w:val="20"/>
                <w:color w:val="auto"/>
              </w:rPr>
            </w:pPr>
            <w:r>
              <w:rPr>
                <w:rFonts w:ascii="Arial" w:cs="Arial" w:eastAsia="Arial" w:hAnsi="Arial"/>
                <w:sz w:val="13"/>
                <w:szCs w:val="13"/>
                <w:color w:val="auto"/>
              </w:rPr>
              <w:t>BNP Paribas</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135,000,000</w:t>
            </w:r>
          </w:p>
        </w:tc>
        <w:tc>
          <w:tcPr>
            <w:tcW w:w="10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3"/>
                <w:szCs w:val="13"/>
                <w:color w:val="auto"/>
              </w:rPr>
              <w:t>Citibank, N.A.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135,000,000</w:t>
            </w:r>
          </w:p>
        </w:tc>
        <w:tc>
          <w:tcPr>
            <w:tcW w:w="100" w:type="dxa"/>
            <w:vAlign w:val="bottom"/>
            <w:shd w:val="clear" w:color="auto" w:fill="CCEEFF"/>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900" w:type="dxa"/>
            <w:vAlign w:val="bottom"/>
          </w:tcPr>
          <w:p>
            <w:pPr>
              <w:spacing w:after="0"/>
              <w:rPr>
                <w:sz w:val="20"/>
                <w:szCs w:val="20"/>
                <w:color w:val="auto"/>
              </w:rPr>
            </w:pPr>
            <w:r>
              <w:rPr>
                <w:rFonts w:ascii="Arial" w:cs="Arial" w:eastAsia="Arial" w:hAnsi="Arial"/>
                <w:sz w:val="13"/>
                <w:szCs w:val="13"/>
                <w:color w:val="auto"/>
              </w:rPr>
              <w:t>Deutsche Bank AG New York Branch</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135,000,000</w:t>
            </w:r>
          </w:p>
        </w:tc>
        <w:tc>
          <w:tcPr>
            <w:tcW w:w="10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3"/>
                <w:szCs w:val="13"/>
                <w:color w:val="auto"/>
              </w:rPr>
              <w:t>The Royal Bank of Scotland plc</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135,000,000</w:t>
            </w:r>
          </w:p>
        </w:tc>
        <w:tc>
          <w:tcPr>
            <w:tcW w:w="100" w:type="dxa"/>
            <w:vAlign w:val="bottom"/>
            <w:shd w:val="clear" w:color="auto" w:fill="CCEEFF"/>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900" w:type="dxa"/>
            <w:vAlign w:val="bottom"/>
          </w:tcPr>
          <w:p>
            <w:pPr>
              <w:spacing w:after="0"/>
              <w:rPr>
                <w:sz w:val="20"/>
                <w:szCs w:val="20"/>
                <w:color w:val="auto"/>
              </w:rPr>
            </w:pPr>
            <w:r>
              <w:rPr>
                <w:rFonts w:ascii="Arial" w:cs="Arial" w:eastAsia="Arial" w:hAnsi="Arial"/>
                <w:sz w:val="13"/>
                <w:szCs w:val="13"/>
                <w:color w:val="auto"/>
              </w:rPr>
              <w:t>Credit Suisse AG, Cayman Islands Branch</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90,000,000</w:t>
            </w:r>
          </w:p>
        </w:tc>
      </w:tr>
      <w:tr>
        <w:trPr>
          <w:trHeight w:val="157"/>
        </w:trPr>
        <w:tc>
          <w:tcPr>
            <w:tcW w:w="20" w:type="dxa"/>
            <w:vAlign w:val="bottom"/>
          </w:tcPr>
          <w:p>
            <w:pPr>
              <w:spacing w:after="0"/>
              <w:rPr>
                <w:sz w:val="13"/>
                <w:szCs w:val="13"/>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3"/>
                <w:szCs w:val="13"/>
                <w:color w:val="auto"/>
              </w:rPr>
              <w:t>Goldman Sachs Bank USA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90,000,000</w:t>
            </w:r>
          </w:p>
        </w:tc>
      </w:tr>
      <w:tr>
        <w:trPr>
          <w:trHeight w:val="157"/>
        </w:trPr>
        <w:tc>
          <w:tcPr>
            <w:tcW w:w="20" w:type="dxa"/>
            <w:vAlign w:val="bottom"/>
          </w:tcPr>
          <w:p>
            <w:pPr>
              <w:spacing w:after="0"/>
              <w:rPr>
                <w:sz w:val="13"/>
                <w:szCs w:val="13"/>
                <w:color w:val="auto"/>
              </w:rPr>
            </w:pPr>
          </w:p>
        </w:tc>
        <w:tc>
          <w:tcPr>
            <w:tcW w:w="9900" w:type="dxa"/>
            <w:vAlign w:val="bottom"/>
          </w:tcPr>
          <w:p>
            <w:pPr>
              <w:spacing w:after="0"/>
              <w:rPr>
                <w:sz w:val="20"/>
                <w:szCs w:val="20"/>
                <w:color w:val="auto"/>
              </w:rPr>
            </w:pPr>
            <w:r>
              <w:rPr>
                <w:rFonts w:ascii="Arial" w:cs="Arial" w:eastAsia="Arial" w:hAnsi="Arial"/>
                <w:sz w:val="13"/>
                <w:szCs w:val="13"/>
                <w:color w:val="auto"/>
              </w:rPr>
              <w:t>The Bank of Nova Scotia</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90,000,000</w:t>
            </w:r>
          </w:p>
        </w:tc>
      </w:tr>
      <w:tr>
        <w:trPr>
          <w:trHeight w:val="157"/>
        </w:trPr>
        <w:tc>
          <w:tcPr>
            <w:tcW w:w="20" w:type="dxa"/>
            <w:vAlign w:val="bottom"/>
          </w:tcPr>
          <w:p>
            <w:pPr>
              <w:spacing w:after="0"/>
              <w:rPr>
                <w:sz w:val="13"/>
                <w:szCs w:val="13"/>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3"/>
                <w:szCs w:val="13"/>
                <w:color w:val="auto"/>
              </w:rPr>
              <w:t>U.S. Bank, National Association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90,000,000</w:t>
            </w:r>
          </w:p>
        </w:tc>
      </w:tr>
      <w:tr>
        <w:trPr>
          <w:trHeight w:val="157"/>
        </w:trPr>
        <w:tc>
          <w:tcPr>
            <w:tcW w:w="20" w:type="dxa"/>
            <w:vAlign w:val="bottom"/>
          </w:tcPr>
          <w:p>
            <w:pPr>
              <w:spacing w:after="0"/>
              <w:rPr>
                <w:sz w:val="13"/>
                <w:szCs w:val="13"/>
                <w:color w:val="auto"/>
              </w:rPr>
            </w:pPr>
          </w:p>
        </w:tc>
        <w:tc>
          <w:tcPr>
            <w:tcW w:w="9900" w:type="dxa"/>
            <w:vAlign w:val="bottom"/>
          </w:tcPr>
          <w:p>
            <w:pPr>
              <w:spacing w:after="0"/>
              <w:rPr>
                <w:sz w:val="20"/>
                <w:szCs w:val="20"/>
                <w:color w:val="auto"/>
              </w:rPr>
            </w:pPr>
            <w:r>
              <w:rPr>
                <w:rFonts w:ascii="Arial" w:cs="Arial" w:eastAsia="Arial" w:hAnsi="Arial"/>
                <w:sz w:val="13"/>
                <w:szCs w:val="13"/>
                <w:color w:val="auto"/>
              </w:rPr>
              <w:t>Wells Fargo Bank, National Association</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90,000,000</w:t>
            </w:r>
          </w:p>
        </w:tc>
      </w:tr>
      <w:tr>
        <w:trPr>
          <w:trHeight w:val="157"/>
        </w:trPr>
        <w:tc>
          <w:tcPr>
            <w:tcW w:w="20" w:type="dxa"/>
            <w:vAlign w:val="bottom"/>
          </w:tcPr>
          <w:p>
            <w:pPr>
              <w:spacing w:after="0"/>
              <w:rPr>
                <w:sz w:val="13"/>
                <w:szCs w:val="13"/>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3"/>
                <w:szCs w:val="13"/>
                <w:color w:val="auto"/>
              </w:rPr>
              <w:t>The Bank of Tokyo-Mitsubishi UFJ, Ltd., New York Branch</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65,000,000</w:t>
            </w:r>
          </w:p>
        </w:tc>
      </w:tr>
      <w:tr>
        <w:trPr>
          <w:trHeight w:val="157"/>
        </w:trPr>
        <w:tc>
          <w:tcPr>
            <w:tcW w:w="20" w:type="dxa"/>
            <w:vAlign w:val="bottom"/>
          </w:tcPr>
          <w:p>
            <w:pPr>
              <w:spacing w:after="0"/>
              <w:rPr>
                <w:sz w:val="13"/>
                <w:szCs w:val="13"/>
                <w:color w:val="auto"/>
              </w:rPr>
            </w:pPr>
          </w:p>
        </w:tc>
        <w:tc>
          <w:tcPr>
            <w:tcW w:w="9900" w:type="dxa"/>
            <w:vAlign w:val="bottom"/>
          </w:tcPr>
          <w:p>
            <w:pPr>
              <w:spacing w:after="0"/>
              <w:rPr>
                <w:sz w:val="20"/>
                <w:szCs w:val="20"/>
                <w:color w:val="auto"/>
              </w:rPr>
            </w:pPr>
            <w:r>
              <w:rPr>
                <w:rFonts w:ascii="Arial" w:cs="Arial" w:eastAsia="Arial" w:hAnsi="Arial"/>
                <w:sz w:val="13"/>
                <w:szCs w:val="13"/>
                <w:color w:val="auto"/>
              </w:rPr>
              <w:t>The Bank of New York Mellon</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47,500,000</w:t>
            </w:r>
          </w:p>
        </w:tc>
      </w:tr>
      <w:tr>
        <w:trPr>
          <w:trHeight w:val="157"/>
        </w:trPr>
        <w:tc>
          <w:tcPr>
            <w:tcW w:w="20" w:type="dxa"/>
            <w:vAlign w:val="bottom"/>
          </w:tcPr>
          <w:p>
            <w:pPr>
              <w:spacing w:after="0"/>
              <w:rPr>
                <w:sz w:val="13"/>
                <w:szCs w:val="13"/>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3"/>
                <w:szCs w:val="13"/>
                <w:color w:val="auto"/>
              </w:rPr>
              <w:t>Comerica Bank</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47,500,000</w:t>
            </w:r>
          </w:p>
        </w:tc>
      </w:tr>
      <w:tr>
        <w:trPr>
          <w:trHeight w:val="157"/>
        </w:trPr>
        <w:tc>
          <w:tcPr>
            <w:tcW w:w="20" w:type="dxa"/>
            <w:vAlign w:val="bottom"/>
          </w:tcPr>
          <w:p>
            <w:pPr>
              <w:spacing w:after="0"/>
              <w:rPr>
                <w:sz w:val="13"/>
                <w:szCs w:val="13"/>
                <w:color w:val="auto"/>
              </w:rPr>
            </w:pPr>
          </w:p>
        </w:tc>
        <w:tc>
          <w:tcPr>
            <w:tcW w:w="9900" w:type="dxa"/>
            <w:vAlign w:val="bottom"/>
          </w:tcPr>
          <w:p>
            <w:pPr>
              <w:spacing w:after="0"/>
              <w:rPr>
                <w:sz w:val="20"/>
                <w:szCs w:val="20"/>
                <w:color w:val="auto"/>
              </w:rPr>
            </w:pPr>
            <w:r>
              <w:rPr>
                <w:rFonts w:ascii="Arial" w:cs="Arial" w:eastAsia="Arial" w:hAnsi="Arial"/>
                <w:sz w:val="13"/>
                <w:szCs w:val="13"/>
                <w:color w:val="auto"/>
              </w:rPr>
              <w:t>Compass Bank</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47,500,000</w:t>
            </w:r>
          </w:p>
        </w:tc>
      </w:tr>
      <w:tr>
        <w:trPr>
          <w:trHeight w:val="157"/>
        </w:trPr>
        <w:tc>
          <w:tcPr>
            <w:tcW w:w="20" w:type="dxa"/>
            <w:vAlign w:val="bottom"/>
          </w:tcPr>
          <w:p>
            <w:pPr>
              <w:spacing w:after="0"/>
              <w:rPr>
                <w:sz w:val="13"/>
                <w:szCs w:val="13"/>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3"/>
                <w:szCs w:val="13"/>
                <w:color w:val="auto"/>
              </w:rPr>
              <w:t>Credit Agricole Corporate and Investment Bank</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47,500,000</w:t>
            </w:r>
          </w:p>
        </w:tc>
      </w:tr>
      <w:tr>
        <w:trPr>
          <w:trHeight w:val="157"/>
        </w:trPr>
        <w:tc>
          <w:tcPr>
            <w:tcW w:w="20" w:type="dxa"/>
            <w:vAlign w:val="bottom"/>
          </w:tcPr>
          <w:p>
            <w:pPr>
              <w:spacing w:after="0"/>
              <w:rPr>
                <w:sz w:val="13"/>
                <w:szCs w:val="13"/>
                <w:color w:val="auto"/>
              </w:rPr>
            </w:pPr>
          </w:p>
        </w:tc>
        <w:tc>
          <w:tcPr>
            <w:tcW w:w="9900" w:type="dxa"/>
            <w:vAlign w:val="bottom"/>
          </w:tcPr>
          <w:p>
            <w:pPr>
              <w:spacing w:after="0"/>
              <w:rPr>
                <w:sz w:val="20"/>
                <w:szCs w:val="20"/>
                <w:color w:val="auto"/>
              </w:rPr>
            </w:pPr>
            <w:r>
              <w:rPr>
                <w:rFonts w:ascii="Arial" w:cs="Arial" w:eastAsia="Arial" w:hAnsi="Arial"/>
                <w:sz w:val="13"/>
                <w:szCs w:val="13"/>
                <w:color w:val="auto"/>
              </w:rPr>
              <w:t>Lloyds TSB Bank, plc</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47,500,000</w:t>
            </w:r>
          </w:p>
        </w:tc>
      </w:tr>
      <w:tr>
        <w:trPr>
          <w:trHeight w:val="157"/>
        </w:trPr>
        <w:tc>
          <w:tcPr>
            <w:tcW w:w="20" w:type="dxa"/>
            <w:vAlign w:val="bottom"/>
          </w:tcPr>
          <w:p>
            <w:pPr>
              <w:spacing w:after="0"/>
              <w:rPr>
                <w:sz w:val="13"/>
                <w:szCs w:val="13"/>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3"/>
                <w:szCs w:val="13"/>
                <w:color w:val="auto"/>
              </w:rPr>
              <w:t>Mizuho Corporate Bank (USA)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47,500,000</w:t>
            </w:r>
          </w:p>
        </w:tc>
      </w:tr>
      <w:tr>
        <w:trPr>
          <w:trHeight w:val="157"/>
        </w:trPr>
        <w:tc>
          <w:tcPr>
            <w:tcW w:w="20" w:type="dxa"/>
            <w:vAlign w:val="bottom"/>
          </w:tcPr>
          <w:p>
            <w:pPr>
              <w:spacing w:after="0"/>
              <w:rPr>
                <w:sz w:val="13"/>
                <w:szCs w:val="13"/>
                <w:color w:val="auto"/>
              </w:rPr>
            </w:pPr>
          </w:p>
        </w:tc>
        <w:tc>
          <w:tcPr>
            <w:tcW w:w="9900" w:type="dxa"/>
            <w:vAlign w:val="bottom"/>
          </w:tcPr>
          <w:p>
            <w:pPr>
              <w:spacing w:after="0"/>
              <w:rPr>
                <w:sz w:val="20"/>
                <w:szCs w:val="20"/>
                <w:color w:val="auto"/>
              </w:rPr>
            </w:pPr>
            <w:r>
              <w:rPr>
                <w:rFonts w:ascii="Arial" w:cs="Arial" w:eastAsia="Arial" w:hAnsi="Arial"/>
                <w:sz w:val="13"/>
                <w:szCs w:val="13"/>
                <w:color w:val="auto"/>
              </w:rPr>
              <w:t>PNC Bank National Association</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47,500,000</w:t>
            </w:r>
          </w:p>
        </w:tc>
      </w:tr>
      <w:tr>
        <w:trPr>
          <w:trHeight w:val="157"/>
        </w:trPr>
        <w:tc>
          <w:tcPr>
            <w:tcW w:w="20" w:type="dxa"/>
            <w:vAlign w:val="bottom"/>
          </w:tcPr>
          <w:p>
            <w:pPr>
              <w:spacing w:after="0"/>
              <w:rPr>
                <w:sz w:val="13"/>
                <w:szCs w:val="13"/>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3"/>
                <w:szCs w:val="13"/>
                <w:color w:val="auto"/>
              </w:rPr>
              <w:t>Sumitomo Mitsui Banking Corporation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47,500,000</w:t>
            </w:r>
          </w:p>
        </w:tc>
      </w:tr>
      <w:tr>
        <w:trPr>
          <w:trHeight w:val="157"/>
        </w:trPr>
        <w:tc>
          <w:tcPr>
            <w:tcW w:w="20" w:type="dxa"/>
            <w:vAlign w:val="bottom"/>
          </w:tcPr>
          <w:p>
            <w:pPr>
              <w:spacing w:after="0"/>
              <w:rPr>
                <w:sz w:val="13"/>
                <w:szCs w:val="13"/>
                <w:color w:val="auto"/>
              </w:rPr>
            </w:pPr>
          </w:p>
        </w:tc>
        <w:tc>
          <w:tcPr>
            <w:tcW w:w="9900" w:type="dxa"/>
            <w:vAlign w:val="bottom"/>
          </w:tcPr>
          <w:p>
            <w:pPr>
              <w:spacing w:after="0"/>
              <w:rPr>
                <w:sz w:val="20"/>
                <w:szCs w:val="20"/>
                <w:color w:val="auto"/>
              </w:rPr>
            </w:pPr>
            <w:r>
              <w:rPr>
                <w:rFonts w:ascii="Arial" w:cs="Arial" w:eastAsia="Arial" w:hAnsi="Arial"/>
                <w:sz w:val="13"/>
                <w:szCs w:val="13"/>
                <w:color w:val="auto"/>
              </w:rPr>
              <w:t>Morgan Stanley Bank, N.A.</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25,000,000</w:t>
            </w:r>
          </w:p>
        </w:tc>
      </w:tr>
      <w:tr>
        <w:trPr>
          <w:trHeight w:val="20"/>
        </w:trPr>
        <w:tc>
          <w:tcPr>
            <w:tcW w:w="2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990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TOTAL COMMITMENTS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w w:val="91"/>
              </w:rPr>
              <w:t>2,000,000,000</w:t>
            </w:r>
          </w:p>
        </w:tc>
      </w:tr>
      <w:tr>
        <w:trPr>
          <w:trHeight w:val="457"/>
        </w:trPr>
        <w:tc>
          <w:tcPr>
            <w:tcW w:w="20" w:type="dxa"/>
            <w:vAlign w:val="bottom"/>
          </w:tcPr>
          <w:p>
            <w:pPr>
              <w:spacing w:after="0"/>
              <w:rPr>
                <w:sz w:val="24"/>
                <w:szCs w:val="24"/>
                <w:color w:val="auto"/>
              </w:rPr>
            </w:pPr>
          </w:p>
        </w:tc>
        <w:tc>
          <w:tcPr>
            <w:tcW w:w="99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231" w:name="page232"/>
    <w:bookmarkEnd w:id="231"/>
    <w:p>
      <w:pPr>
        <w:jc w:val="right"/>
        <w:spacing w:after="0"/>
        <w:rPr>
          <w:sz w:val="20"/>
          <w:szCs w:val="20"/>
          <w:color w:val="auto"/>
        </w:rPr>
      </w:pPr>
      <w:r>
        <w:rPr>
          <w:rFonts w:ascii="Arial" w:cs="Arial" w:eastAsia="Arial" w:hAnsi="Arial"/>
          <w:sz w:val="13"/>
          <w:szCs w:val="13"/>
          <w:color w:val="auto"/>
        </w:rPr>
        <w:t>SCHEDULE 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EXISTING LIENS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Secured Debt</w:t>
      </w:r>
    </w:p>
    <w:p>
      <w:pPr>
        <w:spacing w:after="0" w:line="86" w:lineRule="exact"/>
        <w:rPr>
          <w:sz w:val="20"/>
          <w:szCs w:val="20"/>
          <w:color w:val="auto"/>
        </w:rPr>
      </w:pPr>
    </w:p>
    <w:p>
      <w:pPr>
        <w:ind w:right="180"/>
        <w:spacing w:after="0" w:line="320" w:lineRule="auto"/>
        <w:rPr>
          <w:sz w:val="20"/>
          <w:szCs w:val="20"/>
          <w:color w:val="auto"/>
        </w:rPr>
      </w:pPr>
      <w:r>
        <w:rPr>
          <w:rFonts w:ascii="Arial" w:cs="Arial" w:eastAsia="Arial" w:hAnsi="Arial"/>
          <w:sz w:val="12"/>
          <w:szCs w:val="12"/>
          <w:color w:val="auto"/>
        </w:rPr>
        <w:t>Tax-exempt project bonds issued by Subsidiaries, as disclosed in Note 3, Debt, to the Borrower’s condensed consolidated financial statements included within its Quarterly Report on Form 10-Q for the quarter ended March 31, 2010 and Note 7, Debt, to the Borrower’s condensed consolidated financial statements included within its Annual Report on Form 10-K for the year ended December 31, 2009.</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Tax-exempt bonds issued by Subsidiaries in California to finance vehicles and equipment used to perform collection services under municipal contracts.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Capital Leases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Various capital leases entered into by Subsidiaries in the ordinary course of business for operating equipment and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32" w:name="page233"/>
    <w:bookmarkEnd w:id="232"/>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SCHEDULE 3.1</w:t>
            </w: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380" w:type="dxa"/>
            <w:vAlign w:val="bottom"/>
          </w:tcPr>
          <w:p>
            <w:pPr>
              <w:jc w:val="right"/>
              <w:ind w:right="3214"/>
              <w:spacing w:after="0"/>
              <w:rPr>
                <w:sz w:val="20"/>
                <w:szCs w:val="20"/>
                <w:color w:val="auto"/>
              </w:rPr>
            </w:pPr>
            <w:r>
              <w:rPr>
                <w:rFonts w:ascii="Arial" w:cs="Arial" w:eastAsia="Arial" w:hAnsi="Arial"/>
                <w:sz w:val="13"/>
                <w:szCs w:val="13"/>
                <w:color w:val="auto"/>
              </w:rPr>
              <w:t>ISSUING BANKS AND ISSUING BANK LIMITS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2980" w:type="dxa"/>
            <w:vAlign w:val="bottom"/>
          </w:tcPr>
          <w:p>
            <w:pPr>
              <w:spacing w:after="0"/>
              <w:rPr>
                <w:sz w:val="13"/>
                <w:szCs w:val="13"/>
                <w:color w:val="auto"/>
              </w:rPr>
            </w:pPr>
          </w:p>
        </w:tc>
        <w:tc>
          <w:tcPr>
            <w:tcW w:w="7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Bank of America, N.A.</w:t>
            </w:r>
          </w:p>
        </w:tc>
        <w:tc>
          <w:tcPr>
            <w:tcW w:w="7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w w:val="88"/>
              </w:rPr>
              <w:t>1,000,000,000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JPMorgan Chase Bank, N.A.</w:t>
            </w:r>
          </w:p>
        </w:tc>
        <w:tc>
          <w:tcPr>
            <w:tcW w:w="738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254"/>
              <w:spacing w:after="0"/>
              <w:rPr>
                <w:sz w:val="20"/>
                <w:szCs w:val="20"/>
                <w:color w:val="auto"/>
              </w:rPr>
            </w:pPr>
            <w:r>
              <w:rPr>
                <w:rFonts w:ascii="Arial" w:cs="Arial" w:eastAsia="Arial" w:hAnsi="Arial"/>
                <w:sz w:val="13"/>
                <w:szCs w:val="13"/>
                <w:color w:val="auto"/>
              </w:rPr>
              <w:t>500,000,000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Barclays Bank PLC</w:t>
            </w:r>
          </w:p>
        </w:tc>
        <w:tc>
          <w:tcPr>
            <w:tcW w:w="7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500,000,000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PNC Bank</w:t>
            </w:r>
          </w:p>
        </w:tc>
        <w:tc>
          <w:tcPr>
            <w:tcW w:w="738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254"/>
              <w:spacing w:after="0"/>
              <w:rPr>
                <w:sz w:val="20"/>
                <w:szCs w:val="20"/>
                <w:color w:val="auto"/>
              </w:rPr>
            </w:pPr>
            <w:r>
              <w:rPr>
                <w:rFonts w:ascii="Arial" w:cs="Arial" w:eastAsia="Arial" w:hAnsi="Arial"/>
                <w:sz w:val="13"/>
                <w:szCs w:val="13"/>
                <w:color w:val="auto"/>
              </w:rPr>
              <w:t>500,000,000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Well Fargo Bank, N.A.</w:t>
            </w:r>
          </w:p>
        </w:tc>
        <w:tc>
          <w:tcPr>
            <w:tcW w:w="7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300,000,000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BNP Paribas</w:t>
            </w:r>
          </w:p>
        </w:tc>
        <w:tc>
          <w:tcPr>
            <w:tcW w:w="738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254"/>
              <w:spacing w:after="0"/>
              <w:rPr>
                <w:sz w:val="20"/>
                <w:szCs w:val="20"/>
                <w:color w:val="auto"/>
              </w:rPr>
            </w:pPr>
            <w:r>
              <w:rPr>
                <w:rFonts w:ascii="Arial" w:cs="Arial" w:eastAsia="Arial" w:hAnsi="Arial"/>
                <w:sz w:val="13"/>
                <w:szCs w:val="13"/>
                <w:color w:val="auto"/>
              </w:rPr>
              <w:t>300,000,000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Compass Bank</w:t>
            </w:r>
          </w:p>
        </w:tc>
        <w:tc>
          <w:tcPr>
            <w:tcW w:w="7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75,000,000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The Bank of New York Mellon</w:t>
            </w:r>
          </w:p>
        </w:tc>
        <w:tc>
          <w:tcPr>
            <w:tcW w:w="738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254"/>
              <w:spacing w:after="0"/>
              <w:rPr>
                <w:sz w:val="20"/>
                <w:szCs w:val="20"/>
                <w:color w:val="auto"/>
              </w:rPr>
            </w:pPr>
            <w:r>
              <w:rPr>
                <w:rFonts w:ascii="Arial" w:cs="Arial" w:eastAsia="Arial" w:hAnsi="Arial"/>
                <w:sz w:val="13"/>
                <w:szCs w:val="13"/>
                <w:color w:val="auto"/>
              </w:rPr>
              <w:t>50,000,000</w:t>
            </w:r>
          </w:p>
        </w:tc>
        <w:tc>
          <w:tcPr>
            <w:tcW w:w="0" w:type="dxa"/>
            <w:vAlign w:val="bottom"/>
          </w:tcPr>
          <w:p>
            <w:pPr>
              <w:spacing w:after="0"/>
              <w:rPr>
                <w:sz w:val="1"/>
                <w:szCs w:val="1"/>
                <w:color w:val="auto"/>
              </w:rPr>
            </w:pPr>
          </w:p>
        </w:tc>
      </w:tr>
      <w:tr>
        <w:trPr>
          <w:trHeight w:val="449"/>
        </w:trPr>
        <w:tc>
          <w:tcPr>
            <w:tcW w:w="2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73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33" w:name="page234"/>
    <w:bookmarkEnd w:id="233"/>
    <w:p>
      <w:pPr>
        <w:jc w:val="right"/>
        <w:spacing w:after="0"/>
        <w:rPr>
          <w:sz w:val="20"/>
          <w:szCs w:val="20"/>
          <w:color w:val="auto"/>
        </w:rPr>
      </w:pPr>
      <w:r>
        <w:rPr>
          <w:rFonts w:ascii="Arial" w:cs="Arial" w:eastAsia="Arial" w:hAnsi="Arial"/>
          <w:sz w:val="13"/>
          <w:szCs w:val="13"/>
          <w:color w:val="auto"/>
        </w:rPr>
        <w:t>SCHEDULE 3.1.1</w:t>
      </w:r>
    </w:p>
    <w:p>
      <w:pPr>
        <w:spacing w:after="0" w:line="244" w:lineRule="exact"/>
        <w:rPr>
          <w:sz w:val="20"/>
          <w:szCs w:val="20"/>
          <w:color w:val="auto"/>
        </w:rPr>
      </w:pPr>
    </w:p>
    <w:p>
      <w:pPr>
        <w:ind w:left="4500"/>
        <w:spacing w:after="0"/>
        <w:rPr>
          <w:sz w:val="20"/>
          <w:szCs w:val="20"/>
          <w:color w:val="auto"/>
        </w:rPr>
      </w:pPr>
      <w:r>
        <w:rPr>
          <w:rFonts w:ascii="Arial" w:cs="Arial" w:eastAsia="Arial" w:hAnsi="Arial"/>
          <w:sz w:val="13"/>
          <w:szCs w:val="13"/>
          <w:color w:val="auto"/>
        </w:rPr>
        <w:t>FORM OF INCREASE/DECREASE LETTER</w:t>
      </w:r>
    </w:p>
    <w:p>
      <w:pPr>
        <w:spacing w:after="0" w:line="86"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-7620</wp:posOffset>
            </wp:positionV>
            <wp:extent cx="415925" cy="63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15925" cy="6350"/>
                    </a:xfrm>
                    <a:prstGeom prst="rect">
                      <a:avLst/>
                    </a:prstGeom>
                    <a:noFill/>
                  </pic:spPr>
                </pic:pic>
              </a:graphicData>
            </a:graphic>
          </wp:anchor>
        </w:drawing>
      </w:r>
    </w:p>
    <w:p>
      <w:pPr>
        <w:spacing w:after="0" w:line="66" w:lineRule="exact"/>
        <w:rPr>
          <w:sz w:val="20"/>
          <w:szCs w:val="20"/>
          <w:color w:val="auto"/>
        </w:rPr>
      </w:pPr>
    </w:p>
    <w:p>
      <w:pPr>
        <w:ind w:right="120" w:firstLine="164"/>
        <w:spacing w:after="0" w:line="264" w:lineRule="auto"/>
        <w:rPr>
          <w:sz w:val="20"/>
          <w:szCs w:val="20"/>
          <w:color w:val="auto"/>
        </w:rPr>
      </w:pPr>
      <w:r>
        <w:rPr>
          <w:rFonts w:ascii="Arial" w:cs="Arial" w:eastAsia="Arial" w:hAnsi="Arial"/>
          <w:sz w:val="13"/>
          <w:szCs w:val="13"/>
          <w:color w:val="auto"/>
        </w:rPr>
        <w:t>Reference is made to the REVOLVING CREDIT AGREEMENT dated as of June 22, 2010 (as amended and in effect from time to time, the “Credit Agreement”), by and among WASTE MANAGEMENT, INC., a Delaware corporation (the “Borrower”), WASTE MANAGEMENT HOLDINGS, INC., a wholly-owned Subsidiary of the Borrower (the “Guarantor”), certain Banks, and BANK OF AMERICA, N.A., as Administrative Agent (the “Administrative Agent”), and specifically to Schedule 3.1 attached thereto.</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1"/>
          <w:szCs w:val="11"/>
          <w:color w:val="auto"/>
        </w:rPr>
        <w:t>The undersigned, being an Issuing Bank as defined in the Credit Agreement, hereby agrees pursuant to Section 3.1 of the Credit Agreement that the limit set forth in said Schedule 3.1 with respect to the undersigned</w:t>
      </w:r>
    </w:p>
    <w:p>
      <w:pPr>
        <w:spacing w:after="0" w:line="38" w:lineRule="exact"/>
        <w:rPr>
          <w:sz w:val="20"/>
          <w:szCs w:val="20"/>
          <w:color w:val="auto"/>
        </w:rPr>
      </w:pPr>
    </w:p>
    <w:p>
      <w:pPr>
        <w:spacing w:after="0"/>
        <w:tabs>
          <w:tab w:leader="none" w:pos="3260" w:val="left"/>
        </w:tabs>
        <w:rPr>
          <w:sz w:val="20"/>
          <w:szCs w:val="20"/>
          <w:color w:val="auto"/>
        </w:rPr>
      </w:pPr>
      <w:r>
        <w:rPr>
          <w:rFonts w:ascii="Arial" w:cs="Arial" w:eastAsia="Arial" w:hAnsi="Arial"/>
          <w:sz w:val="13"/>
          <w:szCs w:val="13"/>
          <w:color w:val="auto"/>
        </w:rPr>
        <w:t>shall, effective on the date hereof, be changed to $</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1671955</wp:posOffset>
            </wp:positionH>
            <wp:positionV relativeFrom="paragraph">
              <wp:posOffset>-12065</wp:posOffset>
            </wp:positionV>
            <wp:extent cx="415925" cy="63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15925" cy="6350"/>
                    </a:xfrm>
                    <a:prstGeom prst="rect">
                      <a:avLst/>
                    </a:prstGeom>
                    <a:noFill/>
                  </pic:spPr>
                </pic:pic>
              </a:graphicData>
            </a:graphic>
          </wp:anchor>
        </w:drawing>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Borrower, the Guarantor and the Administrative Agent acknowledge the foregoing.</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This letter agreement may be executed in any number of counterparts, and shall be governed by and construed in accordance with the law of the State of New York.</w:t>
      </w:r>
    </w:p>
    <w:p>
      <w:pPr>
        <w:spacing w:after="0" w:line="165"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Very truly yours,</w:t>
      </w:r>
    </w:p>
    <w:p>
      <w:pPr>
        <w:spacing w:after="0" w:line="165"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[Name of Issuing Bank]</w:t>
      </w:r>
    </w:p>
    <w:p>
      <w:pPr>
        <w:spacing w:after="0" w:line="165" w:lineRule="exact"/>
        <w:rPr>
          <w:sz w:val="20"/>
          <w:szCs w:val="20"/>
          <w:color w:val="auto"/>
        </w:rPr>
      </w:pPr>
    </w:p>
    <w:p>
      <w:pPr>
        <w:jc w:val="center"/>
        <w:ind w:right="42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10795</wp:posOffset>
            </wp:positionV>
            <wp:extent cx="2596515" cy="63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3"/>
          <w:szCs w:val="13"/>
          <w:color w:val="auto"/>
        </w:rPr>
        <w:t>Title:</w:t>
      </w:r>
    </w:p>
    <w:p>
      <w:pPr>
        <w:spacing w:after="0" w:line="322"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WASTE MANAGEMENT, INC.</w:t>
      </w:r>
    </w:p>
    <w:p>
      <w:pPr>
        <w:spacing w:after="0" w:line="165" w:lineRule="exact"/>
        <w:rPr>
          <w:sz w:val="20"/>
          <w:szCs w:val="20"/>
          <w:color w:val="auto"/>
        </w:rPr>
      </w:pPr>
    </w:p>
    <w:p>
      <w:pPr>
        <w:jc w:val="center"/>
        <w:ind w:right="42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10795</wp:posOffset>
            </wp:positionV>
            <wp:extent cx="2596515" cy="63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3"/>
          <w:szCs w:val="13"/>
          <w:color w:val="auto"/>
        </w:rPr>
        <w:t>Title:</w:t>
      </w:r>
    </w:p>
    <w:p>
      <w:pPr>
        <w:spacing w:after="0" w:line="322"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WASTE MANAGEMENT HOLDINGS, INC.</w:t>
      </w:r>
    </w:p>
    <w:p>
      <w:pPr>
        <w:spacing w:after="0" w:line="165" w:lineRule="exact"/>
        <w:rPr>
          <w:sz w:val="20"/>
          <w:szCs w:val="20"/>
          <w:color w:val="auto"/>
        </w:rPr>
      </w:pPr>
    </w:p>
    <w:p>
      <w:pPr>
        <w:jc w:val="center"/>
        <w:ind w:right="42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10795</wp:posOffset>
            </wp:positionV>
            <wp:extent cx="2596515" cy="63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494030</wp:posOffset>
            </wp:positionV>
            <wp:extent cx="7290435" cy="190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34" w:name="page235"/>
    <w:bookmarkEnd w:id="234"/>
    <w:p>
      <w:pPr>
        <w:ind w:left="4220"/>
        <w:spacing w:after="0"/>
        <w:rPr>
          <w:sz w:val="20"/>
          <w:szCs w:val="20"/>
          <w:color w:val="auto"/>
        </w:rPr>
      </w:pPr>
      <w:r>
        <w:rPr>
          <w:rFonts w:ascii="Arial" w:cs="Arial" w:eastAsia="Arial" w:hAnsi="Arial"/>
          <w:sz w:val="12"/>
          <w:szCs w:val="12"/>
          <w:color w:val="auto"/>
        </w:rPr>
        <w:t>BANK OF AMERICA, N.A.,</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as Administrative Agent</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2838450</wp:posOffset>
            </wp:positionH>
            <wp:positionV relativeFrom="paragraph">
              <wp:posOffset>17780</wp:posOffset>
            </wp:positionV>
            <wp:extent cx="2590165" cy="63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494030</wp:posOffset>
            </wp:positionV>
            <wp:extent cx="7290435" cy="190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235" w:name="page236"/>
    <w:bookmarkEnd w:id="235"/>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240" w:type="dxa"/>
            <w:vAlign w:val="bottom"/>
            <w:gridSpan w:val="2"/>
          </w:tcPr>
          <w:p>
            <w:pPr>
              <w:ind w:left="1280"/>
              <w:spacing w:after="0"/>
              <w:rPr>
                <w:sz w:val="20"/>
                <w:szCs w:val="20"/>
                <w:color w:val="auto"/>
              </w:rPr>
            </w:pPr>
            <w:r>
              <w:rPr>
                <w:rFonts w:ascii="Arial" w:cs="Arial" w:eastAsia="Arial" w:hAnsi="Arial"/>
                <w:sz w:val="13"/>
                <w:szCs w:val="13"/>
                <w:color w:val="auto"/>
                <w:w w:val="90"/>
              </w:rPr>
              <w:t>SCHEDULE 3.1.2</w:t>
            </w:r>
          </w:p>
        </w:tc>
      </w:tr>
      <w:tr>
        <w:trPr>
          <w:trHeight w:val="393"/>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200" w:type="dxa"/>
            <w:vAlign w:val="bottom"/>
          </w:tcPr>
          <w:p>
            <w:pPr>
              <w:ind w:left="760"/>
              <w:spacing w:after="0"/>
              <w:rPr>
                <w:sz w:val="20"/>
                <w:szCs w:val="20"/>
                <w:color w:val="auto"/>
              </w:rPr>
            </w:pPr>
            <w:r>
              <w:rPr>
                <w:rFonts w:ascii="Arial" w:cs="Arial" w:eastAsia="Arial" w:hAnsi="Arial"/>
                <w:sz w:val="13"/>
                <w:szCs w:val="13"/>
                <w:color w:val="auto"/>
              </w:rPr>
              <w:t>EXISTING LETTERS OF CREDIT</w:t>
            </w: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67"/>
        </w:trPr>
        <w:tc>
          <w:tcPr>
            <w:tcW w:w="1740" w:type="dxa"/>
            <w:vAlign w:val="bottom"/>
            <w:gridSpan w:val="2"/>
          </w:tcPr>
          <w:p>
            <w:pPr>
              <w:spacing w:after="0"/>
              <w:rPr>
                <w:sz w:val="20"/>
                <w:szCs w:val="20"/>
                <w:color w:val="auto"/>
              </w:rPr>
            </w:pPr>
            <w:r>
              <w:rPr>
                <w:rFonts w:ascii="Arial" w:cs="Arial" w:eastAsia="Arial" w:hAnsi="Arial"/>
                <w:sz w:val="10"/>
                <w:szCs w:val="10"/>
                <w:color w:val="auto"/>
              </w:rPr>
              <w:t>Guarantor</w:t>
            </w:r>
          </w:p>
        </w:tc>
        <w:tc>
          <w:tcPr>
            <w:tcW w:w="2280" w:type="dxa"/>
            <w:vAlign w:val="bottom"/>
          </w:tcPr>
          <w:p>
            <w:pPr>
              <w:ind w:left="860"/>
              <w:spacing w:after="0"/>
              <w:rPr>
                <w:sz w:val="20"/>
                <w:szCs w:val="20"/>
                <w:color w:val="auto"/>
              </w:rPr>
            </w:pPr>
            <w:r>
              <w:rPr>
                <w:rFonts w:ascii="Arial" w:cs="Arial" w:eastAsia="Arial" w:hAnsi="Arial"/>
                <w:sz w:val="10"/>
                <w:szCs w:val="10"/>
                <w:color w:val="auto"/>
              </w:rPr>
              <w:t>LOC Number</w:t>
            </w:r>
          </w:p>
        </w:tc>
        <w:tc>
          <w:tcPr>
            <w:tcW w:w="5200" w:type="dxa"/>
            <w:vAlign w:val="bottom"/>
          </w:tcPr>
          <w:p>
            <w:pPr>
              <w:ind w:left="940"/>
              <w:spacing w:after="0"/>
              <w:rPr>
                <w:sz w:val="20"/>
                <w:szCs w:val="20"/>
                <w:color w:val="auto"/>
              </w:rPr>
            </w:pPr>
            <w:r>
              <w:rPr>
                <w:rFonts w:ascii="Arial" w:cs="Arial" w:eastAsia="Arial" w:hAnsi="Arial"/>
                <w:sz w:val="10"/>
                <w:szCs w:val="10"/>
                <w:color w:val="auto"/>
              </w:rPr>
              <w:t>Beneficiary</w:t>
            </w:r>
          </w:p>
        </w:tc>
        <w:tc>
          <w:tcPr>
            <w:tcW w:w="1360" w:type="dxa"/>
            <w:vAlign w:val="bottom"/>
          </w:tcPr>
          <w:p>
            <w:pPr>
              <w:spacing w:after="0"/>
              <w:rPr>
                <w:sz w:val="23"/>
                <w:szCs w:val="23"/>
                <w:color w:val="auto"/>
              </w:rPr>
            </w:pPr>
          </w:p>
        </w:tc>
        <w:tc>
          <w:tcPr>
            <w:tcW w:w="880" w:type="dxa"/>
            <w:vAlign w:val="bottom"/>
          </w:tcPr>
          <w:p>
            <w:pPr>
              <w:jc w:val="right"/>
              <w:ind w:right="35"/>
              <w:spacing w:after="0"/>
              <w:rPr>
                <w:sz w:val="20"/>
                <w:szCs w:val="20"/>
                <w:color w:val="auto"/>
              </w:rPr>
            </w:pPr>
            <w:r>
              <w:rPr>
                <w:rFonts w:ascii="Arial" w:cs="Arial" w:eastAsia="Arial" w:hAnsi="Arial"/>
                <w:sz w:val="10"/>
                <w:szCs w:val="10"/>
                <w:color w:val="auto"/>
              </w:rPr>
              <w:t>Amount</w:t>
            </w:r>
          </w:p>
        </w:tc>
      </w:tr>
      <w:tr>
        <w:trPr>
          <w:trHeight w:val="157"/>
        </w:trPr>
        <w:tc>
          <w:tcPr>
            <w:tcW w:w="20" w:type="dxa"/>
            <w:vAlign w:val="bottom"/>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Bank of America</w:t>
            </w:r>
          </w:p>
        </w:tc>
        <w:tc>
          <w:tcPr>
            <w:tcW w:w="228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3"/>
                <w:szCs w:val="13"/>
                <w:color w:val="auto"/>
              </w:rPr>
              <w:t>1232800</w:t>
            </w:r>
          </w:p>
        </w:tc>
        <w:tc>
          <w:tcPr>
            <w:tcW w:w="520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3"/>
                <w:szCs w:val="13"/>
                <w:color w:val="auto"/>
              </w:rPr>
              <w:t>The Bank of New York Trust Company, N.A.</w:t>
            </w:r>
          </w:p>
        </w:tc>
        <w:tc>
          <w:tcPr>
            <w:tcW w:w="136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91"/>
              </w:rPr>
              <w:t>27,757,743.00</w:t>
            </w:r>
          </w:p>
        </w:tc>
      </w:tr>
      <w:tr>
        <w:trPr>
          <w:trHeight w:val="313"/>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80" w:type="dxa"/>
            <w:vAlign w:val="bottom"/>
          </w:tcPr>
          <w:p>
            <w:pPr>
              <w:ind w:left="860"/>
              <w:spacing w:after="0"/>
              <w:rPr>
                <w:sz w:val="20"/>
                <w:szCs w:val="20"/>
                <w:color w:val="auto"/>
              </w:rPr>
            </w:pPr>
            <w:r>
              <w:rPr>
                <w:rFonts w:ascii="Arial" w:cs="Arial" w:eastAsia="Arial" w:hAnsi="Arial"/>
                <w:sz w:val="13"/>
                <w:szCs w:val="13"/>
                <w:color w:val="auto"/>
              </w:rPr>
              <w:t>1247976</w:t>
            </w:r>
          </w:p>
        </w:tc>
        <w:tc>
          <w:tcPr>
            <w:tcW w:w="5200" w:type="dxa"/>
            <w:vAlign w:val="bottom"/>
          </w:tcPr>
          <w:p>
            <w:pPr>
              <w:ind w:left="940"/>
              <w:spacing w:after="0"/>
              <w:rPr>
                <w:sz w:val="20"/>
                <w:szCs w:val="20"/>
                <w:color w:val="auto"/>
              </w:rPr>
            </w:pPr>
            <w:r>
              <w:rPr>
                <w:rFonts w:ascii="Arial" w:cs="Arial" w:eastAsia="Arial" w:hAnsi="Arial"/>
                <w:sz w:val="13"/>
                <w:szCs w:val="13"/>
                <w:color w:val="auto"/>
              </w:rPr>
              <w:t>The Bank of New York Trust Company, N.A.</w:t>
            </w:r>
          </w:p>
        </w:tc>
        <w:tc>
          <w:tcPr>
            <w:tcW w:w="1360" w:type="dxa"/>
            <w:vAlign w:val="bottom"/>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7,356,311.00</w:t>
            </w:r>
          </w:p>
        </w:tc>
      </w:tr>
      <w:tr>
        <w:trPr>
          <w:trHeight w:val="159"/>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280" w:type="dxa"/>
            <w:vAlign w:val="bottom"/>
            <w:shd w:val="clear" w:color="auto" w:fill="CCEEFF"/>
          </w:tcPr>
          <w:p>
            <w:pPr>
              <w:ind w:left="860"/>
              <w:spacing w:after="0"/>
              <w:rPr>
                <w:sz w:val="20"/>
                <w:szCs w:val="20"/>
                <w:color w:val="auto"/>
              </w:rPr>
            </w:pPr>
            <w:r>
              <w:rPr>
                <w:rFonts w:ascii="Arial" w:cs="Arial" w:eastAsia="Arial" w:hAnsi="Arial"/>
                <w:sz w:val="13"/>
                <w:szCs w:val="13"/>
                <w:color w:val="auto"/>
              </w:rPr>
              <w:t>1251000</w:t>
            </w:r>
          </w:p>
        </w:tc>
        <w:tc>
          <w:tcPr>
            <w:tcW w:w="5200" w:type="dxa"/>
            <w:vAlign w:val="bottom"/>
            <w:shd w:val="clear" w:color="auto" w:fill="CCEEFF"/>
          </w:tcPr>
          <w:p>
            <w:pPr>
              <w:ind w:left="940"/>
              <w:spacing w:after="0"/>
              <w:rPr>
                <w:sz w:val="20"/>
                <w:szCs w:val="20"/>
                <w:color w:val="auto"/>
              </w:rPr>
            </w:pPr>
            <w:r>
              <w:rPr>
                <w:rFonts w:ascii="Arial" w:cs="Arial" w:eastAsia="Arial" w:hAnsi="Arial"/>
                <w:sz w:val="13"/>
                <w:szCs w:val="13"/>
                <w:color w:val="auto"/>
              </w:rPr>
              <w:t>The Bank of New York Trust Company, N.A.</w:t>
            </w:r>
          </w:p>
        </w:tc>
        <w:tc>
          <w:tcPr>
            <w:tcW w:w="1360" w:type="dxa"/>
            <w:vAlign w:val="bottom"/>
            <w:shd w:val="clear" w:color="auto" w:fill="CCEEFF"/>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91"/>
              </w:rPr>
              <w:t>15,236,713.00</w:t>
            </w:r>
          </w:p>
        </w:tc>
      </w:tr>
      <w:tr>
        <w:trPr>
          <w:trHeight w:val="314"/>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80" w:type="dxa"/>
            <w:vAlign w:val="bottom"/>
          </w:tcPr>
          <w:p>
            <w:pPr>
              <w:ind w:left="860"/>
              <w:spacing w:after="0"/>
              <w:rPr>
                <w:sz w:val="20"/>
                <w:szCs w:val="20"/>
                <w:color w:val="auto"/>
              </w:rPr>
            </w:pPr>
            <w:r>
              <w:rPr>
                <w:rFonts w:ascii="Arial" w:cs="Arial" w:eastAsia="Arial" w:hAnsi="Arial"/>
                <w:sz w:val="13"/>
                <w:szCs w:val="13"/>
                <w:color w:val="auto"/>
              </w:rPr>
              <w:t>1257761</w:t>
            </w:r>
          </w:p>
        </w:tc>
        <w:tc>
          <w:tcPr>
            <w:tcW w:w="5200" w:type="dxa"/>
            <w:vAlign w:val="bottom"/>
          </w:tcPr>
          <w:p>
            <w:pPr>
              <w:ind w:left="940"/>
              <w:spacing w:after="0"/>
              <w:rPr>
                <w:sz w:val="20"/>
                <w:szCs w:val="20"/>
                <w:color w:val="auto"/>
              </w:rPr>
            </w:pPr>
            <w:r>
              <w:rPr>
                <w:rFonts w:ascii="Arial" w:cs="Arial" w:eastAsia="Arial" w:hAnsi="Arial"/>
                <w:sz w:val="13"/>
                <w:szCs w:val="13"/>
                <w:color w:val="auto"/>
              </w:rPr>
              <w:t>The Bank of New York, Corp. Trust</w:t>
            </w:r>
          </w:p>
        </w:tc>
        <w:tc>
          <w:tcPr>
            <w:tcW w:w="1360" w:type="dxa"/>
            <w:vAlign w:val="bottom"/>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w w:val="91"/>
              </w:rPr>
              <w:t>22,368,877.00</w:t>
            </w:r>
          </w:p>
        </w:tc>
      </w:tr>
      <w:tr>
        <w:trPr>
          <w:trHeight w:val="158"/>
        </w:trPr>
        <w:tc>
          <w:tcPr>
            <w:tcW w:w="20" w:type="dxa"/>
            <w:vAlign w:val="bottom"/>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280" w:type="dxa"/>
            <w:vAlign w:val="bottom"/>
            <w:shd w:val="clear" w:color="auto" w:fill="CCEEFF"/>
          </w:tcPr>
          <w:p>
            <w:pPr>
              <w:ind w:left="860"/>
              <w:spacing w:after="0"/>
              <w:rPr>
                <w:sz w:val="20"/>
                <w:szCs w:val="20"/>
                <w:color w:val="auto"/>
              </w:rPr>
            </w:pPr>
            <w:r>
              <w:rPr>
                <w:rFonts w:ascii="Arial" w:cs="Arial" w:eastAsia="Arial" w:hAnsi="Arial"/>
                <w:sz w:val="13"/>
                <w:szCs w:val="13"/>
                <w:color w:val="auto"/>
              </w:rPr>
              <w:t>1282117</w:t>
            </w:r>
          </w:p>
        </w:tc>
        <w:tc>
          <w:tcPr>
            <w:tcW w:w="5200" w:type="dxa"/>
            <w:vAlign w:val="bottom"/>
            <w:shd w:val="clear" w:color="auto" w:fill="CCEEFF"/>
          </w:tcPr>
          <w:p>
            <w:pPr>
              <w:ind w:left="940"/>
              <w:spacing w:after="0"/>
              <w:rPr>
                <w:sz w:val="20"/>
                <w:szCs w:val="20"/>
                <w:color w:val="auto"/>
              </w:rPr>
            </w:pPr>
            <w:r>
              <w:rPr>
                <w:rFonts w:ascii="Arial" w:cs="Arial" w:eastAsia="Arial" w:hAnsi="Arial"/>
                <w:sz w:val="13"/>
                <w:szCs w:val="13"/>
                <w:color w:val="auto"/>
              </w:rPr>
              <w:t>CIWMB</w:t>
            </w:r>
          </w:p>
        </w:tc>
        <w:tc>
          <w:tcPr>
            <w:tcW w:w="1360" w:type="dxa"/>
            <w:vAlign w:val="bottom"/>
            <w:shd w:val="clear" w:color="auto" w:fill="CCEEFF"/>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200,000.00</w:t>
            </w:r>
          </w:p>
        </w:tc>
      </w:tr>
      <w:tr>
        <w:trPr>
          <w:trHeight w:val="157"/>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80" w:type="dxa"/>
            <w:vAlign w:val="bottom"/>
          </w:tcPr>
          <w:p>
            <w:pPr>
              <w:ind w:left="860"/>
              <w:spacing w:after="0"/>
              <w:rPr>
                <w:sz w:val="20"/>
                <w:szCs w:val="20"/>
                <w:color w:val="auto"/>
              </w:rPr>
            </w:pPr>
            <w:r>
              <w:rPr>
                <w:rFonts w:ascii="Arial" w:cs="Arial" w:eastAsia="Arial" w:hAnsi="Arial"/>
                <w:sz w:val="13"/>
                <w:szCs w:val="13"/>
                <w:color w:val="auto"/>
              </w:rPr>
              <w:t>1302974</w:t>
            </w:r>
          </w:p>
        </w:tc>
        <w:tc>
          <w:tcPr>
            <w:tcW w:w="5200" w:type="dxa"/>
            <w:vAlign w:val="bottom"/>
          </w:tcPr>
          <w:p>
            <w:pPr>
              <w:ind w:left="940"/>
              <w:spacing w:after="0"/>
              <w:rPr>
                <w:sz w:val="20"/>
                <w:szCs w:val="20"/>
                <w:color w:val="auto"/>
              </w:rPr>
            </w:pPr>
            <w:r>
              <w:rPr>
                <w:rFonts w:ascii="Arial" w:cs="Arial" w:eastAsia="Arial" w:hAnsi="Arial"/>
                <w:sz w:val="13"/>
                <w:szCs w:val="13"/>
                <w:color w:val="auto"/>
              </w:rPr>
              <w:t>Pennsylvania DEP</w:t>
            </w:r>
          </w:p>
        </w:tc>
        <w:tc>
          <w:tcPr>
            <w:tcW w:w="1360" w:type="dxa"/>
            <w:vAlign w:val="bottom"/>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w w:val="91"/>
              </w:rPr>
              <w:t>18,284,965.00</w:t>
            </w:r>
          </w:p>
        </w:tc>
      </w:tr>
      <w:tr>
        <w:trPr>
          <w:trHeight w:val="157"/>
        </w:trPr>
        <w:tc>
          <w:tcPr>
            <w:tcW w:w="20" w:type="dxa"/>
            <w:vAlign w:val="bottom"/>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280" w:type="dxa"/>
            <w:vAlign w:val="bottom"/>
            <w:shd w:val="clear" w:color="auto" w:fill="CCEEFF"/>
          </w:tcPr>
          <w:p>
            <w:pPr>
              <w:ind w:left="860"/>
              <w:spacing w:after="0"/>
              <w:rPr>
                <w:sz w:val="20"/>
                <w:szCs w:val="20"/>
                <w:color w:val="auto"/>
              </w:rPr>
            </w:pPr>
            <w:r>
              <w:rPr>
                <w:rFonts w:ascii="Arial" w:cs="Arial" w:eastAsia="Arial" w:hAnsi="Arial"/>
                <w:sz w:val="13"/>
                <w:szCs w:val="13"/>
                <w:color w:val="auto"/>
              </w:rPr>
              <w:t>1303357</w:t>
            </w:r>
          </w:p>
        </w:tc>
        <w:tc>
          <w:tcPr>
            <w:tcW w:w="5200" w:type="dxa"/>
            <w:vAlign w:val="bottom"/>
            <w:shd w:val="clear" w:color="auto" w:fill="CCEEFF"/>
          </w:tcPr>
          <w:p>
            <w:pPr>
              <w:ind w:left="940"/>
              <w:spacing w:after="0"/>
              <w:rPr>
                <w:sz w:val="20"/>
                <w:szCs w:val="20"/>
                <w:color w:val="auto"/>
              </w:rPr>
            </w:pPr>
            <w:r>
              <w:rPr>
                <w:rFonts w:ascii="Arial" w:cs="Arial" w:eastAsia="Arial" w:hAnsi="Arial"/>
                <w:sz w:val="13"/>
                <w:szCs w:val="13"/>
                <w:color w:val="auto"/>
              </w:rPr>
              <w:t>City of Tampa, Florida</w:t>
            </w:r>
          </w:p>
        </w:tc>
        <w:tc>
          <w:tcPr>
            <w:tcW w:w="1360" w:type="dxa"/>
            <w:vAlign w:val="bottom"/>
            <w:shd w:val="clear" w:color="auto" w:fill="CCEEFF"/>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1,500,000.00</w:t>
            </w:r>
          </w:p>
        </w:tc>
      </w:tr>
      <w:tr>
        <w:trPr>
          <w:trHeight w:val="157"/>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80" w:type="dxa"/>
            <w:vAlign w:val="bottom"/>
          </w:tcPr>
          <w:p>
            <w:pPr>
              <w:ind w:left="860"/>
              <w:spacing w:after="0"/>
              <w:rPr>
                <w:sz w:val="20"/>
                <w:szCs w:val="20"/>
                <w:color w:val="auto"/>
              </w:rPr>
            </w:pPr>
            <w:r>
              <w:rPr>
                <w:rFonts w:ascii="Arial" w:cs="Arial" w:eastAsia="Arial" w:hAnsi="Arial"/>
                <w:sz w:val="13"/>
                <w:szCs w:val="13"/>
                <w:color w:val="auto"/>
              </w:rPr>
              <w:t>1335033</w:t>
            </w:r>
          </w:p>
        </w:tc>
        <w:tc>
          <w:tcPr>
            <w:tcW w:w="5200" w:type="dxa"/>
            <w:vAlign w:val="bottom"/>
          </w:tcPr>
          <w:p>
            <w:pPr>
              <w:ind w:left="940"/>
              <w:spacing w:after="0"/>
              <w:rPr>
                <w:sz w:val="20"/>
                <w:szCs w:val="20"/>
                <w:color w:val="auto"/>
              </w:rPr>
            </w:pPr>
            <w:r>
              <w:rPr>
                <w:rFonts w:ascii="Arial" w:cs="Arial" w:eastAsia="Arial" w:hAnsi="Arial"/>
                <w:sz w:val="13"/>
                <w:szCs w:val="13"/>
                <w:color w:val="auto"/>
              </w:rPr>
              <w:t>New Hampshire DES</w:t>
            </w:r>
          </w:p>
        </w:tc>
        <w:tc>
          <w:tcPr>
            <w:tcW w:w="1360" w:type="dxa"/>
            <w:vAlign w:val="bottom"/>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5,160,817.00</w:t>
            </w:r>
          </w:p>
        </w:tc>
      </w:tr>
      <w:tr>
        <w:trPr>
          <w:trHeight w:val="157"/>
        </w:trPr>
        <w:tc>
          <w:tcPr>
            <w:tcW w:w="20" w:type="dxa"/>
            <w:vAlign w:val="bottom"/>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280" w:type="dxa"/>
            <w:vAlign w:val="bottom"/>
            <w:shd w:val="clear" w:color="auto" w:fill="CCEEFF"/>
          </w:tcPr>
          <w:p>
            <w:pPr>
              <w:ind w:left="860"/>
              <w:spacing w:after="0"/>
              <w:rPr>
                <w:sz w:val="20"/>
                <w:szCs w:val="20"/>
                <w:color w:val="auto"/>
              </w:rPr>
            </w:pPr>
            <w:r>
              <w:rPr>
                <w:rFonts w:ascii="Arial" w:cs="Arial" w:eastAsia="Arial" w:hAnsi="Arial"/>
                <w:sz w:val="13"/>
                <w:szCs w:val="13"/>
                <w:color w:val="auto"/>
              </w:rPr>
              <w:t>1335043</w:t>
            </w:r>
          </w:p>
        </w:tc>
        <w:tc>
          <w:tcPr>
            <w:tcW w:w="5200" w:type="dxa"/>
            <w:vAlign w:val="bottom"/>
            <w:shd w:val="clear" w:color="auto" w:fill="CCEEFF"/>
          </w:tcPr>
          <w:p>
            <w:pPr>
              <w:ind w:left="940"/>
              <w:spacing w:after="0"/>
              <w:rPr>
                <w:sz w:val="20"/>
                <w:szCs w:val="20"/>
                <w:color w:val="auto"/>
              </w:rPr>
            </w:pPr>
            <w:r>
              <w:rPr>
                <w:rFonts w:ascii="Arial" w:cs="Arial" w:eastAsia="Arial" w:hAnsi="Arial"/>
                <w:sz w:val="13"/>
                <w:szCs w:val="13"/>
                <w:color w:val="auto"/>
              </w:rPr>
              <w:t>Pennsylvania DEP</w:t>
            </w:r>
          </w:p>
        </w:tc>
        <w:tc>
          <w:tcPr>
            <w:tcW w:w="1360" w:type="dxa"/>
            <w:vAlign w:val="bottom"/>
            <w:shd w:val="clear" w:color="auto" w:fill="CCEEFF"/>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91"/>
              </w:rPr>
              <w:t>10,219,006.00</w:t>
            </w:r>
          </w:p>
        </w:tc>
      </w:tr>
      <w:tr>
        <w:trPr>
          <w:trHeight w:val="157"/>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80" w:type="dxa"/>
            <w:vAlign w:val="bottom"/>
          </w:tcPr>
          <w:p>
            <w:pPr>
              <w:ind w:left="860"/>
              <w:spacing w:after="0"/>
              <w:rPr>
                <w:sz w:val="20"/>
                <w:szCs w:val="20"/>
                <w:color w:val="auto"/>
              </w:rPr>
            </w:pPr>
            <w:r>
              <w:rPr>
                <w:rFonts w:ascii="Arial" w:cs="Arial" w:eastAsia="Arial" w:hAnsi="Arial"/>
                <w:sz w:val="13"/>
                <w:szCs w:val="13"/>
                <w:color w:val="auto"/>
              </w:rPr>
              <w:t>1335057</w:t>
            </w:r>
          </w:p>
        </w:tc>
        <w:tc>
          <w:tcPr>
            <w:tcW w:w="5200" w:type="dxa"/>
            <w:vAlign w:val="bottom"/>
          </w:tcPr>
          <w:p>
            <w:pPr>
              <w:ind w:left="940"/>
              <w:spacing w:after="0"/>
              <w:rPr>
                <w:sz w:val="20"/>
                <w:szCs w:val="20"/>
                <w:color w:val="auto"/>
              </w:rPr>
            </w:pPr>
            <w:r>
              <w:rPr>
                <w:rFonts w:ascii="Arial" w:cs="Arial" w:eastAsia="Arial" w:hAnsi="Arial"/>
                <w:sz w:val="13"/>
                <w:szCs w:val="13"/>
                <w:color w:val="auto"/>
              </w:rPr>
              <w:t>CIWMB</w:t>
            </w:r>
          </w:p>
        </w:tc>
        <w:tc>
          <w:tcPr>
            <w:tcW w:w="1360" w:type="dxa"/>
            <w:vAlign w:val="bottom"/>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w w:val="91"/>
              </w:rPr>
              <w:t>14,824,361.84</w:t>
            </w:r>
          </w:p>
        </w:tc>
      </w:tr>
      <w:tr>
        <w:trPr>
          <w:trHeight w:val="157"/>
        </w:trPr>
        <w:tc>
          <w:tcPr>
            <w:tcW w:w="20" w:type="dxa"/>
            <w:vAlign w:val="bottom"/>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280" w:type="dxa"/>
            <w:vAlign w:val="bottom"/>
            <w:shd w:val="clear" w:color="auto" w:fill="CCEEFF"/>
          </w:tcPr>
          <w:p>
            <w:pPr>
              <w:ind w:left="860"/>
              <w:spacing w:after="0"/>
              <w:rPr>
                <w:sz w:val="20"/>
                <w:szCs w:val="20"/>
                <w:color w:val="auto"/>
              </w:rPr>
            </w:pPr>
            <w:r>
              <w:rPr>
                <w:rFonts w:ascii="Arial" w:cs="Arial" w:eastAsia="Arial" w:hAnsi="Arial"/>
                <w:sz w:val="13"/>
                <w:szCs w:val="13"/>
                <w:color w:val="auto"/>
              </w:rPr>
              <w:t>1335072</w:t>
            </w:r>
          </w:p>
        </w:tc>
        <w:tc>
          <w:tcPr>
            <w:tcW w:w="5200" w:type="dxa"/>
            <w:vAlign w:val="bottom"/>
            <w:shd w:val="clear" w:color="auto" w:fill="CCEEFF"/>
          </w:tcPr>
          <w:p>
            <w:pPr>
              <w:ind w:left="940"/>
              <w:spacing w:after="0"/>
              <w:rPr>
                <w:sz w:val="20"/>
                <w:szCs w:val="20"/>
                <w:color w:val="auto"/>
              </w:rPr>
            </w:pPr>
            <w:r>
              <w:rPr>
                <w:rFonts w:ascii="Arial" w:cs="Arial" w:eastAsia="Arial" w:hAnsi="Arial"/>
                <w:sz w:val="13"/>
                <w:szCs w:val="13"/>
                <w:color w:val="auto"/>
              </w:rPr>
              <w:t>Pennsylvania DEP</w:t>
            </w:r>
          </w:p>
        </w:tc>
        <w:tc>
          <w:tcPr>
            <w:tcW w:w="1360" w:type="dxa"/>
            <w:vAlign w:val="bottom"/>
            <w:shd w:val="clear" w:color="auto" w:fill="CCEEFF"/>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91"/>
              </w:rPr>
              <w:t>34,188,305.00</w:t>
            </w:r>
          </w:p>
        </w:tc>
      </w:tr>
      <w:tr>
        <w:trPr>
          <w:trHeight w:val="157"/>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80" w:type="dxa"/>
            <w:vAlign w:val="bottom"/>
          </w:tcPr>
          <w:p>
            <w:pPr>
              <w:ind w:left="860"/>
              <w:spacing w:after="0"/>
              <w:rPr>
                <w:sz w:val="20"/>
                <w:szCs w:val="20"/>
                <w:color w:val="auto"/>
              </w:rPr>
            </w:pPr>
            <w:r>
              <w:rPr>
                <w:rFonts w:ascii="Arial" w:cs="Arial" w:eastAsia="Arial" w:hAnsi="Arial"/>
                <w:sz w:val="13"/>
                <w:szCs w:val="13"/>
                <w:color w:val="auto"/>
              </w:rPr>
              <w:t>1344215</w:t>
            </w:r>
          </w:p>
        </w:tc>
        <w:tc>
          <w:tcPr>
            <w:tcW w:w="5200" w:type="dxa"/>
            <w:vAlign w:val="bottom"/>
          </w:tcPr>
          <w:p>
            <w:pPr>
              <w:ind w:left="940"/>
              <w:spacing w:after="0"/>
              <w:rPr>
                <w:sz w:val="20"/>
                <w:szCs w:val="20"/>
                <w:color w:val="auto"/>
              </w:rPr>
            </w:pPr>
            <w:r>
              <w:rPr>
                <w:rFonts w:ascii="Arial" w:cs="Arial" w:eastAsia="Arial" w:hAnsi="Arial"/>
                <w:sz w:val="13"/>
                <w:szCs w:val="13"/>
                <w:color w:val="auto"/>
              </w:rPr>
              <w:t>Massachusetts DEP/US Bank</w:t>
            </w:r>
          </w:p>
        </w:tc>
        <w:tc>
          <w:tcPr>
            <w:tcW w:w="1360" w:type="dxa"/>
            <w:vAlign w:val="bottom"/>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w w:val="91"/>
              </w:rPr>
              <w:t>12,702,550.00</w:t>
            </w:r>
          </w:p>
        </w:tc>
      </w:tr>
      <w:tr>
        <w:trPr>
          <w:trHeight w:val="157"/>
        </w:trPr>
        <w:tc>
          <w:tcPr>
            <w:tcW w:w="20" w:type="dxa"/>
            <w:vAlign w:val="bottom"/>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280" w:type="dxa"/>
            <w:vAlign w:val="bottom"/>
            <w:shd w:val="clear" w:color="auto" w:fill="CCEEFF"/>
          </w:tcPr>
          <w:p>
            <w:pPr>
              <w:ind w:left="860"/>
              <w:spacing w:after="0"/>
              <w:rPr>
                <w:sz w:val="20"/>
                <w:szCs w:val="20"/>
                <w:color w:val="auto"/>
              </w:rPr>
            </w:pPr>
            <w:r>
              <w:rPr>
                <w:rFonts w:ascii="Arial" w:cs="Arial" w:eastAsia="Arial" w:hAnsi="Arial"/>
                <w:sz w:val="13"/>
                <w:szCs w:val="13"/>
                <w:color w:val="auto"/>
              </w:rPr>
              <w:t>1409712</w:t>
            </w:r>
          </w:p>
        </w:tc>
        <w:tc>
          <w:tcPr>
            <w:tcW w:w="5200" w:type="dxa"/>
            <w:vAlign w:val="bottom"/>
            <w:shd w:val="clear" w:color="auto" w:fill="CCEEFF"/>
          </w:tcPr>
          <w:p>
            <w:pPr>
              <w:ind w:left="940"/>
              <w:spacing w:after="0"/>
              <w:rPr>
                <w:sz w:val="20"/>
                <w:szCs w:val="20"/>
                <w:color w:val="auto"/>
              </w:rPr>
            </w:pPr>
            <w:r>
              <w:rPr>
                <w:rFonts w:ascii="Arial" w:cs="Arial" w:eastAsia="Arial" w:hAnsi="Arial"/>
                <w:sz w:val="13"/>
                <w:szCs w:val="13"/>
                <w:color w:val="auto"/>
              </w:rPr>
              <w:t>Bank of New York</w:t>
            </w:r>
          </w:p>
        </w:tc>
        <w:tc>
          <w:tcPr>
            <w:tcW w:w="1360" w:type="dxa"/>
            <w:vAlign w:val="bottom"/>
            <w:shd w:val="clear" w:color="auto" w:fill="CCEEFF"/>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91"/>
              </w:rPr>
              <w:t>15,140,035.00</w:t>
            </w:r>
          </w:p>
        </w:tc>
      </w:tr>
      <w:tr>
        <w:trPr>
          <w:trHeight w:val="157"/>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80" w:type="dxa"/>
            <w:vAlign w:val="bottom"/>
          </w:tcPr>
          <w:p>
            <w:pPr>
              <w:ind w:left="860"/>
              <w:spacing w:after="0"/>
              <w:rPr>
                <w:sz w:val="20"/>
                <w:szCs w:val="20"/>
                <w:color w:val="auto"/>
              </w:rPr>
            </w:pPr>
            <w:r>
              <w:rPr>
                <w:rFonts w:ascii="Arial" w:cs="Arial" w:eastAsia="Arial" w:hAnsi="Arial"/>
                <w:sz w:val="13"/>
                <w:szCs w:val="13"/>
                <w:color w:val="auto"/>
              </w:rPr>
              <w:t>1411998</w:t>
            </w:r>
          </w:p>
        </w:tc>
        <w:tc>
          <w:tcPr>
            <w:tcW w:w="5200" w:type="dxa"/>
            <w:vAlign w:val="bottom"/>
          </w:tcPr>
          <w:p>
            <w:pPr>
              <w:ind w:left="940"/>
              <w:spacing w:after="0"/>
              <w:rPr>
                <w:sz w:val="20"/>
                <w:szCs w:val="20"/>
                <w:color w:val="auto"/>
              </w:rPr>
            </w:pPr>
            <w:r>
              <w:rPr>
                <w:rFonts w:ascii="Arial" w:cs="Arial" w:eastAsia="Arial" w:hAnsi="Arial"/>
                <w:sz w:val="13"/>
                <w:szCs w:val="13"/>
                <w:color w:val="auto"/>
              </w:rPr>
              <w:t>Bank of New York</w:t>
            </w:r>
          </w:p>
        </w:tc>
        <w:tc>
          <w:tcPr>
            <w:tcW w:w="1360" w:type="dxa"/>
            <w:vAlign w:val="bottom"/>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w w:val="91"/>
              </w:rPr>
              <w:t>10,157,809.00</w:t>
            </w:r>
          </w:p>
        </w:tc>
      </w:tr>
      <w:tr>
        <w:trPr>
          <w:trHeight w:val="157"/>
        </w:trPr>
        <w:tc>
          <w:tcPr>
            <w:tcW w:w="20" w:type="dxa"/>
            <w:vAlign w:val="bottom"/>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280" w:type="dxa"/>
            <w:vAlign w:val="bottom"/>
            <w:shd w:val="clear" w:color="auto" w:fill="CCEEFF"/>
          </w:tcPr>
          <w:p>
            <w:pPr>
              <w:ind w:left="860"/>
              <w:spacing w:after="0"/>
              <w:rPr>
                <w:sz w:val="20"/>
                <w:szCs w:val="20"/>
                <w:color w:val="auto"/>
              </w:rPr>
            </w:pPr>
            <w:r>
              <w:rPr>
                <w:rFonts w:ascii="Arial" w:cs="Arial" w:eastAsia="Arial" w:hAnsi="Arial"/>
                <w:sz w:val="13"/>
                <w:szCs w:val="13"/>
                <w:color w:val="auto"/>
              </w:rPr>
              <w:t>1S1278952</w:t>
            </w:r>
          </w:p>
        </w:tc>
        <w:tc>
          <w:tcPr>
            <w:tcW w:w="5200" w:type="dxa"/>
            <w:vAlign w:val="bottom"/>
            <w:shd w:val="clear" w:color="auto" w:fill="CCEEFF"/>
          </w:tcPr>
          <w:p>
            <w:pPr>
              <w:ind w:left="940"/>
              <w:spacing w:after="0"/>
              <w:rPr>
                <w:sz w:val="20"/>
                <w:szCs w:val="20"/>
                <w:color w:val="auto"/>
              </w:rPr>
            </w:pPr>
            <w:r>
              <w:rPr>
                <w:rFonts w:ascii="Arial" w:cs="Arial" w:eastAsia="Arial" w:hAnsi="Arial"/>
                <w:sz w:val="13"/>
                <w:szCs w:val="13"/>
                <w:color w:val="auto"/>
              </w:rPr>
              <w:t>New Castle County</w:t>
            </w:r>
          </w:p>
        </w:tc>
        <w:tc>
          <w:tcPr>
            <w:tcW w:w="1360" w:type="dxa"/>
            <w:vAlign w:val="bottom"/>
            <w:shd w:val="clear" w:color="auto" w:fill="CCEEFF"/>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340.00</w:t>
            </w:r>
          </w:p>
        </w:tc>
      </w:tr>
      <w:tr>
        <w:trPr>
          <w:trHeight w:val="314"/>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80" w:type="dxa"/>
            <w:vAlign w:val="bottom"/>
          </w:tcPr>
          <w:p>
            <w:pPr>
              <w:ind w:left="860"/>
              <w:spacing w:after="0"/>
              <w:rPr>
                <w:sz w:val="20"/>
                <w:szCs w:val="20"/>
                <w:color w:val="auto"/>
              </w:rPr>
            </w:pPr>
            <w:r>
              <w:rPr>
                <w:rFonts w:ascii="Arial" w:cs="Arial" w:eastAsia="Arial" w:hAnsi="Arial"/>
                <w:sz w:val="13"/>
                <w:szCs w:val="13"/>
                <w:color w:val="auto"/>
              </w:rPr>
              <w:t>1S1335049</w:t>
            </w:r>
          </w:p>
        </w:tc>
        <w:tc>
          <w:tcPr>
            <w:tcW w:w="5200" w:type="dxa"/>
            <w:vAlign w:val="bottom"/>
          </w:tcPr>
          <w:p>
            <w:pPr>
              <w:ind w:left="940"/>
              <w:spacing w:after="0"/>
              <w:rPr>
                <w:sz w:val="20"/>
                <w:szCs w:val="20"/>
                <w:color w:val="auto"/>
              </w:rPr>
            </w:pPr>
            <w:r>
              <w:rPr>
                <w:rFonts w:ascii="Arial" w:cs="Arial" w:eastAsia="Arial" w:hAnsi="Arial"/>
                <w:sz w:val="13"/>
                <w:szCs w:val="13"/>
                <w:color w:val="auto"/>
              </w:rPr>
              <w:t>Dept. of Public Works County of Los Angeles</w:t>
            </w:r>
          </w:p>
        </w:tc>
        <w:tc>
          <w:tcPr>
            <w:tcW w:w="1360" w:type="dxa"/>
            <w:vAlign w:val="bottom"/>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10,000.00</w:t>
            </w:r>
          </w:p>
        </w:tc>
      </w:tr>
      <w:tr>
        <w:trPr>
          <w:trHeight w:val="158"/>
        </w:trPr>
        <w:tc>
          <w:tcPr>
            <w:tcW w:w="20" w:type="dxa"/>
            <w:vAlign w:val="bottom"/>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280" w:type="dxa"/>
            <w:vAlign w:val="bottom"/>
            <w:shd w:val="clear" w:color="auto" w:fill="CCEEFF"/>
          </w:tcPr>
          <w:p>
            <w:pPr>
              <w:ind w:left="860"/>
              <w:spacing w:after="0"/>
              <w:rPr>
                <w:sz w:val="20"/>
                <w:szCs w:val="20"/>
                <w:color w:val="auto"/>
              </w:rPr>
            </w:pPr>
            <w:r>
              <w:rPr>
                <w:rFonts w:ascii="Arial" w:cs="Arial" w:eastAsia="Arial" w:hAnsi="Arial"/>
                <w:sz w:val="13"/>
                <w:szCs w:val="13"/>
                <w:color w:val="auto"/>
              </w:rPr>
              <w:t>1S1335064</w:t>
            </w:r>
          </w:p>
        </w:tc>
        <w:tc>
          <w:tcPr>
            <w:tcW w:w="5200" w:type="dxa"/>
            <w:vAlign w:val="bottom"/>
            <w:shd w:val="clear" w:color="auto" w:fill="CCEEFF"/>
          </w:tcPr>
          <w:p>
            <w:pPr>
              <w:ind w:left="940"/>
              <w:spacing w:after="0"/>
              <w:rPr>
                <w:sz w:val="20"/>
                <w:szCs w:val="20"/>
                <w:color w:val="auto"/>
              </w:rPr>
            </w:pPr>
            <w:r>
              <w:rPr>
                <w:rFonts w:ascii="Arial" w:cs="Arial" w:eastAsia="Arial" w:hAnsi="Arial"/>
                <w:sz w:val="13"/>
                <w:szCs w:val="13"/>
                <w:color w:val="auto"/>
              </w:rPr>
              <w:t>City of Chicago</w:t>
            </w:r>
          </w:p>
        </w:tc>
        <w:tc>
          <w:tcPr>
            <w:tcW w:w="1360" w:type="dxa"/>
            <w:vAlign w:val="bottom"/>
            <w:shd w:val="clear" w:color="auto" w:fill="CCEEFF"/>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250,000.00</w:t>
            </w:r>
          </w:p>
        </w:tc>
      </w:tr>
      <w:tr>
        <w:trPr>
          <w:trHeight w:val="157"/>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80" w:type="dxa"/>
            <w:vAlign w:val="bottom"/>
          </w:tcPr>
          <w:p>
            <w:pPr>
              <w:ind w:left="860"/>
              <w:spacing w:after="0"/>
              <w:rPr>
                <w:sz w:val="20"/>
                <w:szCs w:val="20"/>
                <w:color w:val="auto"/>
              </w:rPr>
            </w:pPr>
            <w:r>
              <w:rPr>
                <w:rFonts w:ascii="Arial" w:cs="Arial" w:eastAsia="Arial" w:hAnsi="Arial"/>
                <w:sz w:val="13"/>
                <w:szCs w:val="13"/>
                <w:color w:val="auto"/>
              </w:rPr>
              <w:t>1S64016609</w:t>
            </w:r>
          </w:p>
        </w:tc>
        <w:tc>
          <w:tcPr>
            <w:tcW w:w="5200" w:type="dxa"/>
            <w:vAlign w:val="bottom"/>
          </w:tcPr>
          <w:p>
            <w:pPr>
              <w:ind w:left="940"/>
              <w:spacing w:after="0"/>
              <w:rPr>
                <w:sz w:val="20"/>
                <w:szCs w:val="20"/>
                <w:color w:val="auto"/>
              </w:rPr>
            </w:pPr>
            <w:r>
              <w:rPr>
                <w:rFonts w:ascii="Arial" w:cs="Arial" w:eastAsia="Arial" w:hAnsi="Arial"/>
                <w:sz w:val="13"/>
                <w:szCs w:val="13"/>
                <w:color w:val="auto"/>
              </w:rPr>
              <w:t>Michigan DEQ</w:t>
            </w:r>
          </w:p>
        </w:tc>
        <w:tc>
          <w:tcPr>
            <w:tcW w:w="1360" w:type="dxa"/>
            <w:vAlign w:val="bottom"/>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160,000.00</w:t>
            </w:r>
          </w:p>
        </w:tc>
      </w:tr>
      <w:tr>
        <w:trPr>
          <w:trHeight w:val="157"/>
        </w:trPr>
        <w:tc>
          <w:tcPr>
            <w:tcW w:w="20" w:type="dxa"/>
            <w:vAlign w:val="bottom"/>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280" w:type="dxa"/>
            <w:vAlign w:val="bottom"/>
            <w:shd w:val="clear" w:color="auto" w:fill="CCEEFF"/>
          </w:tcPr>
          <w:p>
            <w:pPr>
              <w:ind w:left="860"/>
              <w:spacing w:after="0"/>
              <w:rPr>
                <w:sz w:val="20"/>
                <w:szCs w:val="20"/>
                <w:color w:val="auto"/>
              </w:rPr>
            </w:pPr>
            <w:r>
              <w:rPr>
                <w:rFonts w:ascii="Arial" w:cs="Arial" w:eastAsia="Arial" w:hAnsi="Arial"/>
                <w:sz w:val="13"/>
                <w:szCs w:val="13"/>
                <w:color w:val="auto"/>
              </w:rPr>
              <w:t>50061221</w:t>
            </w:r>
          </w:p>
        </w:tc>
        <w:tc>
          <w:tcPr>
            <w:tcW w:w="5200" w:type="dxa"/>
            <w:vAlign w:val="bottom"/>
            <w:shd w:val="clear" w:color="auto" w:fill="CCEEFF"/>
          </w:tcPr>
          <w:p>
            <w:pPr>
              <w:ind w:left="940"/>
              <w:spacing w:after="0"/>
              <w:rPr>
                <w:sz w:val="20"/>
                <w:szCs w:val="20"/>
                <w:color w:val="auto"/>
              </w:rPr>
            </w:pPr>
            <w:r>
              <w:rPr>
                <w:rFonts w:ascii="Arial" w:cs="Arial" w:eastAsia="Arial" w:hAnsi="Arial"/>
                <w:sz w:val="13"/>
                <w:szCs w:val="13"/>
                <w:color w:val="auto"/>
              </w:rPr>
              <w:t>Pennsylvania DEP</w:t>
            </w:r>
          </w:p>
        </w:tc>
        <w:tc>
          <w:tcPr>
            <w:tcW w:w="1360" w:type="dxa"/>
            <w:vAlign w:val="bottom"/>
            <w:shd w:val="clear" w:color="auto" w:fill="CCEEFF"/>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91"/>
              </w:rPr>
              <w:t>19,356,575.00</w:t>
            </w:r>
          </w:p>
        </w:tc>
      </w:tr>
      <w:tr>
        <w:trPr>
          <w:trHeight w:val="314"/>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80" w:type="dxa"/>
            <w:vAlign w:val="bottom"/>
          </w:tcPr>
          <w:p>
            <w:pPr>
              <w:ind w:left="860"/>
              <w:spacing w:after="0"/>
              <w:rPr>
                <w:sz w:val="20"/>
                <w:szCs w:val="20"/>
                <w:color w:val="auto"/>
              </w:rPr>
            </w:pPr>
            <w:r>
              <w:rPr>
                <w:rFonts w:ascii="Arial" w:cs="Arial" w:eastAsia="Arial" w:hAnsi="Arial"/>
                <w:sz w:val="13"/>
                <w:szCs w:val="13"/>
                <w:color w:val="auto"/>
              </w:rPr>
              <w:t>50061263</w:t>
            </w:r>
          </w:p>
        </w:tc>
        <w:tc>
          <w:tcPr>
            <w:tcW w:w="5200" w:type="dxa"/>
            <w:vAlign w:val="bottom"/>
          </w:tcPr>
          <w:p>
            <w:pPr>
              <w:ind w:left="940"/>
              <w:spacing w:after="0"/>
              <w:rPr>
                <w:sz w:val="20"/>
                <w:szCs w:val="20"/>
                <w:color w:val="auto"/>
              </w:rPr>
            </w:pPr>
            <w:r>
              <w:rPr>
                <w:rFonts w:ascii="Arial" w:cs="Arial" w:eastAsia="Arial" w:hAnsi="Arial"/>
                <w:sz w:val="13"/>
                <w:szCs w:val="13"/>
                <w:color w:val="auto"/>
              </w:rPr>
              <w:t>Florida Dept. of Labor &amp; Employment Security</w:t>
            </w:r>
          </w:p>
        </w:tc>
        <w:tc>
          <w:tcPr>
            <w:tcW w:w="1360" w:type="dxa"/>
            <w:vAlign w:val="bottom"/>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100,000.00</w:t>
            </w:r>
          </w:p>
        </w:tc>
      </w:tr>
      <w:tr>
        <w:trPr>
          <w:trHeight w:val="158"/>
        </w:trPr>
        <w:tc>
          <w:tcPr>
            <w:tcW w:w="20" w:type="dxa"/>
            <w:vAlign w:val="bottom"/>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280" w:type="dxa"/>
            <w:vAlign w:val="bottom"/>
            <w:shd w:val="clear" w:color="auto" w:fill="CCEEFF"/>
          </w:tcPr>
          <w:p>
            <w:pPr>
              <w:ind w:left="860"/>
              <w:spacing w:after="0"/>
              <w:rPr>
                <w:sz w:val="20"/>
                <w:szCs w:val="20"/>
                <w:color w:val="auto"/>
              </w:rPr>
            </w:pPr>
            <w:r>
              <w:rPr>
                <w:rFonts w:ascii="Arial" w:cs="Arial" w:eastAsia="Arial" w:hAnsi="Arial"/>
                <w:sz w:val="13"/>
                <w:szCs w:val="13"/>
                <w:color w:val="auto"/>
              </w:rPr>
              <w:t>50061302</w:t>
            </w:r>
          </w:p>
        </w:tc>
        <w:tc>
          <w:tcPr>
            <w:tcW w:w="5200" w:type="dxa"/>
            <w:vAlign w:val="bottom"/>
            <w:shd w:val="clear" w:color="auto" w:fill="CCEEFF"/>
          </w:tcPr>
          <w:p>
            <w:pPr>
              <w:ind w:left="940"/>
              <w:spacing w:after="0"/>
              <w:rPr>
                <w:sz w:val="20"/>
                <w:szCs w:val="20"/>
                <w:color w:val="auto"/>
              </w:rPr>
            </w:pPr>
            <w:r>
              <w:rPr>
                <w:rFonts w:ascii="Arial" w:cs="Arial" w:eastAsia="Arial" w:hAnsi="Arial"/>
                <w:sz w:val="13"/>
                <w:szCs w:val="13"/>
                <w:color w:val="auto"/>
              </w:rPr>
              <w:t>Louisiana DNR</w:t>
            </w:r>
          </w:p>
        </w:tc>
        <w:tc>
          <w:tcPr>
            <w:tcW w:w="1360" w:type="dxa"/>
            <w:vAlign w:val="bottom"/>
            <w:shd w:val="clear" w:color="auto" w:fill="CCEEFF"/>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1,733,241.00</w:t>
            </w:r>
          </w:p>
        </w:tc>
      </w:tr>
      <w:tr>
        <w:trPr>
          <w:trHeight w:val="314"/>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80" w:type="dxa"/>
            <w:vAlign w:val="bottom"/>
          </w:tcPr>
          <w:p>
            <w:pPr>
              <w:ind w:left="860"/>
              <w:spacing w:after="0"/>
              <w:rPr>
                <w:sz w:val="20"/>
                <w:szCs w:val="20"/>
                <w:color w:val="auto"/>
              </w:rPr>
            </w:pPr>
            <w:r>
              <w:rPr>
                <w:rFonts w:ascii="Arial" w:cs="Arial" w:eastAsia="Arial" w:hAnsi="Arial"/>
                <w:sz w:val="13"/>
                <w:szCs w:val="13"/>
                <w:color w:val="auto"/>
              </w:rPr>
              <w:t>50061331</w:t>
            </w:r>
          </w:p>
        </w:tc>
        <w:tc>
          <w:tcPr>
            <w:tcW w:w="5200" w:type="dxa"/>
            <w:vAlign w:val="bottom"/>
          </w:tcPr>
          <w:p>
            <w:pPr>
              <w:ind w:left="940"/>
              <w:spacing w:after="0"/>
              <w:rPr>
                <w:sz w:val="20"/>
                <w:szCs w:val="20"/>
                <w:color w:val="auto"/>
              </w:rPr>
            </w:pPr>
            <w:r>
              <w:rPr>
                <w:rFonts w:ascii="Arial" w:cs="Arial" w:eastAsia="Arial" w:hAnsi="Arial"/>
                <w:sz w:val="13"/>
                <w:szCs w:val="13"/>
                <w:color w:val="auto"/>
              </w:rPr>
              <w:t>Anne Arundel County, Maryland</w:t>
            </w:r>
          </w:p>
        </w:tc>
        <w:tc>
          <w:tcPr>
            <w:tcW w:w="1360" w:type="dxa"/>
            <w:vAlign w:val="bottom"/>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379,703.00</w:t>
            </w:r>
          </w:p>
        </w:tc>
      </w:tr>
      <w:tr>
        <w:trPr>
          <w:trHeight w:val="158"/>
        </w:trPr>
        <w:tc>
          <w:tcPr>
            <w:tcW w:w="20" w:type="dxa"/>
            <w:vAlign w:val="bottom"/>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280" w:type="dxa"/>
            <w:vAlign w:val="bottom"/>
            <w:shd w:val="clear" w:color="auto" w:fill="CCEEFF"/>
          </w:tcPr>
          <w:p>
            <w:pPr>
              <w:ind w:left="860"/>
              <w:spacing w:after="0"/>
              <w:rPr>
                <w:sz w:val="20"/>
                <w:szCs w:val="20"/>
                <w:color w:val="auto"/>
              </w:rPr>
            </w:pPr>
            <w:r>
              <w:rPr>
                <w:rFonts w:ascii="Arial" w:cs="Arial" w:eastAsia="Arial" w:hAnsi="Arial"/>
                <w:sz w:val="13"/>
                <w:szCs w:val="13"/>
                <w:color w:val="auto"/>
              </w:rPr>
              <w:t>50061572</w:t>
            </w:r>
          </w:p>
        </w:tc>
        <w:tc>
          <w:tcPr>
            <w:tcW w:w="5200" w:type="dxa"/>
            <w:vAlign w:val="bottom"/>
            <w:shd w:val="clear" w:color="auto" w:fill="CCEEFF"/>
          </w:tcPr>
          <w:p>
            <w:pPr>
              <w:ind w:left="940"/>
              <w:spacing w:after="0"/>
              <w:rPr>
                <w:sz w:val="20"/>
                <w:szCs w:val="20"/>
                <w:color w:val="auto"/>
              </w:rPr>
            </w:pPr>
            <w:r>
              <w:rPr>
                <w:rFonts w:ascii="Arial" w:cs="Arial" w:eastAsia="Arial" w:hAnsi="Arial"/>
                <w:sz w:val="13"/>
                <w:szCs w:val="13"/>
                <w:color w:val="auto"/>
              </w:rPr>
              <w:t>Shade Township</w:t>
            </w:r>
          </w:p>
        </w:tc>
        <w:tc>
          <w:tcPr>
            <w:tcW w:w="1360" w:type="dxa"/>
            <w:vAlign w:val="bottom"/>
            <w:shd w:val="clear" w:color="auto" w:fill="CCEEFF"/>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1,748,866.00</w:t>
            </w:r>
          </w:p>
        </w:tc>
      </w:tr>
      <w:tr>
        <w:trPr>
          <w:trHeight w:val="157"/>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80" w:type="dxa"/>
            <w:vAlign w:val="bottom"/>
          </w:tcPr>
          <w:p>
            <w:pPr>
              <w:ind w:left="860"/>
              <w:spacing w:after="0"/>
              <w:rPr>
                <w:sz w:val="20"/>
                <w:szCs w:val="20"/>
                <w:color w:val="auto"/>
              </w:rPr>
            </w:pPr>
            <w:r>
              <w:rPr>
                <w:rFonts w:ascii="Arial" w:cs="Arial" w:eastAsia="Arial" w:hAnsi="Arial"/>
                <w:sz w:val="13"/>
                <w:szCs w:val="13"/>
                <w:color w:val="auto"/>
              </w:rPr>
              <w:t>50061680</w:t>
            </w:r>
          </w:p>
        </w:tc>
        <w:tc>
          <w:tcPr>
            <w:tcW w:w="5200" w:type="dxa"/>
            <w:vAlign w:val="bottom"/>
          </w:tcPr>
          <w:p>
            <w:pPr>
              <w:ind w:left="940"/>
              <w:spacing w:after="0"/>
              <w:rPr>
                <w:sz w:val="20"/>
                <w:szCs w:val="20"/>
                <w:color w:val="auto"/>
              </w:rPr>
            </w:pPr>
            <w:r>
              <w:rPr>
                <w:rFonts w:ascii="Arial" w:cs="Arial" w:eastAsia="Arial" w:hAnsi="Arial"/>
                <w:sz w:val="13"/>
                <w:szCs w:val="13"/>
                <w:color w:val="auto"/>
              </w:rPr>
              <w:t>West Virginia DEP</w:t>
            </w:r>
          </w:p>
        </w:tc>
        <w:tc>
          <w:tcPr>
            <w:tcW w:w="1360" w:type="dxa"/>
            <w:vAlign w:val="bottom"/>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32,000.00</w:t>
            </w:r>
          </w:p>
        </w:tc>
      </w:tr>
      <w:tr>
        <w:trPr>
          <w:trHeight w:val="157"/>
        </w:trPr>
        <w:tc>
          <w:tcPr>
            <w:tcW w:w="20" w:type="dxa"/>
            <w:vAlign w:val="bottom"/>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280" w:type="dxa"/>
            <w:vAlign w:val="bottom"/>
            <w:shd w:val="clear" w:color="auto" w:fill="CCEEFF"/>
          </w:tcPr>
          <w:p>
            <w:pPr>
              <w:ind w:left="860"/>
              <w:spacing w:after="0"/>
              <w:rPr>
                <w:sz w:val="20"/>
                <w:szCs w:val="20"/>
                <w:color w:val="auto"/>
              </w:rPr>
            </w:pPr>
            <w:r>
              <w:rPr>
                <w:rFonts w:ascii="Arial" w:cs="Arial" w:eastAsia="Arial" w:hAnsi="Arial"/>
                <w:sz w:val="13"/>
                <w:szCs w:val="13"/>
                <w:color w:val="auto"/>
              </w:rPr>
              <w:t>50061694</w:t>
            </w:r>
          </w:p>
        </w:tc>
        <w:tc>
          <w:tcPr>
            <w:tcW w:w="5200" w:type="dxa"/>
            <w:vAlign w:val="bottom"/>
            <w:shd w:val="clear" w:color="auto" w:fill="CCEEFF"/>
          </w:tcPr>
          <w:p>
            <w:pPr>
              <w:ind w:left="940"/>
              <w:spacing w:after="0"/>
              <w:rPr>
                <w:sz w:val="20"/>
                <w:szCs w:val="20"/>
                <w:color w:val="auto"/>
              </w:rPr>
            </w:pPr>
            <w:r>
              <w:rPr>
                <w:rFonts w:ascii="Arial" w:cs="Arial" w:eastAsia="Arial" w:hAnsi="Arial"/>
                <w:sz w:val="13"/>
                <w:szCs w:val="13"/>
                <w:color w:val="auto"/>
              </w:rPr>
              <w:t>Village of Hawthorn Woods</w:t>
            </w:r>
          </w:p>
        </w:tc>
        <w:tc>
          <w:tcPr>
            <w:tcW w:w="1360" w:type="dxa"/>
            <w:vAlign w:val="bottom"/>
            <w:shd w:val="clear" w:color="auto" w:fill="CCEEFF"/>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50,000.00</w:t>
            </w:r>
          </w:p>
        </w:tc>
      </w:tr>
      <w:tr>
        <w:trPr>
          <w:trHeight w:val="314"/>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80" w:type="dxa"/>
            <w:vAlign w:val="bottom"/>
          </w:tcPr>
          <w:p>
            <w:pPr>
              <w:ind w:left="860"/>
              <w:spacing w:after="0"/>
              <w:rPr>
                <w:sz w:val="20"/>
                <w:szCs w:val="20"/>
                <w:color w:val="auto"/>
              </w:rPr>
            </w:pPr>
            <w:r>
              <w:rPr>
                <w:rFonts w:ascii="Arial" w:cs="Arial" w:eastAsia="Arial" w:hAnsi="Arial"/>
                <w:sz w:val="13"/>
                <w:szCs w:val="13"/>
                <w:color w:val="auto"/>
              </w:rPr>
              <w:t>50061772</w:t>
            </w:r>
          </w:p>
        </w:tc>
        <w:tc>
          <w:tcPr>
            <w:tcW w:w="5200" w:type="dxa"/>
            <w:vAlign w:val="bottom"/>
          </w:tcPr>
          <w:p>
            <w:pPr>
              <w:ind w:left="940"/>
              <w:spacing w:after="0"/>
              <w:rPr>
                <w:sz w:val="20"/>
                <w:szCs w:val="20"/>
                <w:color w:val="auto"/>
              </w:rPr>
            </w:pPr>
            <w:r>
              <w:rPr>
                <w:rFonts w:ascii="Arial" w:cs="Arial" w:eastAsia="Arial" w:hAnsi="Arial"/>
                <w:sz w:val="13"/>
                <w:szCs w:val="13"/>
                <w:color w:val="auto"/>
              </w:rPr>
              <w:t>City of Irwindale/DEC Mine Reclamation</w:t>
            </w:r>
          </w:p>
        </w:tc>
        <w:tc>
          <w:tcPr>
            <w:tcW w:w="1360" w:type="dxa"/>
            <w:vAlign w:val="bottom"/>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31,413.00</w:t>
            </w:r>
          </w:p>
        </w:tc>
      </w:tr>
      <w:tr>
        <w:trPr>
          <w:trHeight w:val="158"/>
        </w:trPr>
        <w:tc>
          <w:tcPr>
            <w:tcW w:w="20" w:type="dxa"/>
            <w:vAlign w:val="bottom"/>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280" w:type="dxa"/>
            <w:vAlign w:val="bottom"/>
            <w:shd w:val="clear" w:color="auto" w:fill="CCEEFF"/>
          </w:tcPr>
          <w:p>
            <w:pPr>
              <w:ind w:left="860"/>
              <w:spacing w:after="0"/>
              <w:rPr>
                <w:sz w:val="20"/>
                <w:szCs w:val="20"/>
                <w:color w:val="auto"/>
              </w:rPr>
            </w:pPr>
            <w:r>
              <w:rPr>
                <w:rFonts w:ascii="Arial" w:cs="Arial" w:eastAsia="Arial" w:hAnsi="Arial"/>
                <w:sz w:val="13"/>
                <w:szCs w:val="13"/>
                <w:color w:val="auto"/>
              </w:rPr>
              <w:t>50061858</w:t>
            </w:r>
          </w:p>
        </w:tc>
        <w:tc>
          <w:tcPr>
            <w:tcW w:w="5200" w:type="dxa"/>
            <w:vAlign w:val="bottom"/>
            <w:shd w:val="clear" w:color="auto" w:fill="CCEEFF"/>
          </w:tcPr>
          <w:p>
            <w:pPr>
              <w:ind w:left="940"/>
              <w:spacing w:after="0"/>
              <w:rPr>
                <w:sz w:val="20"/>
                <w:szCs w:val="20"/>
                <w:color w:val="auto"/>
              </w:rPr>
            </w:pPr>
            <w:r>
              <w:rPr>
                <w:rFonts w:ascii="Arial" w:cs="Arial" w:eastAsia="Arial" w:hAnsi="Arial"/>
                <w:sz w:val="13"/>
                <w:szCs w:val="13"/>
                <w:color w:val="auto"/>
              </w:rPr>
              <w:t>Arrowood Indemnity Company</w:t>
            </w:r>
          </w:p>
        </w:tc>
        <w:tc>
          <w:tcPr>
            <w:tcW w:w="1360" w:type="dxa"/>
            <w:vAlign w:val="bottom"/>
            <w:shd w:val="clear" w:color="auto" w:fill="CCEEFF"/>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85,000.00</w:t>
            </w:r>
          </w:p>
        </w:tc>
      </w:tr>
      <w:tr>
        <w:trPr>
          <w:trHeight w:val="157"/>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80" w:type="dxa"/>
            <w:vAlign w:val="bottom"/>
          </w:tcPr>
          <w:p>
            <w:pPr>
              <w:ind w:left="860"/>
              <w:spacing w:after="0"/>
              <w:rPr>
                <w:sz w:val="20"/>
                <w:szCs w:val="20"/>
                <w:color w:val="auto"/>
              </w:rPr>
            </w:pPr>
            <w:r>
              <w:rPr>
                <w:rFonts w:ascii="Arial" w:cs="Arial" w:eastAsia="Arial" w:hAnsi="Arial"/>
                <w:sz w:val="13"/>
                <w:szCs w:val="13"/>
                <w:color w:val="auto"/>
              </w:rPr>
              <w:t>50061869</w:t>
            </w:r>
          </w:p>
        </w:tc>
        <w:tc>
          <w:tcPr>
            <w:tcW w:w="5200" w:type="dxa"/>
            <w:vAlign w:val="bottom"/>
          </w:tcPr>
          <w:p>
            <w:pPr>
              <w:ind w:left="940"/>
              <w:spacing w:after="0"/>
              <w:rPr>
                <w:sz w:val="20"/>
                <w:szCs w:val="20"/>
                <w:color w:val="auto"/>
              </w:rPr>
            </w:pPr>
            <w:r>
              <w:rPr>
                <w:rFonts w:ascii="Arial" w:cs="Arial" w:eastAsia="Arial" w:hAnsi="Arial"/>
                <w:sz w:val="13"/>
                <w:szCs w:val="13"/>
                <w:color w:val="auto"/>
              </w:rPr>
              <w:t>Village of Holiday Hills</w:t>
            </w:r>
          </w:p>
        </w:tc>
        <w:tc>
          <w:tcPr>
            <w:tcW w:w="1360" w:type="dxa"/>
            <w:vAlign w:val="bottom"/>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10,000.00</w:t>
            </w:r>
          </w:p>
        </w:tc>
      </w:tr>
      <w:tr>
        <w:trPr>
          <w:trHeight w:val="157"/>
        </w:trPr>
        <w:tc>
          <w:tcPr>
            <w:tcW w:w="20" w:type="dxa"/>
            <w:vAlign w:val="bottom"/>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280" w:type="dxa"/>
            <w:vAlign w:val="bottom"/>
            <w:shd w:val="clear" w:color="auto" w:fill="CCEEFF"/>
          </w:tcPr>
          <w:p>
            <w:pPr>
              <w:ind w:left="860"/>
              <w:spacing w:after="0"/>
              <w:rPr>
                <w:sz w:val="20"/>
                <w:szCs w:val="20"/>
                <w:color w:val="auto"/>
              </w:rPr>
            </w:pPr>
            <w:r>
              <w:rPr>
                <w:rFonts w:ascii="Arial" w:cs="Arial" w:eastAsia="Arial" w:hAnsi="Arial"/>
                <w:sz w:val="13"/>
                <w:szCs w:val="13"/>
                <w:color w:val="auto"/>
              </w:rPr>
              <w:t>50061886</w:t>
            </w:r>
          </w:p>
        </w:tc>
        <w:tc>
          <w:tcPr>
            <w:tcW w:w="5200" w:type="dxa"/>
            <w:vAlign w:val="bottom"/>
            <w:shd w:val="clear" w:color="auto" w:fill="CCEEFF"/>
          </w:tcPr>
          <w:p>
            <w:pPr>
              <w:ind w:left="940"/>
              <w:spacing w:after="0"/>
              <w:rPr>
                <w:sz w:val="20"/>
                <w:szCs w:val="20"/>
                <w:color w:val="auto"/>
              </w:rPr>
            </w:pPr>
            <w:r>
              <w:rPr>
                <w:rFonts w:ascii="Arial" w:cs="Arial" w:eastAsia="Arial" w:hAnsi="Arial"/>
                <w:sz w:val="13"/>
                <w:szCs w:val="13"/>
                <w:color w:val="auto"/>
              </w:rPr>
              <w:t>Pennsylvania DEP</w:t>
            </w:r>
          </w:p>
        </w:tc>
        <w:tc>
          <w:tcPr>
            <w:tcW w:w="1360" w:type="dxa"/>
            <w:vAlign w:val="bottom"/>
            <w:shd w:val="clear" w:color="auto" w:fill="CCEEFF"/>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91"/>
              </w:rPr>
              <w:t>24,508,684.00</w:t>
            </w:r>
          </w:p>
        </w:tc>
      </w:tr>
      <w:tr>
        <w:trPr>
          <w:trHeight w:val="165"/>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80" w:type="dxa"/>
            <w:vAlign w:val="bottom"/>
          </w:tcPr>
          <w:p>
            <w:pPr>
              <w:ind w:left="860"/>
              <w:spacing w:after="0"/>
              <w:rPr>
                <w:sz w:val="20"/>
                <w:szCs w:val="20"/>
                <w:color w:val="auto"/>
              </w:rPr>
            </w:pPr>
            <w:r>
              <w:rPr>
                <w:rFonts w:ascii="Arial" w:cs="Arial" w:eastAsia="Arial" w:hAnsi="Arial"/>
                <w:sz w:val="13"/>
                <w:szCs w:val="13"/>
                <w:color w:val="auto"/>
              </w:rPr>
              <w:t>50061897</w:t>
            </w:r>
          </w:p>
        </w:tc>
        <w:tc>
          <w:tcPr>
            <w:tcW w:w="5200" w:type="dxa"/>
            <w:vAlign w:val="bottom"/>
          </w:tcPr>
          <w:p>
            <w:pPr>
              <w:ind w:left="940"/>
              <w:spacing w:after="0"/>
              <w:rPr>
                <w:sz w:val="20"/>
                <w:szCs w:val="20"/>
                <w:color w:val="auto"/>
              </w:rPr>
            </w:pPr>
            <w:r>
              <w:rPr>
                <w:rFonts w:ascii="Arial" w:cs="Arial" w:eastAsia="Arial" w:hAnsi="Arial"/>
                <w:sz w:val="13"/>
                <w:szCs w:val="13"/>
                <w:color w:val="auto"/>
              </w:rPr>
              <w:t>Stafford County</w:t>
            </w:r>
          </w:p>
        </w:tc>
        <w:tc>
          <w:tcPr>
            <w:tcW w:w="1360" w:type="dxa"/>
            <w:vAlign w:val="bottom"/>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160,000.00</w:t>
            </w:r>
          </w:p>
        </w:tc>
      </w:tr>
      <w:tr>
        <w:trPr>
          <w:trHeight w:val="150"/>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280" w:type="dxa"/>
            <w:vAlign w:val="bottom"/>
            <w:shd w:val="clear" w:color="auto" w:fill="CCEEFF"/>
          </w:tcPr>
          <w:p>
            <w:pPr>
              <w:ind w:left="860"/>
              <w:spacing w:after="0"/>
              <w:rPr>
                <w:sz w:val="20"/>
                <w:szCs w:val="20"/>
                <w:color w:val="auto"/>
              </w:rPr>
            </w:pPr>
            <w:r>
              <w:rPr>
                <w:rFonts w:ascii="Arial" w:cs="Arial" w:eastAsia="Arial" w:hAnsi="Arial"/>
                <w:sz w:val="13"/>
                <w:szCs w:val="13"/>
                <w:color w:val="auto"/>
              </w:rPr>
              <w:t>50061909</w:t>
            </w:r>
          </w:p>
        </w:tc>
        <w:tc>
          <w:tcPr>
            <w:tcW w:w="5200" w:type="dxa"/>
            <w:vAlign w:val="bottom"/>
            <w:shd w:val="clear" w:color="auto" w:fill="CCEEFF"/>
          </w:tcPr>
          <w:p>
            <w:pPr>
              <w:ind w:left="940"/>
              <w:spacing w:after="0"/>
              <w:rPr>
                <w:sz w:val="20"/>
                <w:szCs w:val="20"/>
                <w:color w:val="auto"/>
              </w:rPr>
            </w:pPr>
            <w:r>
              <w:rPr>
                <w:rFonts w:ascii="Arial" w:cs="Arial" w:eastAsia="Arial" w:hAnsi="Arial"/>
                <w:sz w:val="13"/>
                <w:szCs w:val="13"/>
                <w:color w:val="auto"/>
              </w:rPr>
              <w:t>Vermont Commissioner of Insurance</w:t>
            </w:r>
          </w:p>
        </w:tc>
        <w:tc>
          <w:tcPr>
            <w:tcW w:w="1360" w:type="dxa"/>
            <w:vAlign w:val="bottom"/>
            <w:shd w:val="clear" w:color="auto" w:fill="CCEEFF"/>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250,000.00</w:t>
            </w:r>
          </w:p>
        </w:tc>
      </w:tr>
      <w:tr>
        <w:trPr>
          <w:trHeight w:val="165"/>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80" w:type="dxa"/>
            <w:vAlign w:val="bottom"/>
          </w:tcPr>
          <w:p>
            <w:pPr>
              <w:ind w:left="860"/>
              <w:spacing w:after="0"/>
              <w:rPr>
                <w:sz w:val="20"/>
                <w:szCs w:val="20"/>
                <w:color w:val="auto"/>
              </w:rPr>
            </w:pPr>
            <w:r>
              <w:rPr>
                <w:rFonts w:ascii="Arial" w:cs="Arial" w:eastAsia="Arial" w:hAnsi="Arial"/>
                <w:sz w:val="13"/>
                <w:szCs w:val="13"/>
                <w:color w:val="auto"/>
              </w:rPr>
              <w:t>50061910</w:t>
            </w:r>
          </w:p>
        </w:tc>
        <w:tc>
          <w:tcPr>
            <w:tcW w:w="5200" w:type="dxa"/>
            <w:vAlign w:val="bottom"/>
          </w:tcPr>
          <w:p>
            <w:pPr>
              <w:ind w:left="940"/>
              <w:spacing w:after="0"/>
              <w:rPr>
                <w:sz w:val="20"/>
                <w:szCs w:val="20"/>
                <w:color w:val="auto"/>
              </w:rPr>
            </w:pPr>
            <w:r>
              <w:rPr>
                <w:rFonts w:ascii="Arial" w:cs="Arial" w:eastAsia="Arial" w:hAnsi="Arial"/>
                <w:sz w:val="13"/>
                <w:szCs w:val="13"/>
                <w:color w:val="auto"/>
              </w:rPr>
              <w:t>Consumers Power Company</w:t>
            </w:r>
          </w:p>
        </w:tc>
        <w:tc>
          <w:tcPr>
            <w:tcW w:w="1360" w:type="dxa"/>
            <w:vAlign w:val="bottom"/>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323,549.00</w:t>
            </w:r>
          </w:p>
        </w:tc>
      </w:tr>
      <w:tr>
        <w:trPr>
          <w:trHeight w:val="150"/>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280" w:type="dxa"/>
            <w:vAlign w:val="bottom"/>
            <w:shd w:val="clear" w:color="auto" w:fill="CCEEFF"/>
          </w:tcPr>
          <w:p>
            <w:pPr>
              <w:ind w:left="860"/>
              <w:spacing w:after="0"/>
              <w:rPr>
                <w:sz w:val="20"/>
                <w:szCs w:val="20"/>
                <w:color w:val="auto"/>
              </w:rPr>
            </w:pPr>
            <w:r>
              <w:rPr>
                <w:rFonts w:ascii="Arial" w:cs="Arial" w:eastAsia="Arial" w:hAnsi="Arial"/>
                <w:sz w:val="13"/>
                <w:szCs w:val="13"/>
                <w:color w:val="auto"/>
              </w:rPr>
              <w:t>50061920</w:t>
            </w:r>
          </w:p>
        </w:tc>
        <w:tc>
          <w:tcPr>
            <w:tcW w:w="5200" w:type="dxa"/>
            <w:vAlign w:val="bottom"/>
            <w:shd w:val="clear" w:color="auto" w:fill="CCEEFF"/>
          </w:tcPr>
          <w:p>
            <w:pPr>
              <w:ind w:left="940"/>
              <w:spacing w:after="0"/>
              <w:rPr>
                <w:sz w:val="20"/>
                <w:szCs w:val="20"/>
                <w:color w:val="auto"/>
              </w:rPr>
            </w:pPr>
            <w:r>
              <w:rPr>
                <w:rFonts w:ascii="Arial" w:cs="Arial" w:eastAsia="Arial" w:hAnsi="Arial"/>
                <w:sz w:val="13"/>
                <w:szCs w:val="13"/>
                <w:color w:val="auto"/>
              </w:rPr>
              <w:t>Waste System Authority of Eastern Montgomery County</w:t>
            </w:r>
          </w:p>
        </w:tc>
        <w:tc>
          <w:tcPr>
            <w:tcW w:w="1360" w:type="dxa"/>
            <w:vAlign w:val="bottom"/>
            <w:shd w:val="clear" w:color="auto" w:fill="CCEEFF"/>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229,583.53</w:t>
            </w:r>
          </w:p>
        </w:tc>
      </w:tr>
      <w:tr>
        <w:trPr>
          <w:trHeight w:val="165"/>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80" w:type="dxa"/>
            <w:vAlign w:val="bottom"/>
          </w:tcPr>
          <w:p>
            <w:pPr>
              <w:ind w:left="860"/>
              <w:spacing w:after="0"/>
              <w:rPr>
                <w:sz w:val="20"/>
                <w:szCs w:val="20"/>
                <w:color w:val="auto"/>
              </w:rPr>
            </w:pPr>
            <w:r>
              <w:rPr>
                <w:rFonts w:ascii="Arial" w:cs="Arial" w:eastAsia="Arial" w:hAnsi="Arial"/>
                <w:sz w:val="13"/>
                <w:szCs w:val="13"/>
                <w:color w:val="auto"/>
              </w:rPr>
              <w:t>50061985</w:t>
            </w:r>
          </w:p>
        </w:tc>
        <w:tc>
          <w:tcPr>
            <w:tcW w:w="5200" w:type="dxa"/>
            <w:vAlign w:val="bottom"/>
          </w:tcPr>
          <w:p>
            <w:pPr>
              <w:ind w:left="940"/>
              <w:spacing w:after="0"/>
              <w:rPr>
                <w:sz w:val="20"/>
                <w:szCs w:val="20"/>
                <w:color w:val="auto"/>
              </w:rPr>
            </w:pPr>
            <w:r>
              <w:rPr>
                <w:rFonts w:ascii="Arial" w:cs="Arial" w:eastAsia="Arial" w:hAnsi="Arial"/>
                <w:sz w:val="13"/>
                <w:szCs w:val="13"/>
                <w:color w:val="auto"/>
              </w:rPr>
              <w:t>AIG</w:t>
            </w:r>
          </w:p>
        </w:tc>
        <w:tc>
          <w:tcPr>
            <w:tcW w:w="1360" w:type="dxa"/>
            <w:vAlign w:val="bottom"/>
          </w:tcPr>
          <w:p>
            <w:pPr>
              <w:ind w:left="12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260,000.00</w:t>
            </w:r>
          </w:p>
        </w:tc>
      </w:tr>
      <w:tr>
        <w:trPr>
          <w:trHeight w:val="449"/>
        </w:trPr>
        <w:tc>
          <w:tcPr>
            <w:tcW w:w="20" w:type="dxa"/>
            <w:vAlign w:val="bottom"/>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52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36" w:name="page237"/>
    <w:bookmarkEnd w:id="236"/>
    <w:tbl>
      <w:tblPr>
        <w:tblLayout w:type="fixed"/>
        <w:tblInd w:w="0" w:type="dxa"/>
        <w:tblCellMar>
          <w:top w:w="0" w:type="dxa"/>
          <w:left w:w="0" w:type="dxa"/>
          <w:bottom w:w="0" w:type="dxa"/>
          <w:right w:w="0" w:type="dxa"/>
        </w:tblCellMar>
      </w:tblPr>
      <w:tr>
        <w:trPr>
          <w:trHeight w:val="121"/>
        </w:trPr>
        <w:tc>
          <w:tcPr>
            <w:tcW w:w="15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Guarantor</w:t>
            </w:r>
          </w:p>
        </w:tc>
        <w:tc>
          <w:tcPr>
            <w:tcW w:w="2540" w:type="dxa"/>
            <w:vAlign w:val="bottom"/>
            <w:tcBorders>
              <w:bottom w:val="single" w:sz="8" w:color="auto"/>
            </w:tcBorders>
          </w:tcPr>
          <w:p>
            <w:pPr>
              <w:ind w:left="1060"/>
              <w:spacing w:after="0"/>
              <w:rPr>
                <w:sz w:val="20"/>
                <w:szCs w:val="20"/>
                <w:color w:val="auto"/>
              </w:rPr>
            </w:pPr>
            <w:r>
              <w:rPr>
                <w:rFonts w:ascii="Arial" w:cs="Arial" w:eastAsia="Arial" w:hAnsi="Arial"/>
                <w:sz w:val="10"/>
                <w:szCs w:val="10"/>
                <w:color w:val="auto"/>
              </w:rPr>
              <w:t>LOC Number</w:t>
            </w:r>
          </w:p>
        </w:tc>
        <w:tc>
          <w:tcPr>
            <w:tcW w:w="5960" w:type="dxa"/>
            <w:vAlign w:val="bottom"/>
            <w:tcBorders>
              <w:bottom w:val="single" w:sz="8" w:color="auto"/>
            </w:tcBorders>
          </w:tcPr>
          <w:p>
            <w:pPr>
              <w:ind w:left="880"/>
              <w:spacing w:after="0"/>
              <w:rPr>
                <w:sz w:val="20"/>
                <w:szCs w:val="20"/>
                <w:color w:val="auto"/>
              </w:rPr>
            </w:pPr>
            <w:r>
              <w:rPr>
                <w:rFonts w:ascii="Arial" w:cs="Arial" w:eastAsia="Arial" w:hAnsi="Arial"/>
                <w:sz w:val="10"/>
                <w:szCs w:val="10"/>
                <w:color w:val="auto"/>
              </w:rPr>
              <w:t>Beneficiary</w:t>
            </w: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0"/>
                <w:szCs w:val="10"/>
                <w:color w:val="auto"/>
              </w:rPr>
              <w:t>Amount</w:t>
            </w:r>
          </w:p>
        </w:tc>
      </w:tr>
      <w:tr>
        <w:trPr>
          <w:trHeight w:val="157"/>
        </w:trPr>
        <w:tc>
          <w:tcPr>
            <w:tcW w:w="1500" w:type="dxa"/>
            <w:vAlign w:val="bottom"/>
            <w:shd w:val="clear" w:color="auto" w:fill="CCEEFF"/>
          </w:tcPr>
          <w:p>
            <w:pPr>
              <w:spacing w:after="0"/>
              <w:rPr>
                <w:sz w:val="13"/>
                <w:szCs w:val="13"/>
                <w:color w:val="auto"/>
              </w:rPr>
            </w:pPr>
          </w:p>
        </w:tc>
        <w:tc>
          <w:tcPr>
            <w:tcW w:w="254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50061986</w:t>
            </w:r>
          </w:p>
        </w:tc>
        <w:tc>
          <w:tcPr>
            <w:tcW w:w="5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AIG</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250,000.00</w:t>
            </w:r>
          </w:p>
        </w:tc>
      </w:tr>
      <w:tr>
        <w:trPr>
          <w:trHeight w:val="157"/>
        </w:trPr>
        <w:tc>
          <w:tcPr>
            <w:tcW w:w="1500" w:type="dxa"/>
            <w:vAlign w:val="bottom"/>
          </w:tcPr>
          <w:p>
            <w:pPr>
              <w:spacing w:after="0"/>
              <w:rPr>
                <w:sz w:val="13"/>
                <w:szCs w:val="13"/>
                <w:color w:val="auto"/>
              </w:rPr>
            </w:pPr>
          </w:p>
        </w:tc>
        <w:tc>
          <w:tcPr>
            <w:tcW w:w="2540" w:type="dxa"/>
            <w:vAlign w:val="bottom"/>
          </w:tcPr>
          <w:p>
            <w:pPr>
              <w:ind w:left="1060"/>
              <w:spacing w:after="0"/>
              <w:rPr>
                <w:sz w:val="20"/>
                <w:szCs w:val="20"/>
                <w:color w:val="auto"/>
              </w:rPr>
            </w:pPr>
            <w:r>
              <w:rPr>
                <w:rFonts w:ascii="Arial" w:cs="Arial" w:eastAsia="Arial" w:hAnsi="Arial"/>
                <w:sz w:val="13"/>
                <w:szCs w:val="13"/>
                <w:color w:val="auto"/>
              </w:rPr>
              <w:t>50061998</w:t>
            </w:r>
          </w:p>
        </w:tc>
        <w:tc>
          <w:tcPr>
            <w:tcW w:w="5960" w:type="dxa"/>
            <w:vAlign w:val="bottom"/>
          </w:tcPr>
          <w:p>
            <w:pPr>
              <w:ind w:left="880"/>
              <w:spacing w:after="0"/>
              <w:rPr>
                <w:sz w:val="20"/>
                <w:szCs w:val="20"/>
                <w:color w:val="auto"/>
              </w:rPr>
            </w:pPr>
            <w:r>
              <w:rPr>
                <w:rFonts w:ascii="Arial" w:cs="Arial" w:eastAsia="Arial" w:hAnsi="Arial"/>
                <w:sz w:val="13"/>
                <w:szCs w:val="13"/>
                <w:color w:val="auto"/>
              </w:rPr>
              <w:t>City of Two Rivers</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5,000.00</w:t>
            </w:r>
          </w:p>
        </w:tc>
      </w:tr>
      <w:tr>
        <w:trPr>
          <w:trHeight w:val="157"/>
        </w:trPr>
        <w:tc>
          <w:tcPr>
            <w:tcW w:w="1500" w:type="dxa"/>
            <w:vAlign w:val="bottom"/>
            <w:shd w:val="clear" w:color="auto" w:fill="CCEEFF"/>
          </w:tcPr>
          <w:p>
            <w:pPr>
              <w:spacing w:after="0"/>
              <w:rPr>
                <w:sz w:val="13"/>
                <w:szCs w:val="13"/>
                <w:color w:val="auto"/>
              </w:rPr>
            </w:pPr>
          </w:p>
        </w:tc>
        <w:tc>
          <w:tcPr>
            <w:tcW w:w="254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50062000</w:t>
            </w:r>
          </w:p>
        </w:tc>
        <w:tc>
          <w:tcPr>
            <w:tcW w:w="5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Village of Third Lake</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75,000.00</w:t>
            </w:r>
          </w:p>
        </w:tc>
      </w:tr>
      <w:tr>
        <w:trPr>
          <w:trHeight w:val="157"/>
        </w:trPr>
        <w:tc>
          <w:tcPr>
            <w:tcW w:w="1500" w:type="dxa"/>
            <w:vAlign w:val="bottom"/>
          </w:tcPr>
          <w:p>
            <w:pPr>
              <w:spacing w:after="0"/>
              <w:rPr>
                <w:sz w:val="13"/>
                <w:szCs w:val="13"/>
                <w:color w:val="auto"/>
              </w:rPr>
            </w:pPr>
          </w:p>
        </w:tc>
        <w:tc>
          <w:tcPr>
            <w:tcW w:w="2540" w:type="dxa"/>
            <w:vAlign w:val="bottom"/>
          </w:tcPr>
          <w:p>
            <w:pPr>
              <w:ind w:left="1060"/>
              <w:spacing w:after="0"/>
              <w:rPr>
                <w:sz w:val="20"/>
                <w:szCs w:val="20"/>
                <w:color w:val="auto"/>
              </w:rPr>
            </w:pPr>
            <w:r>
              <w:rPr>
                <w:rFonts w:ascii="Arial" w:cs="Arial" w:eastAsia="Arial" w:hAnsi="Arial"/>
                <w:sz w:val="13"/>
                <w:szCs w:val="13"/>
                <w:color w:val="auto"/>
              </w:rPr>
              <w:t>50062044</w:t>
            </w:r>
          </w:p>
        </w:tc>
        <w:tc>
          <w:tcPr>
            <w:tcW w:w="5960" w:type="dxa"/>
            <w:vAlign w:val="bottom"/>
          </w:tcPr>
          <w:p>
            <w:pPr>
              <w:ind w:left="880"/>
              <w:spacing w:after="0"/>
              <w:rPr>
                <w:sz w:val="20"/>
                <w:szCs w:val="20"/>
                <w:color w:val="auto"/>
              </w:rPr>
            </w:pPr>
            <w:r>
              <w:rPr>
                <w:rFonts w:ascii="Arial" w:cs="Arial" w:eastAsia="Arial" w:hAnsi="Arial"/>
                <w:sz w:val="13"/>
                <w:szCs w:val="13"/>
                <w:color w:val="auto"/>
              </w:rPr>
              <w:t>Continental Casualty Company</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5,334,000.00</w:t>
            </w:r>
          </w:p>
        </w:tc>
      </w:tr>
      <w:tr>
        <w:trPr>
          <w:trHeight w:val="157"/>
        </w:trPr>
        <w:tc>
          <w:tcPr>
            <w:tcW w:w="1500" w:type="dxa"/>
            <w:vAlign w:val="bottom"/>
            <w:shd w:val="clear" w:color="auto" w:fill="CCEEFF"/>
          </w:tcPr>
          <w:p>
            <w:pPr>
              <w:spacing w:after="0"/>
              <w:rPr>
                <w:sz w:val="13"/>
                <w:szCs w:val="13"/>
                <w:color w:val="auto"/>
              </w:rPr>
            </w:pPr>
          </w:p>
        </w:tc>
        <w:tc>
          <w:tcPr>
            <w:tcW w:w="254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50062050</w:t>
            </w:r>
          </w:p>
        </w:tc>
        <w:tc>
          <w:tcPr>
            <w:tcW w:w="5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Rayford Hudson</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1,680,000.00</w:t>
            </w:r>
          </w:p>
        </w:tc>
      </w:tr>
      <w:tr>
        <w:trPr>
          <w:trHeight w:val="157"/>
        </w:trPr>
        <w:tc>
          <w:tcPr>
            <w:tcW w:w="1500" w:type="dxa"/>
            <w:vAlign w:val="bottom"/>
          </w:tcPr>
          <w:p>
            <w:pPr>
              <w:spacing w:after="0"/>
              <w:rPr>
                <w:sz w:val="13"/>
                <w:szCs w:val="13"/>
                <w:color w:val="auto"/>
              </w:rPr>
            </w:pPr>
          </w:p>
        </w:tc>
        <w:tc>
          <w:tcPr>
            <w:tcW w:w="2540" w:type="dxa"/>
            <w:vAlign w:val="bottom"/>
          </w:tcPr>
          <w:p>
            <w:pPr>
              <w:ind w:left="1060"/>
              <w:spacing w:after="0"/>
              <w:rPr>
                <w:sz w:val="20"/>
                <w:szCs w:val="20"/>
                <w:color w:val="auto"/>
              </w:rPr>
            </w:pPr>
            <w:r>
              <w:rPr>
                <w:rFonts w:ascii="Arial" w:cs="Arial" w:eastAsia="Arial" w:hAnsi="Arial"/>
                <w:sz w:val="13"/>
                <w:szCs w:val="13"/>
                <w:color w:val="auto"/>
              </w:rPr>
              <w:t>50062053</w:t>
            </w:r>
          </w:p>
        </w:tc>
        <w:tc>
          <w:tcPr>
            <w:tcW w:w="5960" w:type="dxa"/>
            <w:vAlign w:val="bottom"/>
          </w:tcPr>
          <w:p>
            <w:pPr>
              <w:ind w:left="880"/>
              <w:spacing w:after="0"/>
              <w:rPr>
                <w:sz w:val="20"/>
                <w:szCs w:val="20"/>
                <w:color w:val="auto"/>
              </w:rPr>
            </w:pPr>
            <w:r>
              <w:rPr>
                <w:rFonts w:ascii="Arial" w:cs="Arial" w:eastAsia="Arial" w:hAnsi="Arial"/>
                <w:sz w:val="13"/>
                <w:szCs w:val="13"/>
                <w:color w:val="auto"/>
              </w:rPr>
              <w:t>City of Chicago</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100,000.00</w:t>
            </w:r>
          </w:p>
        </w:tc>
      </w:tr>
      <w:tr>
        <w:trPr>
          <w:trHeight w:val="157"/>
        </w:trPr>
        <w:tc>
          <w:tcPr>
            <w:tcW w:w="1500" w:type="dxa"/>
            <w:vAlign w:val="bottom"/>
            <w:shd w:val="clear" w:color="auto" w:fill="CCEEFF"/>
          </w:tcPr>
          <w:p>
            <w:pPr>
              <w:spacing w:after="0"/>
              <w:rPr>
                <w:sz w:val="13"/>
                <w:szCs w:val="13"/>
                <w:color w:val="auto"/>
              </w:rPr>
            </w:pPr>
          </w:p>
        </w:tc>
        <w:tc>
          <w:tcPr>
            <w:tcW w:w="254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50062099</w:t>
            </w:r>
          </w:p>
        </w:tc>
        <w:tc>
          <w:tcPr>
            <w:tcW w:w="5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New Jersey DEP</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239,610.00</w:t>
            </w:r>
          </w:p>
        </w:tc>
      </w:tr>
      <w:tr>
        <w:trPr>
          <w:trHeight w:val="313"/>
        </w:trPr>
        <w:tc>
          <w:tcPr>
            <w:tcW w:w="1500" w:type="dxa"/>
            <w:vAlign w:val="bottom"/>
          </w:tcPr>
          <w:p>
            <w:pPr>
              <w:spacing w:after="0"/>
              <w:rPr>
                <w:sz w:val="24"/>
                <w:szCs w:val="24"/>
                <w:color w:val="auto"/>
              </w:rPr>
            </w:pPr>
          </w:p>
        </w:tc>
        <w:tc>
          <w:tcPr>
            <w:tcW w:w="2540" w:type="dxa"/>
            <w:vAlign w:val="bottom"/>
          </w:tcPr>
          <w:p>
            <w:pPr>
              <w:ind w:left="1060"/>
              <w:spacing w:after="0"/>
              <w:rPr>
                <w:sz w:val="20"/>
                <w:szCs w:val="20"/>
                <w:color w:val="auto"/>
              </w:rPr>
            </w:pPr>
            <w:r>
              <w:rPr>
                <w:rFonts w:ascii="Arial" w:cs="Arial" w:eastAsia="Arial" w:hAnsi="Arial"/>
                <w:sz w:val="13"/>
                <w:szCs w:val="13"/>
                <w:color w:val="auto"/>
              </w:rPr>
              <w:t>50062137</w:t>
            </w:r>
          </w:p>
        </w:tc>
        <w:tc>
          <w:tcPr>
            <w:tcW w:w="5960" w:type="dxa"/>
            <w:vAlign w:val="bottom"/>
          </w:tcPr>
          <w:p>
            <w:pPr>
              <w:ind w:left="880"/>
              <w:spacing w:after="0"/>
              <w:rPr>
                <w:sz w:val="20"/>
                <w:szCs w:val="20"/>
                <w:color w:val="auto"/>
              </w:rPr>
            </w:pPr>
            <w:r>
              <w:rPr>
                <w:rFonts w:ascii="Arial" w:cs="Arial" w:eastAsia="Arial" w:hAnsi="Arial"/>
                <w:sz w:val="13"/>
                <w:szCs w:val="13"/>
                <w:color w:val="auto"/>
              </w:rPr>
              <w:t>ACE-INA Overseas Insurance</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740,799.00</w:t>
            </w:r>
          </w:p>
        </w:tc>
      </w:tr>
      <w:tr>
        <w:trPr>
          <w:trHeight w:val="159"/>
        </w:trPr>
        <w:tc>
          <w:tcPr>
            <w:tcW w:w="15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7"/>
        </w:trPr>
        <w:tc>
          <w:tcPr>
            <w:tcW w:w="1500" w:type="dxa"/>
            <w:vAlign w:val="bottom"/>
            <w:shd w:val="clear" w:color="auto" w:fill="CCEEFF"/>
          </w:tcPr>
          <w:p>
            <w:pPr>
              <w:spacing w:after="0"/>
              <w:rPr>
                <w:sz w:val="13"/>
                <w:szCs w:val="13"/>
                <w:color w:val="auto"/>
              </w:rPr>
            </w:pPr>
          </w:p>
        </w:tc>
        <w:tc>
          <w:tcPr>
            <w:tcW w:w="254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64016602</w:t>
            </w:r>
          </w:p>
        </w:tc>
        <w:tc>
          <w:tcPr>
            <w:tcW w:w="5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National Resource Recovery, Ltd.</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50,000.00</w:t>
            </w:r>
          </w:p>
        </w:tc>
      </w:tr>
      <w:tr>
        <w:trPr>
          <w:trHeight w:val="314"/>
        </w:trPr>
        <w:tc>
          <w:tcPr>
            <w:tcW w:w="1500" w:type="dxa"/>
            <w:vAlign w:val="bottom"/>
          </w:tcPr>
          <w:p>
            <w:pPr>
              <w:spacing w:after="0"/>
              <w:rPr>
                <w:sz w:val="24"/>
                <w:szCs w:val="24"/>
                <w:color w:val="auto"/>
              </w:rPr>
            </w:pPr>
          </w:p>
        </w:tc>
        <w:tc>
          <w:tcPr>
            <w:tcW w:w="2540" w:type="dxa"/>
            <w:vAlign w:val="bottom"/>
          </w:tcPr>
          <w:p>
            <w:pPr>
              <w:ind w:left="1060"/>
              <w:spacing w:after="0"/>
              <w:rPr>
                <w:sz w:val="20"/>
                <w:szCs w:val="20"/>
                <w:color w:val="auto"/>
              </w:rPr>
            </w:pPr>
            <w:r>
              <w:rPr>
                <w:rFonts w:ascii="Arial" w:cs="Arial" w:eastAsia="Arial" w:hAnsi="Arial"/>
                <w:sz w:val="13"/>
                <w:szCs w:val="13"/>
                <w:color w:val="auto"/>
              </w:rPr>
              <w:t>64016613</w:t>
            </w:r>
          </w:p>
        </w:tc>
        <w:tc>
          <w:tcPr>
            <w:tcW w:w="5960" w:type="dxa"/>
            <w:vAlign w:val="bottom"/>
          </w:tcPr>
          <w:p>
            <w:pPr>
              <w:ind w:left="880"/>
              <w:spacing w:after="0"/>
              <w:rPr>
                <w:sz w:val="20"/>
                <w:szCs w:val="20"/>
                <w:color w:val="auto"/>
              </w:rPr>
            </w:pPr>
            <w:r>
              <w:rPr>
                <w:rFonts w:ascii="Arial" w:cs="Arial" w:eastAsia="Arial" w:hAnsi="Arial"/>
                <w:sz w:val="13"/>
                <w:szCs w:val="13"/>
                <w:color w:val="auto"/>
              </w:rPr>
              <w:t>County Commissioners of Worcester County</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300,000.00</w:t>
            </w:r>
          </w:p>
        </w:tc>
      </w:tr>
      <w:tr>
        <w:trPr>
          <w:trHeight w:val="158"/>
        </w:trPr>
        <w:tc>
          <w:tcPr>
            <w:tcW w:w="1500" w:type="dxa"/>
            <w:vAlign w:val="bottom"/>
            <w:shd w:val="clear" w:color="auto" w:fill="CCEEFF"/>
          </w:tcPr>
          <w:p>
            <w:pPr>
              <w:spacing w:after="0"/>
              <w:rPr>
                <w:sz w:val="13"/>
                <w:szCs w:val="13"/>
                <w:color w:val="auto"/>
              </w:rPr>
            </w:pPr>
          </w:p>
        </w:tc>
        <w:tc>
          <w:tcPr>
            <w:tcW w:w="254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64016621</w:t>
            </w:r>
          </w:p>
        </w:tc>
        <w:tc>
          <w:tcPr>
            <w:tcW w:w="5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New England Power Company</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340,788.00</w:t>
            </w:r>
          </w:p>
        </w:tc>
      </w:tr>
      <w:tr>
        <w:trPr>
          <w:trHeight w:val="306"/>
        </w:trPr>
        <w:tc>
          <w:tcPr>
            <w:tcW w:w="1500" w:type="dxa"/>
            <w:vAlign w:val="bottom"/>
          </w:tcPr>
          <w:p>
            <w:pPr>
              <w:spacing w:after="0"/>
              <w:rPr>
                <w:sz w:val="24"/>
                <w:szCs w:val="24"/>
                <w:color w:val="auto"/>
              </w:rPr>
            </w:pPr>
          </w:p>
        </w:tc>
        <w:tc>
          <w:tcPr>
            <w:tcW w:w="2540" w:type="dxa"/>
            <w:vAlign w:val="bottom"/>
          </w:tcPr>
          <w:p>
            <w:pPr>
              <w:ind w:left="1060"/>
              <w:spacing w:after="0"/>
              <w:rPr>
                <w:sz w:val="20"/>
                <w:szCs w:val="20"/>
                <w:color w:val="auto"/>
              </w:rPr>
            </w:pPr>
            <w:r>
              <w:rPr>
                <w:rFonts w:ascii="Arial" w:cs="Arial" w:eastAsia="Arial" w:hAnsi="Arial"/>
                <w:sz w:val="13"/>
                <w:szCs w:val="13"/>
                <w:color w:val="auto"/>
              </w:rPr>
              <w:t>64016622</w:t>
            </w:r>
          </w:p>
        </w:tc>
        <w:tc>
          <w:tcPr>
            <w:tcW w:w="5960" w:type="dxa"/>
            <w:vAlign w:val="bottom"/>
          </w:tcPr>
          <w:p>
            <w:pPr>
              <w:ind w:left="880"/>
              <w:spacing w:after="0"/>
              <w:rPr>
                <w:sz w:val="20"/>
                <w:szCs w:val="20"/>
                <w:color w:val="auto"/>
              </w:rPr>
            </w:pPr>
            <w:r>
              <w:rPr>
                <w:rFonts w:ascii="Arial" w:cs="Arial" w:eastAsia="Arial" w:hAnsi="Arial"/>
                <w:sz w:val="13"/>
                <w:szCs w:val="13"/>
                <w:color w:val="auto"/>
              </w:rPr>
              <w:t>ISO New England, Inc., in its individual capacity and on behalf of the participants in the</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5"/>
        </w:trPr>
        <w:tc>
          <w:tcPr>
            <w:tcW w:w="15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960" w:type="dxa"/>
            <w:vAlign w:val="bottom"/>
          </w:tcPr>
          <w:p>
            <w:pPr>
              <w:ind w:left="880"/>
              <w:spacing w:after="0"/>
              <w:rPr>
                <w:sz w:val="20"/>
                <w:szCs w:val="20"/>
                <w:color w:val="auto"/>
              </w:rPr>
            </w:pPr>
            <w:r>
              <w:rPr>
                <w:rFonts w:ascii="Arial" w:cs="Arial" w:eastAsia="Arial" w:hAnsi="Arial"/>
                <w:sz w:val="13"/>
                <w:szCs w:val="13"/>
                <w:color w:val="auto"/>
              </w:rPr>
              <w:t>ISO’s</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20,885.22</w:t>
            </w:r>
          </w:p>
        </w:tc>
      </w:tr>
      <w:tr>
        <w:trPr>
          <w:trHeight w:val="158"/>
        </w:trPr>
        <w:tc>
          <w:tcPr>
            <w:tcW w:w="1500" w:type="dxa"/>
            <w:vAlign w:val="bottom"/>
            <w:shd w:val="clear" w:color="auto" w:fill="CCEEFF"/>
          </w:tcPr>
          <w:p>
            <w:pPr>
              <w:spacing w:after="0"/>
              <w:rPr>
                <w:sz w:val="13"/>
                <w:szCs w:val="13"/>
                <w:color w:val="auto"/>
              </w:rPr>
            </w:pPr>
          </w:p>
        </w:tc>
        <w:tc>
          <w:tcPr>
            <w:tcW w:w="254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64016624</w:t>
            </w:r>
          </w:p>
        </w:tc>
        <w:tc>
          <w:tcPr>
            <w:tcW w:w="5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ACE</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90"/>
              </w:rPr>
              <w:t>129,700,000.00</w:t>
            </w:r>
          </w:p>
        </w:tc>
      </w:tr>
      <w:tr>
        <w:trPr>
          <w:trHeight w:val="314"/>
        </w:trPr>
        <w:tc>
          <w:tcPr>
            <w:tcW w:w="1500" w:type="dxa"/>
            <w:vAlign w:val="bottom"/>
          </w:tcPr>
          <w:p>
            <w:pPr>
              <w:spacing w:after="0"/>
              <w:rPr>
                <w:sz w:val="24"/>
                <w:szCs w:val="24"/>
                <w:color w:val="auto"/>
              </w:rPr>
            </w:pPr>
          </w:p>
        </w:tc>
        <w:tc>
          <w:tcPr>
            <w:tcW w:w="2540" w:type="dxa"/>
            <w:vAlign w:val="bottom"/>
          </w:tcPr>
          <w:p>
            <w:pPr>
              <w:ind w:left="1060"/>
              <w:spacing w:after="0"/>
              <w:rPr>
                <w:sz w:val="20"/>
                <w:szCs w:val="20"/>
                <w:color w:val="auto"/>
              </w:rPr>
            </w:pPr>
            <w:r>
              <w:rPr>
                <w:rFonts w:ascii="Arial" w:cs="Arial" w:eastAsia="Arial" w:hAnsi="Arial"/>
                <w:sz w:val="13"/>
                <w:szCs w:val="13"/>
                <w:color w:val="auto"/>
              </w:rPr>
              <w:t>64016626</w:t>
            </w:r>
          </w:p>
        </w:tc>
        <w:tc>
          <w:tcPr>
            <w:tcW w:w="5960" w:type="dxa"/>
            <w:vAlign w:val="bottom"/>
          </w:tcPr>
          <w:p>
            <w:pPr>
              <w:ind w:left="880"/>
              <w:spacing w:after="0"/>
              <w:rPr>
                <w:sz w:val="20"/>
                <w:szCs w:val="20"/>
                <w:color w:val="auto"/>
              </w:rPr>
            </w:pPr>
            <w:r>
              <w:rPr>
                <w:rFonts w:ascii="Arial" w:cs="Arial" w:eastAsia="Arial" w:hAnsi="Arial"/>
                <w:sz w:val="13"/>
                <w:szCs w:val="13"/>
                <w:color w:val="auto"/>
              </w:rPr>
              <w:t>City of Phoenix - Aviation Department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54,000.00</w:t>
            </w:r>
          </w:p>
        </w:tc>
      </w:tr>
      <w:tr>
        <w:trPr>
          <w:trHeight w:val="158"/>
        </w:trPr>
        <w:tc>
          <w:tcPr>
            <w:tcW w:w="1500" w:type="dxa"/>
            <w:vAlign w:val="bottom"/>
            <w:shd w:val="clear" w:color="auto" w:fill="CCEEFF"/>
          </w:tcPr>
          <w:p>
            <w:pPr>
              <w:spacing w:after="0"/>
              <w:rPr>
                <w:sz w:val="13"/>
                <w:szCs w:val="13"/>
                <w:color w:val="auto"/>
              </w:rPr>
            </w:pPr>
          </w:p>
        </w:tc>
        <w:tc>
          <w:tcPr>
            <w:tcW w:w="254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64016628</w:t>
            </w:r>
          </w:p>
        </w:tc>
        <w:tc>
          <w:tcPr>
            <w:tcW w:w="5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ISO New England Inc.</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47,493.04</w:t>
            </w:r>
          </w:p>
        </w:tc>
      </w:tr>
      <w:tr>
        <w:trPr>
          <w:trHeight w:val="314"/>
        </w:trPr>
        <w:tc>
          <w:tcPr>
            <w:tcW w:w="1500" w:type="dxa"/>
            <w:vAlign w:val="bottom"/>
          </w:tcPr>
          <w:p>
            <w:pPr>
              <w:spacing w:after="0"/>
              <w:rPr>
                <w:sz w:val="24"/>
                <w:szCs w:val="24"/>
                <w:color w:val="auto"/>
              </w:rPr>
            </w:pPr>
          </w:p>
        </w:tc>
        <w:tc>
          <w:tcPr>
            <w:tcW w:w="2540" w:type="dxa"/>
            <w:vAlign w:val="bottom"/>
          </w:tcPr>
          <w:p>
            <w:pPr>
              <w:ind w:left="1060"/>
              <w:spacing w:after="0"/>
              <w:rPr>
                <w:sz w:val="20"/>
                <w:szCs w:val="20"/>
                <w:color w:val="auto"/>
              </w:rPr>
            </w:pPr>
            <w:r>
              <w:rPr>
                <w:rFonts w:ascii="Arial" w:cs="Arial" w:eastAsia="Arial" w:hAnsi="Arial"/>
                <w:sz w:val="13"/>
                <w:szCs w:val="13"/>
                <w:color w:val="auto"/>
              </w:rPr>
              <w:t>64016631</w:t>
            </w:r>
          </w:p>
        </w:tc>
        <w:tc>
          <w:tcPr>
            <w:tcW w:w="5960" w:type="dxa"/>
            <w:vAlign w:val="bottom"/>
          </w:tcPr>
          <w:p>
            <w:pPr>
              <w:ind w:left="880"/>
              <w:spacing w:after="0"/>
              <w:rPr>
                <w:sz w:val="20"/>
                <w:szCs w:val="20"/>
                <w:color w:val="auto"/>
              </w:rPr>
            </w:pPr>
            <w:r>
              <w:rPr>
                <w:rFonts w:ascii="Arial" w:cs="Arial" w:eastAsia="Arial" w:hAnsi="Arial"/>
                <w:sz w:val="13"/>
                <w:szCs w:val="13"/>
                <w:color w:val="auto"/>
              </w:rPr>
              <w:t>Niagara Mohawk Power Corporation dba National Grid</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165,000.00</w:t>
            </w:r>
          </w:p>
        </w:tc>
      </w:tr>
      <w:tr>
        <w:trPr>
          <w:trHeight w:val="158"/>
        </w:trPr>
        <w:tc>
          <w:tcPr>
            <w:tcW w:w="1500" w:type="dxa"/>
            <w:vAlign w:val="bottom"/>
            <w:shd w:val="clear" w:color="auto" w:fill="CCEEFF"/>
          </w:tcPr>
          <w:p>
            <w:pPr>
              <w:spacing w:after="0"/>
              <w:rPr>
                <w:sz w:val="13"/>
                <w:szCs w:val="13"/>
                <w:color w:val="auto"/>
              </w:rPr>
            </w:pPr>
          </w:p>
        </w:tc>
        <w:tc>
          <w:tcPr>
            <w:tcW w:w="254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64016635</w:t>
            </w:r>
          </w:p>
        </w:tc>
        <w:tc>
          <w:tcPr>
            <w:tcW w:w="5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City of Winters</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14,000.00</w:t>
            </w:r>
          </w:p>
        </w:tc>
      </w:tr>
      <w:tr>
        <w:trPr>
          <w:trHeight w:val="314"/>
        </w:trPr>
        <w:tc>
          <w:tcPr>
            <w:tcW w:w="1500" w:type="dxa"/>
            <w:vAlign w:val="bottom"/>
          </w:tcPr>
          <w:p>
            <w:pPr>
              <w:spacing w:after="0"/>
              <w:rPr>
                <w:sz w:val="24"/>
                <w:szCs w:val="24"/>
                <w:color w:val="auto"/>
              </w:rPr>
            </w:pPr>
          </w:p>
        </w:tc>
        <w:tc>
          <w:tcPr>
            <w:tcW w:w="2540" w:type="dxa"/>
            <w:vAlign w:val="bottom"/>
          </w:tcPr>
          <w:p>
            <w:pPr>
              <w:ind w:left="1060"/>
              <w:spacing w:after="0"/>
              <w:rPr>
                <w:sz w:val="20"/>
                <w:szCs w:val="20"/>
                <w:color w:val="auto"/>
              </w:rPr>
            </w:pPr>
            <w:r>
              <w:rPr>
                <w:rFonts w:ascii="Arial" w:cs="Arial" w:eastAsia="Arial" w:hAnsi="Arial"/>
                <w:sz w:val="13"/>
                <w:szCs w:val="13"/>
                <w:color w:val="auto"/>
              </w:rPr>
              <w:t>64016638</w:t>
            </w:r>
          </w:p>
        </w:tc>
        <w:tc>
          <w:tcPr>
            <w:tcW w:w="5960" w:type="dxa"/>
            <w:vAlign w:val="bottom"/>
          </w:tcPr>
          <w:p>
            <w:pPr>
              <w:ind w:left="880"/>
              <w:spacing w:after="0"/>
              <w:rPr>
                <w:sz w:val="20"/>
                <w:szCs w:val="20"/>
                <w:color w:val="auto"/>
              </w:rPr>
            </w:pPr>
            <w:r>
              <w:rPr>
                <w:rFonts w:ascii="Arial" w:cs="Arial" w:eastAsia="Arial" w:hAnsi="Arial"/>
                <w:sz w:val="13"/>
                <w:szCs w:val="13"/>
                <w:color w:val="auto"/>
              </w:rPr>
              <w:t>New England Power d/b/a National Grid</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31,145.00</w:t>
            </w:r>
          </w:p>
        </w:tc>
      </w:tr>
      <w:tr>
        <w:trPr>
          <w:trHeight w:val="158"/>
        </w:trPr>
        <w:tc>
          <w:tcPr>
            <w:tcW w:w="1500" w:type="dxa"/>
            <w:vAlign w:val="bottom"/>
            <w:shd w:val="clear" w:color="auto" w:fill="CCEEFF"/>
          </w:tcPr>
          <w:p>
            <w:pPr>
              <w:spacing w:after="0"/>
              <w:rPr>
                <w:sz w:val="13"/>
                <w:szCs w:val="13"/>
                <w:color w:val="auto"/>
              </w:rPr>
            </w:pPr>
          </w:p>
        </w:tc>
        <w:tc>
          <w:tcPr>
            <w:tcW w:w="254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64016640</w:t>
            </w:r>
          </w:p>
        </w:tc>
        <w:tc>
          <w:tcPr>
            <w:tcW w:w="5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PJM Interconnection, L.L.C.</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367,000.00</w:t>
            </w:r>
          </w:p>
        </w:tc>
      </w:tr>
      <w:tr>
        <w:trPr>
          <w:trHeight w:val="314"/>
        </w:trPr>
        <w:tc>
          <w:tcPr>
            <w:tcW w:w="1500" w:type="dxa"/>
            <w:vAlign w:val="bottom"/>
          </w:tcPr>
          <w:p>
            <w:pPr>
              <w:spacing w:after="0"/>
              <w:rPr>
                <w:sz w:val="24"/>
                <w:szCs w:val="24"/>
                <w:color w:val="auto"/>
              </w:rPr>
            </w:pPr>
          </w:p>
        </w:tc>
        <w:tc>
          <w:tcPr>
            <w:tcW w:w="2540" w:type="dxa"/>
            <w:vAlign w:val="bottom"/>
          </w:tcPr>
          <w:p>
            <w:pPr>
              <w:ind w:left="1060"/>
              <w:spacing w:after="0"/>
              <w:rPr>
                <w:sz w:val="20"/>
                <w:szCs w:val="20"/>
                <w:color w:val="auto"/>
              </w:rPr>
            </w:pPr>
            <w:r>
              <w:rPr>
                <w:rFonts w:ascii="Arial" w:cs="Arial" w:eastAsia="Arial" w:hAnsi="Arial"/>
                <w:sz w:val="13"/>
                <w:szCs w:val="13"/>
                <w:color w:val="auto"/>
              </w:rPr>
              <w:t>64016645</w:t>
            </w:r>
          </w:p>
        </w:tc>
        <w:tc>
          <w:tcPr>
            <w:tcW w:w="5960" w:type="dxa"/>
            <w:vAlign w:val="bottom"/>
          </w:tcPr>
          <w:p>
            <w:pPr>
              <w:ind w:left="880"/>
              <w:spacing w:after="0"/>
              <w:rPr>
                <w:sz w:val="20"/>
                <w:szCs w:val="20"/>
                <w:color w:val="auto"/>
              </w:rPr>
            </w:pPr>
            <w:r>
              <w:rPr>
                <w:rFonts w:ascii="Arial" w:cs="Arial" w:eastAsia="Arial" w:hAnsi="Arial"/>
                <w:sz w:val="13"/>
                <w:szCs w:val="13"/>
                <w:color w:val="auto"/>
              </w:rPr>
              <w:t>Commonwealth Edison Company (“ComEd”)</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1,000,000.00</w:t>
            </w:r>
          </w:p>
        </w:tc>
      </w:tr>
      <w:tr>
        <w:trPr>
          <w:trHeight w:val="158"/>
        </w:trPr>
        <w:tc>
          <w:tcPr>
            <w:tcW w:w="1500" w:type="dxa"/>
            <w:vAlign w:val="bottom"/>
            <w:shd w:val="clear" w:color="auto" w:fill="CCEEFF"/>
          </w:tcPr>
          <w:p>
            <w:pPr>
              <w:spacing w:after="0"/>
              <w:rPr>
                <w:sz w:val="13"/>
                <w:szCs w:val="13"/>
                <w:color w:val="auto"/>
              </w:rPr>
            </w:pPr>
          </w:p>
        </w:tc>
        <w:tc>
          <w:tcPr>
            <w:tcW w:w="254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64016649</w:t>
            </w:r>
          </w:p>
        </w:tc>
        <w:tc>
          <w:tcPr>
            <w:tcW w:w="5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ISO New England, Inc.</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28,000.00</w:t>
            </w:r>
          </w:p>
        </w:tc>
      </w:tr>
      <w:tr>
        <w:trPr>
          <w:trHeight w:val="165"/>
        </w:trPr>
        <w:tc>
          <w:tcPr>
            <w:tcW w:w="1500" w:type="dxa"/>
            <w:vAlign w:val="bottom"/>
          </w:tcPr>
          <w:p>
            <w:pPr>
              <w:spacing w:after="0"/>
              <w:rPr>
                <w:sz w:val="14"/>
                <w:szCs w:val="14"/>
                <w:color w:val="auto"/>
              </w:rPr>
            </w:pPr>
          </w:p>
        </w:tc>
        <w:tc>
          <w:tcPr>
            <w:tcW w:w="2540" w:type="dxa"/>
            <w:vAlign w:val="bottom"/>
          </w:tcPr>
          <w:p>
            <w:pPr>
              <w:ind w:left="1060"/>
              <w:spacing w:after="0"/>
              <w:rPr>
                <w:sz w:val="20"/>
                <w:szCs w:val="20"/>
                <w:color w:val="auto"/>
              </w:rPr>
            </w:pPr>
            <w:r>
              <w:rPr>
                <w:rFonts w:ascii="Arial" w:cs="Arial" w:eastAsia="Arial" w:hAnsi="Arial"/>
                <w:sz w:val="13"/>
                <w:szCs w:val="13"/>
                <w:color w:val="auto"/>
              </w:rPr>
              <w:t>64016650</w:t>
            </w:r>
          </w:p>
        </w:tc>
        <w:tc>
          <w:tcPr>
            <w:tcW w:w="5960" w:type="dxa"/>
            <w:vAlign w:val="bottom"/>
          </w:tcPr>
          <w:p>
            <w:pPr>
              <w:ind w:left="880"/>
              <w:spacing w:after="0"/>
              <w:rPr>
                <w:sz w:val="20"/>
                <w:szCs w:val="20"/>
                <w:color w:val="auto"/>
              </w:rPr>
            </w:pPr>
            <w:r>
              <w:rPr>
                <w:rFonts w:ascii="Arial" w:cs="Arial" w:eastAsia="Arial" w:hAnsi="Arial"/>
                <w:sz w:val="13"/>
                <w:szCs w:val="13"/>
                <w:color w:val="auto"/>
              </w:rPr>
              <w:t>PJM Interconnection, LLC</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332,200.00</w:t>
            </w:r>
          </w:p>
        </w:tc>
      </w:tr>
      <w:tr>
        <w:trPr>
          <w:trHeight w:val="150"/>
        </w:trPr>
        <w:tc>
          <w:tcPr>
            <w:tcW w:w="15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7"/>
        </w:trPr>
        <w:tc>
          <w:tcPr>
            <w:tcW w:w="1500" w:type="dxa"/>
            <w:vAlign w:val="bottom"/>
            <w:shd w:val="clear" w:color="auto" w:fill="CCEEFF"/>
          </w:tcPr>
          <w:p>
            <w:pPr>
              <w:spacing w:after="0"/>
              <w:rPr>
                <w:sz w:val="13"/>
                <w:szCs w:val="13"/>
                <w:color w:val="auto"/>
              </w:rPr>
            </w:pPr>
          </w:p>
        </w:tc>
        <w:tc>
          <w:tcPr>
            <w:tcW w:w="254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64016654</w:t>
            </w:r>
          </w:p>
        </w:tc>
        <w:tc>
          <w:tcPr>
            <w:tcW w:w="5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Commonwealth of Pennsylvania</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9,500.00</w:t>
            </w:r>
          </w:p>
        </w:tc>
      </w:tr>
      <w:tr>
        <w:trPr>
          <w:trHeight w:val="157"/>
        </w:trPr>
        <w:tc>
          <w:tcPr>
            <w:tcW w:w="1500" w:type="dxa"/>
            <w:vAlign w:val="bottom"/>
          </w:tcPr>
          <w:p>
            <w:pPr>
              <w:spacing w:after="0"/>
              <w:rPr>
                <w:sz w:val="13"/>
                <w:szCs w:val="13"/>
                <w:color w:val="auto"/>
              </w:rPr>
            </w:pPr>
          </w:p>
        </w:tc>
        <w:tc>
          <w:tcPr>
            <w:tcW w:w="2540" w:type="dxa"/>
            <w:vAlign w:val="bottom"/>
          </w:tcPr>
          <w:p>
            <w:pPr>
              <w:ind w:left="1060"/>
              <w:spacing w:after="0"/>
              <w:rPr>
                <w:sz w:val="20"/>
                <w:szCs w:val="20"/>
                <w:color w:val="auto"/>
              </w:rPr>
            </w:pPr>
            <w:r>
              <w:rPr>
                <w:rFonts w:ascii="Arial" w:cs="Arial" w:eastAsia="Arial" w:hAnsi="Arial"/>
                <w:sz w:val="13"/>
                <w:szCs w:val="13"/>
                <w:color w:val="auto"/>
              </w:rPr>
              <w:t>64016655</w:t>
            </w:r>
          </w:p>
        </w:tc>
        <w:tc>
          <w:tcPr>
            <w:tcW w:w="5960" w:type="dxa"/>
            <w:vAlign w:val="bottom"/>
          </w:tcPr>
          <w:p>
            <w:pPr>
              <w:ind w:left="880"/>
              <w:spacing w:after="0"/>
              <w:rPr>
                <w:sz w:val="20"/>
                <w:szCs w:val="20"/>
                <w:color w:val="auto"/>
              </w:rPr>
            </w:pPr>
            <w:r>
              <w:rPr>
                <w:rFonts w:ascii="Arial" w:cs="Arial" w:eastAsia="Arial" w:hAnsi="Arial"/>
                <w:sz w:val="13"/>
                <w:szCs w:val="13"/>
                <w:color w:val="auto"/>
              </w:rPr>
              <w:t>The Bank of New York Mellon</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5"/>
              <w:spacing w:after="0"/>
              <w:rPr>
                <w:sz w:val="20"/>
                <w:szCs w:val="20"/>
                <w:color w:val="auto"/>
              </w:rPr>
            </w:pPr>
            <w:r>
              <w:rPr>
                <w:rFonts w:ascii="Arial" w:cs="Arial" w:eastAsia="Arial" w:hAnsi="Arial"/>
                <w:sz w:val="13"/>
                <w:szCs w:val="13"/>
                <w:color w:val="auto"/>
                <w:w w:val="98"/>
              </w:rPr>
              <w:t>10,138,889.00</w:t>
            </w:r>
          </w:p>
        </w:tc>
      </w:tr>
      <w:tr>
        <w:trPr>
          <w:trHeight w:val="157"/>
        </w:trPr>
        <w:tc>
          <w:tcPr>
            <w:tcW w:w="1500" w:type="dxa"/>
            <w:vAlign w:val="bottom"/>
            <w:shd w:val="clear" w:color="auto" w:fill="CCEEFF"/>
          </w:tcPr>
          <w:p>
            <w:pPr>
              <w:spacing w:after="0"/>
              <w:rPr>
                <w:sz w:val="13"/>
                <w:szCs w:val="13"/>
                <w:color w:val="auto"/>
              </w:rPr>
            </w:pPr>
          </w:p>
        </w:tc>
        <w:tc>
          <w:tcPr>
            <w:tcW w:w="254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64016661</w:t>
            </w:r>
          </w:p>
        </w:tc>
        <w:tc>
          <w:tcPr>
            <w:tcW w:w="5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ISO New England, Inc.</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53,730.33</w:t>
            </w:r>
          </w:p>
        </w:tc>
      </w:tr>
      <w:tr>
        <w:trPr>
          <w:trHeight w:val="314"/>
        </w:trPr>
        <w:tc>
          <w:tcPr>
            <w:tcW w:w="1500" w:type="dxa"/>
            <w:vAlign w:val="bottom"/>
          </w:tcPr>
          <w:p>
            <w:pPr>
              <w:spacing w:after="0"/>
              <w:rPr>
                <w:sz w:val="24"/>
                <w:szCs w:val="24"/>
                <w:color w:val="auto"/>
              </w:rPr>
            </w:pPr>
          </w:p>
        </w:tc>
        <w:tc>
          <w:tcPr>
            <w:tcW w:w="2540" w:type="dxa"/>
            <w:vAlign w:val="bottom"/>
          </w:tcPr>
          <w:p>
            <w:pPr>
              <w:ind w:left="1060"/>
              <w:spacing w:after="0"/>
              <w:rPr>
                <w:sz w:val="20"/>
                <w:szCs w:val="20"/>
                <w:color w:val="auto"/>
              </w:rPr>
            </w:pPr>
            <w:r>
              <w:rPr>
                <w:rFonts w:ascii="Arial" w:cs="Arial" w:eastAsia="Arial" w:hAnsi="Arial"/>
                <w:sz w:val="13"/>
                <w:szCs w:val="13"/>
                <w:color w:val="auto"/>
              </w:rPr>
              <w:t>64016663</w:t>
            </w:r>
          </w:p>
        </w:tc>
        <w:tc>
          <w:tcPr>
            <w:tcW w:w="5960" w:type="dxa"/>
            <w:vAlign w:val="bottom"/>
          </w:tcPr>
          <w:p>
            <w:pPr>
              <w:ind w:left="880"/>
              <w:spacing w:after="0"/>
              <w:rPr>
                <w:sz w:val="20"/>
                <w:szCs w:val="20"/>
                <w:color w:val="auto"/>
              </w:rPr>
            </w:pPr>
            <w:r>
              <w:rPr>
                <w:rFonts w:ascii="Arial" w:cs="Arial" w:eastAsia="Arial" w:hAnsi="Arial"/>
                <w:sz w:val="13"/>
                <w:szCs w:val="13"/>
                <w:color w:val="auto"/>
              </w:rPr>
              <w:t>Pine Belt Regional Solid Waste Management Authority</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60,000.00</w:t>
            </w:r>
          </w:p>
        </w:tc>
      </w:tr>
      <w:tr>
        <w:trPr>
          <w:trHeight w:val="158"/>
        </w:trPr>
        <w:tc>
          <w:tcPr>
            <w:tcW w:w="1500" w:type="dxa"/>
            <w:vAlign w:val="bottom"/>
            <w:shd w:val="clear" w:color="auto" w:fill="CCEEFF"/>
          </w:tcPr>
          <w:p>
            <w:pPr>
              <w:spacing w:after="0"/>
              <w:rPr>
                <w:sz w:val="13"/>
                <w:szCs w:val="13"/>
                <w:color w:val="auto"/>
              </w:rPr>
            </w:pPr>
          </w:p>
        </w:tc>
        <w:tc>
          <w:tcPr>
            <w:tcW w:w="254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64016664</w:t>
            </w:r>
          </w:p>
        </w:tc>
        <w:tc>
          <w:tcPr>
            <w:tcW w:w="5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U.S. Bank National Association</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98"/>
              </w:rPr>
              <w:t>10,180,556.00</w:t>
            </w:r>
          </w:p>
        </w:tc>
      </w:tr>
      <w:tr>
        <w:trPr>
          <w:trHeight w:val="165"/>
        </w:trPr>
        <w:tc>
          <w:tcPr>
            <w:tcW w:w="1500" w:type="dxa"/>
            <w:vAlign w:val="bottom"/>
          </w:tcPr>
          <w:p>
            <w:pPr>
              <w:spacing w:after="0"/>
              <w:rPr>
                <w:sz w:val="14"/>
                <w:szCs w:val="14"/>
                <w:color w:val="auto"/>
              </w:rPr>
            </w:pPr>
          </w:p>
        </w:tc>
        <w:tc>
          <w:tcPr>
            <w:tcW w:w="2540" w:type="dxa"/>
            <w:vAlign w:val="bottom"/>
          </w:tcPr>
          <w:p>
            <w:pPr>
              <w:ind w:left="1060"/>
              <w:spacing w:after="0"/>
              <w:rPr>
                <w:sz w:val="20"/>
                <w:szCs w:val="20"/>
                <w:color w:val="auto"/>
              </w:rPr>
            </w:pPr>
            <w:r>
              <w:rPr>
                <w:rFonts w:ascii="Arial" w:cs="Arial" w:eastAsia="Arial" w:hAnsi="Arial"/>
                <w:sz w:val="13"/>
                <w:szCs w:val="13"/>
                <w:color w:val="auto"/>
              </w:rPr>
              <w:t>64016671</w:t>
            </w:r>
          </w:p>
        </w:tc>
        <w:tc>
          <w:tcPr>
            <w:tcW w:w="5960" w:type="dxa"/>
            <w:vAlign w:val="bottom"/>
          </w:tcPr>
          <w:p>
            <w:pPr>
              <w:ind w:left="880"/>
              <w:spacing w:after="0"/>
              <w:rPr>
                <w:sz w:val="20"/>
                <w:szCs w:val="20"/>
                <w:color w:val="auto"/>
              </w:rPr>
            </w:pPr>
            <w:r>
              <w:rPr>
                <w:rFonts w:ascii="Arial" w:cs="Arial" w:eastAsia="Arial" w:hAnsi="Arial"/>
                <w:sz w:val="13"/>
                <w:szCs w:val="13"/>
                <w:color w:val="auto"/>
              </w:rPr>
              <w:t>PJM Interconnection, LLC</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108,676.00</w:t>
            </w:r>
          </w:p>
        </w:tc>
      </w:tr>
      <w:tr>
        <w:trPr>
          <w:trHeight w:val="150"/>
        </w:trPr>
        <w:tc>
          <w:tcPr>
            <w:tcW w:w="15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7"/>
        </w:trPr>
        <w:tc>
          <w:tcPr>
            <w:tcW w:w="1500" w:type="dxa"/>
            <w:vAlign w:val="bottom"/>
            <w:shd w:val="clear" w:color="auto" w:fill="CCEEFF"/>
          </w:tcPr>
          <w:p>
            <w:pPr>
              <w:spacing w:after="0"/>
              <w:rPr>
                <w:sz w:val="13"/>
                <w:szCs w:val="13"/>
                <w:color w:val="auto"/>
              </w:rPr>
            </w:pPr>
          </w:p>
        </w:tc>
        <w:tc>
          <w:tcPr>
            <w:tcW w:w="254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64016672</w:t>
            </w:r>
          </w:p>
        </w:tc>
        <w:tc>
          <w:tcPr>
            <w:tcW w:w="5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County of Monmouth New Jersey</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200,000.00</w:t>
            </w:r>
          </w:p>
        </w:tc>
      </w:tr>
      <w:tr>
        <w:trPr>
          <w:trHeight w:val="314"/>
        </w:trPr>
        <w:tc>
          <w:tcPr>
            <w:tcW w:w="1500" w:type="dxa"/>
            <w:vAlign w:val="bottom"/>
          </w:tcPr>
          <w:p>
            <w:pPr>
              <w:spacing w:after="0"/>
              <w:rPr>
                <w:sz w:val="24"/>
                <w:szCs w:val="24"/>
                <w:color w:val="auto"/>
              </w:rPr>
            </w:pPr>
          </w:p>
        </w:tc>
        <w:tc>
          <w:tcPr>
            <w:tcW w:w="2540" w:type="dxa"/>
            <w:vAlign w:val="bottom"/>
          </w:tcPr>
          <w:p>
            <w:pPr>
              <w:ind w:left="1060"/>
              <w:spacing w:after="0"/>
              <w:rPr>
                <w:sz w:val="20"/>
                <w:szCs w:val="20"/>
                <w:color w:val="auto"/>
              </w:rPr>
            </w:pPr>
            <w:r>
              <w:rPr>
                <w:rFonts w:ascii="Arial" w:cs="Arial" w:eastAsia="Arial" w:hAnsi="Arial"/>
                <w:sz w:val="13"/>
                <w:szCs w:val="13"/>
                <w:color w:val="auto"/>
              </w:rPr>
              <w:t>64016673</w:t>
            </w:r>
          </w:p>
        </w:tc>
        <w:tc>
          <w:tcPr>
            <w:tcW w:w="5960" w:type="dxa"/>
            <w:vAlign w:val="bottom"/>
          </w:tcPr>
          <w:p>
            <w:pPr>
              <w:ind w:left="880"/>
              <w:spacing w:after="0"/>
              <w:rPr>
                <w:sz w:val="20"/>
                <w:szCs w:val="20"/>
                <w:color w:val="auto"/>
              </w:rPr>
            </w:pPr>
            <w:r>
              <w:rPr>
                <w:rFonts w:ascii="Arial" w:cs="Arial" w:eastAsia="Arial" w:hAnsi="Arial"/>
                <w:sz w:val="13"/>
                <w:szCs w:val="13"/>
                <w:color w:val="auto"/>
              </w:rPr>
              <w:t>Charter Township of West Bloomfield</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44,211.48</w:t>
            </w:r>
          </w:p>
        </w:tc>
      </w:tr>
      <w:tr>
        <w:trPr>
          <w:trHeight w:val="158"/>
        </w:trPr>
        <w:tc>
          <w:tcPr>
            <w:tcW w:w="1500" w:type="dxa"/>
            <w:vAlign w:val="bottom"/>
            <w:shd w:val="clear" w:color="auto" w:fill="CCEEFF"/>
          </w:tcPr>
          <w:p>
            <w:pPr>
              <w:spacing w:after="0"/>
              <w:rPr>
                <w:sz w:val="13"/>
                <w:szCs w:val="13"/>
                <w:color w:val="auto"/>
              </w:rPr>
            </w:pPr>
          </w:p>
        </w:tc>
        <w:tc>
          <w:tcPr>
            <w:tcW w:w="254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68012181</w:t>
            </w:r>
          </w:p>
        </w:tc>
        <w:tc>
          <w:tcPr>
            <w:tcW w:w="5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City of Santa Clarita</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250,000.00</w:t>
            </w:r>
          </w:p>
        </w:tc>
      </w:tr>
      <w:tr>
        <w:trPr>
          <w:trHeight w:val="157"/>
        </w:trPr>
        <w:tc>
          <w:tcPr>
            <w:tcW w:w="1500" w:type="dxa"/>
            <w:vAlign w:val="bottom"/>
          </w:tcPr>
          <w:p>
            <w:pPr>
              <w:spacing w:after="0"/>
              <w:rPr>
                <w:sz w:val="13"/>
                <w:szCs w:val="13"/>
                <w:color w:val="auto"/>
              </w:rPr>
            </w:pPr>
          </w:p>
        </w:tc>
        <w:tc>
          <w:tcPr>
            <w:tcW w:w="2540" w:type="dxa"/>
            <w:vAlign w:val="bottom"/>
          </w:tcPr>
          <w:p>
            <w:pPr>
              <w:ind w:left="1060"/>
              <w:spacing w:after="0"/>
              <w:rPr>
                <w:sz w:val="20"/>
                <w:szCs w:val="20"/>
                <w:color w:val="auto"/>
              </w:rPr>
            </w:pPr>
            <w:r>
              <w:rPr>
                <w:rFonts w:ascii="Arial" w:cs="Arial" w:eastAsia="Arial" w:hAnsi="Arial"/>
                <w:sz w:val="13"/>
                <w:szCs w:val="13"/>
                <w:color w:val="auto"/>
              </w:rPr>
              <w:t>68031686</w:t>
            </w:r>
          </w:p>
        </w:tc>
        <w:tc>
          <w:tcPr>
            <w:tcW w:w="5960" w:type="dxa"/>
            <w:vAlign w:val="bottom"/>
          </w:tcPr>
          <w:p>
            <w:pPr>
              <w:ind w:left="880"/>
              <w:spacing w:after="0"/>
              <w:rPr>
                <w:sz w:val="20"/>
                <w:szCs w:val="20"/>
                <w:color w:val="auto"/>
              </w:rPr>
            </w:pPr>
            <w:r>
              <w:rPr>
                <w:rFonts w:ascii="Arial" w:cs="Arial" w:eastAsia="Arial" w:hAnsi="Arial"/>
                <w:sz w:val="13"/>
                <w:szCs w:val="13"/>
                <w:color w:val="auto"/>
              </w:rPr>
              <w:t>Bank of New York Mellon</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6,657,879.00</w:t>
            </w:r>
          </w:p>
        </w:tc>
      </w:tr>
      <w:tr>
        <w:trPr>
          <w:trHeight w:val="157"/>
        </w:trPr>
        <w:tc>
          <w:tcPr>
            <w:tcW w:w="1500" w:type="dxa"/>
            <w:vAlign w:val="bottom"/>
            <w:shd w:val="clear" w:color="auto" w:fill="CCEEFF"/>
          </w:tcPr>
          <w:p>
            <w:pPr>
              <w:spacing w:after="0"/>
              <w:rPr>
                <w:sz w:val="13"/>
                <w:szCs w:val="13"/>
                <w:color w:val="auto"/>
              </w:rPr>
            </w:pPr>
          </w:p>
        </w:tc>
        <w:tc>
          <w:tcPr>
            <w:tcW w:w="254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68031687</w:t>
            </w:r>
          </w:p>
        </w:tc>
        <w:tc>
          <w:tcPr>
            <w:tcW w:w="5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Bank of New York Mellon</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8,519,656.00</w:t>
            </w:r>
          </w:p>
        </w:tc>
      </w:tr>
      <w:tr>
        <w:trPr>
          <w:trHeight w:val="314"/>
        </w:trPr>
        <w:tc>
          <w:tcPr>
            <w:tcW w:w="1500" w:type="dxa"/>
            <w:vAlign w:val="bottom"/>
          </w:tcPr>
          <w:p>
            <w:pPr>
              <w:spacing w:after="0"/>
              <w:rPr>
                <w:sz w:val="24"/>
                <w:szCs w:val="24"/>
                <w:color w:val="auto"/>
              </w:rPr>
            </w:pPr>
          </w:p>
        </w:tc>
        <w:tc>
          <w:tcPr>
            <w:tcW w:w="2540" w:type="dxa"/>
            <w:vAlign w:val="bottom"/>
          </w:tcPr>
          <w:p>
            <w:pPr>
              <w:ind w:left="1060"/>
              <w:spacing w:after="0"/>
              <w:rPr>
                <w:sz w:val="20"/>
                <w:szCs w:val="20"/>
                <w:color w:val="auto"/>
              </w:rPr>
            </w:pPr>
            <w:r>
              <w:rPr>
                <w:rFonts w:ascii="Arial" w:cs="Arial" w:eastAsia="Arial" w:hAnsi="Arial"/>
                <w:sz w:val="13"/>
                <w:szCs w:val="13"/>
                <w:color w:val="auto"/>
              </w:rPr>
              <w:t>7269871</w:t>
            </w:r>
          </w:p>
        </w:tc>
        <w:tc>
          <w:tcPr>
            <w:tcW w:w="5960" w:type="dxa"/>
            <w:vAlign w:val="bottom"/>
          </w:tcPr>
          <w:p>
            <w:pPr>
              <w:ind w:left="880"/>
              <w:spacing w:after="0"/>
              <w:rPr>
                <w:sz w:val="20"/>
                <w:szCs w:val="20"/>
                <w:color w:val="auto"/>
              </w:rPr>
            </w:pPr>
            <w:r>
              <w:rPr>
                <w:rFonts w:ascii="Arial" w:cs="Arial" w:eastAsia="Arial" w:hAnsi="Arial"/>
                <w:sz w:val="13"/>
                <w:szCs w:val="13"/>
                <w:color w:val="auto"/>
              </w:rPr>
              <w:t>Insurance Company of North America (ACE)</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582,000.00</w:t>
            </w:r>
          </w:p>
        </w:tc>
      </w:tr>
      <w:tr>
        <w:trPr>
          <w:trHeight w:val="158"/>
        </w:trPr>
        <w:tc>
          <w:tcPr>
            <w:tcW w:w="1500" w:type="dxa"/>
            <w:vAlign w:val="bottom"/>
            <w:shd w:val="clear" w:color="auto" w:fill="CCEEFF"/>
          </w:tcPr>
          <w:p>
            <w:pPr>
              <w:spacing w:after="0"/>
              <w:rPr>
                <w:sz w:val="13"/>
                <w:szCs w:val="13"/>
                <w:color w:val="auto"/>
              </w:rPr>
            </w:pPr>
          </w:p>
        </w:tc>
        <w:tc>
          <w:tcPr>
            <w:tcW w:w="254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7316489</w:t>
            </w:r>
          </w:p>
        </w:tc>
        <w:tc>
          <w:tcPr>
            <w:tcW w:w="5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City of Mission Viejo</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250,000.00</w:t>
            </w:r>
          </w:p>
        </w:tc>
      </w:tr>
      <w:tr>
        <w:trPr>
          <w:trHeight w:val="165"/>
        </w:trPr>
        <w:tc>
          <w:tcPr>
            <w:tcW w:w="1500" w:type="dxa"/>
            <w:vAlign w:val="bottom"/>
          </w:tcPr>
          <w:p>
            <w:pPr>
              <w:spacing w:after="0"/>
              <w:rPr>
                <w:sz w:val="14"/>
                <w:szCs w:val="14"/>
                <w:color w:val="auto"/>
              </w:rPr>
            </w:pPr>
          </w:p>
        </w:tc>
        <w:tc>
          <w:tcPr>
            <w:tcW w:w="2540" w:type="dxa"/>
            <w:vAlign w:val="bottom"/>
          </w:tcPr>
          <w:p>
            <w:pPr>
              <w:ind w:left="1060"/>
              <w:spacing w:after="0"/>
              <w:rPr>
                <w:sz w:val="20"/>
                <w:szCs w:val="20"/>
                <w:color w:val="auto"/>
              </w:rPr>
            </w:pPr>
            <w:r>
              <w:rPr>
                <w:rFonts w:ascii="Arial" w:cs="Arial" w:eastAsia="Arial" w:hAnsi="Arial"/>
                <w:sz w:val="13"/>
                <w:szCs w:val="13"/>
                <w:color w:val="auto"/>
              </w:rPr>
              <w:t>7401773</w:t>
            </w:r>
          </w:p>
        </w:tc>
        <w:tc>
          <w:tcPr>
            <w:tcW w:w="5960" w:type="dxa"/>
            <w:vAlign w:val="bottom"/>
          </w:tcPr>
          <w:p>
            <w:pPr>
              <w:ind w:left="880"/>
              <w:spacing w:after="0"/>
              <w:rPr>
                <w:sz w:val="20"/>
                <w:szCs w:val="20"/>
                <w:color w:val="auto"/>
              </w:rPr>
            </w:pPr>
            <w:r>
              <w:rPr>
                <w:rFonts w:ascii="Arial" w:cs="Arial" w:eastAsia="Arial" w:hAnsi="Arial"/>
                <w:sz w:val="13"/>
                <w:szCs w:val="13"/>
                <w:color w:val="auto"/>
              </w:rPr>
              <w:t>Plainfield Township</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6,280.00</w:t>
            </w:r>
          </w:p>
        </w:tc>
      </w:tr>
      <w:tr>
        <w:trPr>
          <w:trHeight w:val="150"/>
        </w:trPr>
        <w:tc>
          <w:tcPr>
            <w:tcW w:w="15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7"/>
        </w:trPr>
        <w:tc>
          <w:tcPr>
            <w:tcW w:w="1500" w:type="dxa"/>
            <w:vAlign w:val="bottom"/>
            <w:shd w:val="clear" w:color="auto" w:fill="CCEEFF"/>
          </w:tcPr>
          <w:p>
            <w:pPr>
              <w:spacing w:after="0"/>
              <w:rPr>
                <w:sz w:val="13"/>
                <w:szCs w:val="13"/>
                <w:color w:val="auto"/>
              </w:rPr>
            </w:pPr>
          </w:p>
        </w:tc>
        <w:tc>
          <w:tcPr>
            <w:tcW w:w="254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7403099</w:t>
            </w:r>
          </w:p>
        </w:tc>
        <w:tc>
          <w:tcPr>
            <w:tcW w:w="5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State of Nevada Dept. of Insurance</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100,000.00</w:t>
            </w:r>
          </w:p>
        </w:tc>
      </w:tr>
      <w:tr>
        <w:trPr>
          <w:trHeight w:val="165"/>
        </w:trPr>
        <w:tc>
          <w:tcPr>
            <w:tcW w:w="1500" w:type="dxa"/>
            <w:vAlign w:val="bottom"/>
          </w:tcPr>
          <w:p>
            <w:pPr>
              <w:spacing w:after="0"/>
              <w:rPr>
                <w:sz w:val="14"/>
                <w:szCs w:val="14"/>
                <w:color w:val="auto"/>
              </w:rPr>
            </w:pPr>
          </w:p>
        </w:tc>
        <w:tc>
          <w:tcPr>
            <w:tcW w:w="2540" w:type="dxa"/>
            <w:vAlign w:val="bottom"/>
          </w:tcPr>
          <w:p>
            <w:pPr>
              <w:ind w:left="1060"/>
              <w:spacing w:after="0"/>
              <w:rPr>
                <w:sz w:val="20"/>
                <w:szCs w:val="20"/>
                <w:color w:val="auto"/>
              </w:rPr>
            </w:pPr>
            <w:r>
              <w:rPr>
                <w:rFonts w:ascii="Arial" w:cs="Arial" w:eastAsia="Arial" w:hAnsi="Arial"/>
                <w:sz w:val="13"/>
                <w:szCs w:val="13"/>
                <w:color w:val="auto"/>
              </w:rPr>
              <w:t>7404298</w:t>
            </w:r>
          </w:p>
        </w:tc>
        <w:tc>
          <w:tcPr>
            <w:tcW w:w="5960" w:type="dxa"/>
            <w:vAlign w:val="bottom"/>
          </w:tcPr>
          <w:p>
            <w:pPr>
              <w:ind w:left="880"/>
              <w:spacing w:after="0"/>
              <w:rPr>
                <w:sz w:val="20"/>
                <w:szCs w:val="20"/>
                <w:color w:val="auto"/>
              </w:rPr>
            </w:pPr>
            <w:r>
              <w:rPr>
                <w:rFonts w:ascii="Arial" w:cs="Arial" w:eastAsia="Arial" w:hAnsi="Arial"/>
                <w:sz w:val="13"/>
                <w:szCs w:val="13"/>
                <w:color w:val="auto"/>
              </w:rPr>
              <w:t>Charter Township of Orion</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100,000.00</w:t>
            </w:r>
          </w:p>
        </w:tc>
      </w:tr>
      <w:tr>
        <w:trPr>
          <w:trHeight w:val="449"/>
        </w:trPr>
        <w:tc>
          <w:tcPr>
            <w:tcW w:w="150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59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4" w:right="219" w:bottom="1440" w:gutter="0" w:footer="0" w:header="0"/>
        </w:sectPr>
      </w:pPr>
    </w:p>
    <w:bookmarkStart w:id="237" w:name="page238"/>
    <w:bookmarkEnd w:id="237"/>
    <w:tbl>
      <w:tblPr>
        <w:tblLayout w:type="fixed"/>
        <w:tblInd w:w="0" w:type="dxa"/>
        <w:tblCellMar>
          <w:top w:w="0" w:type="dxa"/>
          <w:left w:w="0" w:type="dxa"/>
          <w:bottom w:w="0" w:type="dxa"/>
          <w:right w:w="0" w:type="dxa"/>
        </w:tblCellMar>
      </w:tblPr>
      <w:tr>
        <w:trPr>
          <w:trHeight w:val="121"/>
        </w:trPr>
        <w:tc>
          <w:tcPr>
            <w:tcW w:w="1780" w:type="dxa"/>
            <w:vAlign w:val="bottom"/>
            <w:gridSpan w:val="2"/>
          </w:tcPr>
          <w:p>
            <w:pPr>
              <w:spacing w:after="0"/>
              <w:rPr>
                <w:sz w:val="20"/>
                <w:szCs w:val="20"/>
                <w:color w:val="auto"/>
              </w:rPr>
            </w:pPr>
            <w:r>
              <w:rPr>
                <w:rFonts w:ascii="Arial" w:cs="Arial" w:eastAsia="Arial" w:hAnsi="Arial"/>
                <w:sz w:val="10"/>
                <w:szCs w:val="10"/>
                <w:color w:val="auto"/>
              </w:rPr>
              <w:t>Guarantor</w:t>
            </w:r>
          </w:p>
        </w:tc>
        <w:tc>
          <w:tcPr>
            <w:tcW w:w="2480" w:type="dxa"/>
            <w:vAlign w:val="bottom"/>
            <w:gridSpan w:val="2"/>
          </w:tcPr>
          <w:p>
            <w:pPr>
              <w:ind w:left="800"/>
              <w:spacing w:after="0"/>
              <w:rPr>
                <w:sz w:val="20"/>
                <w:szCs w:val="20"/>
                <w:color w:val="auto"/>
              </w:rPr>
            </w:pPr>
            <w:r>
              <w:rPr>
                <w:rFonts w:ascii="Arial" w:cs="Arial" w:eastAsia="Arial" w:hAnsi="Arial"/>
                <w:sz w:val="10"/>
                <w:szCs w:val="10"/>
                <w:color w:val="auto"/>
              </w:rPr>
              <w:t>LOC Number</w:t>
            </w:r>
          </w:p>
        </w:tc>
        <w:tc>
          <w:tcPr>
            <w:tcW w:w="4720" w:type="dxa"/>
            <w:vAlign w:val="bottom"/>
          </w:tcPr>
          <w:p>
            <w:pPr>
              <w:ind w:left="680"/>
              <w:spacing w:after="0"/>
              <w:rPr>
                <w:sz w:val="20"/>
                <w:szCs w:val="20"/>
                <w:color w:val="auto"/>
              </w:rPr>
            </w:pPr>
            <w:r>
              <w:rPr>
                <w:rFonts w:ascii="Arial" w:cs="Arial" w:eastAsia="Arial" w:hAnsi="Arial"/>
                <w:sz w:val="10"/>
                <w:szCs w:val="10"/>
                <w:color w:val="auto"/>
              </w:rPr>
              <w:t>Beneficiary</w:t>
            </w: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0"/>
                <w:szCs w:val="10"/>
                <w:color w:val="auto"/>
              </w:rPr>
              <w:t>Amount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w w:val="90"/>
              </w:rPr>
              <w:t>7404522</w:t>
            </w:r>
          </w:p>
        </w:tc>
        <w:tc>
          <w:tcPr>
            <w:tcW w:w="1200" w:type="dxa"/>
            <w:vAlign w:val="bottom"/>
            <w:tcBorders>
              <w:top w:val="single" w:sz="8" w:color="auto"/>
            </w:tcBorders>
            <w:shd w:val="clear" w:color="auto" w:fill="CCEEFF"/>
          </w:tcPr>
          <w:p>
            <w:pPr>
              <w:spacing w:after="0"/>
              <w:rPr>
                <w:sz w:val="13"/>
                <w:szCs w:val="13"/>
                <w:color w:val="auto"/>
              </w:rPr>
            </w:pPr>
          </w:p>
        </w:tc>
        <w:tc>
          <w:tcPr>
            <w:tcW w:w="472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3"/>
                <w:szCs w:val="13"/>
                <w:color w:val="auto"/>
              </w:rPr>
              <w:t>City of Chicago</w:t>
            </w: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ind w:left="800"/>
              <w:spacing w:after="0"/>
              <w:rPr>
                <w:sz w:val="20"/>
                <w:szCs w:val="20"/>
                <w:color w:val="auto"/>
              </w:rPr>
            </w:pPr>
            <w:r>
              <w:rPr>
                <w:rFonts w:ascii="Arial" w:cs="Arial" w:eastAsia="Arial" w:hAnsi="Arial"/>
                <w:sz w:val="13"/>
                <w:szCs w:val="13"/>
                <w:color w:val="auto"/>
                <w:w w:val="90"/>
              </w:rPr>
              <w:t>7404577</w:t>
            </w:r>
          </w:p>
        </w:tc>
        <w:tc>
          <w:tcPr>
            <w:tcW w:w="1200" w:type="dxa"/>
            <w:vAlign w:val="bottom"/>
          </w:tcPr>
          <w:p>
            <w:pPr>
              <w:spacing w:after="0"/>
              <w:rPr>
                <w:sz w:val="13"/>
                <w:szCs w:val="13"/>
                <w:color w:val="auto"/>
              </w:rPr>
            </w:pPr>
          </w:p>
        </w:tc>
        <w:tc>
          <w:tcPr>
            <w:tcW w:w="4720" w:type="dxa"/>
            <w:vAlign w:val="bottom"/>
          </w:tcPr>
          <w:p>
            <w:pPr>
              <w:ind w:left="680"/>
              <w:spacing w:after="0"/>
              <w:rPr>
                <w:sz w:val="20"/>
                <w:szCs w:val="20"/>
                <w:color w:val="auto"/>
              </w:rPr>
            </w:pPr>
            <w:r>
              <w:rPr>
                <w:rFonts w:ascii="Arial" w:cs="Arial" w:eastAsia="Arial" w:hAnsi="Arial"/>
                <w:sz w:val="13"/>
                <w:szCs w:val="13"/>
                <w:color w:val="auto"/>
              </w:rPr>
              <w:t>City of Chicago</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5,000.00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280" w:type="dxa"/>
            <w:vAlign w:val="bottom"/>
            <w:shd w:val="clear" w:color="auto" w:fill="CCEEFF"/>
          </w:tcPr>
          <w:p>
            <w:pPr>
              <w:ind w:left="800"/>
              <w:spacing w:after="0"/>
              <w:rPr>
                <w:sz w:val="20"/>
                <w:szCs w:val="20"/>
                <w:color w:val="auto"/>
              </w:rPr>
            </w:pPr>
            <w:r>
              <w:rPr>
                <w:rFonts w:ascii="Arial" w:cs="Arial" w:eastAsia="Arial" w:hAnsi="Arial"/>
                <w:sz w:val="13"/>
                <w:szCs w:val="13"/>
                <w:color w:val="auto"/>
                <w:w w:val="90"/>
              </w:rPr>
              <w:t>7404789</w:t>
            </w:r>
          </w:p>
        </w:tc>
        <w:tc>
          <w:tcPr>
            <w:tcW w:w="1200" w:type="dxa"/>
            <w:vAlign w:val="bottom"/>
            <w:shd w:val="clear" w:color="auto" w:fill="CCEEFF"/>
          </w:tcPr>
          <w:p>
            <w:pPr>
              <w:spacing w:after="0"/>
              <w:rPr>
                <w:sz w:val="13"/>
                <w:szCs w:val="13"/>
                <w:color w:val="auto"/>
              </w:rPr>
            </w:pPr>
          </w:p>
        </w:tc>
        <w:tc>
          <w:tcPr>
            <w:tcW w:w="47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U.S. Bank Trust N.A.</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15,070,000.00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ind w:left="800"/>
              <w:spacing w:after="0"/>
              <w:rPr>
                <w:sz w:val="20"/>
                <w:szCs w:val="20"/>
                <w:color w:val="auto"/>
              </w:rPr>
            </w:pPr>
            <w:r>
              <w:rPr>
                <w:rFonts w:ascii="Arial" w:cs="Arial" w:eastAsia="Arial" w:hAnsi="Arial"/>
                <w:sz w:val="13"/>
                <w:szCs w:val="13"/>
                <w:color w:val="auto"/>
                <w:w w:val="90"/>
              </w:rPr>
              <w:t>7412800</w:t>
            </w:r>
          </w:p>
        </w:tc>
        <w:tc>
          <w:tcPr>
            <w:tcW w:w="1200" w:type="dxa"/>
            <w:vAlign w:val="bottom"/>
          </w:tcPr>
          <w:p>
            <w:pPr>
              <w:spacing w:after="0"/>
              <w:rPr>
                <w:sz w:val="13"/>
                <w:szCs w:val="13"/>
                <w:color w:val="auto"/>
              </w:rPr>
            </w:pPr>
          </w:p>
        </w:tc>
        <w:tc>
          <w:tcPr>
            <w:tcW w:w="4720" w:type="dxa"/>
            <w:vAlign w:val="bottom"/>
          </w:tcPr>
          <w:p>
            <w:pPr>
              <w:ind w:left="680"/>
              <w:spacing w:after="0"/>
              <w:rPr>
                <w:sz w:val="20"/>
                <w:szCs w:val="20"/>
                <w:color w:val="auto"/>
              </w:rPr>
            </w:pPr>
            <w:r>
              <w:rPr>
                <w:rFonts w:ascii="Arial" w:cs="Arial" w:eastAsia="Arial" w:hAnsi="Arial"/>
                <w:sz w:val="13"/>
                <w:szCs w:val="13"/>
                <w:color w:val="auto"/>
              </w:rPr>
              <w:t>Deutsche Bank Trust Company</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w w:val="98"/>
              </w:rPr>
              <w:t>10,118,357.00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248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C7316467</w:t>
            </w:r>
          </w:p>
        </w:tc>
        <w:tc>
          <w:tcPr>
            <w:tcW w:w="47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City of Norco</w:t>
            </w:r>
          </w:p>
        </w:tc>
        <w:tc>
          <w:tcPr>
            <w:tcW w:w="14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15,000.00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w w:val="90"/>
              </w:rPr>
              <w:t>448,126,102.44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1760" w:type="dxa"/>
            <w:vAlign w:val="bottom"/>
          </w:tcPr>
          <w:p>
            <w:pPr>
              <w:spacing w:after="0"/>
              <w:rPr>
                <w:sz w:val="13"/>
                <w:szCs w:val="13"/>
                <w:color w:val="auto"/>
              </w:rPr>
            </w:pPr>
          </w:p>
        </w:tc>
        <w:tc>
          <w:tcPr>
            <w:tcW w:w="2480" w:type="dxa"/>
            <w:vAlign w:val="bottom"/>
            <w:gridSpan w:val="2"/>
          </w:tcPr>
          <w:p>
            <w:pPr>
              <w:spacing w:after="0"/>
              <w:rPr>
                <w:sz w:val="13"/>
                <w:szCs w:val="13"/>
                <w:color w:val="auto"/>
              </w:rPr>
            </w:pPr>
          </w:p>
        </w:tc>
        <w:tc>
          <w:tcPr>
            <w:tcW w:w="47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Bank of New York</w:t>
            </w:r>
          </w:p>
        </w:tc>
        <w:tc>
          <w:tcPr>
            <w:tcW w:w="248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S00055091</w:t>
            </w:r>
          </w:p>
        </w:tc>
        <w:tc>
          <w:tcPr>
            <w:tcW w:w="47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City of New York</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28,850,000.00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80" w:type="dxa"/>
            <w:vAlign w:val="bottom"/>
            <w:gridSpan w:val="2"/>
          </w:tcPr>
          <w:p>
            <w:pPr>
              <w:ind w:left="800"/>
              <w:spacing w:after="0"/>
              <w:rPr>
                <w:sz w:val="20"/>
                <w:szCs w:val="20"/>
                <w:color w:val="auto"/>
              </w:rPr>
            </w:pPr>
            <w:r>
              <w:rPr>
                <w:rFonts w:ascii="Arial" w:cs="Arial" w:eastAsia="Arial" w:hAnsi="Arial"/>
                <w:sz w:val="13"/>
                <w:szCs w:val="13"/>
                <w:color w:val="auto"/>
              </w:rPr>
              <w:t>S00055736</w:t>
            </w:r>
          </w:p>
        </w:tc>
        <w:tc>
          <w:tcPr>
            <w:tcW w:w="4720" w:type="dxa"/>
            <w:vAlign w:val="bottom"/>
          </w:tcPr>
          <w:p>
            <w:pPr>
              <w:ind w:left="680"/>
              <w:spacing w:after="0"/>
              <w:rPr>
                <w:sz w:val="20"/>
                <w:szCs w:val="20"/>
                <w:color w:val="auto"/>
              </w:rPr>
            </w:pPr>
            <w:r>
              <w:rPr>
                <w:rFonts w:ascii="Arial" w:cs="Arial" w:eastAsia="Arial" w:hAnsi="Arial"/>
                <w:sz w:val="13"/>
                <w:szCs w:val="13"/>
                <w:color w:val="auto"/>
              </w:rPr>
              <w:t>City of New York</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18,730,000.00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248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S00056987</w:t>
            </w:r>
          </w:p>
        </w:tc>
        <w:tc>
          <w:tcPr>
            <w:tcW w:w="47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Borough of Palmyra</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80" w:type="dxa"/>
            <w:vAlign w:val="bottom"/>
            <w:gridSpan w:val="2"/>
          </w:tcPr>
          <w:p>
            <w:pPr>
              <w:ind w:left="800"/>
              <w:spacing w:after="0"/>
              <w:rPr>
                <w:sz w:val="20"/>
                <w:szCs w:val="20"/>
                <w:color w:val="auto"/>
              </w:rPr>
            </w:pPr>
            <w:r>
              <w:rPr>
                <w:rFonts w:ascii="Arial" w:cs="Arial" w:eastAsia="Arial" w:hAnsi="Arial"/>
                <w:sz w:val="13"/>
                <w:szCs w:val="13"/>
                <w:color w:val="auto"/>
              </w:rPr>
              <w:t>S00056990</w:t>
            </w:r>
          </w:p>
        </w:tc>
        <w:tc>
          <w:tcPr>
            <w:tcW w:w="4720" w:type="dxa"/>
            <w:vAlign w:val="bottom"/>
          </w:tcPr>
          <w:p>
            <w:pPr>
              <w:ind w:left="680"/>
              <w:spacing w:after="0"/>
              <w:rPr>
                <w:sz w:val="20"/>
                <w:szCs w:val="20"/>
                <w:color w:val="auto"/>
              </w:rPr>
            </w:pPr>
            <w:r>
              <w:rPr>
                <w:rFonts w:ascii="Arial" w:cs="Arial" w:eastAsia="Arial" w:hAnsi="Arial"/>
                <w:sz w:val="13"/>
                <w:szCs w:val="13"/>
                <w:color w:val="auto"/>
              </w:rPr>
              <w:t>City of Pasadena</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10,000.00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248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S00057019</w:t>
            </w:r>
          </w:p>
        </w:tc>
        <w:tc>
          <w:tcPr>
            <w:tcW w:w="47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Plainfield Township</w:t>
            </w:r>
          </w:p>
        </w:tc>
        <w:tc>
          <w:tcPr>
            <w:tcW w:w="14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19,175.31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47,659,175.31</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BNP</w:t>
            </w:r>
          </w:p>
        </w:tc>
        <w:tc>
          <w:tcPr>
            <w:tcW w:w="1280" w:type="dxa"/>
            <w:vAlign w:val="bottom"/>
            <w:shd w:val="clear" w:color="auto" w:fill="CCEEFF"/>
          </w:tcPr>
          <w:p>
            <w:pPr>
              <w:ind w:left="800"/>
              <w:spacing w:after="0"/>
              <w:rPr>
                <w:sz w:val="20"/>
                <w:szCs w:val="20"/>
                <w:color w:val="auto"/>
              </w:rPr>
            </w:pPr>
            <w:r>
              <w:rPr>
                <w:rFonts w:ascii="Arial" w:cs="Arial" w:eastAsia="Arial" w:hAnsi="Arial"/>
                <w:sz w:val="13"/>
                <w:szCs w:val="13"/>
                <w:color w:val="auto"/>
                <w:w w:val="88"/>
              </w:rPr>
              <w:t>S401645</w:t>
            </w:r>
          </w:p>
        </w:tc>
        <w:tc>
          <w:tcPr>
            <w:tcW w:w="1200" w:type="dxa"/>
            <w:vAlign w:val="bottom"/>
            <w:shd w:val="clear" w:color="auto" w:fill="CCEEFF"/>
          </w:tcPr>
          <w:p>
            <w:pPr>
              <w:spacing w:after="0"/>
              <w:rPr>
                <w:sz w:val="13"/>
                <w:szCs w:val="13"/>
                <w:color w:val="auto"/>
              </w:rPr>
            </w:pPr>
          </w:p>
        </w:tc>
        <w:tc>
          <w:tcPr>
            <w:tcW w:w="47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City of Del Mar</w:t>
            </w: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100,000.00</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1760" w:type="dxa"/>
            <w:vAlign w:val="bottom"/>
          </w:tcPr>
          <w:p>
            <w:pPr>
              <w:spacing w:after="0"/>
              <w:rPr>
                <w:sz w:val="13"/>
                <w:szCs w:val="13"/>
                <w:color w:val="auto"/>
              </w:rPr>
            </w:pPr>
          </w:p>
        </w:tc>
        <w:tc>
          <w:tcPr>
            <w:tcW w:w="2480" w:type="dxa"/>
            <w:vAlign w:val="bottom"/>
            <w:gridSpan w:val="2"/>
          </w:tcPr>
          <w:p>
            <w:pPr>
              <w:spacing w:after="0"/>
              <w:rPr>
                <w:sz w:val="13"/>
                <w:szCs w:val="13"/>
                <w:color w:val="auto"/>
              </w:rPr>
            </w:pPr>
          </w:p>
        </w:tc>
        <w:tc>
          <w:tcPr>
            <w:tcW w:w="47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JP Morgan Chase</w:t>
            </w:r>
          </w:p>
        </w:tc>
        <w:tc>
          <w:tcPr>
            <w:tcW w:w="248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P010300 (867678)</w:t>
            </w:r>
          </w:p>
        </w:tc>
        <w:tc>
          <w:tcPr>
            <w:tcW w:w="47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The Bank of New York, as Trustee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5,793,498.00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ind w:left="800"/>
              <w:spacing w:after="0"/>
              <w:rPr>
                <w:sz w:val="20"/>
                <w:szCs w:val="20"/>
                <w:color w:val="auto"/>
              </w:rPr>
            </w:pPr>
            <w:r>
              <w:rPr>
                <w:rFonts w:ascii="Arial" w:cs="Arial" w:eastAsia="Arial" w:hAnsi="Arial"/>
                <w:sz w:val="13"/>
                <w:szCs w:val="13"/>
                <w:color w:val="auto"/>
                <w:w w:val="88"/>
              </w:rPr>
              <w:t>P010301</w:t>
            </w:r>
          </w:p>
        </w:tc>
        <w:tc>
          <w:tcPr>
            <w:tcW w:w="1200" w:type="dxa"/>
            <w:vAlign w:val="bottom"/>
          </w:tcPr>
          <w:p>
            <w:pPr>
              <w:ind w:left="20"/>
              <w:spacing w:after="0"/>
              <w:rPr>
                <w:sz w:val="20"/>
                <w:szCs w:val="20"/>
                <w:color w:val="auto"/>
              </w:rPr>
            </w:pPr>
            <w:r>
              <w:rPr>
                <w:rFonts w:ascii="Arial" w:cs="Arial" w:eastAsia="Arial" w:hAnsi="Arial"/>
                <w:sz w:val="13"/>
                <w:szCs w:val="13"/>
                <w:color w:val="auto"/>
              </w:rPr>
              <w:t>(867885)</w:t>
            </w:r>
          </w:p>
        </w:tc>
        <w:tc>
          <w:tcPr>
            <w:tcW w:w="4720" w:type="dxa"/>
            <w:vAlign w:val="bottom"/>
          </w:tcPr>
          <w:p>
            <w:pPr>
              <w:ind w:left="680"/>
              <w:spacing w:after="0"/>
              <w:rPr>
                <w:sz w:val="20"/>
                <w:szCs w:val="20"/>
                <w:color w:val="auto"/>
              </w:rPr>
            </w:pPr>
            <w:r>
              <w:rPr>
                <w:rFonts w:ascii="Arial" w:cs="Arial" w:eastAsia="Arial" w:hAnsi="Arial"/>
                <w:sz w:val="13"/>
                <w:szCs w:val="13"/>
                <w:color w:val="auto"/>
              </w:rPr>
              <w:t>The Bank of New York, as Trustee</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4,414,094.00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280" w:type="dxa"/>
            <w:vAlign w:val="bottom"/>
            <w:shd w:val="clear" w:color="auto" w:fill="CCEEFF"/>
          </w:tcPr>
          <w:p>
            <w:pPr>
              <w:ind w:left="800"/>
              <w:spacing w:after="0"/>
              <w:rPr>
                <w:sz w:val="20"/>
                <w:szCs w:val="20"/>
                <w:color w:val="auto"/>
              </w:rPr>
            </w:pPr>
            <w:r>
              <w:rPr>
                <w:rFonts w:ascii="Arial" w:cs="Arial" w:eastAsia="Arial" w:hAnsi="Arial"/>
                <w:sz w:val="13"/>
                <w:szCs w:val="13"/>
                <w:color w:val="auto"/>
                <w:w w:val="88"/>
              </w:rPr>
              <w:t>P010302</w:t>
            </w:r>
          </w:p>
        </w:tc>
        <w:tc>
          <w:tcPr>
            <w:tcW w:w="1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(867886)</w:t>
            </w:r>
          </w:p>
        </w:tc>
        <w:tc>
          <w:tcPr>
            <w:tcW w:w="47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The Bank of New York, as Trustee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20,323,221.00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ind w:left="800"/>
              <w:spacing w:after="0"/>
              <w:rPr>
                <w:sz w:val="20"/>
                <w:szCs w:val="20"/>
                <w:color w:val="auto"/>
              </w:rPr>
            </w:pPr>
            <w:r>
              <w:rPr>
                <w:rFonts w:ascii="Arial" w:cs="Arial" w:eastAsia="Arial" w:hAnsi="Arial"/>
                <w:sz w:val="13"/>
                <w:szCs w:val="13"/>
                <w:color w:val="auto"/>
                <w:w w:val="88"/>
              </w:rPr>
              <w:t>P224678</w:t>
            </w:r>
          </w:p>
        </w:tc>
        <w:tc>
          <w:tcPr>
            <w:tcW w:w="1200" w:type="dxa"/>
            <w:vAlign w:val="bottom"/>
          </w:tcPr>
          <w:p>
            <w:pPr>
              <w:ind w:left="20"/>
              <w:spacing w:after="0"/>
              <w:rPr>
                <w:sz w:val="20"/>
                <w:szCs w:val="20"/>
                <w:color w:val="auto"/>
              </w:rPr>
            </w:pPr>
            <w:r>
              <w:rPr>
                <w:rFonts w:ascii="Arial" w:cs="Arial" w:eastAsia="Arial" w:hAnsi="Arial"/>
                <w:sz w:val="13"/>
                <w:szCs w:val="13"/>
                <w:color w:val="auto"/>
              </w:rPr>
              <w:t>(I445690)</w:t>
            </w:r>
          </w:p>
        </w:tc>
        <w:tc>
          <w:tcPr>
            <w:tcW w:w="4720" w:type="dxa"/>
            <w:vAlign w:val="bottom"/>
          </w:tcPr>
          <w:p>
            <w:pPr>
              <w:ind w:left="680"/>
              <w:spacing w:after="0"/>
              <w:rPr>
                <w:sz w:val="20"/>
                <w:szCs w:val="20"/>
                <w:color w:val="auto"/>
              </w:rPr>
            </w:pPr>
            <w:r>
              <w:rPr>
                <w:rFonts w:ascii="Arial" w:cs="Arial" w:eastAsia="Arial" w:hAnsi="Arial"/>
                <w:sz w:val="13"/>
                <w:szCs w:val="13"/>
                <w:color w:val="auto"/>
              </w:rPr>
              <w:t>National Union Fire Ins Co</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99,400.00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280" w:type="dxa"/>
            <w:vAlign w:val="bottom"/>
            <w:shd w:val="clear" w:color="auto" w:fill="CCEEFF"/>
          </w:tcPr>
          <w:p>
            <w:pPr>
              <w:ind w:left="800"/>
              <w:spacing w:after="0"/>
              <w:rPr>
                <w:sz w:val="20"/>
                <w:szCs w:val="20"/>
                <w:color w:val="auto"/>
              </w:rPr>
            </w:pPr>
            <w:r>
              <w:rPr>
                <w:rFonts w:ascii="Arial" w:cs="Arial" w:eastAsia="Arial" w:hAnsi="Arial"/>
                <w:sz w:val="13"/>
                <w:szCs w:val="13"/>
                <w:color w:val="auto"/>
                <w:w w:val="88"/>
              </w:rPr>
              <w:t>P224680</w:t>
            </w:r>
          </w:p>
        </w:tc>
        <w:tc>
          <w:tcPr>
            <w:tcW w:w="1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(I455132)</w:t>
            </w:r>
          </w:p>
        </w:tc>
        <w:tc>
          <w:tcPr>
            <w:tcW w:w="47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National Union Fire Ins Co</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ind w:left="800"/>
              <w:spacing w:after="0"/>
              <w:rPr>
                <w:sz w:val="20"/>
                <w:szCs w:val="20"/>
                <w:color w:val="auto"/>
              </w:rPr>
            </w:pPr>
            <w:r>
              <w:rPr>
                <w:rFonts w:ascii="Arial" w:cs="Arial" w:eastAsia="Arial" w:hAnsi="Arial"/>
                <w:sz w:val="13"/>
                <w:szCs w:val="13"/>
                <w:color w:val="auto"/>
                <w:w w:val="88"/>
              </w:rPr>
              <w:t>P224681</w:t>
            </w:r>
          </w:p>
        </w:tc>
        <w:tc>
          <w:tcPr>
            <w:tcW w:w="1200" w:type="dxa"/>
            <w:vAlign w:val="bottom"/>
          </w:tcPr>
          <w:p>
            <w:pPr>
              <w:ind w:left="20"/>
              <w:spacing w:after="0"/>
              <w:rPr>
                <w:sz w:val="20"/>
                <w:szCs w:val="20"/>
                <w:color w:val="auto"/>
              </w:rPr>
            </w:pPr>
            <w:r>
              <w:rPr>
                <w:rFonts w:ascii="Arial" w:cs="Arial" w:eastAsia="Arial" w:hAnsi="Arial"/>
                <w:sz w:val="13"/>
                <w:szCs w:val="13"/>
                <w:color w:val="auto"/>
              </w:rPr>
              <w:t>(I459334)</w:t>
            </w:r>
          </w:p>
        </w:tc>
        <w:tc>
          <w:tcPr>
            <w:tcW w:w="4720" w:type="dxa"/>
            <w:vAlign w:val="bottom"/>
          </w:tcPr>
          <w:p>
            <w:pPr>
              <w:ind w:left="680"/>
              <w:spacing w:after="0"/>
              <w:rPr>
                <w:sz w:val="20"/>
                <w:szCs w:val="20"/>
                <w:color w:val="auto"/>
              </w:rPr>
            </w:pPr>
            <w:r>
              <w:rPr>
                <w:rFonts w:ascii="Arial" w:cs="Arial" w:eastAsia="Arial" w:hAnsi="Arial"/>
                <w:sz w:val="13"/>
                <w:szCs w:val="13"/>
                <w:color w:val="auto"/>
              </w:rPr>
              <w:t>National Union Fire Insurance Company</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1,911,666.00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280" w:type="dxa"/>
            <w:vAlign w:val="bottom"/>
            <w:shd w:val="clear" w:color="auto" w:fill="CCEEFF"/>
          </w:tcPr>
          <w:p>
            <w:pPr>
              <w:ind w:left="800"/>
              <w:spacing w:after="0"/>
              <w:rPr>
                <w:sz w:val="20"/>
                <w:szCs w:val="20"/>
                <w:color w:val="auto"/>
              </w:rPr>
            </w:pPr>
            <w:r>
              <w:rPr>
                <w:rFonts w:ascii="Arial" w:cs="Arial" w:eastAsia="Arial" w:hAnsi="Arial"/>
                <w:sz w:val="13"/>
                <w:szCs w:val="13"/>
                <w:color w:val="auto"/>
                <w:w w:val="88"/>
              </w:rPr>
              <w:t>P224694</w:t>
            </w:r>
          </w:p>
        </w:tc>
        <w:tc>
          <w:tcPr>
            <w:tcW w:w="1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(I449058)</w:t>
            </w:r>
          </w:p>
        </w:tc>
        <w:tc>
          <w:tcPr>
            <w:tcW w:w="47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California Regional Water Quality Control Board</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203,400.00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ind w:left="800"/>
              <w:spacing w:after="0"/>
              <w:rPr>
                <w:sz w:val="20"/>
                <w:szCs w:val="20"/>
                <w:color w:val="auto"/>
              </w:rPr>
            </w:pPr>
            <w:r>
              <w:rPr>
                <w:rFonts w:ascii="Arial" w:cs="Arial" w:eastAsia="Arial" w:hAnsi="Arial"/>
                <w:sz w:val="13"/>
                <w:szCs w:val="13"/>
                <w:color w:val="auto"/>
                <w:w w:val="88"/>
              </w:rPr>
              <w:t>P225252</w:t>
            </w:r>
          </w:p>
        </w:tc>
        <w:tc>
          <w:tcPr>
            <w:tcW w:w="1200" w:type="dxa"/>
            <w:vAlign w:val="bottom"/>
          </w:tcPr>
          <w:p>
            <w:pPr>
              <w:spacing w:after="0"/>
              <w:rPr>
                <w:sz w:val="13"/>
                <w:szCs w:val="13"/>
                <w:color w:val="auto"/>
              </w:rPr>
            </w:pPr>
          </w:p>
        </w:tc>
        <w:tc>
          <w:tcPr>
            <w:tcW w:w="4720" w:type="dxa"/>
            <w:vAlign w:val="bottom"/>
          </w:tcPr>
          <w:p>
            <w:pPr>
              <w:ind w:left="680"/>
              <w:spacing w:after="0"/>
              <w:rPr>
                <w:sz w:val="20"/>
                <w:szCs w:val="20"/>
                <w:color w:val="auto"/>
              </w:rPr>
            </w:pPr>
            <w:r>
              <w:rPr>
                <w:rFonts w:ascii="Arial" w:cs="Arial" w:eastAsia="Arial" w:hAnsi="Arial"/>
                <w:sz w:val="13"/>
                <w:szCs w:val="13"/>
                <w:color w:val="auto"/>
              </w:rPr>
              <w:t>Bank of New York</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20,279,452.06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280" w:type="dxa"/>
            <w:vAlign w:val="bottom"/>
            <w:shd w:val="clear" w:color="auto" w:fill="CCEEFF"/>
          </w:tcPr>
          <w:p>
            <w:pPr>
              <w:ind w:left="800"/>
              <w:spacing w:after="0"/>
              <w:rPr>
                <w:sz w:val="20"/>
                <w:szCs w:val="20"/>
                <w:color w:val="auto"/>
              </w:rPr>
            </w:pPr>
            <w:r>
              <w:rPr>
                <w:rFonts w:ascii="Arial" w:cs="Arial" w:eastAsia="Arial" w:hAnsi="Arial"/>
                <w:sz w:val="13"/>
                <w:szCs w:val="13"/>
                <w:color w:val="auto"/>
                <w:w w:val="88"/>
              </w:rPr>
              <w:t>P225809</w:t>
            </w:r>
          </w:p>
        </w:tc>
        <w:tc>
          <w:tcPr>
            <w:tcW w:w="1200" w:type="dxa"/>
            <w:vAlign w:val="bottom"/>
            <w:shd w:val="clear" w:color="auto" w:fill="CCEEFF"/>
          </w:tcPr>
          <w:p>
            <w:pPr>
              <w:spacing w:after="0"/>
              <w:rPr>
                <w:sz w:val="13"/>
                <w:szCs w:val="13"/>
                <w:color w:val="auto"/>
              </w:rPr>
            </w:pPr>
          </w:p>
        </w:tc>
        <w:tc>
          <w:tcPr>
            <w:tcW w:w="47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Bank of New York</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10,118,357.00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ind w:left="800"/>
              <w:spacing w:after="0"/>
              <w:rPr>
                <w:sz w:val="20"/>
                <w:szCs w:val="20"/>
                <w:color w:val="auto"/>
              </w:rPr>
            </w:pPr>
            <w:r>
              <w:rPr>
                <w:rFonts w:ascii="Arial" w:cs="Arial" w:eastAsia="Arial" w:hAnsi="Arial"/>
                <w:sz w:val="13"/>
                <w:szCs w:val="13"/>
                <w:color w:val="auto"/>
                <w:w w:val="88"/>
              </w:rPr>
              <w:t>P227887</w:t>
            </w:r>
          </w:p>
        </w:tc>
        <w:tc>
          <w:tcPr>
            <w:tcW w:w="1200" w:type="dxa"/>
            <w:vAlign w:val="bottom"/>
          </w:tcPr>
          <w:p>
            <w:pPr>
              <w:spacing w:after="0"/>
              <w:rPr>
                <w:sz w:val="13"/>
                <w:szCs w:val="13"/>
                <w:color w:val="auto"/>
              </w:rPr>
            </w:pPr>
          </w:p>
        </w:tc>
        <w:tc>
          <w:tcPr>
            <w:tcW w:w="4720" w:type="dxa"/>
            <w:vAlign w:val="bottom"/>
          </w:tcPr>
          <w:p>
            <w:pPr>
              <w:ind w:left="680"/>
              <w:spacing w:after="0"/>
              <w:rPr>
                <w:sz w:val="20"/>
                <w:szCs w:val="20"/>
                <w:color w:val="auto"/>
              </w:rPr>
            </w:pPr>
            <w:r>
              <w:rPr>
                <w:rFonts w:ascii="Arial" w:cs="Arial" w:eastAsia="Arial" w:hAnsi="Arial"/>
                <w:sz w:val="13"/>
                <w:szCs w:val="13"/>
                <w:color w:val="auto"/>
              </w:rPr>
              <w:t>Bank of New York</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20,236,713.00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280" w:type="dxa"/>
            <w:vAlign w:val="bottom"/>
            <w:shd w:val="clear" w:color="auto" w:fill="CCEEFF"/>
          </w:tcPr>
          <w:p>
            <w:pPr>
              <w:ind w:left="800"/>
              <w:spacing w:after="0"/>
              <w:rPr>
                <w:sz w:val="20"/>
                <w:szCs w:val="20"/>
                <w:color w:val="auto"/>
              </w:rPr>
            </w:pPr>
            <w:r>
              <w:rPr>
                <w:rFonts w:ascii="Arial" w:cs="Arial" w:eastAsia="Arial" w:hAnsi="Arial"/>
                <w:sz w:val="13"/>
                <w:szCs w:val="13"/>
                <w:color w:val="auto"/>
                <w:w w:val="88"/>
              </w:rPr>
              <w:t>P228576</w:t>
            </w:r>
          </w:p>
        </w:tc>
        <w:tc>
          <w:tcPr>
            <w:tcW w:w="1200" w:type="dxa"/>
            <w:vAlign w:val="bottom"/>
            <w:shd w:val="clear" w:color="auto" w:fill="CCEEFF"/>
          </w:tcPr>
          <w:p>
            <w:pPr>
              <w:spacing w:after="0"/>
              <w:rPr>
                <w:sz w:val="13"/>
                <w:szCs w:val="13"/>
                <w:color w:val="auto"/>
              </w:rPr>
            </w:pPr>
          </w:p>
        </w:tc>
        <w:tc>
          <w:tcPr>
            <w:tcW w:w="47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Bank of New York</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14,327,593.00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ind w:left="800"/>
              <w:spacing w:after="0"/>
              <w:rPr>
                <w:sz w:val="20"/>
                <w:szCs w:val="20"/>
                <w:color w:val="auto"/>
              </w:rPr>
            </w:pPr>
            <w:r>
              <w:rPr>
                <w:rFonts w:ascii="Arial" w:cs="Arial" w:eastAsia="Arial" w:hAnsi="Arial"/>
                <w:sz w:val="13"/>
                <w:szCs w:val="13"/>
                <w:color w:val="auto"/>
                <w:w w:val="88"/>
              </w:rPr>
              <w:t>P230274</w:t>
            </w:r>
          </w:p>
        </w:tc>
        <w:tc>
          <w:tcPr>
            <w:tcW w:w="1200" w:type="dxa"/>
            <w:vAlign w:val="bottom"/>
          </w:tcPr>
          <w:p>
            <w:pPr>
              <w:spacing w:after="0"/>
              <w:rPr>
                <w:sz w:val="13"/>
                <w:szCs w:val="13"/>
                <w:color w:val="auto"/>
              </w:rPr>
            </w:pPr>
          </w:p>
        </w:tc>
        <w:tc>
          <w:tcPr>
            <w:tcW w:w="4720" w:type="dxa"/>
            <w:vAlign w:val="bottom"/>
          </w:tcPr>
          <w:p>
            <w:pPr>
              <w:ind w:left="680"/>
              <w:spacing w:after="0"/>
              <w:rPr>
                <w:sz w:val="20"/>
                <w:szCs w:val="20"/>
                <w:color w:val="auto"/>
              </w:rPr>
            </w:pPr>
            <w:r>
              <w:rPr>
                <w:rFonts w:ascii="Arial" w:cs="Arial" w:eastAsia="Arial" w:hAnsi="Arial"/>
                <w:sz w:val="13"/>
                <w:szCs w:val="13"/>
                <w:color w:val="auto"/>
              </w:rPr>
              <w:t>Bank of New York</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w w:val="98"/>
              </w:rPr>
              <w:t>10,118,357.00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280" w:type="dxa"/>
            <w:vAlign w:val="bottom"/>
            <w:shd w:val="clear" w:color="auto" w:fill="CCEEFF"/>
          </w:tcPr>
          <w:p>
            <w:pPr>
              <w:ind w:left="800"/>
              <w:spacing w:after="0"/>
              <w:rPr>
                <w:sz w:val="20"/>
                <w:szCs w:val="20"/>
                <w:color w:val="auto"/>
              </w:rPr>
            </w:pPr>
            <w:r>
              <w:rPr>
                <w:rFonts w:ascii="Arial" w:cs="Arial" w:eastAsia="Arial" w:hAnsi="Arial"/>
                <w:sz w:val="13"/>
                <w:szCs w:val="13"/>
                <w:color w:val="auto"/>
                <w:w w:val="88"/>
              </w:rPr>
              <w:t>P230584</w:t>
            </w:r>
          </w:p>
        </w:tc>
        <w:tc>
          <w:tcPr>
            <w:tcW w:w="1200" w:type="dxa"/>
            <w:vAlign w:val="bottom"/>
            <w:shd w:val="clear" w:color="auto" w:fill="CCEEFF"/>
          </w:tcPr>
          <w:p>
            <w:pPr>
              <w:spacing w:after="0"/>
              <w:rPr>
                <w:sz w:val="13"/>
                <w:szCs w:val="13"/>
                <w:color w:val="auto"/>
              </w:rPr>
            </w:pPr>
          </w:p>
        </w:tc>
        <w:tc>
          <w:tcPr>
            <w:tcW w:w="47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Bank of New York</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20,236,713.00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ind w:left="800"/>
              <w:spacing w:after="0"/>
              <w:rPr>
                <w:sz w:val="20"/>
                <w:szCs w:val="20"/>
                <w:color w:val="auto"/>
              </w:rPr>
            </w:pPr>
            <w:r>
              <w:rPr>
                <w:rFonts w:ascii="Arial" w:cs="Arial" w:eastAsia="Arial" w:hAnsi="Arial"/>
                <w:sz w:val="13"/>
                <w:szCs w:val="13"/>
                <w:color w:val="auto"/>
                <w:w w:val="88"/>
              </w:rPr>
              <w:t>P231095</w:t>
            </w:r>
          </w:p>
        </w:tc>
        <w:tc>
          <w:tcPr>
            <w:tcW w:w="1200" w:type="dxa"/>
            <w:vAlign w:val="bottom"/>
          </w:tcPr>
          <w:p>
            <w:pPr>
              <w:spacing w:after="0"/>
              <w:rPr>
                <w:sz w:val="13"/>
                <w:szCs w:val="13"/>
                <w:color w:val="auto"/>
              </w:rPr>
            </w:pPr>
          </w:p>
        </w:tc>
        <w:tc>
          <w:tcPr>
            <w:tcW w:w="4720" w:type="dxa"/>
            <w:vAlign w:val="bottom"/>
          </w:tcPr>
          <w:p>
            <w:pPr>
              <w:ind w:left="680"/>
              <w:spacing w:after="0"/>
              <w:rPr>
                <w:sz w:val="20"/>
                <w:szCs w:val="20"/>
                <w:color w:val="auto"/>
              </w:rPr>
            </w:pPr>
            <w:r>
              <w:rPr>
                <w:rFonts w:ascii="Arial" w:cs="Arial" w:eastAsia="Arial" w:hAnsi="Arial"/>
                <w:sz w:val="13"/>
                <w:szCs w:val="13"/>
                <w:color w:val="auto"/>
              </w:rPr>
              <w:t>Deutsche Bank Trust Company</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14,165,699.00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280" w:type="dxa"/>
            <w:vAlign w:val="bottom"/>
            <w:shd w:val="clear" w:color="auto" w:fill="CCEEFF"/>
          </w:tcPr>
          <w:p>
            <w:pPr>
              <w:ind w:left="800"/>
              <w:spacing w:after="0"/>
              <w:rPr>
                <w:sz w:val="20"/>
                <w:szCs w:val="20"/>
                <w:color w:val="auto"/>
              </w:rPr>
            </w:pPr>
            <w:r>
              <w:rPr>
                <w:rFonts w:ascii="Arial" w:cs="Arial" w:eastAsia="Arial" w:hAnsi="Arial"/>
                <w:sz w:val="13"/>
                <w:szCs w:val="13"/>
                <w:color w:val="auto"/>
                <w:w w:val="88"/>
              </w:rPr>
              <w:t>P231096</w:t>
            </w:r>
          </w:p>
        </w:tc>
        <w:tc>
          <w:tcPr>
            <w:tcW w:w="1200" w:type="dxa"/>
            <w:vAlign w:val="bottom"/>
            <w:shd w:val="clear" w:color="auto" w:fill="CCEEFF"/>
          </w:tcPr>
          <w:p>
            <w:pPr>
              <w:spacing w:after="0"/>
              <w:rPr>
                <w:sz w:val="13"/>
                <w:szCs w:val="13"/>
                <w:color w:val="auto"/>
              </w:rPr>
            </w:pPr>
          </w:p>
        </w:tc>
        <w:tc>
          <w:tcPr>
            <w:tcW w:w="47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Deutsche Bank Trust Company</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25,295,891.00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ind w:left="800"/>
              <w:spacing w:after="0"/>
              <w:rPr>
                <w:sz w:val="20"/>
                <w:szCs w:val="20"/>
                <w:color w:val="auto"/>
              </w:rPr>
            </w:pPr>
            <w:r>
              <w:rPr>
                <w:rFonts w:ascii="Arial" w:cs="Arial" w:eastAsia="Arial" w:hAnsi="Arial"/>
                <w:sz w:val="13"/>
                <w:szCs w:val="13"/>
                <w:color w:val="auto"/>
                <w:w w:val="88"/>
              </w:rPr>
              <w:t>P231097</w:t>
            </w:r>
          </w:p>
        </w:tc>
        <w:tc>
          <w:tcPr>
            <w:tcW w:w="1200" w:type="dxa"/>
            <w:vAlign w:val="bottom"/>
          </w:tcPr>
          <w:p>
            <w:pPr>
              <w:spacing w:after="0"/>
              <w:rPr>
                <w:sz w:val="13"/>
                <w:szCs w:val="13"/>
                <w:color w:val="auto"/>
              </w:rPr>
            </w:pPr>
          </w:p>
        </w:tc>
        <w:tc>
          <w:tcPr>
            <w:tcW w:w="4720" w:type="dxa"/>
            <w:vAlign w:val="bottom"/>
          </w:tcPr>
          <w:p>
            <w:pPr>
              <w:ind w:left="680"/>
              <w:spacing w:after="0"/>
              <w:rPr>
                <w:sz w:val="20"/>
                <w:szCs w:val="20"/>
                <w:color w:val="auto"/>
              </w:rPr>
            </w:pPr>
            <w:r>
              <w:rPr>
                <w:rFonts w:ascii="Arial" w:cs="Arial" w:eastAsia="Arial" w:hAnsi="Arial"/>
                <w:sz w:val="13"/>
                <w:szCs w:val="13"/>
                <w:color w:val="auto"/>
              </w:rPr>
              <w:t>Deutsche Bank Trust Company</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4,755,628.00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280" w:type="dxa"/>
            <w:vAlign w:val="bottom"/>
            <w:shd w:val="clear" w:color="auto" w:fill="CCEEFF"/>
          </w:tcPr>
          <w:p>
            <w:pPr>
              <w:ind w:left="800"/>
              <w:spacing w:after="0"/>
              <w:rPr>
                <w:sz w:val="20"/>
                <w:szCs w:val="20"/>
                <w:color w:val="auto"/>
              </w:rPr>
            </w:pPr>
            <w:r>
              <w:rPr>
                <w:rFonts w:ascii="Arial" w:cs="Arial" w:eastAsia="Arial" w:hAnsi="Arial"/>
                <w:sz w:val="13"/>
                <w:szCs w:val="13"/>
                <w:color w:val="auto"/>
                <w:w w:val="88"/>
              </w:rPr>
              <w:t>P231098</w:t>
            </w:r>
          </w:p>
        </w:tc>
        <w:tc>
          <w:tcPr>
            <w:tcW w:w="1200" w:type="dxa"/>
            <w:vAlign w:val="bottom"/>
            <w:shd w:val="clear" w:color="auto" w:fill="CCEEFF"/>
          </w:tcPr>
          <w:p>
            <w:pPr>
              <w:spacing w:after="0"/>
              <w:rPr>
                <w:sz w:val="13"/>
                <w:szCs w:val="13"/>
                <w:color w:val="auto"/>
              </w:rPr>
            </w:pPr>
          </w:p>
        </w:tc>
        <w:tc>
          <w:tcPr>
            <w:tcW w:w="47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Deutsche Bank Trust Company</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20,236,713.00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ind w:left="800"/>
              <w:spacing w:after="0"/>
              <w:rPr>
                <w:sz w:val="20"/>
                <w:szCs w:val="20"/>
                <w:color w:val="auto"/>
              </w:rPr>
            </w:pPr>
            <w:r>
              <w:rPr>
                <w:rFonts w:ascii="Arial" w:cs="Arial" w:eastAsia="Arial" w:hAnsi="Arial"/>
                <w:sz w:val="13"/>
                <w:szCs w:val="13"/>
                <w:color w:val="auto"/>
                <w:w w:val="88"/>
              </w:rPr>
              <w:t>P232178</w:t>
            </w:r>
          </w:p>
        </w:tc>
        <w:tc>
          <w:tcPr>
            <w:tcW w:w="1200" w:type="dxa"/>
            <w:vAlign w:val="bottom"/>
          </w:tcPr>
          <w:p>
            <w:pPr>
              <w:spacing w:after="0"/>
              <w:rPr>
                <w:sz w:val="13"/>
                <w:szCs w:val="13"/>
                <w:color w:val="auto"/>
              </w:rPr>
            </w:pPr>
          </w:p>
        </w:tc>
        <w:tc>
          <w:tcPr>
            <w:tcW w:w="4720" w:type="dxa"/>
            <w:vAlign w:val="bottom"/>
          </w:tcPr>
          <w:p>
            <w:pPr>
              <w:ind w:left="680"/>
              <w:spacing w:after="0"/>
              <w:rPr>
                <w:sz w:val="20"/>
                <w:szCs w:val="20"/>
                <w:color w:val="auto"/>
              </w:rPr>
            </w:pPr>
            <w:r>
              <w:rPr>
                <w:rFonts w:ascii="Arial" w:cs="Arial" w:eastAsia="Arial" w:hAnsi="Arial"/>
                <w:sz w:val="13"/>
                <w:szCs w:val="13"/>
                <w:color w:val="auto"/>
              </w:rPr>
              <w:t>Bank of New York</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25,295,891.00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280" w:type="dxa"/>
            <w:vAlign w:val="bottom"/>
            <w:shd w:val="clear" w:color="auto" w:fill="CCEEFF"/>
          </w:tcPr>
          <w:p>
            <w:pPr>
              <w:ind w:left="800"/>
              <w:spacing w:after="0"/>
              <w:rPr>
                <w:sz w:val="20"/>
                <w:szCs w:val="20"/>
                <w:color w:val="auto"/>
              </w:rPr>
            </w:pPr>
            <w:r>
              <w:rPr>
                <w:rFonts w:ascii="Arial" w:cs="Arial" w:eastAsia="Arial" w:hAnsi="Arial"/>
                <w:sz w:val="13"/>
                <w:szCs w:val="13"/>
                <w:color w:val="auto"/>
                <w:w w:val="88"/>
              </w:rPr>
              <w:t>P247295</w:t>
            </w:r>
          </w:p>
        </w:tc>
        <w:tc>
          <w:tcPr>
            <w:tcW w:w="1200" w:type="dxa"/>
            <w:vAlign w:val="bottom"/>
            <w:shd w:val="clear" w:color="auto" w:fill="CCEEFF"/>
          </w:tcPr>
          <w:p>
            <w:pPr>
              <w:spacing w:after="0"/>
              <w:rPr>
                <w:sz w:val="13"/>
                <w:szCs w:val="13"/>
                <w:color w:val="auto"/>
              </w:rPr>
            </w:pPr>
          </w:p>
        </w:tc>
        <w:tc>
          <w:tcPr>
            <w:tcW w:w="47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Deutsche Bank Trust Company</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35,414,247.00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80" w:type="dxa"/>
            <w:vAlign w:val="bottom"/>
            <w:gridSpan w:val="2"/>
          </w:tcPr>
          <w:p>
            <w:pPr>
              <w:ind w:left="800"/>
              <w:spacing w:after="0"/>
              <w:rPr>
                <w:sz w:val="20"/>
                <w:szCs w:val="20"/>
                <w:color w:val="auto"/>
              </w:rPr>
            </w:pPr>
            <w:r>
              <w:rPr>
                <w:rFonts w:ascii="Arial" w:cs="Arial" w:eastAsia="Arial" w:hAnsi="Arial"/>
                <w:sz w:val="13"/>
                <w:szCs w:val="13"/>
                <w:color w:val="auto"/>
              </w:rPr>
              <w:t>SLT343889</w:t>
            </w:r>
          </w:p>
        </w:tc>
        <w:tc>
          <w:tcPr>
            <w:tcW w:w="4720" w:type="dxa"/>
            <w:vAlign w:val="bottom"/>
          </w:tcPr>
          <w:p>
            <w:pPr>
              <w:ind w:left="680"/>
              <w:spacing w:after="0"/>
              <w:rPr>
                <w:sz w:val="20"/>
                <w:szCs w:val="20"/>
                <w:color w:val="auto"/>
              </w:rPr>
            </w:pPr>
            <w:r>
              <w:rPr>
                <w:rFonts w:ascii="Arial" w:cs="Arial" w:eastAsia="Arial" w:hAnsi="Arial"/>
                <w:sz w:val="13"/>
                <w:szCs w:val="13"/>
                <w:color w:val="auto"/>
              </w:rPr>
              <w:t>Pennsylvania DEP</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516,696.00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248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TFTS821440</w:t>
            </w:r>
          </w:p>
        </w:tc>
        <w:tc>
          <w:tcPr>
            <w:tcW w:w="47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Nevada Power Company</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246,000.00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80" w:type="dxa"/>
            <w:vAlign w:val="bottom"/>
            <w:gridSpan w:val="2"/>
          </w:tcPr>
          <w:p>
            <w:pPr>
              <w:ind w:left="800"/>
              <w:spacing w:after="0"/>
              <w:rPr>
                <w:sz w:val="20"/>
                <w:szCs w:val="20"/>
                <w:color w:val="auto"/>
              </w:rPr>
            </w:pPr>
            <w:r>
              <w:rPr>
                <w:rFonts w:ascii="Arial" w:cs="Arial" w:eastAsia="Arial" w:hAnsi="Arial"/>
                <w:sz w:val="13"/>
                <w:szCs w:val="13"/>
                <w:color w:val="auto"/>
              </w:rPr>
              <w:t>TFTS834091</w:t>
            </w:r>
          </w:p>
        </w:tc>
        <w:tc>
          <w:tcPr>
            <w:tcW w:w="4720" w:type="dxa"/>
            <w:vAlign w:val="bottom"/>
          </w:tcPr>
          <w:p>
            <w:pPr>
              <w:ind w:left="680"/>
              <w:spacing w:after="0"/>
              <w:rPr>
                <w:sz w:val="20"/>
                <w:szCs w:val="20"/>
                <w:color w:val="auto"/>
              </w:rPr>
            </w:pPr>
            <w:r>
              <w:rPr>
                <w:rFonts w:ascii="Arial" w:cs="Arial" w:eastAsia="Arial" w:hAnsi="Arial"/>
                <w:sz w:val="13"/>
                <w:szCs w:val="13"/>
                <w:color w:val="auto"/>
              </w:rPr>
              <w:t>Southeastern Public Service Authority of Virginia</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5,000,000.00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80" w:type="dxa"/>
            <w:vAlign w:val="bottom"/>
            <w:gridSpan w:val="2"/>
          </w:tcPr>
          <w:p>
            <w:pPr>
              <w:spacing w:after="0"/>
              <w:rPr>
                <w:sz w:val="13"/>
                <w:szCs w:val="13"/>
                <w:color w:val="auto"/>
              </w:rPr>
            </w:pPr>
          </w:p>
        </w:tc>
        <w:tc>
          <w:tcPr>
            <w:tcW w:w="47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248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TFTS838883</w:t>
            </w:r>
          </w:p>
        </w:tc>
        <w:tc>
          <w:tcPr>
            <w:tcW w:w="47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Southeastern Public Service Authority of Virginia</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80" w:type="dxa"/>
            <w:vAlign w:val="bottom"/>
            <w:gridSpan w:val="2"/>
          </w:tcPr>
          <w:p>
            <w:pPr>
              <w:ind w:left="800"/>
              <w:spacing w:after="0"/>
              <w:rPr>
                <w:sz w:val="20"/>
                <w:szCs w:val="20"/>
                <w:color w:val="auto"/>
              </w:rPr>
            </w:pPr>
            <w:r>
              <w:rPr>
                <w:rFonts w:ascii="Arial" w:cs="Arial" w:eastAsia="Arial" w:hAnsi="Arial"/>
                <w:sz w:val="13"/>
                <w:szCs w:val="13"/>
                <w:color w:val="auto"/>
              </w:rPr>
              <w:t>TFTS841563</w:t>
            </w:r>
          </w:p>
        </w:tc>
        <w:tc>
          <w:tcPr>
            <w:tcW w:w="4720" w:type="dxa"/>
            <w:vAlign w:val="bottom"/>
          </w:tcPr>
          <w:p>
            <w:pPr>
              <w:ind w:left="680"/>
              <w:spacing w:after="0"/>
              <w:rPr>
                <w:sz w:val="20"/>
                <w:szCs w:val="20"/>
                <w:color w:val="auto"/>
              </w:rPr>
            </w:pPr>
            <w:r>
              <w:rPr>
                <w:rFonts w:ascii="Arial" w:cs="Arial" w:eastAsia="Arial" w:hAnsi="Arial"/>
                <w:sz w:val="13"/>
                <w:szCs w:val="13"/>
                <w:color w:val="auto"/>
              </w:rPr>
              <w:t>City of La Habra</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248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TPTS265736</w:t>
            </w:r>
          </w:p>
        </w:tc>
        <w:tc>
          <w:tcPr>
            <w:tcW w:w="47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Bank of New York</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20,230,137.00</w:t>
            </w: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80" w:type="dxa"/>
            <w:vAlign w:val="bottom"/>
            <w:gridSpan w:val="2"/>
          </w:tcPr>
          <w:p>
            <w:pPr>
              <w:ind w:left="800"/>
              <w:spacing w:after="0"/>
              <w:rPr>
                <w:sz w:val="20"/>
                <w:szCs w:val="20"/>
                <w:color w:val="auto"/>
              </w:rPr>
            </w:pPr>
            <w:r>
              <w:rPr>
                <w:rFonts w:ascii="Arial" w:cs="Arial" w:eastAsia="Arial" w:hAnsi="Arial"/>
                <w:sz w:val="13"/>
                <w:szCs w:val="13"/>
                <w:color w:val="auto"/>
              </w:rPr>
              <w:t>TPTS734296</w:t>
            </w:r>
          </w:p>
        </w:tc>
        <w:tc>
          <w:tcPr>
            <w:tcW w:w="4720" w:type="dxa"/>
            <w:vAlign w:val="bottom"/>
          </w:tcPr>
          <w:p>
            <w:pPr>
              <w:ind w:left="680"/>
              <w:spacing w:after="0"/>
              <w:rPr>
                <w:sz w:val="20"/>
                <w:szCs w:val="20"/>
                <w:color w:val="auto"/>
              </w:rPr>
            </w:pPr>
            <w:r>
              <w:rPr>
                <w:rFonts w:ascii="Arial" w:cs="Arial" w:eastAsia="Arial" w:hAnsi="Arial"/>
                <w:sz w:val="13"/>
                <w:szCs w:val="13"/>
                <w:color w:val="auto"/>
              </w:rPr>
              <w:t>Southeastern Public Service Authority</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5,000,000.00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248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TPTS747619</w:t>
            </w:r>
          </w:p>
        </w:tc>
        <w:tc>
          <w:tcPr>
            <w:tcW w:w="47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City of Ann Arbor</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250,000.00</w:t>
            </w: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472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4" w:right="219" w:bottom="1440" w:gutter="0" w:footer="0" w:header="0"/>
        </w:sectPr>
      </w:pPr>
    </w:p>
    <w:bookmarkStart w:id="238" w:name="page239"/>
    <w:bookmarkEnd w:id="238"/>
    <w:tbl>
      <w:tblPr>
        <w:tblLayout w:type="fixed"/>
        <w:tblInd w:w="0" w:type="dxa"/>
        <w:tblCellMar>
          <w:top w:w="0" w:type="dxa"/>
          <w:left w:w="0" w:type="dxa"/>
          <w:bottom w:w="0" w:type="dxa"/>
          <w:right w:w="0" w:type="dxa"/>
        </w:tblCellMar>
      </w:tblPr>
      <w:tr>
        <w:trPr>
          <w:trHeight w:val="121"/>
        </w:trPr>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Guarantor</w:t>
            </w:r>
          </w:p>
        </w:tc>
        <w:tc>
          <w:tcPr>
            <w:tcW w:w="2500" w:type="dxa"/>
            <w:vAlign w:val="bottom"/>
            <w:tcBorders>
              <w:bottom w:val="single" w:sz="8" w:color="auto"/>
            </w:tcBorders>
          </w:tcPr>
          <w:p>
            <w:pPr>
              <w:ind w:left="700"/>
              <w:spacing w:after="0"/>
              <w:rPr>
                <w:sz w:val="20"/>
                <w:szCs w:val="20"/>
                <w:color w:val="auto"/>
              </w:rPr>
            </w:pPr>
            <w:r>
              <w:rPr>
                <w:rFonts w:ascii="Arial" w:cs="Arial" w:eastAsia="Arial" w:hAnsi="Arial"/>
                <w:sz w:val="10"/>
                <w:szCs w:val="10"/>
                <w:color w:val="auto"/>
              </w:rPr>
              <w:t>LOC Number</w:t>
            </w:r>
          </w:p>
        </w:tc>
        <w:tc>
          <w:tcPr>
            <w:tcW w:w="5320" w:type="dxa"/>
            <w:vAlign w:val="bottom"/>
            <w:tcBorders>
              <w:bottom w:val="single" w:sz="8" w:color="auto"/>
            </w:tcBorders>
          </w:tcPr>
          <w:p>
            <w:pPr>
              <w:ind w:left="560"/>
              <w:spacing w:after="0"/>
              <w:rPr>
                <w:sz w:val="20"/>
                <w:szCs w:val="20"/>
                <w:color w:val="auto"/>
              </w:rPr>
            </w:pPr>
            <w:r>
              <w:rPr>
                <w:rFonts w:ascii="Arial" w:cs="Arial" w:eastAsia="Arial" w:hAnsi="Arial"/>
                <w:sz w:val="10"/>
                <w:szCs w:val="10"/>
                <w:color w:val="auto"/>
              </w:rPr>
              <w:t>Beneficiary</w:t>
            </w: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color w:val="auto"/>
              </w:rPr>
              <w:t>Amount</w:t>
            </w:r>
          </w:p>
        </w:tc>
      </w:tr>
      <w:tr>
        <w:trPr>
          <w:trHeight w:val="157"/>
        </w:trPr>
        <w:tc>
          <w:tcPr>
            <w:tcW w:w="1880" w:type="dxa"/>
            <w:vAlign w:val="bottom"/>
          </w:tcPr>
          <w:p>
            <w:pPr>
              <w:spacing w:after="0"/>
              <w:rPr>
                <w:sz w:val="13"/>
                <w:szCs w:val="13"/>
                <w:color w:val="auto"/>
              </w:rPr>
            </w:pPr>
          </w:p>
        </w:tc>
        <w:tc>
          <w:tcPr>
            <w:tcW w:w="2500" w:type="dxa"/>
            <w:vAlign w:val="bottom"/>
          </w:tcPr>
          <w:p>
            <w:pPr>
              <w:ind w:left="700"/>
              <w:spacing w:after="0"/>
              <w:rPr>
                <w:sz w:val="20"/>
                <w:szCs w:val="20"/>
                <w:color w:val="auto"/>
              </w:rPr>
            </w:pPr>
            <w:r>
              <w:rPr>
                <w:rFonts w:ascii="Arial" w:cs="Arial" w:eastAsia="Arial" w:hAnsi="Arial"/>
                <w:sz w:val="13"/>
                <w:szCs w:val="13"/>
                <w:color w:val="auto"/>
              </w:rPr>
              <w:t>TPTS761990</w:t>
            </w:r>
          </w:p>
        </w:tc>
        <w:tc>
          <w:tcPr>
            <w:tcW w:w="5320" w:type="dxa"/>
            <w:vAlign w:val="bottom"/>
          </w:tcPr>
          <w:p>
            <w:pPr>
              <w:ind w:left="560"/>
              <w:spacing w:after="0"/>
              <w:rPr>
                <w:sz w:val="20"/>
                <w:szCs w:val="20"/>
                <w:color w:val="auto"/>
              </w:rPr>
            </w:pPr>
            <w:r>
              <w:rPr>
                <w:rFonts w:ascii="Arial" w:cs="Arial" w:eastAsia="Arial" w:hAnsi="Arial"/>
                <w:sz w:val="13"/>
                <w:szCs w:val="13"/>
                <w:color w:val="auto"/>
              </w:rPr>
              <w:t>Sutton Brook Disposal Area Superfund Site Group Settlement Account Trust</w:t>
            </w:r>
          </w:p>
        </w:tc>
        <w:tc>
          <w:tcPr>
            <w:tcW w:w="7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3,360,104.00</w:t>
            </w:r>
          </w:p>
        </w:tc>
        <w:tc>
          <w:tcPr>
            <w:tcW w:w="100" w:type="dxa"/>
            <w:vAlign w:val="bottom"/>
          </w:tcPr>
          <w:p>
            <w:pPr>
              <w:spacing w:after="0"/>
              <w:rPr>
                <w:sz w:val="13"/>
                <w:szCs w:val="13"/>
                <w:color w:val="auto"/>
              </w:rPr>
            </w:pPr>
          </w:p>
        </w:tc>
      </w:tr>
      <w:tr>
        <w:trPr>
          <w:trHeight w:val="157"/>
        </w:trPr>
        <w:tc>
          <w:tcPr>
            <w:tcW w:w="188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53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293,829,470.06</w:t>
            </w:r>
          </w:p>
        </w:tc>
        <w:tc>
          <w:tcPr>
            <w:tcW w:w="100" w:type="dxa"/>
            <w:vAlign w:val="bottom"/>
            <w:shd w:val="clear" w:color="auto" w:fill="CCEEFF"/>
          </w:tcPr>
          <w:p>
            <w:pPr>
              <w:spacing w:after="0"/>
              <w:rPr>
                <w:sz w:val="13"/>
                <w:szCs w:val="13"/>
                <w:color w:val="auto"/>
              </w:rPr>
            </w:pPr>
          </w:p>
        </w:tc>
      </w:tr>
      <w:tr>
        <w:trPr>
          <w:trHeight w:val="313"/>
        </w:trPr>
        <w:tc>
          <w:tcPr>
            <w:tcW w:w="1880" w:type="dxa"/>
            <w:vAlign w:val="bottom"/>
          </w:tcPr>
          <w:p>
            <w:pPr>
              <w:spacing w:after="0"/>
              <w:rPr>
                <w:sz w:val="20"/>
                <w:szCs w:val="20"/>
                <w:color w:val="auto"/>
              </w:rPr>
            </w:pPr>
            <w:r>
              <w:rPr>
                <w:rFonts w:ascii="Arial" w:cs="Arial" w:eastAsia="Arial" w:hAnsi="Arial"/>
                <w:sz w:val="13"/>
                <w:szCs w:val="13"/>
                <w:color w:val="auto"/>
              </w:rPr>
              <w:t>PNC</w:t>
            </w:r>
          </w:p>
        </w:tc>
        <w:tc>
          <w:tcPr>
            <w:tcW w:w="2500" w:type="dxa"/>
            <w:vAlign w:val="bottom"/>
          </w:tcPr>
          <w:p>
            <w:pPr>
              <w:ind w:left="700"/>
              <w:spacing w:after="0"/>
              <w:rPr>
                <w:sz w:val="20"/>
                <w:szCs w:val="20"/>
                <w:color w:val="auto"/>
              </w:rPr>
            </w:pPr>
            <w:r>
              <w:rPr>
                <w:rFonts w:ascii="Arial" w:cs="Arial" w:eastAsia="Arial" w:hAnsi="Arial"/>
                <w:sz w:val="13"/>
                <w:szCs w:val="13"/>
                <w:color w:val="auto"/>
              </w:rPr>
              <w:t>18101779</w:t>
            </w:r>
          </w:p>
        </w:tc>
        <w:tc>
          <w:tcPr>
            <w:tcW w:w="5320" w:type="dxa"/>
            <w:vAlign w:val="bottom"/>
          </w:tcPr>
          <w:p>
            <w:pPr>
              <w:ind w:left="560"/>
              <w:spacing w:after="0"/>
              <w:rPr>
                <w:sz w:val="20"/>
                <w:szCs w:val="20"/>
                <w:color w:val="auto"/>
              </w:rPr>
            </w:pPr>
            <w:r>
              <w:rPr>
                <w:rFonts w:ascii="Arial" w:cs="Arial" w:eastAsia="Arial" w:hAnsi="Arial"/>
                <w:sz w:val="13"/>
                <w:szCs w:val="13"/>
                <w:color w:val="auto"/>
              </w:rPr>
              <w:t>Wisconsin DNR</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20,813,462.00</w:t>
            </w:r>
          </w:p>
        </w:tc>
      </w:tr>
      <w:tr>
        <w:trPr>
          <w:trHeight w:val="159"/>
        </w:trPr>
        <w:tc>
          <w:tcPr>
            <w:tcW w:w="1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1880" w:type="dxa"/>
            <w:vAlign w:val="bottom"/>
            <w:shd w:val="clear" w:color="auto" w:fill="CCEEFF"/>
          </w:tcPr>
          <w:p>
            <w:pPr>
              <w:spacing w:after="0"/>
              <w:rPr>
                <w:sz w:val="13"/>
                <w:szCs w:val="13"/>
                <w:color w:val="auto"/>
              </w:rPr>
            </w:pPr>
          </w:p>
        </w:tc>
        <w:tc>
          <w:tcPr>
            <w:tcW w:w="2500" w:type="dxa"/>
            <w:vAlign w:val="bottom"/>
            <w:shd w:val="clear" w:color="auto" w:fill="CCEEFF"/>
          </w:tcPr>
          <w:p>
            <w:pPr>
              <w:ind w:left="700"/>
              <w:spacing w:after="0"/>
              <w:rPr>
                <w:sz w:val="20"/>
                <w:szCs w:val="20"/>
                <w:color w:val="auto"/>
              </w:rPr>
            </w:pPr>
            <w:r>
              <w:rPr>
                <w:rFonts w:ascii="Arial" w:cs="Arial" w:eastAsia="Arial" w:hAnsi="Arial"/>
                <w:sz w:val="13"/>
                <w:szCs w:val="13"/>
                <w:color w:val="auto"/>
              </w:rPr>
              <w:t>18102509</w:t>
            </w:r>
          </w:p>
        </w:tc>
        <w:tc>
          <w:tcPr>
            <w:tcW w:w="5320" w:type="dxa"/>
            <w:vAlign w:val="bottom"/>
            <w:shd w:val="clear" w:color="auto" w:fill="CCEEFF"/>
          </w:tcPr>
          <w:p>
            <w:pPr>
              <w:ind w:left="560"/>
              <w:spacing w:after="0"/>
              <w:rPr>
                <w:sz w:val="20"/>
                <w:szCs w:val="20"/>
                <w:color w:val="auto"/>
              </w:rPr>
            </w:pPr>
            <w:r>
              <w:rPr>
                <w:rFonts w:ascii="Arial" w:cs="Arial" w:eastAsia="Arial" w:hAnsi="Arial"/>
                <w:sz w:val="13"/>
                <w:szCs w:val="13"/>
                <w:color w:val="auto"/>
              </w:rPr>
              <w:t>Alabama DEM and/or EPA Region IV Regional Administrator</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35,501,038.00</w:t>
            </w:r>
          </w:p>
        </w:tc>
      </w:tr>
      <w:tr>
        <w:trPr>
          <w:trHeight w:val="165"/>
        </w:trPr>
        <w:tc>
          <w:tcPr>
            <w:tcW w:w="1880" w:type="dxa"/>
            <w:vAlign w:val="bottom"/>
          </w:tcPr>
          <w:p>
            <w:pPr>
              <w:spacing w:after="0"/>
              <w:rPr>
                <w:sz w:val="14"/>
                <w:szCs w:val="14"/>
                <w:color w:val="auto"/>
              </w:rPr>
            </w:pPr>
          </w:p>
        </w:tc>
        <w:tc>
          <w:tcPr>
            <w:tcW w:w="2500" w:type="dxa"/>
            <w:vAlign w:val="bottom"/>
          </w:tcPr>
          <w:p>
            <w:pPr>
              <w:ind w:left="700"/>
              <w:spacing w:after="0"/>
              <w:rPr>
                <w:sz w:val="20"/>
                <w:szCs w:val="20"/>
                <w:color w:val="auto"/>
              </w:rPr>
            </w:pPr>
            <w:r>
              <w:rPr>
                <w:rFonts w:ascii="Arial" w:cs="Arial" w:eastAsia="Arial" w:hAnsi="Arial"/>
                <w:sz w:val="13"/>
                <w:szCs w:val="13"/>
                <w:color w:val="auto"/>
              </w:rPr>
              <w:t>18102759</w:t>
            </w:r>
          </w:p>
        </w:tc>
        <w:tc>
          <w:tcPr>
            <w:tcW w:w="5320" w:type="dxa"/>
            <w:vAlign w:val="bottom"/>
          </w:tcPr>
          <w:p>
            <w:pPr>
              <w:ind w:left="560"/>
              <w:spacing w:after="0"/>
              <w:rPr>
                <w:sz w:val="20"/>
                <w:szCs w:val="20"/>
                <w:color w:val="auto"/>
              </w:rPr>
            </w:pPr>
            <w:r>
              <w:rPr>
                <w:rFonts w:ascii="Arial" w:cs="Arial" w:eastAsia="Arial" w:hAnsi="Arial"/>
                <w:sz w:val="13"/>
                <w:szCs w:val="13"/>
                <w:color w:val="auto"/>
              </w:rPr>
              <w:t>ACE Insurance Company</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53,600,000.00</w:t>
            </w:r>
          </w:p>
        </w:tc>
      </w:tr>
      <w:tr>
        <w:trPr>
          <w:trHeight w:val="150"/>
        </w:trPr>
        <w:tc>
          <w:tcPr>
            <w:tcW w:w="1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1880" w:type="dxa"/>
            <w:vAlign w:val="bottom"/>
            <w:shd w:val="clear" w:color="auto" w:fill="CCEEFF"/>
          </w:tcPr>
          <w:p>
            <w:pPr>
              <w:spacing w:after="0"/>
              <w:rPr>
                <w:sz w:val="13"/>
                <w:szCs w:val="13"/>
                <w:color w:val="auto"/>
              </w:rPr>
            </w:pPr>
          </w:p>
        </w:tc>
        <w:tc>
          <w:tcPr>
            <w:tcW w:w="2500" w:type="dxa"/>
            <w:vAlign w:val="bottom"/>
            <w:shd w:val="clear" w:color="auto" w:fill="CCEEFF"/>
          </w:tcPr>
          <w:p>
            <w:pPr>
              <w:ind w:left="700"/>
              <w:spacing w:after="0"/>
              <w:rPr>
                <w:sz w:val="20"/>
                <w:szCs w:val="20"/>
                <w:color w:val="auto"/>
              </w:rPr>
            </w:pPr>
            <w:r>
              <w:rPr>
                <w:rFonts w:ascii="Arial" w:cs="Arial" w:eastAsia="Arial" w:hAnsi="Arial"/>
                <w:sz w:val="13"/>
                <w:szCs w:val="13"/>
                <w:color w:val="auto"/>
              </w:rPr>
              <w:t>18102837</w:t>
            </w:r>
          </w:p>
        </w:tc>
        <w:tc>
          <w:tcPr>
            <w:tcW w:w="5320" w:type="dxa"/>
            <w:vAlign w:val="bottom"/>
            <w:shd w:val="clear" w:color="auto" w:fill="CCEEFF"/>
          </w:tcPr>
          <w:p>
            <w:pPr>
              <w:ind w:left="560"/>
              <w:spacing w:after="0"/>
              <w:rPr>
                <w:sz w:val="20"/>
                <w:szCs w:val="20"/>
                <w:color w:val="auto"/>
              </w:rPr>
            </w:pPr>
            <w:r>
              <w:rPr>
                <w:rFonts w:ascii="Arial" w:cs="Arial" w:eastAsia="Arial" w:hAnsi="Arial"/>
                <w:sz w:val="13"/>
                <w:szCs w:val="13"/>
                <w:color w:val="auto"/>
              </w:rPr>
              <w:t>Cumberland Improvement Authority</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400,000.00</w:t>
            </w:r>
          </w:p>
        </w:tc>
      </w:tr>
      <w:tr>
        <w:trPr>
          <w:trHeight w:val="165"/>
        </w:trPr>
        <w:tc>
          <w:tcPr>
            <w:tcW w:w="1880" w:type="dxa"/>
            <w:vAlign w:val="bottom"/>
          </w:tcPr>
          <w:p>
            <w:pPr>
              <w:spacing w:after="0"/>
              <w:rPr>
                <w:sz w:val="14"/>
                <w:szCs w:val="14"/>
                <w:color w:val="auto"/>
              </w:rPr>
            </w:pPr>
          </w:p>
        </w:tc>
        <w:tc>
          <w:tcPr>
            <w:tcW w:w="2500" w:type="dxa"/>
            <w:vAlign w:val="bottom"/>
          </w:tcPr>
          <w:p>
            <w:pPr>
              <w:ind w:left="700"/>
              <w:spacing w:after="0"/>
              <w:rPr>
                <w:sz w:val="20"/>
                <w:szCs w:val="20"/>
                <w:color w:val="auto"/>
              </w:rPr>
            </w:pPr>
            <w:r>
              <w:rPr>
                <w:rFonts w:ascii="Arial" w:cs="Arial" w:eastAsia="Arial" w:hAnsi="Arial"/>
                <w:sz w:val="13"/>
                <w:szCs w:val="13"/>
                <w:color w:val="auto"/>
              </w:rPr>
              <w:t>18103139</w:t>
            </w:r>
          </w:p>
        </w:tc>
        <w:tc>
          <w:tcPr>
            <w:tcW w:w="5320" w:type="dxa"/>
            <w:vAlign w:val="bottom"/>
          </w:tcPr>
          <w:p>
            <w:pPr>
              <w:ind w:left="560"/>
              <w:spacing w:after="0"/>
              <w:rPr>
                <w:sz w:val="20"/>
                <w:szCs w:val="20"/>
                <w:color w:val="auto"/>
              </w:rPr>
            </w:pPr>
            <w:r>
              <w:rPr>
                <w:rFonts w:ascii="Arial" w:cs="Arial" w:eastAsia="Arial" w:hAnsi="Arial"/>
                <w:sz w:val="13"/>
                <w:szCs w:val="13"/>
                <w:color w:val="auto"/>
              </w:rPr>
              <w:t>City of Elk Grove</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140,000.00</w:t>
            </w:r>
          </w:p>
        </w:tc>
      </w:tr>
      <w:tr>
        <w:trPr>
          <w:trHeight w:val="150"/>
        </w:trPr>
        <w:tc>
          <w:tcPr>
            <w:tcW w:w="1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1880" w:type="dxa"/>
            <w:vAlign w:val="bottom"/>
            <w:shd w:val="clear" w:color="auto" w:fill="CCEEFF"/>
          </w:tcPr>
          <w:p>
            <w:pPr>
              <w:spacing w:after="0"/>
              <w:rPr>
                <w:sz w:val="13"/>
                <w:szCs w:val="13"/>
                <w:color w:val="auto"/>
              </w:rPr>
            </w:pPr>
          </w:p>
        </w:tc>
        <w:tc>
          <w:tcPr>
            <w:tcW w:w="2500" w:type="dxa"/>
            <w:vAlign w:val="bottom"/>
            <w:shd w:val="clear" w:color="auto" w:fill="CCEEFF"/>
          </w:tcPr>
          <w:p>
            <w:pPr>
              <w:ind w:left="700"/>
              <w:spacing w:after="0"/>
              <w:rPr>
                <w:sz w:val="20"/>
                <w:szCs w:val="20"/>
                <w:color w:val="auto"/>
              </w:rPr>
            </w:pPr>
            <w:r>
              <w:rPr>
                <w:rFonts w:ascii="Arial" w:cs="Arial" w:eastAsia="Arial" w:hAnsi="Arial"/>
                <w:sz w:val="13"/>
                <w:szCs w:val="13"/>
                <w:color w:val="auto"/>
              </w:rPr>
              <w:t>18103294</w:t>
            </w:r>
          </w:p>
        </w:tc>
        <w:tc>
          <w:tcPr>
            <w:tcW w:w="5320" w:type="dxa"/>
            <w:vAlign w:val="bottom"/>
            <w:shd w:val="clear" w:color="auto" w:fill="CCEEFF"/>
          </w:tcPr>
          <w:p>
            <w:pPr>
              <w:ind w:left="560"/>
              <w:spacing w:after="0"/>
              <w:rPr>
                <w:sz w:val="20"/>
                <w:szCs w:val="20"/>
                <w:color w:val="auto"/>
              </w:rPr>
            </w:pPr>
            <w:r>
              <w:rPr>
                <w:rFonts w:ascii="Arial" w:cs="Arial" w:eastAsia="Arial" w:hAnsi="Arial"/>
                <w:sz w:val="13"/>
                <w:szCs w:val="13"/>
                <w:color w:val="auto"/>
              </w:rPr>
              <w:t>Liberty Mutual Insurance Company</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500,000.00</w:t>
            </w:r>
          </w:p>
        </w:tc>
      </w:tr>
      <w:tr>
        <w:trPr>
          <w:trHeight w:val="157"/>
        </w:trPr>
        <w:tc>
          <w:tcPr>
            <w:tcW w:w="1880" w:type="dxa"/>
            <w:vAlign w:val="bottom"/>
          </w:tcPr>
          <w:p>
            <w:pPr>
              <w:spacing w:after="0"/>
              <w:rPr>
                <w:sz w:val="13"/>
                <w:szCs w:val="13"/>
                <w:color w:val="auto"/>
              </w:rPr>
            </w:pPr>
          </w:p>
        </w:tc>
        <w:tc>
          <w:tcPr>
            <w:tcW w:w="2500" w:type="dxa"/>
            <w:vAlign w:val="bottom"/>
          </w:tcPr>
          <w:p>
            <w:pPr>
              <w:ind w:left="700"/>
              <w:spacing w:after="0"/>
              <w:rPr>
                <w:sz w:val="20"/>
                <w:szCs w:val="20"/>
                <w:color w:val="auto"/>
              </w:rPr>
            </w:pPr>
            <w:r>
              <w:rPr>
                <w:rFonts w:ascii="Arial" w:cs="Arial" w:eastAsia="Arial" w:hAnsi="Arial"/>
                <w:sz w:val="13"/>
                <w:szCs w:val="13"/>
                <w:color w:val="auto"/>
              </w:rPr>
              <w:t>18104131</w:t>
            </w:r>
          </w:p>
        </w:tc>
        <w:tc>
          <w:tcPr>
            <w:tcW w:w="5320" w:type="dxa"/>
            <w:vAlign w:val="bottom"/>
          </w:tcPr>
          <w:p>
            <w:pPr>
              <w:ind w:left="560"/>
              <w:spacing w:after="0"/>
              <w:rPr>
                <w:sz w:val="20"/>
                <w:szCs w:val="20"/>
                <w:color w:val="auto"/>
              </w:rPr>
            </w:pPr>
            <w:r>
              <w:rPr>
                <w:rFonts w:ascii="Arial" w:cs="Arial" w:eastAsia="Arial" w:hAnsi="Arial"/>
                <w:sz w:val="13"/>
                <w:szCs w:val="13"/>
                <w:color w:val="auto"/>
              </w:rPr>
              <w:t>County of Frederick, VA</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670,103.68</w:t>
            </w:r>
          </w:p>
        </w:tc>
      </w:tr>
      <w:tr>
        <w:trPr>
          <w:trHeight w:val="157"/>
        </w:trPr>
        <w:tc>
          <w:tcPr>
            <w:tcW w:w="1880" w:type="dxa"/>
            <w:vAlign w:val="bottom"/>
            <w:shd w:val="clear" w:color="auto" w:fill="CCEEFF"/>
          </w:tcPr>
          <w:p>
            <w:pPr>
              <w:spacing w:after="0"/>
              <w:rPr>
                <w:sz w:val="13"/>
                <w:szCs w:val="13"/>
                <w:color w:val="auto"/>
              </w:rPr>
            </w:pPr>
          </w:p>
        </w:tc>
        <w:tc>
          <w:tcPr>
            <w:tcW w:w="2500" w:type="dxa"/>
            <w:vAlign w:val="bottom"/>
            <w:shd w:val="clear" w:color="auto" w:fill="CCEEFF"/>
          </w:tcPr>
          <w:p>
            <w:pPr>
              <w:ind w:left="700"/>
              <w:spacing w:after="0"/>
              <w:rPr>
                <w:sz w:val="20"/>
                <w:szCs w:val="20"/>
                <w:color w:val="auto"/>
              </w:rPr>
            </w:pPr>
            <w:r>
              <w:rPr>
                <w:rFonts w:ascii="Arial" w:cs="Arial" w:eastAsia="Arial" w:hAnsi="Arial"/>
                <w:sz w:val="13"/>
                <w:szCs w:val="13"/>
                <w:color w:val="auto"/>
              </w:rPr>
              <w:t>18104190</w:t>
            </w:r>
          </w:p>
        </w:tc>
        <w:tc>
          <w:tcPr>
            <w:tcW w:w="5320" w:type="dxa"/>
            <w:vAlign w:val="bottom"/>
            <w:shd w:val="clear" w:color="auto" w:fill="CCEEFF"/>
          </w:tcPr>
          <w:p>
            <w:pPr>
              <w:ind w:left="560"/>
              <w:spacing w:after="0"/>
              <w:rPr>
                <w:sz w:val="20"/>
                <w:szCs w:val="20"/>
                <w:color w:val="auto"/>
              </w:rPr>
            </w:pPr>
            <w:r>
              <w:rPr>
                <w:rFonts w:ascii="Arial" w:cs="Arial" w:eastAsia="Arial" w:hAnsi="Arial"/>
                <w:sz w:val="13"/>
                <w:szCs w:val="13"/>
                <w:color w:val="auto"/>
              </w:rPr>
              <w:t>Town of Salina</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40,045.60</w:t>
            </w:r>
          </w:p>
        </w:tc>
        <w:tc>
          <w:tcPr>
            <w:tcW w:w="100" w:type="dxa"/>
            <w:vAlign w:val="bottom"/>
            <w:shd w:val="clear" w:color="auto" w:fill="CCEEFF"/>
          </w:tcPr>
          <w:p>
            <w:pPr>
              <w:spacing w:after="0"/>
              <w:rPr>
                <w:sz w:val="13"/>
                <w:szCs w:val="13"/>
                <w:color w:val="auto"/>
              </w:rPr>
            </w:pPr>
          </w:p>
        </w:tc>
      </w:tr>
      <w:tr>
        <w:trPr>
          <w:trHeight w:val="314"/>
        </w:trPr>
        <w:tc>
          <w:tcPr>
            <w:tcW w:w="1880" w:type="dxa"/>
            <w:vAlign w:val="bottom"/>
          </w:tcPr>
          <w:p>
            <w:pPr>
              <w:spacing w:after="0"/>
              <w:rPr>
                <w:sz w:val="24"/>
                <w:szCs w:val="24"/>
                <w:color w:val="auto"/>
              </w:rPr>
            </w:pPr>
          </w:p>
        </w:tc>
        <w:tc>
          <w:tcPr>
            <w:tcW w:w="2500" w:type="dxa"/>
            <w:vAlign w:val="bottom"/>
          </w:tcPr>
          <w:p>
            <w:pPr>
              <w:ind w:left="700"/>
              <w:spacing w:after="0"/>
              <w:rPr>
                <w:sz w:val="20"/>
                <w:szCs w:val="20"/>
                <w:color w:val="auto"/>
              </w:rPr>
            </w:pPr>
            <w:r>
              <w:rPr>
                <w:rFonts w:ascii="Arial" w:cs="Arial" w:eastAsia="Arial" w:hAnsi="Arial"/>
                <w:sz w:val="13"/>
                <w:szCs w:val="13"/>
                <w:color w:val="auto"/>
              </w:rPr>
              <w:t>18104577</w:t>
            </w:r>
          </w:p>
        </w:tc>
        <w:tc>
          <w:tcPr>
            <w:tcW w:w="5320" w:type="dxa"/>
            <w:vAlign w:val="bottom"/>
          </w:tcPr>
          <w:p>
            <w:pPr>
              <w:ind w:left="560"/>
              <w:spacing w:after="0"/>
              <w:rPr>
                <w:sz w:val="20"/>
                <w:szCs w:val="20"/>
                <w:color w:val="auto"/>
              </w:rPr>
            </w:pPr>
            <w:r>
              <w:rPr>
                <w:rFonts w:ascii="Arial" w:cs="Arial" w:eastAsia="Arial" w:hAnsi="Arial"/>
                <w:sz w:val="13"/>
                <w:szCs w:val="13"/>
                <w:color w:val="auto"/>
              </w:rPr>
              <w:t>The Port Authority of New York and New Jersey</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90,000.00</w:t>
            </w:r>
          </w:p>
        </w:tc>
        <w:tc>
          <w:tcPr>
            <w:tcW w:w="100" w:type="dxa"/>
            <w:vAlign w:val="bottom"/>
          </w:tcPr>
          <w:p>
            <w:pPr>
              <w:spacing w:after="0"/>
              <w:rPr>
                <w:sz w:val="24"/>
                <w:szCs w:val="24"/>
                <w:color w:val="auto"/>
              </w:rPr>
            </w:pPr>
          </w:p>
        </w:tc>
      </w:tr>
      <w:tr>
        <w:trPr>
          <w:trHeight w:val="158"/>
        </w:trPr>
        <w:tc>
          <w:tcPr>
            <w:tcW w:w="1880" w:type="dxa"/>
            <w:vAlign w:val="bottom"/>
            <w:shd w:val="clear" w:color="auto" w:fill="CCEEFF"/>
          </w:tcPr>
          <w:p>
            <w:pPr>
              <w:spacing w:after="0"/>
              <w:rPr>
                <w:sz w:val="13"/>
                <w:szCs w:val="13"/>
                <w:color w:val="auto"/>
              </w:rPr>
            </w:pPr>
          </w:p>
        </w:tc>
        <w:tc>
          <w:tcPr>
            <w:tcW w:w="2500" w:type="dxa"/>
            <w:vAlign w:val="bottom"/>
            <w:shd w:val="clear" w:color="auto" w:fill="CCEEFF"/>
          </w:tcPr>
          <w:p>
            <w:pPr>
              <w:ind w:left="700"/>
              <w:spacing w:after="0"/>
              <w:rPr>
                <w:sz w:val="20"/>
                <w:szCs w:val="20"/>
                <w:color w:val="auto"/>
              </w:rPr>
            </w:pPr>
            <w:r>
              <w:rPr>
                <w:rFonts w:ascii="Arial" w:cs="Arial" w:eastAsia="Arial" w:hAnsi="Arial"/>
                <w:sz w:val="13"/>
                <w:szCs w:val="13"/>
                <w:color w:val="auto"/>
              </w:rPr>
              <w:t>18109587</w:t>
            </w:r>
          </w:p>
        </w:tc>
        <w:tc>
          <w:tcPr>
            <w:tcW w:w="5320" w:type="dxa"/>
            <w:vAlign w:val="bottom"/>
            <w:shd w:val="clear" w:color="auto" w:fill="CCEEFF"/>
          </w:tcPr>
          <w:p>
            <w:pPr>
              <w:ind w:left="560"/>
              <w:spacing w:after="0"/>
              <w:rPr>
                <w:sz w:val="20"/>
                <w:szCs w:val="20"/>
                <w:color w:val="auto"/>
              </w:rPr>
            </w:pPr>
            <w:r>
              <w:rPr>
                <w:rFonts w:ascii="Arial" w:cs="Arial" w:eastAsia="Arial" w:hAnsi="Arial"/>
                <w:sz w:val="13"/>
                <w:szCs w:val="13"/>
                <w:color w:val="auto"/>
              </w:rPr>
              <w:t>City of Crystal Lake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81,720.00</w:t>
            </w:r>
          </w:p>
        </w:tc>
        <w:tc>
          <w:tcPr>
            <w:tcW w:w="100" w:type="dxa"/>
            <w:vAlign w:val="bottom"/>
            <w:shd w:val="clear" w:color="auto" w:fill="CCEEFF"/>
          </w:tcPr>
          <w:p>
            <w:pPr>
              <w:spacing w:after="0"/>
              <w:rPr>
                <w:sz w:val="13"/>
                <w:szCs w:val="13"/>
                <w:color w:val="auto"/>
              </w:rPr>
            </w:pPr>
          </w:p>
        </w:tc>
      </w:tr>
      <w:tr>
        <w:trPr>
          <w:trHeight w:val="157"/>
        </w:trPr>
        <w:tc>
          <w:tcPr>
            <w:tcW w:w="1880" w:type="dxa"/>
            <w:vAlign w:val="bottom"/>
          </w:tcPr>
          <w:p>
            <w:pPr>
              <w:spacing w:after="0"/>
              <w:rPr>
                <w:sz w:val="13"/>
                <w:szCs w:val="13"/>
                <w:color w:val="auto"/>
              </w:rPr>
            </w:pPr>
          </w:p>
        </w:tc>
        <w:tc>
          <w:tcPr>
            <w:tcW w:w="2500" w:type="dxa"/>
            <w:vAlign w:val="bottom"/>
          </w:tcPr>
          <w:p>
            <w:pPr>
              <w:ind w:left="700"/>
              <w:spacing w:after="0"/>
              <w:rPr>
                <w:sz w:val="20"/>
                <w:szCs w:val="20"/>
                <w:color w:val="auto"/>
              </w:rPr>
            </w:pPr>
            <w:r>
              <w:rPr>
                <w:rFonts w:ascii="Arial" w:cs="Arial" w:eastAsia="Arial" w:hAnsi="Arial"/>
                <w:sz w:val="13"/>
                <w:szCs w:val="13"/>
                <w:color w:val="auto"/>
              </w:rPr>
              <w:t>18110148</w:t>
            </w:r>
          </w:p>
        </w:tc>
        <w:tc>
          <w:tcPr>
            <w:tcW w:w="5320" w:type="dxa"/>
            <w:vAlign w:val="bottom"/>
          </w:tcPr>
          <w:p>
            <w:pPr>
              <w:ind w:left="560"/>
              <w:spacing w:after="0"/>
              <w:rPr>
                <w:sz w:val="20"/>
                <w:szCs w:val="20"/>
                <w:color w:val="auto"/>
              </w:rPr>
            </w:pPr>
            <w:r>
              <w:rPr>
                <w:rFonts w:ascii="Arial" w:cs="Arial" w:eastAsia="Arial" w:hAnsi="Arial"/>
                <w:sz w:val="13"/>
                <w:szCs w:val="13"/>
                <w:color w:val="auto"/>
              </w:rPr>
              <w:t>City of Crystal Lake</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576,168.00</w:t>
            </w:r>
          </w:p>
        </w:tc>
      </w:tr>
      <w:tr>
        <w:trPr>
          <w:trHeight w:val="157"/>
        </w:trPr>
        <w:tc>
          <w:tcPr>
            <w:tcW w:w="1880" w:type="dxa"/>
            <w:vAlign w:val="bottom"/>
            <w:shd w:val="clear" w:color="auto" w:fill="CCEEFF"/>
          </w:tcPr>
          <w:p>
            <w:pPr>
              <w:spacing w:after="0"/>
              <w:rPr>
                <w:sz w:val="13"/>
                <w:szCs w:val="13"/>
                <w:color w:val="auto"/>
              </w:rPr>
            </w:pPr>
          </w:p>
        </w:tc>
        <w:tc>
          <w:tcPr>
            <w:tcW w:w="2500" w:type="dxa"/>
            <w:vAlign w:val="bottom"/>
            <w:shd w:val="clear" w:color="auto" w:fill="CCEEFF"/>
          </w:tcPr>
          <w:p>
            <w:pPr>
              <w:ind w:left="700"/>
              <w:spacing w:after="0"/>
              <w:rPr>
                <w:sz w:val="20"/>
                <w:szCs w:val="20"/>
                <w:color w:val="auto"/>
              </w:rPr>
            </w:pPr>
            <w:r>
              <w:rPr>
                <w:rFonts w:ascii="Arial" w:cs="Arial" w:eastAsia="Arial" w:hAnsi="Arial"/>
                <w:sz w:val="13"/>
                <w:szCs w:val="13"/>
                <w:color w:val="auto"/>
              </w:rPr>
              <w:t>18110471</w:t>
            </w:r>
          </w:p>
        </w:tc>
        <w:tc>
          <w:tcPr>
            <w:tcW w:w="5320" w:type="dxa"/>
            <w:vAlign w:val="bottom"/>
            <w:shd w:val="clear" w:color="auto" w:fill="CCEEFF"/>
          </w:tcPr>
          <w:p>
            <w:pPr>
              <w:ind w:left="560"/>
              <w:spacing w:after="0"/>
              <w:rPr>
                <w:sz w:val="20"/>
                <w:szCs w:val="20"/>
                <w:color w:val="auto"/>
              </w:rPr>
            </w:pPr>
            <w:r>
              <w:rPr>
                <w:rFonts w:ascii="Arial" w:cs="Arial" w:eastAsia="Arial" w:hAnsi="Arial"/>
                <w:sz w:val="13"/>
                <w:szCs w:val="13"/>
                <w:color w:val="auto"/>
              </w:rPr>
              <w:t>Deutsche Bank Trust Company</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11,130,192.00</w:t>
            </w:r>
          </w:p>
        </w:tc>
        <w:tc>
          <w:tcPr>
            <w:tcW w:w="100" w:type="dxa"/>
            <w:vAlign w:val="bottom"/>
            <w:shd w:val="clear" w:color="auto" w:fill="CCEEFF"/>
          </w:tcPr>
          <w:p>
            <w:pPr>
              <w:spacing w:after="0"/>
              <w:rPr>
                <w:sz w:val="13"/>
                <w:szCs w:val="13"/>
                <w:color w:val="auto"/>
              </w:rPr>
            </w:pPr>
          </w:p>
        </w:tc>
      </w:tr>
      <w:tr>
        <w:trPr>
          <w:trHeight w:val="314"/>
        </w:trPr>
        <w:tc>
          <w:tcPr>
            <w:tcW w:w="1880" w:type="dxa"/>
            <w:vAlign w:val="bottom"/>
          </w:tcPr>
          <w:p>
            <w:pPr>
              <w:spacing w:after="0"/>
              <w:rPr>
                <w:sz w:val="24"/>
                <w:szCs w:val="24"/>
                <w:color w:val="auto"/>
              </w:rPr>
            </w:pPr>
          </w:p>
        </w:tc>
        <w:tc>
          <w:tcPr>
            <w:tcW w:w="2500" w:type="dxa"/>
            <w:vAlign w:val="bottom"/>
          </w:tcPr>
          <w:p>
            <w:pPr>
              <w:ind w:left="700"/>
              <w:spacing w:after="0"/>
              <w:rPr>
                <w:sz w:val="20"/>
                <w:szCs w:val="20"/>
                <w:color w:val="auto"/>
              </w:rPr>
            </w:pPr>
            <w:r>
              <w:rPr>
                <w:rFonts w:ascii="Arial" w:cs="Arial" w:eastAsia="Arial" w:hAnsi="Arial"/>
                <w:sz w:val="13"/>
                <w:szCs w:val="13"/>
                <w:color w:val="auto"/>
              </w:rPr>
              <w:t>18110472</w:t>
            </w:r>
          </w:p>
        </w:tc>
        <w:tc>
          <w:tcPr>
            <w:tcW w:w="5320" w:type="dxa"/>
            <w:vAlign w:val="bottom"/>
          </w:tcPr>
          <w:p>
            <w:pPr>
              <w:ind w:left="560"/>
              <w:spacing w:after="0"/>
              <w:rPr>
                <w:sz w:val="20"/>
                <w:szCs w:val="20"/>
                <w:color w:val="auto"/>
              </w:rPr>
            </w:pPr>
            <w:r>
              <w:rPr>
                <w:rFonts w:ascii="Arial" w:cs="Arial" w:eastAsia="Arial" w:hAnsi="Arial"/>
                <w:sz w:val="13"/>
                <w:szCs w:val="13"/>
                <w:color w:val="auto"/>
              </w:rPr>
              <w:t>The Bank of New York, as Trustee</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25,295,891.00</w:t>
            </w:r>
          </w:p>
        </w:tc>
      </w:tr>
      <w:tr>
        <w:trPr>
          <w:trHeight w:val="158"/>
        </w:trPr>
        <w:tc>
          <w:tcPr>
            <w:tcW w:w="1880" w:type="dxa"/>
            <w:vAlign w:val="bottom"/>
            <w:shd w:val="clear" w:color="auto" w:fill="CCEEFF"/>
          </w:tcPr>
          <w:p>
            <w:pPr>
              <w:spacing w:after="0"/>
              <w:rPr>
                <w:sz w:val="13"/>
                <w:szCs w:val="13"/>
                <w:color w:val="auto"/>
              </w:rPr>
            </w:pPr>
          </w:p>
        </w:tc>
        <w:tc>
          <w:tcPr>
            <w:tcW w:w="2500" w:type="dxa"/>
            <w:vAlign w:val="bottom"/>
            <w:shd w:val="clear" w:color="auto" w:fill="CCEEFF"/>
          </w:tcPr>
          <w:p>
            <w:pPr>
              <w:ind w:left="700"/>
              <w:spacing w:after="0"/>
              <w:rPr>
                <w:sz w:val="20"/>
                <w:szCs w:val="20"/>
                <w:color w:val="auto"/>
              </w:rPr>
            </w:pPr>
            <w:r>
              <w:rPr>
                <w:rFonts w:ascii="Arial" w:cs="Arial" w:eastAsia="Arial" w:hAnsi="Arial"/>
                <w:sz w:val="13"/>
                <w:szCs w:val="13"/>
                <w:color w:val="auto"/>
              </w:rPr>
              <w:t>18110584</w:t>
            </w:r>
          </w:p>
        </w:tc>
        <w:tc>
          <w:tcPr>
            <w:tcW w:w="5320" w:type="dxa"/>
            <w:vAlign w:val="bottom"/>
            <w:shd w:val="clear" w:color="auto" w:fill="CCEEFF"/>
          </w:tcPr>
          <w:p>
            <w:pPr>
              <w:ind w:left="560"/>
              <w:spacing w:after="0"/>
              <w:rPr>
                <w:sz w:val="20"/>
                <w:szCs w:val="20"/>
                <w:color w:val="auto"/>
              </w:rPr>
            </w:pPr>
            <w:r>
              <w:rPr>
                <w:rFonts w:ascii="Arial" w:cs="Arial" w:eastAsia="Arial" w:hAnsi="Arial"/>
                <w:sz w:val="13"/>
                <w:szCs w:val="13"/>
                <w:color w:val="auto"/>
              </w:rPr>
              <w:t>Deutsche Bank Trust Company</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7,538,176.00</w:t>
            </w:r>
          </w:p>
        </w:tc>
        <w:tc>
          <w:tcPr>
            <w:tcW w:w="100" w:type="dxa"/>
            <w:vAlign w:val="bottom"/>
            <w:shd w:val="clear" w:color="auto" w:fill="CCEEFF"/>
          </w:tcPr>
          <w:p>
            <w:pPr>
              <w:spacing w:after="0"/>
              <w:rPr>
                <w:sz w:val="13"/>
                <w:szCs w:val="13"/>
                <w:color w:val="auto"/>
              </w:rPr>
            </w:pPr>
          </w:p>
        </w:tc>
      </w:tr>
      <w:tr>
        <w:trPr>
          <w:trHeight w:val="165"/>
        </w:trPr>
        <w:tc>
          <w:tcPr>
            <w:tcW w:w="1880" w:type="dxa"/>
            <w:vAlign w:val="bottom"/>
          </w:tcPr>
          <w:p>
            <w:pPr>
              <w:spacing w:after="0"/>
              <w:rPr>
                <w:sz w:val="14"/>
                <w:szCs w:val="14"/>
                <w:color w:val="auto"/>
              </w:rPr>
            </w:pPr>
          </w:p>
        </w:tc>
        <w:tc>
          <w:tcPr>
            <w:tcW w:w="2500" w:type="dxa"/>
            <w:vAlign w:val="bottom"/>
          </w:tcPr>
          <w:p>
            <w:pPr>
              <w:ind w:left="700"/>
              <w:spacing w:after="0"/>
              <w:rPr>
                <w:sz w:val="20"/>
                <w:szCs w:val="20"/>
                <w:color w:val="auto"/>
              </w:rPr>
            </w:pPr>
            <w:r>
              <w:rPr>
                <w:rFonts w:ascii="Arial" w:cs="Arial" w:eastAsia="Arial" w:hAnsi="Arial"/>
                <w:sz w:val="13"/>
                <w:szCs w:val="13"/>
                <w:color w:val="auto"/>
              </w:rPr>
              <w:t>18111125</w:t>
            </w:r>
          </w:p>
        </w:tc>
        <w:tc>
          <w:tcPr>
            <w:tcW w:w="5320" w:type="dxa"/>
            <w:vAlign w:val="bottom"/>
          </w:tcPr>
          <w:p>
            <w:pPr>
              <w:ind w:left="560"/>
              <w:spacing w:after="0"/>
              <w:rPr>
                <w:sz w:val="20"/>
                <w:szCs w:val="20"/>
                <w:color w:val="auto"/>
              </w:rPr>
            </w:pPr>
            <w:r>
              <w:rPr>
                <w:rFonts w:ascii="Arial" w:cs="Arial" w:eastAsia="Arial" w:hAnsi="Arial"/>
                <w:sz w:val="13"/>
                <w:szCs w:val="13"/>
                <w:color w:val="auto"/>
              </w:rPr>
              <w:t>City of Spokane Valley</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15,219.72</w:t>
            </w:r>
          </w:p>
        </w:tc>
        <w:tc>
          <w:tcPr>
            <w:tcW w:w="100" w:type="dxa"/>
            <w:vAlign w:val="bottom"/>
          </w:tcPr>
          <w:p>
            <w:pPr>
              <w:spacing w:after="0"/>
              <w:rPr>
                <w:sz w:val="14"/>
                <w:szCs w:val="14"/>
                <w:color w:val="auto"/>
              </w:rPr>
            </w:pPr>
          </w:p>
        </w:tc>
      </w:tr>
      <w:tr>
        <w:trPr>
          <w:trHeight w:val="150"/>
        </w:trPr>
        <w:tc>
          <w:tcPr>
            <w:tcW w:w="1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1880" w:type="dxa"/>
            <w:vAlign w:val="bottom"/>
            <w:shd w:val="clear" w:color="auto" w:fill="CCEEFF"/>
          </w:tcPr>
          <w:p>
            <w:pPr>
              <w:spacing w:after="0"/>
              <w:rPr>
                <w:sz w:val="13"/>
                <w:szCs w:val="13"/>
                <w:color w:val="auto"/>
              </w:rPr>
            </w:pPr>
          </w:p>
        </w:tc>
        <w:tc>
          <w:tcPr>
            <w:tcW w:w="2500" w:type="dxa"/>
            <w:vAlign w:val="bottom"/>
            <w:shd w:val="clear" w:color="auto" w:fill="CCEEFF"/>
          </w:tcPr>
          <w:p>
            <w:pPr>
              <w:ind w:left="700"/>
              <w:spacing w:after="0"/>
              <w:rPr>
                <w:sz w:val="20"/>
                <w:szCs w:val="20"/>
                <w:color w:val="auto"/>
              </w:rPr>
            </w:pPr>
            <w:r>
              <w:rPr>
                <w:rFonts w:ascii="Arial" w:cs="Arial" w:eastAsia="Arial" w:hAnsi="Arial"/>
                <w:sz w:val="13"/>
                <w:szCs w:val="13"/>
                <w:color w:val="auto"/>
              </w:rPr>
              <w:t>18111586</w:t>
            </w:r>
          </w:p>
        </w:tc>
        <w:tc>
          <w:tcPr>
            <w:tcW w:w="5320" w:type="dxa"/>
            <w:vAlign w:val="bottom"/>
            <w:shd w:val="clear" w:color="auto" w:fill="CCEEFF"/>
          </w:tcPr>
          <w:p>
            <w:pPr>
              <w:ind w:left="560"/>
              <w:spacing w:after="0"/>
              <w:rPr>
                <w:sz w:val="20"/>
                <w:szCs w:val="20"/>
                <w:color w:val="auto"/>
              </w:rPr>
            </w:pPr>
            <w:r>
              <w:rPr>
                <w:rFonts w:ascii="Arial" w:cs="Arial" w:eastAsia="Arial" w:hAnsi="Arial"/>
                <w:sz w:val="13"/>
                <w:szCs w:val="13"/>
                <w:color w:val="auto"/>
              </w:rPr>
              <w:t>County of Monterey Dept. Of Health</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25,000.00</w:t>
            </w:r>
          </w:p>
        </w:tc>
        <w:tc>
          <w:tcPr>
            <w:tcW w:w="100" w:type="dxa"/>
            <w:vAlign w:val="bottom"/>
            <w:shd w:val="clear" w:color="auto" w:fill="CCEEFF"/>
          </w:tcPr>
          <w:p>
            <w:pPr>
              <w:spacing w:after="0"/>
              <w:rPr>
                <w:sz w:val="13"/>
                <w:szCs w:val="13"/>
                <w:color w:val="auto"/>
              </w:rPr>
            </w:pPr>
          </w:p>
        </w:tc>
      </w:tr>
      <w:tr>
        <w:trPr>
          <w:trHeight w:val="157"/>
        </w:trPr>
        <w:tc>
          <w:tcPr>
            <w:tcW w:w="1880" w:type="dxa"/>
            <w:vAlign w:val="bottom"/>
          </w:tcPr>
          <w:p>
            <w:pPr>
              <w:spacing w:after="0"/>
              <w:rPr>
                <w:sz w:val="13"/>
                <w:szCs w:val="13"/>
                <w:color w:val="auto"/>
              </w:rPr>
            </w:pPr>
          </w:p>
        </w:tc>
        <w:tc>
          <w:tcPr>
            <w:tcW w:w="2500" w:type="dxa"/>
            <w:vAlign w:val="bottom"/>
          </w:tcPr>
          <w:p>
            <w:pPr>
              <w:ind w:left="700"/>
              <w:spacing w:after="0"/>
              <w:rPr>
                <w:sz w:val="20"/>
                <w:szCs w:val="20"/>
                <w:color w:val="auto"/>
              </w:rPr>
            </w:pPr>
            <w:r>
              <w:rPr>
                <w:rFonts w:ascii="Arial" w:cs="Arial" w:eastAsia="Arial" w:hAnsi="Arial"/>
                <w:sz w:val="13"/>
                <w:szCs w:val="13"/>
                <w:color w:val="auto"/>
              </w:rPr>
              <w:t>18111692</w:t>
            </w:r>
          </w:p>
        </w:tc>
        <w:tc>
          <w:tcPr>
            <w:tcW w:w="5320" w:type="dxa"/>
            <w:vAlign w:val="bottom"/>
          </w:tcPr>
          <w:p>
            <w:pPr>
              <w:ind w:left="560"/>
              <w:spacing w:after="0"/>
              <w:rPr>
                <w:sz w:val="20"/>
                <w:szCs w:val="20"/>
                <w:color w:val="auto"/>
              </w:rPr>
            </w:pPr>
            <w:r>
              <w:rPr>
                <w:rFonts w:ascii="Arial" w:cs="Arial" w:eastAsia="Arial" w:hAnsi="Arial"/>
                <w:sz w:val="13"/>
                <w:szCs w:val="13"/>
                <w:color w:val="auto"/>
              </w:rPr>
              <w:t>City of Simi Valley</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5,000.00</w:t>
            </w:r>
          </w:p>
        </w:tc>
      </w:tr>
      <w:tr>
        <w:trPr>
          <w:trHeight w:val="157"/>
        </w:trPr>
        <w:tc>
          <w:tcPr>
            <w:tcW w:w="1880" w:type="dxa"/>
            <w:vAlign w:val="bottom"/>
            <w:shd w:val="clear" w:color="auto" w:fill="CCEEFF"/>
          </w:tcPr>
          <w:p>
            <w:pPr>
              <w:spacing w:after="0"/>
              <w:rPr>
                <w:sz w:val="13"/>
                <w:szCs w:val="13"/>
                <w:color w:val="auto"/>
              </w:rPr>
            </w:pPr>
          </w:p>
        </w:tc>
        <w:tc>
          <w:tcPr>
            <w:tcW w:w="2500" w:type="dxa"/>
            <w:vAlign w:val="bottom"/>
            <w:shd w:val="clear" w:color="auto" w:fill="CCEEFF"/>
          </w:tcPr>
          <w:p>
            <w:pPr>
              <w:ind w:left="700"/>
              <w:spacing w:after="0"/>
              <w:rPr>
                <w:sz w:val="20"/>
                <w:szCs w:val="20"/>
                <w:color w:val="auto"/>
              </w:rPr>
            </w:pPr>
            <w:r>
              <w:rPr>
                <w:rFonts w:ascii="Arial" w:cs="Arial" w:eastAsia="Arial" w:hAnsi="Arial"/>
                <w:sz w:val="13"/>
                <w:szCs w:val="13"/>
                <w:color w:val="auto"/>
              </w:rPr>
              <w:t>18111741</w:t>
            </w:r>
          </w:p>
        </w:tc>
        <w:tc>
          <w:tcPr>
            <w:tcW w:w="5320" w:type="dxa"/>
            <w:vAlign w:val="bottom"/>
            <w:shd w:val="clear" w:color="auto" w:fill="CCEEFF"/>
          </w:tcPr>
          <w:p>
            <w:pPr>
              <w:ind w:left="560"/>
              <w:spacing w:after="0"/>
              <w:rPr>
                <w:sz w:val="20"/>
                <w:szCs w:val="20"/>
                <w:color w:val="auto"/>
              </w:rPr>
            </w:pPr>
            <w:r>
              <w:rPr>
                <w:rFonts w:ascii="Arial" w:cs="Arial" w:eastAsia="Arial" w:hAnsi="Arial"/>
                <w:sz w:val="13"/>
                <w:szCs w:val="13"/>
                <w:color w:val="auto"/>
              </w:rPr>
              <w:t>New Jersey DEP</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58,500.00</w:t>
            </w:r>
          </w:p>
        </w:tc>
        <w:tc>
          <w:tcPr>
            <w:tcW w:w="100" w:type="dxa"/>
            <w:vAlign w:val="bottom"/>
            <w:shd w:val="clear" w:color="auto" w:fill="CCEEFF"/>
          </w:tcPr>
          <w:p>
            <w:pPr>
              <w:spacing w:after="0"/>
              <w:rPr>
                <w:sz w:val="13"/>
                <w:szCs w:val="13"/>
                <w:color w:val="auto"/>
              </w:rPr>
            </w:pPr>
          </w:p>
        </w:tc>
      </w:tr>
      <w:tr>
        <w:trPr>
          <w:trHeight w:val="157"/>
        </w:trPr>
        <w:tc>
          <w:tcPr>
            <w:tcW w:w="1880" w:type="dxa"/>
            <w:vAlign w:val="bottom"/>
          </w:tcPr>
          <w:p>
            <w:pPr>
              <w:spacing w:after="0"/>
              <w:rPr>
                <w:sz w:val="13"/>
                <w:szCs w:val="13"/>
                <w:color w:val="auto"/>
              </w:rPr>
            </w:pPr>
          </w:p>
        </w:tc>
        <w:tc>
          <w:tcPr>
            <w:tcW w:w="2500" w:type="dxa"/>
            <w:vAlign w:val="bottom"/>
          </w:tcPr>
          <w:p>
            <w:pPr>
              <w:ind w:left="700"/>
              <w:spacing w:after="0"/>
              <w:rPr>
                <w:sz w:val="20"/>
                <w:szCs w:val="20"/>
                <w:color w:val="auto"/>
              </w:rPr>
            </w:pPr>
            <w:r>
              <w:rPr>
                <w:rFonts w:ascii="Arial" w:cs="Arial" w:eastAsia="Arial" w:hAnsi="Arial"/>
                <w:sz w:val="13"/>
                <w:szCs w:val="13"/>
                <w:color w:val="auto"/>
              </w:rPr>
              <w:t>18111745</w:t>
            </w:r>
          </w:p>
        </w:tc>
        <w:tc>
          <w:tcPr>
            <w:tcW w:w="5320" w:type="dxa"/>
            <w:vAlign w:val="bottom"/>
          </w:tcPr>
          <w:p>
            <w:pPr>
              <w:ind w:left="560"/>
              <w:spacing w:after="0"/>
              <w:rPr>
                <w:sz w:val="20"/>
                <w:szCs w:val="20"/>
                <w:color w:val="auto"/>
              </w:rPr>
            </w:pPr>
            <w:r>
              <w:rPr>
                <w:rFonts w:ascii="Arial" w:cs="Arial" w:eastAsia="Arial" w:hAnsi="Arial"/>
                <w:sz w:val="13"/>
                <w:szCs w:val="13"/>
                <w:color w:val="auto"/>
              </w:rPr>
              <w:t>Roy City</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150,000.00</w:t>
            </w:r>
          </w:p>
        </w:tc>
      </w:tr>
      <w:tr>
        <w:trPr>
          <w:trHeight w:val="157"/>
        </w:trPr>
        <w:tc>
          <w:tcPr>
            <w:tcW w:w="1880" w:type="dxa"/>
            <w:vAlign w:val="bottom"/>
            <w:shd w:val="clear" w:color="auto" w:fill="CCEEFF"/>
          </w:tcPr>
          <w:p>
            <w:pPr>
              <w:spacing w:after="0"/>
              <w:rPr>
                <w:sz w:val="13"/>
                <w:szCs w:val="13"/>
                <w:color w:val="auto"/>
              </w:rPr>
            </w:pPr>
          </w:p>
        </w:tc>
        <w:tc>
          <w:tcPr>
            <w:tcW w:w="2500" w:type="dxa"/>
            <w:vAlign w:val="bottom"/>
            <w:shd w:val="clear" w:color="auto" w:fill="CCEEFF"/>
          </w:tcPr>
          <w:p>
            <w:pPr>
              <w:ind w:left="700"/>
              <w:spacing w:after="0"/>
              <w:rPr>
                <w:sz w:val="20"/>
                <w:szCs w:val="20"/>
                <w:color w:val="auto"/>
              </w:rPr>
            </w:pPr>
            <w:r>
              <w:rPr>
                <w:rFonts w:ascii="Arial" w:cs="Arial" w:eastAsia="Arial" w:hAnsi="Arial"/>
                <w:sz w:val="13"/>
                <w:szCs w:val="13"/>
                <w:color w:val="auto"/>
              </w:rPr>
              <w:t>18111758</w:t>
            </w:r>
          </w:p>
        </w:tc>
        <w:tc>
          <w:tcPr>
            <w:tcW w:w="5320" w:type="dxa"/>
            <w:vAlign w:val="bottom"/>
            <w:shd w:val="clear" w:color="auto" w:fill="CCEEFF"/>
          </w:tcPr>
          <w:p>
            <w:pPr>
              <w:ind w:left="560"/>
              <w:spacing w:after="0"/>
              <w:rPr>
                <w:sz w:val="20"/>
                <w:szCs w:val="20"/>
                <w:color w:val="auto"/>
              </w:rPr>
            </w:pPr>
            <w:r>
              <w:rPr>
                <w:rFonts w:ascii="Arial" w:cs="Arial" w:eastAsia="Arial" w:hAnsi="Arial"/>
                <w:sz w:val="13"/>
                <w:szCs w:val="13"/>
                <w:color w:val="auto"/>
              </w:rPr>
              <w:t>State of Illinois c/o Illinois EPA</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218,750.00</w:t>
            </w:r>
          </w:p>
        </w:tc>
      </w:tr>
      <w:tr>
        <w:trPr>
          <w:trHeight w:val="157"/>
        </w:trPr>
        <w:tc>
          <w:tcPr>
            <w:tcW w:w="1880" w:type="dxa"/>
            <w:vAlign w:val="bottom"/>
          </w:tcPr>
          <w:p>
            <w:pPr>
              <w:spacing w:after="0"/>
              <w:rPr>
                <w:sz w:val="13"/>
                <w:szCs w:val="13"/>
                <w:color w:val="auto"/>
              </w:rPr>
            </w:pPr>
          </w:p>
        </w:tc>
        <w:tc>
          <w:tcPr>
            <w:tcW w:w="2500" w:type="dxa"/>
            <w:vAlign w:val="bottom"/>
          </w:tcPr>
          <w:p>
            <w:pPr>
              <w:ind w:left="700"/>
              <w:spacing w:after="0"/>
              <w:rPr>
                <w:sz w:val="20"/>
                <w:szCs w:val="20"/>
                <w:color w:val="auto"/>
              </w:rPr>
            </w:pPr>
            <w:r>
              <w:rPr>
                <w:rFonts w:ascii="Arial" w:cs="Arial" w:eastAsia="Arial" w:hAnsi="Arial"/>
                <w:sz w:val="13"/>
                <w:szCs w:val="13"/>
                <w:color w:val="auto"/>
              </w:rPr>
              <w:t>18111867</w:t>
            </w:r>
          </w:p>
        </w:tc>
        <w:tc>
          <w:tcPr>
            <w:tcW w:w="5320" w:type="dxa"/>
            <w:vAlign w:val="bottom"/>
          </w:tcPr>
          <w:p>
            <w:pPr>
              <w:ind w:left="560"/>
              <w:spacing w:after="0"/>
              <w:rPr>
                <w:sz w:val="20"/>
                <w:szCs w:val="20"/>
                <w:color w:val="auto"/>
              </w:rPr>
            </w:pPr>
            <w:r>
              <w:rPr>
                <w:rFonts w:ascii="Arial" w:cs="Arial" w:eastAsia="Arial" w:hAnsi="Arial"/>
                <w:sz w:val="13"/>
                <w:szCs w:val="13"/>
                <w:color w:val="auto"/>
              </w:rPr>
              <w:t>Town of Rib Mountain</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5,000.00</w:t>
            </w:r>
          </w:p>
        </w:tc>
      </w:tr>
      <w:tr>
        <w:trPr>
          <w:trHeight w:val="157"/>
        </w:trPr>
        <w:tc>
          <w:tcPr>
            <w:tcW w:w="1880" w:type="dxa"/>
            <w:vAlign w:val="bottom"/>
            <w:shd w:val="clear" w:color="auto" w:fill="CCEEFF"/>
          </w:tcPr>
          <w:p>
            <w:pPr>
              <w:spacing w:after="0"/>
              <w:rPr>
                <w:sz w:val="13"/>
                <w:szCs w:val="13"/>
                <w:color w:val="auto"/>
              </w:rPr>
            </w:pPr>
          </w:p>
        </w:tc>
        <w:tc>
          <w:tcPr>
            <w:tcW w:w="2500" w:type="dxa"/>
            <w:vAlign w:val="bottom"/>
            <w:shd w:val="clear" w:color="auto" w:fill="CCEEFF"/>
          </w:tcPr>
          <w:p>
            <w:pPr>
              <w:ind w:left="700"/>
              <w:spacing w:after="0"/>
              <w:rPr>
                <w:sz w:val="20"/>
                <w:szCs w:val="20"/>
                <w:color w:val="auto"/>
              </w:rPr>
            </w:pPr>
            <w:r>
              <w:rPr>
                <w:rFonts w:ascii="Arial" w:cs="Arial" w:eastAsia="Arial" w:hAnsi="Arial"/>
                <w:sz w:val="13"/>
                <w:szCs w:val="13"/>
                <w:color w:val="auto"/>
              </w:rPr>
              <w:t>18111906</w:t>
            </w:r>
          </w:p>
        </w:tc>
        <w:tc>
          <w:tcPr>
            <w:tcW w:w="5320" w:type="dxa"/>
            <w:vAlign w:val="bottom"/>
            <w:shd w:val="clear" w:color="auto" w:fill="CCEEFF"/>
          </w:tcPr>
          <w:p>
            <w:pPr>
              <w:ind w:left="560"/>
              <w:spacing w:after="0"/>
              <w:rPr>
                <w:sz w:val="20"/>
                <w:szCs w:val="20"/>
                <w:color w:val="auto"/>
              </w:rPr>
            </w:pPr>
            <w:r>
              <w:rPr>
                <w:rFonts w:ascii="Arial" w:cs="Arial" w:eastAsia="Arial" w:hAnsi="Arial"/>
                <w:sz w:val="13"/>
                <w:szCs w:val="13"/>
                <w:color w:val="auto"/>
              </w:rPr>
              <w:t>City of Morpark</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w:t>
            </w:r>
          </w:p>
        </w:tc>
        <w:tc>
          <w:tcPr>
            <w:tcW w:w="100" w:type="dxa"/>
            <w:vAlign w:val="bottom"/>
            <w:shd w:val="clear" w:color="auto" w:fill="CCEEFF"/>
          </w:tcPr>
          <w:p>
            <w:pPr>
              <w:spacing w:after="0"/>
              <w:rPr>
                <w:sz w:val="13"/>
                <w:szCs w:val="13"/>
                <w:color w:val="auto"/>
              </w:rPr>
            </w:pPr>
          </w:p>
        </w:tc>
      </w:tr>
      <w:tr>
        <w:trPr>
          <w:trHeight w:val="313"/>
        </w:trPr>
        <w:tc>
          <w:tcPr>
            <w:tcW w:w="1880" w:type="dxa"/>
            <w:vAlign w:val="bottom"/>
          </w:tcPr>
          <w:p>
            <w:pPr>
              <w:spacing w:after="0"/>
              <w:rPr>
                <w:sz w:val="24"/>
                <w:szCs w:val="24"/>
                <w:color w:val="auto"/>
              </w:rPr>
            </w:pPr>
          </w:p>
        </w:tc>
        <w:tc>
          <w:tcPr>
            <w:tcW w:w="2500" w:type="dxa"/>
            <w:vAlign w:val="bottom"/>
          </w:tcPr>
          <w:p>
            <w:pPr>
              <w:ind w:left="700"/>
              <w:spacing w:after="0"/>
              <w:rPr>
                <w:sz w:val="20"/>
                <w:szCs w:val="20"/>
                <w:color w:val="auto"/>
              </w:rPr>
            </w:pPr>
            <w:r>
              <w:rPr>
                <w:rFonts w:ascii="Arial" w:cs="Arial" w:eastAsia="Arial" w:hAnsi="Arial"/>
                <w:sz w:val="13"/>
                <w:szCs w:val="13"/>
                <w:color w:val="auto"/>
              </w:rPr>
              <w:t>18112080</w:t>
            </w:r>
          </w:p>
        </w:tc>
        <w:tc>
          <w:tcPr>
            <w:tcW w:w="5320" w:type="dxa"/>
            <w:vAlign w:val="bottom"/>
          </w:tcPr>
          <w:p>
            <w:pPr>
              <w:ind w:left="560"/>
              <w:spacing w:after="0"/>
              <w:rPr>
                <w:sz w:val="20"/>
                <w:szCs w:val="20"/>
                <w:color w:val="auto"/>
              </w:rPr>
            </w:pPr>
            <w:r>
              <w:rPr>
                <w:rFonts w:ascii="Arial" w:cs="Arial" w:eastAsia="Arial" w:hAnsi="Arial"/>
                <w:sz w:val="13"/>
                <w:szCs w:val="13"/>
                <w:color w:val="auto"/>
              </w:rPr>
              <w:t>Canadian National Railway and Subsidiaries</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25,000.00</w:t>
            </w:r>
          </w:p>
        </w:tc>
        <w:tc>
          <w:tcPr>
            <w:tcW w:w="100" w:type="dxa"/>
            <w:vAlign w:val="bottom"/>
          </w:tcPr>
          <w:p>
            <w:pPr>
              <w:spacing w:after="0"/>
              <w:rPr>
                <w:sz w:val="24"/>
                <w:szCs w:val="24"/>
                <w:color w:val="auto"/>
              </w:rPr>
            </w:pPr>
          </w:p>
        </w:tc>
      </w:tr>
      <w:tr>
        <w:trPr>
          <w:trHeight w:val="159"/>
        </w:trPr>
        <w:tc>
          <w:tcPr>
            <w:tcW w:w="1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1880" w:type="dxa"/>
            <w:vAlign w:val="bottom"/>
            <w:shd w:val="clear" w:color="auto" w:fill="CCEEFF"/>
          </w:tcPr>
          <w:p>
            <w:pPr>
              <w:spacing w:after="0"/>
              <w:rPr>
                <w:sz w:val="13"/>
                <w:szCs w:val="13"/>
                <w:color w:val="auto"/>
              </w:rPr>
            </w:pPr>
          </w:p>
        </w:tc>
        <w:tc>
          <w:tcPr>
            <w:tcW w:w="2500" w:type="dxa"/>
            <w:vAlign w:val="bottom"/>
            <w:shd w:val="clear" w:color="auto" w:fill="CCEEFF"/>
          </w:tcPr>
          <w:p>
            <w:pPr>
              <w:ind w:left="700"/>
              <w:spacing w:after="0"/>
              <w:rPr>
                <w:sz w:val="20"/>
                <w:szCs w:val="20"/>
                <w:color w:val="auto"/>
              </w:rPr>
            </w:pPr>
            <w:r>
              <w:rPr>
                <w:rFonts w:ascii="Arial" w:cs="Arial" w:eastAsia="Arial" w:hAnsi="Arial"/>
                <w:sz w:val="13"/>
                <w:szCs w:val="13"/>
                <w:color w:val="auto"/>
              </w:rPr>
              <w:t>18112158</w:t>
            </w:r>
          </w:p>
        </w:tc>
        <w:tc>
          <w:tcPr>
            <w:tcW w:w="5320" w:type="dxa"/>
            <w:vAlign w:val="bottom"/>
            <w:shd w:val="clear" w:color="auto" w:fill="CCEEFF"/>
          </w:tcPr>
          <w:p>
            <w:pPr>
              <w:ind w:left="560"/>
              <w:spacing w:after="0"/>
              <w:rPr>
                <w:sz w:val="20"/>
                <w:szCs w:val="20"/>
                <w:color w:val="auto"/>
              </w:rPr>
            </w:pPr>
            <w:r>
              <w:rPr>
                <w:rFonts w:ascii="Arial" w:cs="Arial" w:eastAsia="Arial" w:hAnsi="Arial"/>
                <w:sz w:val="13"/>
                <w:szCs w:val="13"/>
                <w:color w:val="auto"/>
              </w:rPr>
              <w:t>County of Monterey Dept of Health</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73,809.00</w:t>
            </w:r>
          </w:p>
        </w:tc>
        <w:tc>
          <w:tcPr>
            <w:tcW w:w="100" w:type="dxa"/>
            <w:vAlign w:val="bottom"/>
            <w:shd w:val="clear" w:color="auto" w:fill="CCEEFF"/>
          </w:tcPr>
          <w:p>
            <w:pPr>
              <w:spacing w:after="0"/>
              <w:rPr>
                <w:sz w:val="13"/>
                <w:szCs w:val="13"/>
                <w:color w:val="auto"/>
              </w:rPr>
            </w:pPr>
          </w:p>
        </w:tc>
      </w:tr>
      <w:tr>
        <w:trPr>
          <w:trHeight w:val="157"/>
        </w:trPr>
        <w:tc>
          <w:tcPr>
            <w:tcW w:w="1880" w:type="dxa"/>
            <w:vAlign w:val="bottom"/>
          </w:tcPr>
          <w:p>
            <w:pPr>
              <w:spacing w:after="0"/>
              <w:rPr>
                <w:sz w:val="13"/>
                <w:szCs w:val="13"/>
                <w:color w:val="auto"/>
              </w:rPr>
            </w:pPr>
          </w:p>
        </w:tc>
        <w:tc>
          <w:tcPr>
            <w:tcW w:w="2500" w:type="dxa"/>
            <w:vAlign w:val="bottom"/>
          </w:tcPr>
          <w:p>
            <w:pPr>
              <w:ind w:left="700"/>
              <w:spacing w:after="0"/>
              <w:rPr>
                <w:sz w:val="20"/>
                <w:szCs w:val="20"/>
                <w:color w:val="auto"/>
              </w:rPr>
            </w:pPr>
            <w:r>
              <w:rPr>
                <w:rFonts w:ascii="Arial" w:cs="Arial" w:eastAsia="Arial" w:hAnsi="Arial"/>
                <w:sz w:val="13"/>
                <w:szCs w:val="13"/>
                <w:color w:val="auto"/>
              </w:rPr>
              <w:t>18112161</w:t>
            </w:r>
          </w:p>
        </w:tc>
        <w:tc>
          <w:tcPr>
            <w:tcW w:w="5320" w:type="dxa"/>
            <w:vAlign w:val="bottom"/>
          </w:tcPr>
          <w:p>
            <w:pPr>
              <w:ind w:left="560"/>
              <w:spacing w:after="0"/>
              <w:rPr>
                <w:sz w:val="20"/>
                <w:szCs w:val="20"/>
                <w:color w:val="auto"/>
              </w:rPr>
            </w:pPr>
            <w:r>
              <w:rPr>
                <w:rFonts w:ascii="Arial" w:cs="Arial" w:eastAsia="Arial" w:hAnsi="Arial"/>
                <w:sz w:val="13"/>
                <w:szCs w:val="13"/>
                <w:color w:val="auto"/>
              </w:rPr>
              <w:t>City of Santa Clarita</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20,000.00</w:t>
            </w:r>
          </w:p>
        </w:tc>
        <w:tc>
          <w:tcPr>
            <w:tcW w:w="100" w:type="dxa"/>
            <w:vAlign w:val="bottom"/>
          </w:tcPr>
          <w:p>
            <w:pPr>
              <w:spacing w:after="0"/>
              <w:rPr>
                <w:sz w:val="13"/>
                <w:szCs w:val="13"/>
                <w:color w:val="auto"/>
              </w:rPr>
            </w:pPr>
          </w:p>
        </w:tc>
      </w:tr>
      <w:tr>
        <w:trPr>
          <w:trHeight w:val="157"/>
        </w:trPr>
        <w:tc>
          <w:tcPr>
            <w:tcW w:w="1880" w:type="dxa"/>
            <w:vAlign w:val="bottom"/>
            <w:shd w:val="clear" w:color="auto" w:fill="CCEEFF"/>
          </w:tcPr>
          <w:p>
            <w:pPr>
              <w:spacing w:after="0"/>
              <w:rPr>
                <w:sz w:val="13"/>
                <w:szCs w:val="13"/>
                <w:color w:val="auto"/>
              </w:rPr>
            </w:pPr>
          </w:p>
        </w:tc>
        <w:tc>
          <w:tcPr>
            <w:tcW w:w="2500" w:type="dxa"/>
            <w:vAlign w:val="bottom"/>
            <w:shd w:val="clear" w:color="auto" w:fill="CCEEFF"/>
          </w:tcPr>
          <w:p>
            <w:pPr>
              <w:ind w:left="700"/>
              <w:spacing w:after="0"/>
              <w:rPr>
                <w:sz w:val="20"/>
                <w:szCs w:val="20"/>
                <w:color w:val="auto"/>
              </w:rPr>
            </w:pPr>
            <w:r>
              <w:rPr>
                <w:rFonts w:ascii="Arial" w:cs="Arial" w:eastAsia="Arial" w:hAnsi="Arial"/>
                <w:sz w:val="13"/>
                <w:szCs w:val="13"/>
                <w:color w:val="auto"/>
              </w:rPr>
              <w:t>18112166</w:t>
            </w:r>
          </w:p>
        </w:tc>
        <w:tc>
          <w:tcPr>
            <w:tcW w:w="5320" w:type="dxa"/>
            <w:vAlign w:val="bottom"/>
            <w:shd w:val="clear" w:color="auto" w:fill="CCEEFF"/>
          </w:tcPr>
          <w:p>
            <w:pPr>
              <w:ind w:left="560"/>
              <w:spacing w:after="0"/>
              <w:rPr>
                <w:sz w:val="20"/>
                <w:szCs w:val="20"/>
                <w:color w:val="auto"/>
              </w:rPr>
            </w:pPr>
            <w:r>
              <w:rPr>
                <w:rFonts w:ascii="Arial" w:cs="Arial" w:eastAsia="Arial" w:hAnsi="Arial"/>
                <w:sz w:val="13"/>
                <w:szCs w:val="13"/>
                <w:color w:val="auto"/>
              </w:rPr>
              <w:t>McMinnville Water and Light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399,000.00</w:t>
            </w:r>
          </w:p>
        </w:tc>
      </w:tr>
      <w:tr>
        <w:trPr>
          <w:trHeight w:val="314"/>
        </w:trPr>
        <w:tc>
          <w:tcPr>
            <w:tcW w:w="1880" w:type="dxa"/>
            <w:vAlign w:val="bottom"/>
          </w:tcPr>
          <w:p>
            <w:pPr>
              <w:spacing w:after="0"/>
              <w:rPr>
                <w:sz w:val="24"/>
                <w:szCs w:val="24"/>
                <w:color w:val="auto"/>
              </w:rPr>
            </w:pPr>
          </w:p>
        </w:tc>
        <w:tc>
          <w:tcPr>
            <w:tcW w:w="2500" w:type="dxa"/>
            <w:vAlign w:val="bottom"/>
          </w:tcPr>
          <w:p>
            <w:pPr>
              <w:ind w:left="700"/>
              <w:spacing w:after="0"/>
              <w:rPr>
                <w:sz w:val="20"/>
                <w:szCs w:val="20"/>
                <w:color w:val="auto"/>
              </w:rPr>
            </w:pPr>
            <w:r>
              <w:rPr>
                <w:rFonts w:ascii="Arial" w:cs="Arial" w:eastAsia="Arial" w:hAnsi="Arial"/>
                <w:sz w:val="13"/>
                <w:szCs w:val="13"/>
                <w:color w:val="auto"/>
              </w:rPr>
              <w:t>18112292</w:t>
            </w:r>
          </w:p>
        </w:tc>
        <w:tc>
          <w:tcPr>
            <w:tcW w:w="5320" w:type="dxa"/>
            <w:vAlign w:val="bottom"/>
          </w:tcPr>
          <w:p>
            <w:pPr>
              <w:ind w:left="560"/>
              <w:spacing w:after="0"/>
              <w:rPr>
                <w:sz w:val="20"/>
                <w:szCs w:val="20"/>
                <w:color w:val="auto"/>
              </w:rPr>
            </w:pPr>
            <w:r>
              <w:rPr>
                <w:rFonts w:ascii="Arial" w:cs="Arial" w:eastAsia="Arial" w:hAnsi="Arial"/>
                <w:sz w:val="13"/>
                <w:szCs w:val="13"/>
                <w:color w:val="auto"/>
              </w:rPr>
              <w:t>San Joaquin Valley Unified Air Pollution Control District</w:t>
            </w:r>
          </w:p>
        </w:tc>
        <w:tc>
          <w:tcPr>
            <w:tcW w:w="7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50,000.00</w:t>
            </w:r>
          </w:p>
        </w:tc>
        <w:tc>
          <w:tcPr>
            <w:tcW w:w="100" w:type="dxa"/>
            <w:vAlign w:val="bottom"/>
          </w:tcPr>
          <w:p>
            <w:pPr>
              <w:spacing w:after="0"/>
              <w:rPr>
                <w:sz w:val="24"/>
                <w:szCs w:val="24"/>
                <w:color w:val="auto"/>
              </w:rPr>
            </w:pPr>
          </w:p>
        </w:tc>
      </w:tr>
      <w:tr>
        <w:trPr>
          <w:trHeight w:val="157"/>
        </w:trPr>
        <w:tc>
          <w:tcPr>
            <w:tcW w:w="188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53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157,442,075.00</w:t>
            </w:r>
          </w:p>
        </w:tc>
        <w:tc>
          <w:tcPr>
            <w:tcW w:w="100" w:type="dxa"/>
            <w:vAlign w:val="bottom"/>
            <w:shd w:val="clear" w:color="auto" w:fill="CCEEFF"/>
          </w:tcPr>
          <w:p>
            <w:pPr>
              <w:spacing w:after="0"/>
              <w:rPr>
                <w:sz w:val="13"/>
                <w:szCs w:val="13"/>
                <w:color w:val="auto"/>
              </w:rPr>
            </w:pPr>
          </w:p>
        </w:tc>
      </w:tr>
      <w:tr>
        <w:trPr>
          <w:trHeight w:val="314"/>
        </w:trPr>
        <w:tc>
          <w:tcPr>
            <w:tcW w:w="1880" w:type="dxa"/>
            <w:vAlign w:val="bottom"/>
          </w:tcPr>
          <w:p>
            <w:pPr>
              <w:spacing w:after="0"/>
              <w:rPr>
                <w:sz w:val="20"/>
                <w:szCs w:val="20"/>
                <w:color w:val="auto"/>
              </w:rPr>
            </w:pPr>
            <w:r>
              <w:rPr>
                <w:rFonts w:ascii="Arial" w:cs="Arial" w:eastAsia="Arial" w:hAnsi="Arial"/>
                <w:sz w:val="13"/>
                <w:szCs w:val="13"/>
                <w:color w:val="auto"/>
              </w:rPr>
              <w:t>Wells Fargo/Wachovia</w:t>
            </w:r>
          </w:p>
        </w:tc>
        <w:tc>
          <w:tcPr>
            <w:tcW w:w="2500" w:type="dxa"/>
            <w:vAlign w:val="bottom"/>
          </w:tcPr>
          <w:p>
            <w:pPr>
              <w:ind w:left="700"/>
              <w:spacing w:after="0"/>
              <w:rPr>
                <w:sz w:val="20"/>
                <w:szCs w:val="20"/>
                <w:color w:val="auto"/>
              </w:rPr>
            </w:pPr>
            <w:r>
              <w:rPr>
                <w:rFonts w:ascii="Arial" w:cs="Arial" w:eastAsia="Arial" w:hAnsi="Arial"/>
                <w:sz w:val="13"/>
                <w:szCs w:val="13"/>
                <w:color w:val="auto"/>
              </w:rPr>
              <w:t>LC870-093799</w:t>
            </w:r>
          </w:p>
        </w:tc>
        <w:tc>
          <w:tcPr>
            <w:tcW w:w="5320" w:type="dxa"/>
            <w:vAlign w:val="bottom"/>
          </w:tcPr>
          <w:p>
            <w:pPr>
              <w:ind w:left="560"/>
              <w:spacing w:after="0"/>
              <w:rPr>
                <w:sz w:val="20"/>
                <w:szCs w:val="20"/>
                <w:color w:val="auto"/>
              </w:rPr>
            </w:pPr>
            <w:r>
              <w:rPr>
                <w:rFonts w:ascii="Arial" w:cs="Arial" w:eastAsia="Arial" w:hAnsi="Arial"/>
                <w:sz w:val="13"/>
                <w:szCs w:val="13"/>
                <w:color w:val="auto"/>
              </w:rPr>
              <w:t>State Street Bank and Trust Company</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36,686,795.00</w:t>
            </w:r>
          </w:p>
        </w:tc>
      </w:tr>
      <w:tr>
        <w:trPr>
          <w:trHeight w:val="158"/>
        </w:trPr>
        <w:tc>
          <w:tcPr>
            <w:tcW w:w="1880" w:type="dxa"/>
            <w:vAlign w:val="bottom"/>
            <w:shd w:val="clear" w:color="auto" w:fill="CCEEFF"/>
          </w:tcPr>
          <w:p>
            <w:pPr>
              <w:spacing w:after="0"/>
              <w:rPr>
                <w:sz w:val="13"/>
                <w:szCs w:val="13"/>
                <w:color w:val="auto"/>
              </w:rPr>
            </w:pPr>
          </w:p>
        </w:tc>
        <w:tc>
          <w:tcPr>
            <w:tcW w:w="2500" w:type="dxa"/>
            <w:vAlign w:val="bottom"/>
            <w:shd w:val="clear" w:color="auto" w:fill="CCEEFF"/>
          </w:tcPr>
          <w:p>
            <w:pPr>
              <w:ind w:left="700"/>
              <w:spacing w:after="0"/>
              <w:rPr>
                <w:sz w:val="20"/>
                <w:szCs w:val="20"/>
                <w:color w:val="auto"/>
              </w:rPr>
            </w:pPr>
            <w:r>
              <w:rPr>
                <w:rFonts w:ascii="Arial" w:cs="Arial" w:eastAsia="Arial" w:hAnsi="Arial"/>
                <w:sz w:val="13"/>
                <w:szCs w:val="13"/>
                <w:color w:val="auto"/>
              </w:rPr>
              <w:t>LC870-097201</w:t>
            </w:r>
          </w:p>
        </w:tc>
        <w:tc>
          <w:tcPr>
            <w:tcW w:w="5320" w:type="dxa"/>
            <w:vAlign w:val="bottom"/>
            <w:shd w:val="clear" w:color="auto" w:fill="CCEEFF"/>
          </w:tcPr>
          <w:p>
            <w:pPr>
              <w:ind w:left="560"/>
              <w:spacing w:after="0"/>
              <w:rPr>
                <w:sz w:val="20"/>
                <w:szCs w:val="20"/>
                <w:color w:val="auto"/>
              </w:rPr>
            </w:pPr>
            <w:r>
              <w:rPr>
                <w:rFonts w:ascii="Arial" w:cs="Arial" w:eastAsia="Arial" w:hAnsi="Arial"/>
                <w:sz w:val="13"/>
                <w:szCs w:val="13"/>
                <w:color w:val="auto"/>
              </w:rPr>
              <w:t>State Street Bank and Trust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2,500,000.00</w:t>
            </w:r>
          </w:p>
        </w:tc>
        <w:tc>
          <w:tcPr>
            <w:tcW w:w="100" w:type="dxa"/>
            <w:vAlign w:val="bottom"/>
            <w:shd w:val="clear" w:color="auto" w:fill="CCEEFF"/>
          </w:tcPr>
          <w:p>
            <w:pPr>
              <w:spacing w:after="0"/>
              <w:rPr>
                <w:sz w:val="13"/>
                <w:szCs w:val="13"/>
                <w:color w:val="auto"/>
              </w:rPr>
            </w:pPr>
          </w:p>
        </w:tc>
      </w:tr>
      <w:tr>
        <w:trPr>
          <w:trHeight w:val="157"/>
        </w:trPr>
        <w:tc>
          <w:tcPr>
            <w:tcW w:w="1880" w:type="dxa"/>
            <w:vAlign w:val="bottom"/>
          </w:tcPr>
          <w:p>
            <w:pPr>
              <w:spacing w:after="0"/>
              <w:rPr>
                <w:sz w:val="13"/>
                <w:szCs w:val="13"/>
                <w:color w:val="auto"/>
              </w:rPr>
            </w:pPr>
          </w:p>
        </w:tc>
        <w:tc>
          <w:tcPr>
            <w:tcW w:w="2500" w:type="dxa"/>
            <w:vAlign w:val="bottom"/>
          </w:tcPr>
          <w:p>
            <w:pPr>
              <w:ind w:left="700"/>
              <w:spacing w:after="0"/>
              <w:rPr>
                <w:sz w:val="20"/>
                <w:szCs w:val="20"/>
                <w:color w:val="auto"/>
              </w:rPr>
            </w:pPr>
            <w:r>
              <w:rPr>
                <w:rFonts w:ascii="Arial" w:cs="Arial" w:eastAsia="Arial" w:hAnsi="Arial"/>
                <w:sz w:val="13"/>
                <w:szCs w:val="13"/>
                <w:color w:val="auto"/>
              </w:rPr>
              <w:t>LC870-099286</w:t>
            </w:r>
          </w:p>
        </w:tc>
        <w:tc>
          <w:tcPr>
            <w:tcW w:w="5320" w:type="dxa"/>
            <w:vAlign w:val="bottom"/>
          </w:tcPr>
          <w:p>
            <w:pPr>
              <w:ind w:left="560"/>
              <w:spacing w:after="0"/>
              <w:rPr>
                <w:sz w:val="20"/>
                <w:szCs w:val="20"/>
                <w:color w:val="auto"/>
              </w:rPr>
            </w:pPr>
            <w:r>
              <w:rPr>
                <w:rFonts w:ascii="Arial" w:cs="Arial" w:eastAsia="Arial" w:hAnsi="Arial"/>
                <w:sz w:val="13"/>
                <w:szCs w:val="13"/>
                <w:color w:val="auto"/>
              </w:rPr>
              <w:t>Bank of New York</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10,376,667.00</w:t>
            </w:r>
          </w:p>
        </w:tc>
      </w:tr>
      <w:tr>
        <w:trPr>
          <w:trHeight w:val="157"/>
        </w:trPr>
        <w:tc>
          <w:tcPr>
            <w:tcW w:w="1880" w:type="dxa"/>
            <w:vAlign w:val="bottom"/>
            <w:shd w:val="clear" w:color="auto" w:fill="CCEEFF"/>
          </w:tcPr>
          <w:p>
            <w:pPr>
              <w:spacing w:after="0"/>
              <w:rPr>
                <w:sz w:val="13"/>
                <w:szCs w:val="13"/>
                <w:color w:val="auto"/>
              </w:rPr>
            </w:pPr>
          </w:p>
        </w:tc>
        <w:tc>
          <w:tcPr>
            <w:tcW w:w="2500" w:type="dxa"/>
            <w:vAlign w:val="bottom"/>
            <w:shd w:val="clear" w:color="auto" w:fill="CCEEFF"/>
          </w:tcPr>
          <w:p>
            <w:pPr>
              <w:ind w:left="700"/>
              <w:spacing w:after="0"/>
              <w:rPr>
                <w:sz w:val="20"/>
                <w:szCs w:val="20"/>
                <w:color w:val="auto"/>
              </w:rPr>
            </w:pPr>
            <w:r>
              <w:rPr>
                <w:rFonts w:ascii="Arial" w:cs="Arial" w:eastAsia="Arial" w:hAnsi="Arial"/>
                <w:sz w:val="13"/>
                <w:szCs w:val="13"/>
                <w:color w:val="auto"/>
              </w:rPr>
              <w:t>LC870-112455 (80005)</w:t>
            </w:r>
          </w:p>
        </w:tc>
        <w:tc>
          <w:tcPr>
            <w:tcW w:w="5320" w:type="dxa"/>
            <w:vAlign w:val="bottom"/>
            <w:shd w:val="clear" w:color="auto" w:fill="CCEEFF"/>
          </w:tcPr>
          <w:p>
            <w:pPr>
              <w:ind w:left="560"/>
              <w:spacing w:after="0"/>
              <w:rPr>
                <w:sz w:val="20"/>
                <w:szCs w:val="20"/>
                <w:color w:val="auto"/>
              </w:rPr>
            </w:pPr>
            <w:r>
              <w:rPr>
                <w:rFonts w:ascii="Arial" w:cs="Arial" w:eastAsia="Arial" w:hAnsi="Arial"/>
                <w:sz w:val="13"/>
                <w:szCs w:val="13"/>
                <w:color w:val="auto"/>
              </w:rPr>
              <w:t>Bank of New York</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15,260,000.00</w:t>
            </w:r>
          </w:p>
        </w:tc>
      </w:tr>
      <w:tr>
        <w:trPr>
          <w:trHeight w:val="157"/>
        </w:trPr>
        <w:tc>
          <w:tcPr>
            <w:tcW w:w="1880" w:type="dxa"/>
            <w:vAlign w:val="bottom"/>
          </w:tcPr>
          <w:p>
            <w:pPr>
              <w:spacing w:after="0"/>
              <w:rPr>
                <w:sz w:val="13"/>
                <w:szCs w:val="13"/>
                <w:color w:val="auto"/>
              </w:rPr>
            </w:pPr>
          </w:p>
        </w:tc>
        <w:tc>
          <w:tcPr>
            <w:tcW w:w="2500" w:type="dxa"/>
            <w:vAlign w:val="bottom"/>
          </w:tcPr>
          <w:p>
            <w:pPr>
              <w:ind w:left="700"/>
              <w:spacing w:after="0"/>
              <w:rPr>
                <w:sz w:val="20"/>
                <w:szCs w:val="20"/>
                <w:color w:val="auto"/>
              </w:rPr>
            </w:pPr>
            <w:r>
              <w:rPr>
                <w:rFonts w:ascii="Arial" w:cs="Arial" w:eastAsia="Arial" w:hAnsi="Arial"/>
                <w:sz w:val="13"/>
                <w:szCs w:val="13"/>
                <w:color w:val="auto"/>
              </w:rPr>
              <w:t>LC870123638</w:t>
            </w:r>
          </w:p>
        </w:tc>
        <w:tc>
          <w:tcPr>
            <w:tcW w:w="5320" w:type="dxa"/>
            <w:vAlign w:val="bottom"/>
          </w:tcPr>
          <w:p>
            <w:pPr>
              <w:ind w:left="560"/>
              <w:spacing w:after="0"/>
              <w:rPr>
                <w:sz w:val="20"/>
                <w:szCs w:val="20"/>
                <w:color w:val="auto"/>
              </w:rPr>
            </w:pPr>
            <w:r>
              <w:rPr>
                <w:rFonts w:ascii="Arial" w:cs="Arial" w:eastAsia="Arial" w:hAnsi="Arial"/>
                <w:sz w:val="13"/>
                <w:szCs w:val="13"/>
                <w:color w:val="auto"/>
              </w:rPr>
              <w:t>Bank of New York</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20,346,667.00</w:t>
            </w:r>
          </w:p>
        </w:tc>
      </w:tr>
      <w:tr>
        <w:trPr>
          <w:trHeight w:val="157"/>
        </w:trPr>
        <w:tc>
          <w:tcPr>
            <w:tcW w:w="1880" w:type="dxa"/>
            <w:vAlign w:val="bottom"/>
            <w:shd w:val="clear" w:color="auto" w:fill="CCEEFF"/>
          </w:tcPr>
          <w:p>
            <w:pPr>
              <w:spacing w:after="0"/>
              <w:rPr>
                <w:sz w:val="13"/>
                <w:szCs w:val="13"/>
                <w:color w:val="auto"/>
              </w:rPr>
            </w:pPr>
          </w:p>
        </w:tc>
        <w:tc>
          <w:tcPr>
            <w:tcW w:w="2500" w:type="dxa"/>
            <w:vAlign w:val="bottom"/>
            <w:shd w:val="clear" w:color="auto" w:fill="CCEEFF"/>
          </w:tcPr>
          <w:p>
            <w:pPr>
              <w:ind w:left="700"/>
              <w:spacing w:after="0"/>
              <w:rPr>
                <w:sz w:val="20"/>
                <w:szCs w:val="20"/>
                <w:color w:val="auto"/>
              </w:rPr>
            </w:pPr>
            <w:r>
              <w:rPr>
                <w:rFonts w:ascii="Arial" w:cs="Arial" w:eastAsia="Arial" w:hAnsi="Arial"/>
                <w:sz w:val="13"/>
                <w:szCs w:val="13"/>
                <w:color w:val="auto"/>
              </w:rPr>
              <w:t>LC870123639</w:t>
            </w:r>
          </w:p>
        </w:tc>
        <w:tc>
          <w:tcPr>
            <w:tcW w:w="5320" w:type="dxa"/>
            <w:vAlign w:val="bottom"/>
            <w:shd w:val="clear" w:color="auto" w:fill="CCEEFF"/>
          </w:tcPr>
          <w:p>
            <w:pPr>
              <w:ind w:left="560"/>
              <w:spacing w:after="0"/>
              <w:rPr>
                <w:sz w:val="20"/>
                <w:szCs w:val="20"/>
                <w:color w:val="auto"/>
              </w:rPr>
            </w:pPr>
            <w:r>
              <w:rPr>
                <w:rFonts w:ascii="Arial" w:cs="Arial" w:eastAsia="Arial" w:hAnsi="Arial"/>
                <w:sz w:val="13"/>
                <w:szCs w:val="13"/>
                <w:color w:val="auto"/>
              </w:rPr>
              <w:t>Bank of New York</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10,173,334.00</w:t>
            </w:r>
          </w:p>
        </w:tc>
      </w:tr>
      <w:tr>
        <w:trPr>
          <w:trHeight w:val="165"/>
        </w:trPr>
        <w:tc>
          <w:tcPr>
            <w:tcW w:w="1880" w:type="dxa"/>
            <w:vAlign w:val="bottom"/>
          </w:tcPr>
          <w:p>
            <w:pPr>
              <w:spacing w:after="0"/>
              <w:rPr>
                <w:sz w:val="14"/>
                <w:szCs w:val="14"/>
                <w:color w:val="auto"/>
              </w:rPr>
            </w:pPr>
          </w:p>
        </w:tc>
        <w:tc>
          <w:tcPr>
            <w:tcW w:w="2500" w:type="dxa"/>
            <w:vAlign w:val="bottom"/>
          </w:tcPr>
          <w:p>
            <w:pPr>
              <w:ind w:left="700"/>
              <w:spacing w:after="0"/>
              <w:rPr>
                <w:sz w:val="20"/>
                <w:szCs w:val="20"/>
                <w:color w:val="auto"/>
              </w:rPr>
            </w:pPr>
            <w:r>
              <w:rPr>
                <w:rFonts w:ascii="Arial" w:cs="Arial" w:eastAsia="Arial" w:hAnsi="Arial"/>
                <w:sz w:val="13"/>
                <w:szCs w:val="13"/>
                <w:color w:val="auto"/>
              </w:rPr>
              <w:t>SM203351W</w:t>
            </w:r>
          </w:p>
        </w:tc>
        <w:tc>
          <w:tcPr>
            <w:tcW w:w="5320" w:type="dxa"/>
            <w:vAlign w:val="bottom"/>
          </w:tcPr>
          <w:p>
            <w:pPr>
              <w:ind w:left="560"/>
              <w:spacing w:after="0"/>
              <w:rPr>
                <w:sz w:val="20"/>
                <w:szCs w:val="20"/>
                <w:color w:val="auto"/>
              </w:rPr>
            </w:pPr>
            <w:r>
              <w:rPr>
                <w:rFonts w:ascii="Arial" w:cs="Arial" w:eastAsia="Arial" w:hAnsi="Arial"/>
                <w:sz w:val="13"/>
                <w:szCs w:val="13"/>
                <w:color w:val="auto"/>
              </w:rPr>
              <w:t>Commissioner, New York State Dept. of Environmental Conservation</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68,657,993.00</w:t>
            </w:r>
          </w:p>
        </w:tc>
      </w:tr>
      <w:tr>
        <w:trPr>
          <w:trHeight w:val="449"/>
        </w:trPr>
        <w:tc>
          <w:tcPr>
            <w:tcW w:w="188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53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4" w:right="219" w:bottom="1440" w:gutter="0" w:footer="0" w:header="0"/>
        </w:sectPr>
      </w:pPr>
    </w:p>
    <w:bookmarkStart w:id="239" w:name="page240"/>
    <w:bookmarkEnd w:id="239"/>
    <w:tbl>
      <w:tblPr>
        <w:tblLayout w:type="fixed"/>
        <w:tblInd w:w="0" w:type="dxa"/>
        <w:tblCellMar>
          <w:top w:w="0" w:type="dxa"/>
          <w:left w:w="0" w:type="dxa"/>
          <w:bottom w:w="0" w:type="dxa"/>
          <w:right w:w="0" w:type="dxa"/>
        </w:tblCellMar>
      </w:tblPr>
      <w:tr>
        <w:trPr>
          <w:trHeight w:val="121"/>
        </w:trPr>
        <w:tc>
          <w:tcPr>
            <w:tcW w:w="14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Guarantor</w:t>
            </w:r>
          </w:p>
        </w:tc>
        <w:tc>
          <w:tcPr>
            <w:tcW w:w="2580" w:type="dxa"/>
            <w:vAlign w:val="bottom"/>
            <w:tcBorders>
              <w:bottom w:val="single" w:sz="8" w:color="auto"/>
            </w:tcBorders>
          </w:tcPr>
          <w:p>
            <w:pPr>
              <w:ind w:left="1060"/>
              <w:spacing w:after="0"/>
              <w:rPr>
                <w:sz w:val="20"/>
                <w:szCs w:val="20"/>
                <w:color w:val="auto"/>
              </w:rPr>
            </w:pPr>
            <w:r>
              <w:rPr>
                <w:rFonts w:ascii="Arial" w:cs="Arial" w:eastAsia="Arial" w:hAnsi="Arial"/>
                <w:sz w:val="10"/>
                <w:szCs w:val="10"/>
                <w:color w:val="auto"/>
              </w:rPr>
              <w:t>LOC Number</w:t>
            </w:r>
          </w:p>
        </w:tc>
        <w:tc>
          <w:tcPr>
            <w:tcW w:w="6260" w:type="dxa"/>
            <w:vAlign w:val="bottom"/>
            <w:tcBorders>
              <w:bottom w:val="single" w:sz="8" w:color="auto"/>
            </w:tcBorders>
          </w:tcPr>
          <w:p>
            <w:pPr>
              <w:ind w:left="820"/>
              <w:spacing w:after="0"/>
              <w:rPr>
                <w:sz w:val="20"/>
                <w:szCs w:val="20"/>
                <w:color w:val="auto"/>
              </w:rPr>
            </w:pPr>
            <w:r>
              <w:rPr>
                <w:rFonts w:ascii="Arial" w:cs="Arial" w:eastAsia="Arial" w:hAnsi="Arial"/>
                <w:sz w:val="10"/>
                <w:szCs w:val="10"/>
                <w:color w:val="auto"/>
              </w:rPr>
              <w:t>Beneficiary</w:t>
            </w: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color w:val="auto"/>
              </w:rPr>
              <w:t>Amount</w:t>
            </w:r>
          </w:p>
        </w:tc>
      </w:tr>
      <w:tr>
        <w:trPr>
          <w:trHeight w:val="157"/>
        </w:trPr>
        <w:tc>
          <w:tcPr>
            <w:tcW w:w="1480" w:type="dxa"/>
            <w:vAlign w:val="bottom"/>
            <w:shd w:val="clear" w:color="auto" w:fill="CCEEFF"/>
          </w:tcPr>
          <w:p>
            <w:pPr>
              <w:spacing w:after="0"/>
              <w:rPr>
                <w:sz w:val="13"/>
                <w:szCs w:val="13"/>
                <w:color w:val="auto"/>
              </w:rPr>
            </w:pPr>
          </w:p>
        </w:tc>
        <w:tc>
          <w:tcPr>
            <w:tcW w:w="258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SM204784W</w:t>
            </w:r>
          </w:p>
        </w:tc>
        <w:tc>
          <w:tcPr>
            <w:tcW w:w="6260" w:type="dxa"/>
            <w:vAlign w:val="bottom"/>
            <w:shd w:val="clear" w:color="auto" w:fill="CCEEFF"/>
          </w:tcPr>
          <w:p>
            <w:pPr>
              <w:ind w:left="820"/>
              <w:spacing w:after="0"/>
              <w:rPr>
                <w:sz w:val="20"/>
                <w:szCs w:val="20"/>
                <w:color w:val="auto"/>
              </w:rPr>
            </w:pPr>
            <w:r>
              <w:rPr>
                <w:rFonts w:ascii="Arial" w:cs="Arial" w:eastAsia="Arial" w:hAnsi="Arial"/>
                <w:sz w:val="13"/>
                <w:szCs w:val="13"/>
                <w:color w:val="auto"/>
              </w:rPr>
              <w:t>Deutsche Bank Trust Company</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30,355,069.00</w:t>
            </w:r>
          </w:p>
        </w:tc>
      </w:tr>
      <w:tr>
        <w:trPr>
          <w:trHeight w:val="157"/>
        </w:trPr>
        <w:tc>
          <w:tcPr>
            <w:tcW w:w="1480" w:type="dxa"/>
            <w:vAlign w:val="bottom"/>
          </w:tcPr>
          <w:p>
            <w:pPr>
              <w:spacing w:after="0"/>
              <w:rPr>
                <w:sz w:val="13"/>
                <w:szCs w:val="13"/>
                <w:color w:val="auto"/>
              </w:rPr>
            </w:pPr>
          </w:p>
        </w:tc>
        <w:tc>
          <w:tcPr>
            <w:tcW w:w="2580" w:type="dxa"/>
            <w:vAlign w:val="bottom"/>
          </w:tcPr>
          <w:p>
            <w:pPr>
              <w:ind w:left="1060"/>
              <w:spacing w:after="0"/>
              <w:rPr>
                <w:sz w:val="20"/>
                <w:szCs w:val="20"/>
                <w:color w:val="auto"/>
              </w:rPr>
            </w:pPr>
            <w:r>
              <w:rPr>
                <w:rFonts w:ascii="Arial" w:cs="Arial" w:eastAsia="Arial" w:hAnsi="Arial"/>
                <w:sz w:val="13"/>
                <w:szCs w:val="13"/>
                <w:color w:val="auto"/>
              </w:rPr>
              <w:t>SM205508W</w:t>
            </w:r>
          </w:p>
        </w:tc>
        <w:tc>
          <w:tcPr>
            <w:tcW w:w="6260" w:type="dxa"/>
            <w:vAlign w:val="bottom"/>
          </w:tcPr>
          <w:p>
            <w:pPr>
              <w:ind w:left="820"/>
              <w:spacing w:after="0"/>
              <w:rPr>
                <w:sz w:val="20"/>
                <w:szCs w:val="20"/>
                <w:color w:val="auto"/>
              </w:rPr>
            </w:pPr>
            <w:r>
              <w:rPr>
                <w:rFonts w:ascii="Arial" w:cs="Arial" w:eastAsia="Arial" w:hAnsi="Arial"/>
                <w:sz w:val="13"/>
                <w:szCs w:val="13"/>
                <w:color w:val="auto"/>
              </w:rPr>
              <w:t>Deutsche Bank Trust Company</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3,769,088.00</w:t>
            </w:r>
          </w:p>
        </w:tc>
        <w:tc>
          <w:tcPr>
            <w:tcW w:w="100" w:type="dxa"/>
            <w:vAlign w:val="bottom"/>
          </w:tcPr>
          <w:p>
            <w:pPr>
              <w:spacing w:after="0"/>
              <w:rPr>
                <w:sz w:val="13"/>
                <w:szCs w:val="13"/>
                <w:color w:val="auto"/>
              </w:rPr>
            </w:pPr>
          </w:p>
        </w:tc>
      </w:tr>
      <w:tr>
        <w:trPr>
          <w:trHeight w:val="157"/>
        </w:trPr>
        <w:tc>
          <w:tcPr>
            <w:tcW w:w="1480" w:type="dxa"/>
            <w:vAlign w:val="bottom"/>
            <w:shd w:val="clear" w:color="auto" w:fill="CCEEFF"/>
          </w:tcPr>
          <w:p>
            <w:pPr>
              <w:spacing w:after="0"/>
              <w:rPr>
                <w:sz w:val="13"/>
                <w:szCs w:val="13"/>
                <w:color w:val="auto"/>
              </w:rPr>
            </w:pPr>
          </w:p>
        </w:tc>
        <w:tc>
          <w:tcPr>
            <w:tcW w:w="258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SM205509W</w:t>
            </w:r>
          </w:p>
        </w:tc>
        <w:tc>
          <w:tcPr>
            <w:tcW w:w="6260" w:type="dxa"/>
            <w:vAlign w:val="bottom"/>
            <w:shd w:val="clear" w:color="auto" w:fill="CCEEFF"/>
          </w:tcPr>
          <w:p>
            <w:pPr>
              <w:ind w:left="820"/>
              <w:spacing w:after="0"/>
              <w:rPr>
                <w:sz w:val="20"/>
                <w:szCs w:val="20"/>
                <w:color w:val="auto"/>
              </w:rPr>
            </w:pPr>
            <w:r>
              <w:rPr>
                <w:rFonts w:ascii="Arial" w:cs="Arial" w:eastAsia="Arial" w:hAnsi="Arial"/>
                <w:sz w:val="13"/>
                <w:szCs w:val="13"/>
                <w:color w:val="auto"/>
              </w:rPr>
              <w:t>Deutsche Bank Trust Company</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4,224,414.00</w:t>
            </w:r>
          </w:p>
        </w:tc>
        <w:tc>
          <w:tcPr>
            <w:tcW w:w="100" w:type="dxa"/>
            <w:vAlign w:val="bottom"/>
            <w:shd w:val="clear" w:color="auto" w:fill="CCEEFF"/>
          </w:tcPr>
          <w:p>
            <w:pPr>
              <w:spacing w:after="0"/>
              <w:rPr>
                <w:sz w:val="13"/>
                <w:szCs w:val="13"/>
                <w:color w:val="auto"/>
              </w:rPr>
            </w:pPr>
          </w:p>
        </w:tc>
      </w:tr>
      <w:tr>
        <w:trPr>
          <w:trHeight w:val="157"/>
        </w:trPr>
        <w:tc>
          <w:tcPr>
            <w:tcW w:w="1480" w:type="dxa"/>
            <w:vAlign w:val="bottom"/>
          </w:tcPr>
          <w:p>
            <w:pPr>
              <w:spacing w:after="0"/>
              <w:rPr>
                <w:sz w:val="13"/>
                <w:szCs w:val="13"/>
                <w:color w:val="auto"/>
              </w:rPr>
            </w:pPr>
          </w:p>
        </w:tc>
        <w:tc>
          <w:tcPr>
            <w:tcW w:w="2580" w:type="dxa"/>
            <w:vAlign w:val="bottom"/>
          </w:tcPr>
          <w:p>
            <w:pPr>
              <w:ind w:left="1060"/>
              <w:spacing w:after="0"/>
              <w:rPr>
                <w:sz w:val="20"/>
                <w:szCs w:val="20"/>
                <w:color w:val="auto"/>
              </w:rPr>
            </w:pPr>
            <w:r>
              <w:rPr>
                <w:rFonts w:ascii="Arial" w:cs="Arial" w:eastAsia="Arial" w:hAnsi="Arial"/>
                <w:sz w:val="13"/>
                <w:szCs w:val="13"/>
                <w:color w:val="auto"/>
              </w:rPr>
              <w:t>SM205510W</w:t>
            </w:r>
          </w:p>
        </w:tc>
        <w:tc>
          <w:tcPr>
            <w:tcW w:w="6260" w:type="dxa"/>
            <w:vAlign w:val="bottom"/>
          </w:tcPr>
          <w:p>
            <w:pPr>
              <w:ind w:left="820"/>
              <w:spacing w:after="0"/>
              <w:rPr>
                <w:sz w:val="20"/>
                <w:szCs w:val="20"/>
                <w:color w:val="auto"/>
              </w:rPr>
            </w:pPr>
            <w:r>
              <w:rPr>
                <w:rFonts w:ascii="Arial" w:cs="Arial" w:eastAsia="Arial" w:hAnsi="Arial"/>
                <w:sz w:val="13"/>
                <w:szCs w:val="13"/>
                <w:color w:val="auto"/>
              </w:rPr>
              <w:t>Deutsche Bank Trust Company</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4,401,485.00</w:t>
            </w:r>
          </w:p>
        </w:tc>
        <w:tc>
          <w:tcPr>
            <w:tcW w:w="100" w:type="dxa"/>
            <w:vAlign w:val="bottom"/>
          </w:tcPr>
          <w:p>
            <w:pPr>
              <w:spacing w:after="0"/>
              <w:rPr>
                <w:sz w:val="13"/>
                <w:szCs w:val="13"/>
                <w:color w:val="auto"/>
              </w:rPr>
            </w:pPr>
          </w:p>
        </w:tc>
      </w:tr>
      <w:tr>
        <w:trPr>
          <w:trHeight w:val="157"/>
        </w:trPr>
        <w:tc>
          <w:tcPr>
            <w:tcW w:w="1480" w:type="dxa"/>
            <w:vAlign w:val="bottom"/>
            <w:shd w:val="clear" w:color="auto" w:fill="CCEEFF"/>
          </w:tcPr>
          <w:p>
            <w:pPr>
              <w:spacing w:after="0"/>
              <w:rPr>
                <w:sz w:val="13"/>
                <w:szCs w:val="13"/>
                <w:color w:val="auto"/>
              </w:rPr>
            </w:pPr>
          </w:p>
        </w:tc>
        <w:tc>
          <w:tcPr>
            <w:tcW w:w="258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SM204054W</w:t>
            </w:r>
          </w:p>
        </w:tc>
        <w:tc>
          <w:tcPr>
            <w:tcW w:w="6260" w:type="dxa"/>
            <w:vAlign w:val="bottom"/>
            <w:shd w:val="clear" w:color="auto" w:fill="CCEEFF"/>
          </w:tcPr>
          <w:p>
            <w:pPr>
              <w:ind w:left="820"/>
              <w:spacing w:after="0"/>
              <w:rPr>
                <w:sz w:val="20"/>
                <w:szCs w:val="20"/>
                <w:color w:val="auto"/>
              </w:rPr>
            </w:pPr>
            <w:r>
              <w:rPr>
                <w:rFonts w:ascii="Arial" w:cs="Arial" w:eastAsia="Arial" w:hAnsi="Arial"/>
                <w:sz w:val="13"/>
                <w:szCs w:val="13"/>
                <w:color w:val="auto"/>
              </w:rPr>
              <w:t>Bank of New York</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15,177,535.00</w:t>
            </w:r>
          </w:p>
        </w:tc>
      </w:tr>
      <w:tr>
        <w:trPr>
          <w:trHeight w:val="157"/>
        </w:trPr>
        <w:tc>
          <w:tcPr>
            <w:tcW w:w="1480" w:type="dxa"/>
            <w:vAlign w:val="bottom"/>
          </w:tcPr>
          <w:p>
            <w:pPr>
              <w:spacing w:after="0"/>
              <w:rPr>
                <w:sz w:val="13"/>
                <w:szCs w:val="13"/>
                <w:color w:val="auto"/>
              </w:rPr>
            </w:pPr>
          </w:p>
        </w:tc>
        <w:tc>
          <w:tcPr>
            <w:tcW w:w="2580" w:type="dxa"/>
            <w:vAlign w:val="bottom"/>
          </w:tcPr>
          <w:p>
            <w:pPr>
              <w:ind w:left="1060"/>
              <w:spacing w:after="0"/>
              <w:rPr>
                <w:sz w:val="20"/>
                <w:szCs w:val="20"/>
                <w:color w:val="auto"/>
              </w:rPr>
            </w:pPr>
            <w:r>
              <w:rPr>
                <w:rFonts w:ascii="Arial" w:cs="Arial" w:eastAsia="Arial" w:hAnsi="Arial"/>
                <w:sz w:val="13"/>
                <w:szCs w:val="13"/>
                <w:color w:val="auto"/>
              </w:rPr>
              <w:t>SM204597W</w:t>
            </w:r>
          </w:p>
        </w:tc>
        <w:tc>
          <w:tcPr>
            <w:tcW w:w="6260" w:type="dxa"/>
            <w:vAlign w:val="bottom"/>
          </w:tcPr>
          <w:p>
            <w:pPr>
              <w:ind w:left="820"/>
              <w:spacing w:after="0"/>
              <w:rPr>
                <w:sz w:val="20"/>
                <w:szCs w:val="20"/>
                <w:color w:val="auto"/>
              </w:rPr>
            </w:pPr>
            <w:r>
              <w:rPr>
                <w:rFonts w:ascii="Arial" w:cs="Arial" w:eastAsia="Arial" w:hAnsi="Arial"/>
                <w:sz w:val="13"/>
                <w:szCs w:val="13"/>
                <w:color w:val="auto"/>
              </w:rPr>
              <w:t>Deutsche Bank Trust Company</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10,121,644.00</w:t>
            </w:r>
          </w:p>
        </w:tc>
      </w:tr>
      <w:tr>
        <w:trPr>
          <w:trHeight w:val="157"/>
        </w:trPr>
        <w:tc>
          <w:tcPr>
            <w:tcW w:w="148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62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232,050,691.00</w:t>
            </w:r>
          </w:p>
        </w:tc>
        <w:tc>
          <w:tcPr>
            <w:tcW w:w="100" w:type="dxa"/>
            <w:vAlign w:val="bottom"/>
            <w:shd w:val="clear" w:color="auto" w:fill="CCEEFF"/>
          </w:tcPr>
          <w:p>
            <w:pPr>
              <w:spacing w:after="0"/>
              <w:rPr>
                <w:sz w:val="13"/>
                <w:szCs w:val="13"/>
                <w:color w:val="auto"/>
              </w:rPr>
            </w:pPr>
          </w:p>
        </w:tc>
      </w:tr>
      <w:tr>
        <w:trPr>
          <w:trHeight w:val="313"/>
        </w:trPr>
        <w:tc>
          <w:tcPr>
            <w:tcW w:w="1480" w:type="dxa"/>
            <w:vAlign w:val="bottom"/>
          </w:tcPr>
          <w:p>
            <w:pPr>
              <w:spacing w:after="0"/>
              <w:rPr>
                <w:sz w:val="20"/>
                <w:szCs w:val="20"/>
                <w:color w:val="auto"/>
              </w:rPr>
            </w:pPr>
            <w:r>
              <w:rPr>
                <w:rFonts w:ascii="Arial" w:cs="Arial" w:eastAsia="Arial" w:hAnsi="Arial"/>
                <w:sz w:val="13"/>
                <w:szCs w:val="13"/>
                <w:color w:val="auto"/>
              </w:rPr>
              <w:t>Total:</w:t>
            </w:r>
          </w:p>
        </w:tc>
        <w:tc>
          <w:tcPr>
            <w:tcW w:w="258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w w:val="90"/>
              </w:rPr>
              <w:t>1,179,207,513.81</w:t>
            </w:r>
          </w:p>
        </w:tc>
        <w:tc>
          <w:tcPr>
            <w:tcW w:w="100" w:type="dxa"/>
            <w:vAlign w:val="bottom"/>
          </w:tcPr>
          <w:p>
            <w:pPr>
              <w:spacing w:after="0"/>
              <w:rPr>
                <w:sz w:val="24"/>
                <w:szCs w:val="24"/>
                <w:color w:val="auto"/>
              </w:rPr>
            </w:pPr>
          </w:p>
        </w:tc>
      </w:tr>
      <w:tr>
        <w:trPr>
          <w:trHeight w:val="458"/>
        </w:trPr>
        <w:tc>
          <w:tcPr>
            <w:tcW w:w="148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c>
          <w:tcPr>
            <w:tcW w:w="6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4" w:right="219" w:bottom="1440" w:gutter="0" w:footer="0" w:header="0"/>
        </w:sectPr>
      </w:pPr>
    </w:p>
    <w:bookmarkStart w:id="240" w:name="page241"/>
    <w:bookmarkEnd w:id="240"/>
    <w:p>
      <w:pPr>
        <w:jc w:val="right"/>
        <w:spacing w:after="0"/>
        <w:rPr>
          <w:sz w:val="20"/>
          <w:szCs w:val="20"/>
          <w:color w:val="auto"/>
        </w:rPr>
      </w:pPr>
      <w:r>
        <w:rPr>
          <w:rFonts w:ascii="Arial" w:cs="Arial" w:eastAsia="Arial" w:hAnsi="Arial"/>
          <w:sz w:val="13"/>
          <w:szCs w:val="13"/>
          <w:color w:val="auto"/>
        </w:rPr>
        <w:t>SCHEDULE 6.7</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LITIGATION</w:t>
      </w:r>
    </w:p>
    <w:p>
      <w:pPr>
        <w:spacing w:after="0" w:line="86" w:lineRule="exact"/>
        <w:rPr>
          <w:sz w:val="20"/>
          <w:szCs w:val="20"/>
          <w:color w:val="auto"/>
        </w:rPr>
      </w:pPr>
    </w:p>
    <w:p>
      <w:pPr>
        <w:ind w:right="20"/>
        <w:spacing w:after="0" w:line="264" w:lineRule="auto"/>
        <w:rPr>
          <w:sz w:val="20"/>
          <w:szCs w:val="20"/>
          <w:color w:val="auto"/>
        </w:rPr>
      </w:pPr>
      <w:r>
        <w:rPr>
          <w:rFonts w:ascii="Arial" w:cs="Arial" w:eastAsia="Arial" w:hAnsi="Arial"/>
          <w:sz w:val="13"/>
          <w:szCs w:val="13"/>
          <w:color w:val="auto"/>
        </w:rPr>
        <w:t xml:space="preserve">See the disclosure provided in (1) the </w:t>
      </w:r>
      <w:r>
        <w:rPr>
          <w:rFonts w:ascii="Arial" w:cs="Arial" w:eastAsia="Arial" w:hAnsi="Arial"/>
          <w:sz w:val="13"/>
          <w:szCs w:val="13"/>
          <w:i w:val="1"/>
          <w:iCs w:val="1"/>
          <w:color w:val="auto"/>
        </w:rPr>
        <w:t>“Litigation”</w:t>
      </w:r>
      <w:r>
        <w:rPr>
          <w:rFonts w:ascii="Arial" w:cs="Arial" w:eastAsia="Arial" w:hAnsi="Arial"/>
          <w:sz w:val="13"/>
          <w:szCs w:val="13"/>
          <w:color w:val="auto"/>
        </w:rPr>
        <w:t xml:space="preserve"> section of Note 8, Commitments and Contingencies, to Borrower’s condensed consolidated financial statements included within its Quarterly Report on Form 10-Q for the fiscal quarter ended March 31, 2010 and (2) the </w:t>
      </w:r>
      <w:r>
        <w:rPr>
          <w:rFonts w:ascii="Arial" w:cs="Arial" w:eastAsia="Arial" w:hAnsi="Arial"/>
          <w:sz w:val="13"/>
          <w:szCs w:val="13"/>
          <w:i w:val="1"/>
          <w:iCs w:val="1"/>
          <w:color w:val="auto"/>
        </w:rPr>
        <w:t>“Litigation”</w:t>
      </w:r>
      <w:r>
        <w:rPr>
          <w:rFonts w:ascii="Arial" w:cs="Arial" w:eastAsia="Arial" w:hAnsi="Arial"/>
          <w:sz w:val="13"/>
          <w:szCs w:val="13"/>
          <w:color w:val="auto"/>
        </w:rPr>
        <w:t xml:space="preserve"> section of Note 11, Commitments and Contingencies, to Borrower’s consolidated financial statements included within its Annual Report on Form 10-K for the fiscal year ended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7290435" cy="190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41" w:name="page242"/>
    <w:bookmarkEnd w:id="241"/>
    <w:p>
      <w:pPr>
        <w:jc w:val="right"/>
        <w:spacing w:after="0"/>
        <w:rPr>
          <w:sz w:val="20"/>
          <w:szCs w:val="20"/>
          <w:color w:val="auto"/>
        </w:rPr>
      </w:pPr>
      <w:r>
        <w:rPr>
          <w:rFonts w:ascii="Arial" w:cs="Arial" w:eastAsia="Arial" w:hAnsi="Arial"/>
          <w:sz w:val="13"/>
          <w:szCs w:val="13"/>
          <w:color w:val="auto"/>
        </w:rPr>
        <w:t>SCHEDULE 6.15</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ENVIRONMENTAL COMPLIANCE</w:t>
      </w:r>
    </w:p>
    <w:p>
      <w:pPr>
        <w:spacing w:after="0" w:line="86" w:lineRule="exact"/>
        <w:rPr>
          <w:sz w:val="20"/>
          <w:szCs w:val="20"/>
          <w:color w:val="auto"/>
        </w:rPr>
      </w:pPr>
    </w:p>
    <w:p>
      <w:pPr>
        <w:ind w:right="80"/>
        <w:spacing w:after="0" w:line="260" w:lineRule="auto"/>
        <w:rPr>
          <w:sz w:val="20"/>
          <w:szCs w:val="20"/>
          <w:color w:val="auto"/>
        </w:rPr>
      </w:pPr>
      <w:r>
        <w:rPr>
          <w:rFonts w:ascii="Arial" w:cs="Arial" w:eastAsia="Arial" w:hAnsi="Arial"/>
          <w:sz w:val="13"/>
          <w:szCs w:val="13"/>
          <w:color w:val="auto"/>
        </w:rPr>
        <w:t xml:space="preserve">See the disclosure provided in (1) Note 2, Landfill and Environmental Remediation Liabilities and the </w:t>
      </w:r>
      <w:r>
        <w:rPr>
          <w:rFonts w:ascii="Arial" w:cs="Arial" w:eastAsia="Arial" w:hAnsi="Arial"/>
          <w:sz w:val="13"/>
          <w:szCs w:val="13"/>
          <w:i w:val="1"/>
          <w:iCs w:val="1"/>
          <w:color w:val="auto"/>
        </w:rPr>
        <w:t>“Environmental Matters”</w:t>
      </w:r>
      <w:r>
        <w:rPr>
          <w:rFonts w:ascii="Arial" w:cs="Arial" w:eastAsia="Arial" w:hAnsi="Arial"/>
          <w:sz w:val="13"/>
          <w:szCs w:val="13"/>
          <w:color w:val="auto"/>
        </w:rPr>
        <w:t xml:space="preserve"> and </w:t>
      </w:r>
      <w:r>
        <w:rPr>
          <w:rFonts w:ascii="Arial" w:cs="Arial" w:eastAsia="Arial" w:hAnsi="Arial"/>
          <w:sz w:val="13"/>
          <w:szCs w:val="13"/>
          <w:i w:val="1"/>
          <w:iCs w:val="1"/>
          <w:color w:val="auto"/>
        </w:rPr>
        <w:t>“Litigation”</w:t>
      </w:r>
      <w:r>
        <w:rPr>
          <w:rFonts w:ascii="Arial" w:cs="Arial" w:eastAsia="Arial" w:hAnsi="Arial"/>
          <w:sz w:val="13"/>
          <w:szCs w:val="13"/>
          <w:color w:val="auto"/>
        </w:rPr>
        <w:t xml:space="preserve"> sections of Note 8, Commitments and Contingencies, to Borrower’s condensed consolidated financial statements included within its Quarterly Report on Form 10-Q for the fiscal quarter ended March 31, 2010 and (2) Note 4, Landfill and Environmental Remediation Liabilities, and the </w:t>
      </w:r>
      <w:r>
        <w:rPr>
          <w:rFonts w:ascii="Arial" w:cs="Arial" w:eastAsia="Arial" w:hAnsi="Arial"/>
          <w:sz w:val="13"/>
          <w:szCs w:val="13"/>
          <w:i w:val="1"/>
          <w:iCs w:val="1"/>
          <w:color w:val="auto"/>
        </w:rPr>
        <w:t xml:space="preserve">“Environmental Matters” </w:t>
      </w:r>
      <w:r>
        <w:rPr>
          <w:rFonts w:ascii="Arial" w:cs="Arial" w:eastAsia="Arial" w:hAnsi="Arial"/>
          <w:sz w:val="13"/>
          <w:szCs w:val="13"/>
          <w:color w:val="auto"/>
        </w:rPr>
        <w:t>and</w:t>
      </w:r>
      <w:r>
        <w:rPr>
          <w:rFonts w:ascii="Arial" w:cs="Arial" w:eastAsia="Arial" w:hAnsi="Arial"/>
          <w:sz w:val="13"/>
          <w:szCs w:val="13"/>
          <w:i w:val="1"/>
          <w:iCs w:val="1"/>
          <w:color w:val="auto"/>
        </w:rPr>
        <w:t xml:space="preserve"> “Litigation” </w:t>
      </w:r>
      <w:r>
        <w:rPr>
          <w:rFonts w:ascii="Arial" w:cs="Arial" w:eastAsia="Arial" w:hAnsi="Arial"/>
          <w:sz w:val="13"/>
          <w:szCs w:val="13"/>
          <w:color w:val="auto"/>
        </w:rPr>
        <w:t>sections of Note 11, Commitments and Contingencies, to Borrower’s consolidated financial statements included within its Annual Report on Form 10-K for the fiscal year</w:t>
      </w:r>
      <w:r>
        <w:rPr>
          <w:rFonts w:ascii="Arial" w:cs="Arial" w:eastAsia="Arial" w:hAnsi="Arial"/>
          <w:sz w:val="13"/>
          <w:szCs w:val="13"/>
          <w:i w:val="1"/>
          <w:iCs w:val="1"/>
          <w:color w:val="auto"/>
        </w:rPr>
        <w:t xml:space="preserve"> </w:t>
      </w:r>
      <w:r>
        <w:rPr>
          <w:rFonts w:ascii="Arial" w:cs="Arial" w:eastAsia="Arial" w:hAnsi="Arial"/>
          <w:sz w:val="13"/>
          <w:szCs w:val="13"/>
          <w:color w:val="auto"/>
        </w:rPr>
        <w:t>ended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277495</wp:posOffset>
            </wp:positionV>
            <wp:extent cx="7290435" cy="190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42" w:name="page243"/>
    <w:bookmarkEnd w:id="242"/>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SCHEDULE 8.1(a)</w:t>
            </w: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620" w:type="dxa"/>
            <w:vAlign w:val="bottom"/>
            <w:gridSpan w:val="2"/>
          </w:tcPr>
          <w:p>
            <w:pPr>
              <w:jc w:val="right"/>
              <w:ind w:right="2780"/>
              <w:spacing w:after="0"/>
              <w:rPr>
                <w:sz w:val="20"/>
                <w:szCs w:val="20"/>
                <w:color w:val="auto"/>
              </w:rPr>
            </w:pPr>
            <w:r>
              <w:rPr>
                <w:rFonts w:ascii="Arial" w:cs="Arial" w:eastAsia="Arial" w:hAnsi="Arial"/>
                <w:sz w:val="13"/>
                <w:szCs w:val="13"/>
                <w:color w:val="auto"/>
              </w:rPr>
              <w:t>EXISTING INDEBTEDNESS</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680" w:type="dxa"/>
            <w:vAlign w:val="bottom"/>
            <w:tcBorders>
              <w:bottom w:val="single" w:sz="8" w:color="auto"/>
            </w:tcBorders>
          </w:tcPr>
          <w:p>
            <w:pPr>
              <w:ind w:left="4180"/>
              <w:spacing w:after="0"/>
              <w:rPr>
                <w:sz w:val="20"/>
                <w:szCs w:val="20"/>
                <w:color w:val="auto"/>
              </w:rPr>
            </w:pPr>
            <w:r>
              <w:rPr>
                <w:rFonts w:ascii="Arial" w:cs="Arial" w:eastAsia="Arial" w:hAnsi="Arial"/>
                <w:sz w:val="10"/>
                <w:szCs w:val="10"/>
                <w:b w:val="1"/>
                <w:bCs w:val="1"/>
                <w:color w:val="auto"/>
              </w:rPr>
              <w:t>Name</w:t>
            </w:r>
          </w:p>
        </w:tc>
        <w:tc>
          <w:tcPr>
            <w:tcW w:w="45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0"/>
                <w:szCs w:val="10"/>
                <w:b w:val="1"/>
                <w:bCs w:val="1"/>
                <w:color w:val="auto"/>
              </w:rPr>
              <w:t>Principal</w:t>
            </w:r>
          </w:p>
        </w:tc>
        <w:tc>
          <w:tcPr>
            <w:tcW w:w="12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Maturity</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Waste Management Holdings Senior Notes:</w:t>
            </w:r>
          </w:p>
        </w:tc>
        <w:tc>
          <w:tcPr>
            <w:tcW w:w="4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$148,440,000 due 03/15/11</w:t>
            </w:r>
          </w:p>
        </w:tc>
        <w:tc>
          <w:tcPr>
            <w:tcW w:w="46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w w:val="91"/>
              </w:rPr>
              <w:t>147,440,000</w:t>
            </w:r>
          </w:p>
        </w:tc>
        <w:tc>
          <w:tcPr>
            <w:tcW w:w="220" w:type="dxa"/>
            <w:vAlign w:val="bottom"/>
          </w:tcPr>
          <w:p>
            <w:pPr>
              <w:spacing w:after="0"/>
              <w:rPr>
                <w:sz w:val="13"/>
                <w:szCs w:val="13"/>
                <w:color w:val="auto"/>
              </w:rPr>
            </w:pP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3/15/2011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$450,000,000 due 08/01/26</w:t>
            </w:r>
          </w:p>
        </w:tc>
        <w:tc>
          <w:tcPr>
            <w:tcW w:w="45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448,975,000</w:t>
            </w: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8/1/2026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80" w:type="dxa"/>
            <w:vAlign w:val="bottom"/>
          </w:tcPr>
          <w:p>
            <w:pPr>
              <w:ind w:left="120"/>
              <w:spacing w:after="0"/>
              <w:rPr>
                <w:sz w:val="20"/>
                <w:szCs w:val="20"/>
                <w:color w:val="auto"/>
              </w:rPr>
            </w:pPr>
            <w:r>
              <w:rPr>
                <w:rFonts w:ascii="Arial" w:cs="Arial" w:eastAsia="Arial" w:hAnsi="Arial"/>
                <w:sz w:val="13"/>
                <w:szCs w:val="13"/>
                <w:b w:val="1"/>
                <w:bCs w:val="1"/>
                <w:color w:val="auto"/>
              </w:rPr>
              <w:t>Total WM Holdings Senior Notes</w:t>
            </w:r>
          </w:p>
        </w:tc>
        <w:tc>
          <w:tcPr>
            <w:tcW w:w="46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w w:val="91"/>
              </w:rPr>
              <w:t>596,415,000</w:t>
            </w: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vMerge w:val="restart"/>
          </w:tcPr>
          <w:p>
            <w:pPr>
              <w:spacing w:after="0"/>
              <w:rPr>
                <w:sz w:val="13"/>
                <w:szCs w:val="13"/>
                <w:color w:val="auto"/>
              </w:rPr>
            </w:pPr>
          </w:p>
        </w:tc>
        <w:tc>
          <w:tcPr>
            <w:tcW w:w="468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Tax-Exempt Revenue Bonds:</w:t>
            </w:r>
          </w:p>
        </w:tc>
        <w:tc>
          <w:tcPr>
            <w:tcW w:w="4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Amelia, Virginia due 4/1/27</w:t>
            </w:r>
          </w:p>
        </w:tc>
        <w:tc>
          <w:tcPr>
            <w:tcW w:w="46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26,800,000</w:t>
            </w:r>
          </w:p>
        </w:tc>
        <w:tc>
          <w:tcPr>
            <w:tcW w:w="220" w:type="dxa"/>
            <w:vAlign w:val="bottom"/>
          </w:tcPr>
          <w:p>
            <w:pPr>
              <w:spacing w:after="0"/>
              <w:rPr>
                <w:sz w:val="13"/>
                <w:szCs w:val="13"/>
                <w:color w:val="auto"/>
              </w:rPr>
            </w:pP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4/1/2027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Arkansas due 6/01/28</w:t>
            </w:r>
          </w:p>
        </w:tc>
        <w:tc>
          <w:tcPr>
            <w:tcW w:w="4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15,000,000</w:t>
            </w: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6/1/2028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Brazoria County</w:t>
            </w:r>
          </w:p>
        </w:tc>
        <w:tc>
          <w:tcPr>
            <w:tcW w:w="4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12,000,000</w:t>
            </w:r>
          </w:p>
        </w:tc>
        <w:tc>
          <w:tcPr>
            <w:tcW w:w="220" w:type="dxa"/>
            <w:vAlign w:val="bottom"/>
          </w:tcPr>
          <w:p>
            <w:pPr>
              <w:spacing w:after="0"/>
              <w:rPr>
                <w:sz w:val="13"/>
                <w:szCs w:val="13"/>
                <w:color w:val="auto"/>
              </w:rPr>
            </w:pP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5/1/2028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Bucks County due 12/01/22</w:t>
            </w:r>
          </w:p>
        </w:tc>
        <w:tc>
          <w:tcPr>
            <w:tcW w:w="4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25,000,000</w:t>
            </w: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12/1/2022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California CPCFA</w:t>
            </w:r>
          </w:p>
        </w:tc>
        <w:tc>
          <w:tcPr>
            <w:tcW w:w="4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35,700,000</w:t>
            </w:r>
          </w:p>
        </w:tc>
        <w:tc>
          <w:tcPr>
            <w:tcW w:w="220" w:type="dxa"/>
            <w:vAlign w:val="bottom"/>
          </w:tcPr>
          <w:p>
            <w:pPr>
              <w:spacing w:after="0"/>
              <w:rPr>
                <w:sz w:val="13"/>
                <w:szCs w:val="13"/>
                <w:color w:val="auto"/>
              </w:rPr>
            </w:pP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11/1/2038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California CPCFA 2005A</w:t>
            </w:r>
          </w:p>
        </w:tc>
        <w:tc>
          <w:tcPr>
            <w:tcW w:w="4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50,000,000</w:t>
            </w: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4/1/2025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California CPCFA 2005B</w:t>
            </w:r>
          </w:p>
        </w:tc>
        <w:tc>
          <w:tcPr>
            <w:tcW w:w="4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50,000,000</w:t>
            </w:r>
          </w:p>
        </w:tc>
        <w:tc>
          <w:tcPr>
            <w:tcW w:w="220" w:type="dxa"/>
            <w:vAlign w:val="bottom"/>
          </w:tcPr>
          <w:p>
            <w:pPr>
              <w:spacing w:after="0"/>
              <w:rPr>
                <w:sz w:val="13"/>
                <w:szCs w:val="13"/>
                <w:color w:val="auto"/>
              </w:rPr>
            </w:pP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4/1/2025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California CPCFA 2005C</w:t>
            </w:r>
          </w:p>
        </w:tc>
        <w:tc>
          <w:tcPr>
            <w:tcW w:w="4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75,000,000</w:t>
            </w: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11/1/2023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California CPCFA due 1/1/22</w:t>
            </w:r>
          </w:p>
        </w:tc>
        <w:tc>
          <w:tcPr>
            <w:tcW w:w="4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48,500,000</w:t>
            </w:r>
          </w:p>
        </w:tc>
        <w:tc>
          <w:tcPr>
            <w:tcW w:w="220" w:type="dxa"/>
            <w:vAlign w:val="bottom"/>
          </w:tcPr>
          <w:p>
            <w:pPr>
              <w:spacing w:after="0"/>
              <w:rPr>
                <w:sz w:val="13"/>
                <w:szCs w:val="13"/>
                <w:color w:val="auto"/>
              </w:rPr>
            </w:pP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1/1/2022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California CPCFA due 12/01/27</w:t>
            </w:r>
          </w:p>
        </w:tc>
        <w:tc>
          <w:tcPr>
            <w:tcW w:w="4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15,000,000</w:t>
            </w: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12/1/2027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California CPCFA due 7/01/31</w:t>
            </w:r>
          </w:p>
        </w:tc>
        <w:tc>
          <w:tcPr>
            <w:tcW w:w="4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19,000,000</w:t>
            </w:r>
          </w:p>
        </w:tc>
        <w:tc>
          <w:tcPr>
            <w:tcW w:w="220" w:type="dxa"/>
            <w:vAlign w:val="bottom"/>
          </w:tcPr>
          <w:p>
            <w:pPr>
              <w:spacing w:after="0"/>
              <w:rPr>
                <w:sz w:val="13"/>
                <w:szCs w:val="13"/>
                <w:color w:val="auto"/>
              </w:rPr>
            </w:pP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7/1/2031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California CPCFA due 7/1/27</w:t>
            </w:r>
          </w:p>
        </w:tc>
        <w:tc>
          <w:tcPr>
            <w:tcW w:w="4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38,435,000</w:t>
            </w: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7/1/2027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California Municipal Finance Authority - 2008 Issuance</w:t>
            </w:r>
          </w:p>
        </w:tc>
        <w:tc>
          <w:tcPr>
            <w:tcW w:w="4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33,900,000</w:t>
            </w:r>
          </w:p>
        </w:tc>
        <w:tc>
          <w:tcPr>
            <w:tcW w:w="220" w:type="dxa"/>
            <w:vAlign w:val="bottom"/>
          </w:tcPr>
          <w:p>
            <w:pPr>
              <w:spacing w:after="0"/>
              <w:rPr>
                <w:sz w:val="13"/>
                <w:szCs w:val="13"/>
                <w:color w:val="auto"/>
              </w:rPr>
            </w:pP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2/1/2019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California Municipal Finance Authority - 2009A</w:t>
            </w:r>
          </w:p>
        </w:tc>
        <w:tc>
          <w:tcPr>
            <w:tcW w:w="4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30,000,000</w:t>
            </w: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2/1/2039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California Municipal Finance Authority</w:t>
            </w:r>
          </w:p>
        </w:tc>
        <w:tc>
          <w:tcPr>
            <w:tcW w:w="4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15,000,000</w:t>
            </w:r>
          </w:p>
        </w:tc>
        <w:tc>
          <w:tcPr>
            <w:tcW w:w="220" w:type="dxa"/>
            <w:vAlign w:val="bottom"/>
          </w:tcPr>
          <w:p>
            <w:pPr>
              <w:spacing w:after="0"/>
              <w:rPr>
                <w:sz w:val="13"/>
                <w:szCs w:val="13"/>
                <w:color w:val="auto"/>
              </w:rPr>
            </w:pP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9/1/2014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Carolina North due 8/01/14</w:t>
            </w:r>
          </w:p>
        </w:tc>
        <w:tc>
          <w:tcPr>
            <w:tcW w:w="4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6,500,000</w:t>
            </w: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8/1/2014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Charles City</w:t>
            </w:r>
          </w:p>
        </w:tc>
        <w:tc>
          <w:tcPr>
            <w:tcW w:w="4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10,000,000</w:t>
            </w:r>
          </w:p>
        </w:tc>
        <w:tc>
          <w:tcPr>
            <w:tcW w:w="220" w:type="dxa"/>
            <w:vAlign w:val="bottom"/>
          </w:tcPr>
          <w:p>
            <w:pPr>
              <w:spacing w:after="0"/>
              <w:rPr>
                <w:sz w:val="13"/>
                <w:szCs w:val="13"/>
                <w:color w:val="auto"/>
              </w:rPr>
            </w:pP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8/1/2027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Charles City (Virginia) due 4/1/27</w:t>
            </w:r>
          </w:p>
        </w:tc>
        <w:tc>
          <w:tcPr>
            <w:tcW w:w="4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10,000,000</w:t>
            </w: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4/1/2027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Charles City due 2/1/29</w:t>
            </w:r>
          </w:p>
        </w:tc>
        <w:tc>
          <w:tcPr>
            <w:tcW w:w="4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30,000,000</w:t>
            </w:r>
          </w:p>
        </w:tc>
        <w:tc>
          <w:tcPr>
            <w:tcW w:w="220" w:type="dxa"/>
            <w:vAlign w:val="bottom"/>
          </w:tcPr>
          <w:p>
            <w:pPr>
              <w:spacing w:after="0"/>
              <w:rPr>
                <w:sz w:val="13"/>
                <w:szCs w:val="13"/>
                <w:color w:val="auto"/>
              </w:rPr>
            </w:pP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2/1/2029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Chesser A due 4/1/18</w:t>
            </w:r>
          </w:p>
        </w:tc>
        <w:tc>
          <w:tcPr>
            <w:tcW w:w="4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4,915,000</w:t>
            </w: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4/1/2018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City of Granite City Illinois due 5/1/27</w:t>
            </w:r>
          </w:p>
        </w:tc>
        <w:tc>
          <w:tcPr>
            <w:tcW w:w="4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30,320,000</w:t>
            </w:r>
          </w:p>
        </w:tc>
        <w:tc>
          <w:tcPr>
            <w:tcW w:w="220" w:type="dxa"/>
            <w:vAlign w:val="bottom"/>
          </w:tcPr>
          <w:p>
            <w:pPr>
              <w:spacing w:after="0"/>
              <w:rPr>
                <w:sz w:val="13"/>
                <w:szCs w:val="13"/>
                <w:color w:val="auto"/>
              </w:rPr>
            </w:pP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5/1/2027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City of Minor Lane Heights due 3/1/21</w:t>
            </w:r>
          </w:p>
        </w:tc>
        <w:tc>
          <w:tcPr>
            <w:tcW w:w="4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11,000,000</w:t>
            </w: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3/1/2021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City of Mobile</w:t>
            </w:r>
          </w:p>
        </w:tc>
        <w:tc>
          <w:tcPr>
            <w:tcW w:w="4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4,175,000</w:t>
            </w:r>
          </w:p>
        </w:tc>
        <w:tc>
          <w:tcPr>
            <w:tcW w:w="220" w:type="dxa"/>
            <w:vAlign w:val="bottom"/>
          </w:tcPr>
          <w:p>
            <w:pPr>
              <w:spacing w:after="0"/>
              <w:rPr>
                <w:sz w:val="13"/>
                <w:szCs w:val="13"/>
                <w:color w:val="auto"/>
              </w:rPr>
            </w:pP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10/1/2028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Cobb County Series 2004A-1</w:t>
            </w:r>
          </w:p>
        </w:tc>
        <w:tc>
          <w:tcPr>
            <w:tcW w:w="4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10,000,000</w:t>
            </w: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4/1/2033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Cobb County Series 2004A-2</w:t>
            </w:r>
          </w:p>
        </w:tc>
        <w:tc>
          <w:tcPr>
            <w:tcW w:w="4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10,000,000</w:t>
            </w:r>
          </w:p>
        </w:tc>
        <w:tc>
          <w:tcPr>
            <w:tcW w:w="220" w:type="dxa"/>
            <w:vAlign w:val="bottom"/>
          </w:tcPr>
          <w:p>
            <w:pPr>
              <w:spacing w:after="0"/>
              <w:rPr>
                <w:sz w:val="13"/>
                <w:szCs w:val="13"/>
                <w:color w:val="auto"/>
              </w:rPr>
            </w:pP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4/1/2033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Colorado due 7/1/27</w:t>
            </w:r>
          </w:p>
        </w:tc>
        <w:tc>
          <w:tcPr>
            <w:tcW w:w="4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14,160,000</w:t>
            </w: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7/1/2027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Colorado due 8/1/38</w:t>
            </w:r>
          </w:p>
        </w:tc>
        <w:tc>
          <w:tcPr>
            <w:tcW w:w="4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10,000,000</w:t>
            </w:r>
          </w:p>
        </w:tc>
        <w:tc>
          <w:tcPr>
            <w:tcW w:w="220" w:type="dxa"/>
            <w:vAlign w:val="bottom"/>
          </w:tcPr>
          <w:p>
            <w:pPr>
              <w:spacing w:after="0"/>
              <w:rPr>
                <w:sz w:val="13"/>
                <w:szCs w:val="13"/>
                <w:color w:val="auto"/>
              </w:rPr>
            </w:pP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8/1/2038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Colorado Series 2004</w:t>
            </w:r>
          </w:p>
        </w:tc>
        <w:tc>
          <w:tcPr>
            <w:tcW w:w="4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10,840,000</w:t>
            </w: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7/1/2018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Countryside (Lake County) due 4/1/21</w:t>
            </w:r>
          </w:p>
        </w:tc>
        <w:tc>
          <w:tcPr>
            <w:tcW w:w="4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5,670,000</w:t>
            </w:r>
          </w:p>
        </w:tc>
        <w:tc>
          <w:tcPr>
            <w:tcW w:w="220" w:type="dxa"/>
            <w:vAlign w:val="bottom"/>
          </w:tcPr>
          <w:p>
            <w:pPr>
              <w:spacing w:after="0"/>
              <w:rPr>
                <w:sz w:val="13"/>
                <w:szCs w:val="13"/>
                <w:color w:val="auto"/>
              </w:rPr>
            </w:pP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4/1/2021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Countryside (Lake County) due 9/1/21</w:t>
            </w:r>
          </w:p>
        </w:tc>
        <w:tc>
          <w:tcPr>
            <w:tcW w:w="4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4,320,000</w:t>
            </w: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9/1/2021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County of Logan due 3/1/21</w:t>
            </w:r>
          </w:p>
        </w:tc>
        <w:tc>
          <w:tcPr>
            <w:tcW w:w="4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7,450,000</w:t>
            </w:r>
          </w:p>
        </w:tc>
        <w:tc>
          <w:tcPr>
            <w:tcW w:w="220" w:type="dxa"/>
            <w:vAlign w:val="bottom"/>
          </w:tcPr>
          <w:p>
            <w:pPr>
              <w:spacing w:after="0"/>
              <w:rPr>
                <w:sz w:val="13"/>
                <w:szCs w:val="13"/>
                <w:color w:val="auto"/>
              </w:rPr>
            </w:pP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3/1/2021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CSCDA due 4/1/11</w:t>
            </w:r>
          </w:p>
        </w:tc>
        <w:tc>
          <w:tcPr>
            <w:tcW w:w="4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25,000,000</w:t>
            </w: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4/1/2011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Denton County 2003 B</w:t>
            </w:r>
          </w:p>
        </w:tc>
        <w:tc>
          <w:tcPr>
            <w:tcW w:w="4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10,000,000</w:t>
            </w:r>
          </w:p>
        </w:tc>
        <w:tc>
          <w:tcPr>
            <w:tcW w:w="220" w:type="dxa"/>
            <w:vAlign w:val="bottom"/>
          </w:tcPr>
          <w:p>
            <w:pPr>
              <w:spacing w:after="0"/>
              <w:rPr>
                <w:sz w:val="13"/>
                <w:szCs w:val="13"/>
                <w:color w:val="auto"/>
              </w:rPr>
            </w:pP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5/1/2028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East Central Alabama</w:t>
            </w:r>
          </w:p>
        </w:tc>
        <w:tc>
          <w:tcPr>
            <w:tcW w:w="4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3,725,000</w:t>
            </w: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10/1/2028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Gilliam County</w:t>
            </w:r>
          </w:p>
        </w:tc>
        <w:tc>
          <w:tcPr>
            <w:tcW w:w="4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15,000,000</w:t>
            </w:r>
          </w:p>
        </w:tc>
        <w:tc>
          <w:tcPr>
            <w:tcW w:w="220" w:type="dxa"/>
            <w:vAlign w:val="bottom"/>
          </w:tcPr>
          <w:p>
            <w:pPr>
              <w:spacing w:after="0"/>
              <w:rPr>
                <w:sz w:val="13"/>
                <w:szCs w:val="13"/>
                <w:color w:val="auto"/>
              </w:rPr>
            </w:pP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7/1/2038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Gilliam County due 07/01/29</w:t>
            </w:r>
          </w:p>
        </w:tc>
        <w:tc>
          <w:tcPr>
            <w:tcW w:w="4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25,000,000</w:t>
            </w: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7/1/2029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Gilliam County due 08/01/25</w:t>
            </w:r>
          </w:p>
        </w:tc>
        <w:tc>
          <w:tcPr>
            <w:tcW w:w="4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15,900,000</w:t>
            </w:r>
          </w:p>
        </w:tc>
        <w:tc>
          <w:tcPr>
            <w:tcW w:w="220" w:type="dxa"/>
            <w:vAlign w:val="bottom"/>
          </w:tcPr>
          <w:p>
            <w:pPr>
              <w:spacing w:after="0"/>
              <w:rPr>
                <w:sz w:val="13"/>
                <w:szCs w:val="13"/>
                <w:color w:val="auto"/>
              </w:rPr>
            </w:pP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8/1/2025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Gilliam County (2007)</w:t>
            </w:r>
          </w:p>
        </w:tc>
        <w:tc>
          <w:tcPr>
            <w:tcW w:w="4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25,000,000</w:t>
            </w: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10/1/2018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Gloucester (VA 2003A)</w:t>
            </w:r>
          </w:p>
        </w:tc>
        <w:tc>
          <w:tcPr>
            <w:tcW w:w="4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10,000,000</w:t>
            </w:r>
          </w:p>
        </w:tc>
        <w:tc>
          <w:tcPr>
            <w:tcW w:w="220" w:type="dxa"/>
            <w:vAlign w:val="bottom"/>
          </w:tcPr>
          <w:p>
            <w:pPr>
              <w:spacing w:after="0"/>
              <w:rPr>
                <w:sz w:val="14"/>
                <w:szCs w:val="14"/>
                <w:color w:val="auto"/>
              </w:rPr>
            </w:pP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9/1/2038</w:t>
            </w:r>
          </w:p>
        </w:tc>
        <w:tc>
          <w:tcPr>
            <w:tcW w:w="0" w:type="dxa"/>
            <w:vAlign w:val="bottom"/>
          </w:tcPr>
          <w:p>
            <w:pPr>
              <w:spacing w:after="0"/>
              <w:rPr>
                <w:sz w:val="1"/>
                <w:szCs w:val="1"/>
                <w:color w:val="auto"/>
              </w:rPr>
            </w:pPr>
          </w:p>
        </w:tc>
      </w:tr>
      <w:tr>
        <w:trPr>
          <w:trHeight w:val="449"/>
        </w:trPr>
        <w:tc>
          <w:tcPr>
            <w:tcW w:w="20" w:type="dxa"/>
            <w:vAlign w:val="bottom"/>
            <w:tcBorders>
              <w:bottom w:val="single" w:sz="8" w:color="808080"/>
            </w:tcBorders>
          </w:tcPr>
          <w:p>
            <w:pPr>
              <w:spacing w:after="0"/>
              <w:rPr>
                <w:sz w:val="24"/>
                <w:szCs w:val="24"/>
                <w:color w:val="auto"/>
              </w:rPr>
            </w:pPr>
          </w:p>
        </w:tc>
        <w:tc>
          <w:tcPr>
            <w:tcW w:w="4680" w:type="dxa"/>
            <w:vAlign w:val="bottom"/>
            <w:tcBorders>
              <w:bottom w:val="single" w:sz="8" w:color="808080"/>
            </w:tcBorders>
          </w:tcPr>
          <w:p>
            <w:pPr>
              <w:spacing w:after="0"/>
              <w:rPr>
                <w:sz w:val="24"/>
                <w:szCs w:val="24"/>
                <w:color w:val="auto"/>
              </w:rPr>
            </w:pPr>
          </w:p>
        </w:tc>
        <w:tc>
          <w:tcPr>
            <w:tcW w:w="45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6940" w:type="dxa"/>
            <w:vAlign w:val="bottom"/>
            <w:tcBorders>
              <w:bottom w:val="single" w:sz="8" w:color="auto"/>
            </w:tcBorders>
          </w:tcPr>
          <w:p>
            <w:pPr>
              <w:ind w:left="4200"/>
              <w:spacing w:after="0"/>
              <w:rPr>
                <w:sz w:val="20"/>
                <w:szCs w:val="20"/>
                <w:color w:val="auto"/>
              </w:rPr>
            </w:pPr>
            <w:r>
              <w:rPr>
                <w:rFonts w:ascii="Arial" w:cs="Arial" w:eastAsia="Arial" w:hAnsi="Arial"/>
                <w:sz w:val="10"/>
                <w:szCs w:val="10"/>
                <w:b w:val="1"/>
                <w:bCs w:val="1"/>
                <w:color w:val="auto"/>
              </w:rPr>
              <w:t>Name</w:t>
            </w:r>
          </w:p>
        </w:tc>
        <w:tc>
          <w:tcPr>
            <w:tcW w:w="3460" w:type="dxa"/>
            <w:vAlign w:val="bottom"/>
            <w:tcBorders>
              <w:bottom w:val="single" w:sz="8" w:color="auto"/>
            </w:tcBorders>
          </w:tcPr>
          <w:p>
            <w:pPr>
              <w:jc w:val="right"/>
              <w:ind w:right="495"/>
              <w:spacing w:after="0"/>
              <w:rPr>
                <w:sz w:val="20"/>
                <w:szCs w:val="20"/>
                <w:color w:val="auto"/>
              </w:rPr>
            </w:pPr>
            <w:r>
              <w:rPr>
                <w:rFonts w:ascii="Arial" w:cs="Arial" w:eastAsia="Arial" w:hAnsi="Arial"/>
                <w:sz w:val="10"/>
                <w:szCs w:val="10"/>
                <w:b w:val="1"/>
                <w:bCs w:val="1"/>
                <w:color w:val="auto"/>
              </w:rPr>
              <w:t>Principal</w:t>
            </w:r>
          </w:p>
        </w:tc>
        <w:tc>
          <w:tcPr>
            <w:tcW w:w="10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Maturity</w:t>
            </w:r>
          </w:p>
        </w:tc>
      </w:tr>
      <w:tr>
        <w:trPr>
          <w:trHeight w:val="157"/>
        </w:trPr>
        <w:tc>
          <w:tcPr>
            <w:tcW w:w="20" w:type="dxa"/>
            <w:vAlign w:val="bottom"/>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Gulf Coast Series 2004A</w:t>
            </w:r>
          </w:p>
        </w:tc>
        <w:tc>
          <w:tcPr>
            <w:tcW w:w="34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35,000,000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4/1/2019</w:t>
            </w:r>
          </w:p>
        </w:tc>
      </w:tr>
      <w:tr>
        <w:trPr>
          <w:trHeight w:val="157"/>
        </w:trPr>
        <w:tc>
          <w:tcPr>
            <w:tcW w:w="20" w:type="dxa"/>
            <w:vAlign w:val="bottom"/>
          </w:tcPr>
          <w:p>
            <w:pPr>
              <w:spacing w:after="0"/>
              <w:rPr>
                <w:sz w:val="13"/>
                <w:szCs w:val="13"/>
                <w:color w:val="auto"/>
              </w:rPr>
            </w:pPr>
          </w:p>
        </w:tc>
        <w:tc>
          <w:tcPr>
            <w:tcW w:w="6940" w:type="dxa"/>
            <w:vAlign w:val="bottom"/>
          </w:tcPr>
          <w:p>
            <w:pPr>
              <w:spacing w:after="0"/>
              <w:rPr>
                <w:sz w:val="20"/>
                <w:szCs w:val="20"/>
                <w:color w:val="auto"/>
              </w:rPr>
            </w:pPr>
            <w:r>
              <w:rPr>
                <w:rFonts w:ascii="Arial" w:cs="Arial" w:eastAsia="Arial" w:hAnsi="Arial"/>
                <w:sz w:val="13"/>
                <w:szCs w:val="13"/>
                <w:color w:val="auto"/>
              </w:rPr>
              <w:t>Hampton (Wachovia) due 4/1/13</w:t>
            </w:r>
          </w:p>
        </w:tc>
        <w:tc>
          <w:tcPr>
            <w:tcW w:w="3460" w:type="dxa"/>
            <w:vAlign w:val="bottom"/>
          </w:tcPr>
          <w:p>
            <w:pPr>
              <w:jc w:val="right"/>
              <w:ind w:right="355"/>
              <w:spacing w:after="0"/>
              <w:rPr>
                <w:sz w:val="20"/>
                <w:szCs w:val="20"/>
                <w:color w:val="auto"/>
              </w:rPr>
            </w:pPr>
            <w:r>
              <w:rPr>
                <w:rFonts w:ascii="Arial" w:cs="Arial" w:eastAsia="Arial" w:hAnsi="Arial"/>
                <w:sz w:val="13"/>
                <w:szCs w:val="13"/>
                <w:color w:val="auto"/>
              </w:rPr>
              <w:t>10,000,000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4/1/2013</w:t>
            </w:r>
          </w:p>
        </w:tc>
      </w:tr>
      <w:tr>
        <w:trPr>
          <w:trHeight w:val="157"/>
        </w:trPr>
        <w:tc>
          <w:tcPr>
            <w:tcW w:w="20" w:type="dxa"/>
            <w:vAlign w:val="bottom"/>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Hampton due 9/1/28</w:t>
            </w:r>
          </w:p>
        </w:tc>
        <w:tc>
          <w:tcPr>
            <w:tcW w:w="34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10,000,000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9/1/2028</w:t>
            </w:r>
          </w:p>
        </w:tc>
      </w:tr>
      <w:tr>
        <w:trPr>
          <w:trHeight w:val="157"/>
        </w:trPr>
        <w:tc>
          <w:tcPr>
            <w:tcW w:w="20" w:type="dxa"/>
            <w:vAlign w:val="bottom"/>
          </w:tcPr>
          <w:p>
            <w:pPr>
              <w:spacing w:after="0"/>
              <w:rPr>
                <w:sz w:val="13"/>
                <w:szCs w:val="13"/>
                <w:color w:val="auto"/>
              </w:rPr>
            </w:pPr>
          </w:p>
        </w:tc>
        <w:tc>
          <w:tcPr>
            <w:tcW w:w="6940" w:type="dxa"/>
            <w:vAlign w:val="bottom"/>
          </w:tcPr>
          <w:p>
            <w:pPr>
              <w:spacing w:after="0"/>
              <w:rPr>
                <w:sz w:val="20"/>
                <w:szCs w:val="20"/>
                <w:color w:val="auto"/>
              </w:rPr>
            </w:pPr>
            <w:r>
              <w:rPr>
                <w:rFonts w:ascii="Arial" w:cs="Arial" w:eastAsia="Arial" w:hAnsi="Arial"/>
                <w:sz w:val="13"/>
                <w:szCs w:val="13"/>
                <w:color w:val="auto"/>
              </w:rPr>
              <w:t>Harris County</w:t>
            </w:r>
          </w:p>
        </w:tc>
        <w:tc>
          <w:tcPr>
            <w:tcW w:w="3460" w:type="dxa"/>
            <w:vAlign w:val="bottom"/>
          </w:tcPr>
          <w:p>
            <w:pPr>
              <w:jc w:val="right"/>
              <w:ind w:right="355"/>
              <w:spacing w:after="0"/>
              <w:rPr>
                <w:sz w:val="20"/>
                <w:szCs w:val="20"/>
                <w:color w:val="auto"/>
              </w:rPr>
            </w:pPr>
            <w:r>
              <w:rPr>
                <w:rFonts w:ascii="Arial" w:cs="Arial" w:eastAsia="Arial" w:hAnsi="Arial"/>
                <w:sz w:val="13"/>
                <w:szCs w:val="13"/>
                <w:color w:val="auto"/>
              </w:rPr>
              <w:t>25,000,000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4/1/2012</w:t>
            </w:r>
          </w:p>
        </w:tc>
      </w:tr>
      <w:tr>
        <w:trPr>
          <w:trHeight w:val="157"/>
        </w:trPr>
        <w:tc>
          <w:tcPr>
            <w:tcW w:w="20" w:type="dxa"/>
            <w:vAlign w:val="bottom"/>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Harrison County due 4/1/24</w:t>
            </w:r>
          </w:p>
        </w:tc>
        <w:tc>
          <w:tcPr>
            <w:tcW w:w="34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8,420,000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4/1/2024</w:t>
            </w:r>
          </w:p>
        </w:tc>
      </w:tr>
      <w:tr>
        <w:trPr>
          <w:trHeight w:val="157"/>
        </w:trPr>
        <w:tc>
          <w:tcPr>
            <w:tcW w:w="20" w:type="dxa"/>
            <w:vAlign w:val="bottom"/>
          </w:tcPr>
          <w:p>
            <w:pPr>
              <w:spacing w:after="0"/>
              <w:rPr>
                <w:sz w:val="13"/>
                <w:szCs w:val="13"/>
                <w:color w:val="auto"/>
              </w:rPr>
            </w:pPr>
          </w:p>
        </w:tc>
        <w:tc>
          <w:tcPr>
            <w:tcW w:w="6940" w:type="dxa"/>
            <w:vAlign w:val="bottom"/>
          </w:tcPr>
          <w:p>
            <w:pPr>
              <w:spacing w:after="0"/>
              <w:rPr>
                <w:sz w:val="20"/>
                <w:szCs w:val="20"/>
                <w:color w:val="auto"/>
              </w:rPr>
            </w:pPr>
            <w:r>
              <w:rPr>
                <w:rFonts w:ascii="Arial" w:cs="Arial" w:eastAsia="Arial" w:hAnsi="Arial"/>
                <w:sz w:val="13"/>
                <w:szCs w:val="13"/>
                <w:color w:val="auto"/>
              </w:rPr>
              <w:t>Illinois due 10/1/2023</w:t>
            </w:r>
          </w:p>
        </w:tc>
        <w:tc>
          <w:tcPr>
            <w:tcW w:w="3460" w:type="dxa"/>
            <w:vAlign w:val="bottom"/>
          </w:tcPr>
          <w:p>
            <w:pPr>
              <w:jc w:val="right"/>
              <w:ind w:right="355"/>
              <w:spacing w:after="0"/>
              <w:rPr>
                <w:sz w:val="20"/>
                <w:szCs w:val="20"/>
                <w:color w:val="auto"/>
              </w:rPr>
            </w:pPr>
            <w:r>
              <w:rPr>
                <w:rFonts w:ascii="Arial" w:cs="Arial" w:eastAsia="Arial" w:hAnsi="Arial"/>
                <w:sz w:val="13"/>
                <w:szCs w:val="13"/>
                <w:color w:val="auto"/>
              </w:rPr>
              <w:t>20,000,000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10/1/2023</w:t>
            </w:r>
          </w:p>
        </w:tc>
      </w:tr>
      <w:tr>
        <w:trPr>
          <w:trHeight w:val="157"/>
        </w:trPr>
        <w:tc>
          <w:tcPr>
            <w:tcW w:w="20" w:type="dxa"/>
            <w:vAlign w:val="bottom"/>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Illinois due 8/1/2029</w:t>
            </w:r>
          </w:p>
        </w:tc>
        <w:tc>
          <w:tcPr>
            <w:tcW w:w="34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30,000,000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8/1/2029</w:t>
            </w:r>
          </w:p>
        </w:tc>
      </w:tr>
      <w:tr>
        <w:trPr>
          <w:trHeight w:val="157"/>
        </w:trPr>
        <w:tc>
          <w:tcPr>
            <w:tcW w:w="20" w:type="dxa"/>
            <w:vAlign w:val="bottom"/>
          </w:tcPr>
          <w:p>
            <w:pPr>
              <w:spacing w:after="0"/>
              <w:rPr>
                <w:sz w:val="13"/>
                <w:szCs w:val="13"/>
                <w:color w:val="auto"/>
              </w:rPr>
            </w:pPr>
          </w:p>
        </w:tc>
        <w:tc>
          <w:tcPr>
            <w:tcW w:w="6940" w:type="dxa"/>
            <w:vAlign w:val="bottom"/>
          </w:tcPr>
          <w:p>
            <w:pPr>
              <w:spacing w:after="0"/>
              <w:rPr>
                <w:sz w:val="20"/>
                <w:szCs w:val="20"/>
                <w:color w:val="auto"/>
              </w:rPr>
            </w:pPr>
            <w:r>
              <w:rPr>
                <w:rFonts w:ascii="Arial" w:cs="Arial" w:eastAsia="Arial" w:hAnsi="Arial"/>
                <w:sz w:val="13"/>
                <w:szCs w:val="13"/>
                <w:color w:val="auto"/>
              </w:rPr>
              <w:t>Illinois due 9/1/27</w:t>
            </w:r>
          </w:p>
        </w:tc>
        <w:tc>
          <w:tcPr>
            <w:tcW w:w="3460" w:type="dxa"/>
            <w:vAlign w:val="bottom"/>
          </w:tcPr>
          <w:p>
            <w:pPr>
              <w:jc w:val="right"/>
              <w:ind w:right="355"/>
              <w:spacing w:after="0"/>
              <w:rPr>
                <w:sz w:val="20"/>
                <w:szCs w:val="20"/>
                <w:color w:val="auto"/>
              </w:rPr>
            </w:pPr>
            <w:r>
              <w:rPr>
                <w:rFonts w:ascii="Arial" w:cs="Arial" w:eastAsia="Arial" w:hAnsi="Arial"/>
                <w:sz w:val="13"/>
                <w:szCs w:val="13"/>
                <w:color w:val="auto"/>
              </w:rPr>
              <w:t>30,000,000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9/1/2027</w:t>
            </w:r>
          </w:p>
        </w:tc>
      </w:tr>
      <w:tr>
        <w:trPr>
          <w:trHeight w:val="157"/>
        </w:trPr>
        <w:tc>
          <w:tcPr>
            <w:tcW w:w="20" w:type="dxa"/>
            <w:vAlign w:val="bottom"/>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Illinois due 4/1/13</w:t>
            </w:r>
          </w:p>
        </w:tc>
        <w:tc>
          <w:tcPr>
            <w:tcW w:w="34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30,000,000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4/1/2013</w:t>
            </w:r>
          </w:p>
        </w:tc>
      </w:tr>
      <w:tr>
        <w:trPr>
          <w:trHeight w:val="157"/>
        </w:trPr>
        <w:tc>
          <w:tcPr>
            <w:tcW w:w="20" w:type="dxa"/>
            <w:vAlign w:val="bottom"/>
          </w:tcPr>
          <w:p>
            <w:pPr>
              <w:spacing w:after="0"/>
              <w:rPr>
                <w:sz w:val="13"/>
                <w:szCs w:val="13"/>
                <w:color w:val="auto"/>
              </w:rPr>
            </w:pPr>
          </w:p>
        </w:tc>
        <w:tc>
          <w:tcPr>
            <w:tcW w:w="6940" w:type="dxa"/>
            <w:vAlign w:val="bottom"/>
          </w:tcPr>
          <w:p>
            <w:pPr>
              <w:spacing w:after="0"/>
              <w:rPr>
                <w:sz w:val="20"/>
                <w:szCs w:val="20"/>
                <w:color w:val="auto"/>
              </w:rPr>
            </w:pPr>
            <w:r>
              <w:rPr>
                <w:rFonts w:ascii="Arial" w:cs="Arial" w:eastAsia="Arial" w:hAnsi="Arial"/>
                <w:sz w:val="13"/>
                <w:szCs w:val="13"/>
                <w:color w:val="auto"/>
              </w:rPr>
              <w:t>Indiana due 10/01/25</w:t>
            </w:r>
          </w:p>
        </w:tc>
        <w:tc>
          <w:tcPr>
            <w:tcW w:w="3460" w:type="dxa"/>
            <w:vAlign w:val="bottom"/>
          </w:tcPr>
          <w:p>
            <w:pPr>
              <w:jc w:val="right"/>
              <w:ind w:right="355"/>
              <w:spacing w:after="0"/>
              <w:rPr>
                <w:sz w:val="20"/>
                <w:szCs w:val="20"/>
                <w:color w:val="auto"/>
              </w:rPr>
            </w:pPr>
            <w:r>
              <w:rPr>
                <w:rFonts w:ascii="Arial" w:cs="Arial" w:eastAsia="Arial" w:hAnsi="Arial"/>
                <w:sz w:val="13"/>
                <w:szCs w:val="13"/>
                <w:color w:val="auto"/>
              </w:rPr>
              <w:t>14,000,000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10/1/2025</w:t>
            </w:r>
          </w:p>
        </w:tc>
      </w:tr>
      <w:tr>
        <w:trPr>
          <w:trHeight w:val="157"/>
        </w:trPr>
        <w:tc>
          <w:tcPr>
            <w:tcW w:w="20" w:type="dxa"/>
            <w:vAlign w:val="bottom"/>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Indiana due 10/01/25</w:t>
            </w:r>
          </w:p>
        </w:tc>
        <w:tc>
          <w:tcPr>
            <w:tcW w:w="34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25,000,000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10/1/2025</w:t>
            </w:r>
          </w:p>
        </w:tc>
      </w:tr>
      <w:tr>
        <w:trPr>
          <w:trHeight w:val="157"/>
        </w:trPr>
        <w:tc>
          <w:tcPr>
            <w:tcW w:w="20" w:type="dxa"/>
            <w:vAlign w:val="bottom"/>
          </w:tcPr>
          <w:p>
            <w:pPr>
              <w:spacing w:after="0"/>
              <w:rPr>
                <w:sz w:val="13"/>
                <w:szCs w:val="13"/>
                <w:color w:val="auto"/>
              </w:rPr>
            </w:pPr>
          </w:p>
        </w:tc>
        <w:tc>
          <w:tcPr>
            <w:tcW w:w="6940" w:type="dxa"/>
            <w:vAlign w:val="bottom"/>
          </w:tcPr>
          <w:p>
            <w:pPr>
              <w:spacing w:after="0"/>
              <w:rPr>
                <w:sz w:val="20"/>
                <w:szCs w:val="20"/>
                <w:color w:val="auto"/>
              </w:rPr>
            </w:pPr>
            <w:r>
              <w:rPr>
                <w:rFonts w:ascii="Arial" w:cs="Arial" w:eastAsia="Arial" w:hAnsi="Arial"/>
                <w:sz w:val="13"/>
                <w:szCs w:val="13"/>
                <w:color w:val="auto"/>
              </w:rPr>
              <w:t>Indiana due 10/01/31</w:t>
            </w:r>
          </w:p>
        </w:tc>
        <w:tc>
          <w:tcPr>
            <w:tcW w:w="3460" w:type="dxa"/>
            <w:vAlign w:val="bottom"/>
          </w:tcPr>
          <w:p>
            <w:pPr>
              <w:jc w:val="right"/>
              <w:ind w:right="355"/>
              <w:spacing w:after="0"/>
              <w:rPr>
                <w:sz w:val="20"/>
                <w:szCs w:val="20"/>
                <w:color w:val="auto"/>
              </w:rPr>
            </w:pPr>
            <w:r>
              <w:rPr>
                <w:rFonts w:ascii="Arial" w:cs="Arial" w:eastAsia="Arial" w:hAnsi="Arial"/>
                <w:sz w:val="13"/>
                <w:szCs w:val="13"/>
                <w:color w:val="auto"/>
              </w:rPr>
              <w:t>10,000,000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10/1/2031</w:t>
            </w:r>
          </w:p>
        </w:tc>
      </w:tr>
      <w:tr>
        <w:trPr>
          <w:trHeight w:val="157"/>
        </w:trPr>
        <w:tc>
          <w:tcPr>
            <w:tcW w:w="20" w:type="dxa"/>
            <w:vAlign w:val="bottom"/>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King George due 6/1/23</w:t>
            </w:r>
          </w:p>
        </w:tc>
        <w:tc>
          <w:tcPr>
            <w:tcW w:w="34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20,000,000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6/1/2023</w:t>
            </w:r>
          </w:p>
        </w:tc>
      </w:tr>
      <w:tr>
        <w:trPr>
          <w:trHeight w:val="157"/>
        </w:trPr>
        <w:tc>
          <w:tcPr>
            <w:tcW w:w="20" w:type="dxa"/>
            <w:vAlign w:val="bottom"/>
          </w:tcPr>
          <w:p>
            <w:pPr>
              <w:spacing w:after="0"/>
              <w:rPr>
                <w:sz w:val="13"/>
                <w:szCs w:val="13"/>
                <w:color w:val="auto"/>
              </w:rPr>
            </w:pPr>
          </w:p>
        </w:tc>
        <w:tc>
          <w:tcPr>
            <w:tcW w:w="6940" w:type="dxa"/>
            <w:vAlign w:val="bottom"/>
          </w:tcPr>
          <w:p>
            <w:pPr>
              <w:spacing w:after="0"/>
              <w:rPr>
                <w:sz w:val="20"/>
                <w:szCs w:val="20"/>
                <w:color w:val="auto"/>
              </w:rPr>
            </w:pPr>
            <w:r>
              <w:rPr>
                <w:rFonts w:ascii="Arial" w:cs="Arial" w:eastAsia="Arial" w:hAnsi="Arial"/>
                <w:sz w:val="13"/>
                <w:szCs w:val="13"/>
                <w:color w:val="auto"/>
              </w:rPr>
              <w:t>King George due 9/1/21 (Garnet)</w:t>
            </w:r>
          </w:p>
        </w:tc>
        <w:tc>
          <w:tcPr>
            <w:tcW w:w="3460" w:type="dxa"/>
            <w:vAlign w:val="bottom"/>
          </w:tcPr>
          <w:p>
            <w:pPr>
              <w:jc w:val="right"/>
              <w:ind w:right="355"/>
              <w:spacing w:after="0"/>
              <w:rPr>
                <w:sz w:val="20"/>
                <w:szCs w:val="20"/>
                <w:color w:val="auto"/>
              </w:rPr>
            </w:pPr>
            <w:r>
              <w:rPr>
                <w:rFonts w:ascii="Arial" w:cs="Arial" w:eastAsia="Arial" w:hAnsi="Arial"/>
                <w:sz w:val="13"/>
                <w:szCs w:val="13"/>
                <w:color w:val="auto"/>
              </w:rPr>
              <w:t>19,890,000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9/1/2021</w:t>
            </w:r>
          </w:p>
        </w:tc>
      </w:tr>
      <w:tr>
        <w:trPr>
          <w:trHeight w:val="157"/>
        </w:trPr>
        <w:tc>
          <w:tcPr>
            <w:tcW w:w="20" w:type="dxa"/>
            <w:vAlign w:val="bottom"/>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Maine</w:t>
            </w:r>
          </w:p>
        </w:tc>
        <w:tc>
          <w:tcPr>
            <w:tcW w:w="34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13,500,000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11/1/2015</w:t>
            </w:r>
          </w:p>
        </w:tc>
      </w:tr>
      <w:tr>
        <w:trPr>
          <w:trHeight w:val="157"/>
        </w:trPr>
        <w:tc>
          <w:tcPr>
            <w:tcW w:w="20" w:type="dxa"/>
            <w:vAlign w:val="bottom"/>
          </w:tcPr>
          <w:p>
            <w:pPr>
              <w:spacing w:after="0"/>
              <w:rPr>
                <w:sz w:val="13"/>
                <w:szCs w:val="13"/>
                <w:color w:val="auto"/>
              </w:rPr>
            </w:pPr>
          </w:p>
        </w:tc>
        <w:tc>
          <w:tcPr>
            <w:tcW w:w="6940" w:type="dxa"/>
            <w:vAlign w:val="bottom"/>
          </w:tcPr>
          <w:p>
            <w:pPr>
              <w:spacing w:after="0"/>
              <w:rPr>
                <w:sz w:val="20"/>
                <w:szCs w:val="20"/>
                <w:color w:val="auto"/>
              </w:rPr>
            </w:pPr>
            <w:r>
              <w:rPr>
                <w:rFonts w:ascii="Arial" w:cs="Arial" w:eastAsia="Arial" w:hAnsi="Arial"/>
                <w:sz w:val="13"/>
                <w:szCs w:val="13"/>
                <w:color w:val="auto"/>
              </w:rPr>
              <w:t>Maine</w:t>
            </w:r>
          </w:p>
        </w:tc>
        <w:tc>
          <w:tcPr>
            <w:tcW w:w="3460" w:type="dxa"/>
            <w:vAlign w:val="bottom"/>
          </w:tcPr>
          <w:p>
            <w:pPr>
              <w:jc w:val="right"/>
              <w:ind w:right="355"/>
              <w:spacing w:after="0"/>
              <w:rPr>
                <w:sz w:val="20"/>
                <w:szCs w:val="20"/>
                <w:color w:val="auto"/>
              </w:rPr>
            </w:pPr>
            <w:r>
              <w:rPr>
                <w:rFonts w:ascii="Arial" w:cs="Arial" w:eastAsia="Arial" w:hAnsi="Arial"/>
                <w:sz w:val="13"/>
                <w:szCs w:val="13"/>
                <w:color w:val="auto"/>
              </w:rPr>
              <w:t>30,000,000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2/1/2016</w:t>
            </w:r>
          </w:p>
        </w:tc>
      </w:tr>
      <w:tr>
        <w:trPr>
          <w:trHeight w:val="157"/>
        </w:trPr>
        <w:tc>
          <w:tcPr>
            <w:tcW w:w="20" w:type="dxa"/>
            <w:vAlign w:val="bottom"/>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Maricopa (Arizona) due 12/01/31</w:t>
            </w:r>
          </w:p>
        </w:tc>
        <w:tc>
          <w:tcPr>
            <w:tcW w:w="34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15,580,000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12/1/2031</w:t>
            </w:r>
          </w:p>
        </w:tc>
      </w:tr>
      <w:tr>
        <w:trPr>
          <w:trHeight w:val="157"/>
        </w:trPr>
        <w:tc>
          <w:tcPr>
            <w:tcW w:w="20" w:type="dxa"/>
            <w:vAlign w:val="bottom"/>
          </w:tcPr>
          <w:p>
            <w:pPr>
              <w:spacing w:after="0"/>
              <w:rPr>
                <w:sz w:val="13"/>
                <w:szCs w:val="13"/>
                <w:color w:val="auto"/>
              </w:rPr>
            </w:pPr>
          </w:p>
        </w:tc>
        <w:tc>
          <w:tcPr>
            <w:tcW w:w="6940" w:type="dxa"/>
            <w:vAlign w:val="bottom"/>
          </w:tcPr>
          <w:p>
            <w:pPr>
              <w:spacing w:after="0"/>
              <w:rPr>
                <w:sz w:val="20"/>
                <w:szCs w:val="20"/>
                <w:color w:val="auto"/>
              </w:rPr>
            </w:pPr>
            <w:r>
              <w:rPr>
                <w:rFonts w:ascii="Arial" w:cs="Arial" w:eastAsia="Arial" w:hAnsi="Arial"/>
                <w:sz w:val="13"/>
                <w:szCs w:val="13"/>
                <w:color w:val="auto"/>
              </w:rPr>
              <w:t>Maryland due 4/1/16</w:t>
            </w:r>
          </w:p>
        </w:tc>
        <w:tc>
          <w:tcPr>
            <w:tcW w:w="3460" w:type="dxa"/>
            <w:vAlign w:val="bottom"/>
          </w:tcPr>
          <w:p>
            <w:pPr>
              <w:jc w:val="right"/>
              <w:ind w:right="355"/>
              <w:spacing w:after="0"/>
              <w:rPr>
                <w:sz w:val="20"/>
                <w:szCs w:val="20"/>
                <w:color w:val="auto"/>
              </w:rPr>
            </w:pPr>
            <w:r>
              <w:rPr>
                <w:rFonts w:ascii="Arial" w:cs="Arial" w:eastAsia="Arial" w:hAnsi="Arial"/>
                <w:sz w:val="13"/>
                <w:szCs w:val="13"/>
                <w:color w:val="auto"/>
              </w:rPr>
              <w:t>10,200,000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4/1/2016</w:t>
            </w:r>
          </w:p>
        </w:tc>
      </w:tr>
      <w:tr>
        <w:trPr>
          <w:trHeight w:val="157"/>
        </w:trPr>
        <w:tc>
          <w:tcPr>
            <w:tcW w:w="20" w:type="dxa"/>
            <w:vAlign w:val="bottom"/>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Massachusetts</w:t>
            </w:r>
          </w:p>
        </w:tc>
        <w:tc>
          <w:tcPr>
            <w:tcW w:w="34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15,000,000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6/1/2014</w:t>
            </w:r>
          </w:p>
        </w:tc>
      </w:tr>
      <w:tr>
        <w:trPr>
          <w:trHeight w:val="157"/>
        </w:trPr>
        <w:tc>
          <w:tcPr>
            <w:tcW w:w="20" w:type="dxa"/>
            <w:vAlign w:val="bottom"/>
          </w:tcPr>
          <w:p>
            <w:pPr>
              <w:spacing w:after="0"/>
              <w:rPr>
                <w:sz w:val="13"/>
                <w:szCs w:val="13"/>
                <w:color w:val="auto"/>
              </w:rPr>
            </w:pPr>
          </w:p>
        </w:tc>
        <w:tc>
          <w:tcPr>
            <w:tcW w:w="6940" w:type="dxa"/>
            <w:vAlign w:val="bottom"/>
          </w:tcPr>
          <w:p>
            <w:pPr>
              <w:spacing w:after="0"/>
              <w:rPr>
                <w:sz w:val="20"/>
                <w:szCs w:val="20"/>
                <w:color w:val="auto"/>
              </w:rPr>
            </w:pPr>
            <w:r>
              <w:rPr>
                <w:rFonts w:ascii="Arial" w:cs="Arial" w:eastAsia="Arial" w:hAnsi="Arial"/>
                <w:sz w:val="13"/>
                <w:szCs w:val="13"/>
                <w:color w:val="auto"/>
              </w:rPr>
              <w:t>Massachusetts due 5/1/27</w:t>
            </w:r>
          </w:p>
        </w:tc>
        <w:tc>
          <w:tcPr>
            <w:tcW w:w="3460" w:type="dxa"/>
            <w:vAlign w:val="bottom"/>
          </w:tcPr>
          <w:p>
            <w:pPr>
              <w:jc w:val="right"/>
              <w:ind w:right="355"/>
              <w:spacing w:after="0"/>
              <w:rPr>
                <w:sz w:val="20"/>
                <w:szCs w:val="20"/>
                <w:color w:val="auto"/>
              </w:rPr>
            </w:pPr>
            <w:r>
              <w:rPr>
                <w:rFonts w:ascii="Arial" w:cs="Arial" w:eastAsia="Arial" w:hAnsi="Arial"/>
                <w:sz w:val="13"/>
                <w:szCs w:val="13"/>
                <w:color w:val="auto"/>
              </w:rPr>
              <w:t>15,000,000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5/1/2027</w:t>
            </w:r>
          </w:p>
        </w:tc>
      </w:tr>
      <w:tr>
        <w:trPr>
          <w:trHeight w:val="157"/>
        </w:trPr>
        <w:tc>
          <w:tcPr>
            <w:tcW w:w="20" w:type="dxa"/>
            <w:vAlign w:val="bottom"/>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Miami Dade County Series 2004A</w:t>
            </w:r>
          </w:p>
        </w:tc>
        <w:tc>
          <w:tcPr>
            <w:tcW w:w="34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11,500,000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12/1/2018</w:t>
            </w:r>
          </w:p>
        </w:tc>
      </w:tr>
      <w:tr>
        <w:trPr>
          <w:trHeight w:val="157"/>
        </w:trPr>
        <w:tc>
          <w:tcPr>
            <w:tcW w:w="20" w:type="dxa"/>
            <w:vAlign w:val="bottom"/>
          </w:tcPr>
          <w:p>
            <w:pPr>
              <w:spacing w:after="0"/>
              <w:rPr>
                <w:sz w:val="13"/>
                <w:szCs w:val="13"/>
                <w:color w:val="auto"/>
              </w:rPr>
            </w:pPr>
          </w:p>
        </w:tc>
        <w:tc>
          <w:tcPr>
            <w:tcW w:w="6940" w:type="dxa"/>
            <w:vAlign w:val="bottom"/>
          </w:tcPr>
          <w:p>
            <w:pPr>
              <w:spacing w:after="0"/>
              <w:rPr>
                <w:sz w:val="20"/>
                <w:szCs w:val="20"/>
                <w:color w:val="auto"/>
              </w:rPr>
            </w:pPr>
            <w:r>
              <w:rPr>
                <w:rFonts w:ascii="Arial" w:cs="Arial" w:eastAsia="Arial" w:hAnsi="Arial"/>
                <w:sz w:val="13"/>
                <w:szCs w:val="13"/>
                <w:color w:val="auto"/>
              </w:rPr>
              <w:t>Miami Dade County Series 2004B</w:t>
            </w:r>
          </w:p>
        </w:tc>
        <w:tc>
          <w:tcPr>
            <w:tcW w:w="3460" w:type="dxa"/>
            <w:vAlign w:val="bottom"/>
          </w:tcPr>
          <w:p>
            <w:pPr>
              <w:jc w:val="right"/>
              <w:ind w:right="355"/>
              <w:spacing w:after="0"/>
              <w:rPr>
                <w:sz w:val="20"/>
                <w:szCs w:val="20"/>
                <w:color w:val="auto"/>
              </w:rPr>
            </w:pPr>
            <w:r>
              <w:rPr>
                <w:rFonts w:ascii="Arial" w:cs="Arial" w:eastAsia="Arial" w:hAnsi="Arial"/>
                <w:sz w:val="13"/>
                <w:szCs w:val="13"/>
                <w:color w:val="auto"/>
              </w:rPr>
              <w:t>11,500,000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12/1/2018</w:t>
            </w:r>
          </w:p>
        </w:tc>
      </w:tr>
      <w:tr>
        <w:trPr>
          <w:trHeight w:val="157"/>
        </w:trPr>
        <w:tc>
          <w:tcPr>
            <w:tcW w:w="20" w:type="dxa"/>
            <w:vAlign w:val="bottom"/>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Miami Dade County Series 2006</w:t>
            </w:r>
          </w:p>
        </w:tc>
        <w:tc>
          <w:tcPr>
            <w:tcW w:w="34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25,000,000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10/1/2018</w:t>
            </w:r>
          </w:p>
        </w:tc>
      </w:tr>
      <w:tr>
        <w:trPr>
          <w:trHeight w:val="157"/>
        </w:trPr>
        <w:tc>
          <w:tcPr>
            <w:tcW w:w="20" w:type="dxa"/>
            <w:vAlign w:val="bottom"/>
          </w:tcPr>
          <w:p>
            <w:pPr>
              <w:spacing w:after="0"/>
              <w:rPr>
                <w:sz w:val="13"/>
                <w:szCs w:val="13"/>
                <w:color w:val="auto"/>
              </w:rPr>
            </w:pPr>
          </w:p>
        </w:tc>
        <w:tc>
          <w:tcPr>
            <w:tcW w:w="6940" w:type="dxa"/>
            <w:vAlign w:val="bottom"/>
          </w:tcPr>
          <w:p>
            <w:pPr>
              <w:spacing w:after="0"/>
              <w:rPr>
                <w:sz w:val="20"/>
                <w:szCs w:val="20"/>
                <w:color w:val="auto"/>
              </w:rPr>
            </w:pPr>
            <w:r>
              <w:rPr>
                <w:rFonts w:ascii="Arial" w:cs="Arial" w:eastAsia="Arial" w:hAnsi="Arial"/>
                <w:sz w:val="13"/>
                <w:szCs w:val="13"/>
                <w:color w:val="auto"/>
              </w:rPr>
              <w:t>Miami Dade County Series 2007</w:t>
            </w:r>
          </w:p>
        </w:tc>
        <w:tc>
          <w:tcPr>
            <w:tcW w:w="3460" w:type="dxa"/>
            <w:vAlign w:val="bottom"/>
          </w:tcPr>
          <w:p>
            <w:pPr>
              <w:jc w:val="right"/>
              <w:ind w:right="355"/>
              <w:spacing w:after="0"/>
              <w:rPr>
                <w:sz w:val="20"/>
                <w:szCs w:val="20"/>
                <w:color w:val="auto"/>
              </w:rPr>
            </w:pPr>
            <w:r>
              <w:rPr>
                <w:rFonts w:ascii="Arial" w:cs="Arial" w:eastAsia="Arial" w:hAnsi="Arial"/>
                <w:sz w:val="13"/>
                <w:szCs w:val="13"/>
                <w:color w:val="auto"/>
              </w:rPr>
              <w:t>25,000,000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9/1/2027</w:t>
            </w:r>
          </w:p>
        </w:tc>
      </w:tr>
      <w:tr>
        <w:trPr>
          <w:trHeight w:val="157"/>
        </w:trPr>
        <w:tc>
          <w:tcPr>
            <w:tcW w:w="20" w:type="dxa"/>
            <w:vAlign w:val="bottom"/>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Miami Dade County Series 2008</w:t>
            </w:r>
          </w:p>
        </w:tc>
        <w:tc>
          <w:tcPr>
            <w:tcW w:w="34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25,000,000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8/1/2023</w:t>
            </w:r>
          </w:p>
        </w:tc>
      </w:tr>
      <w:tr>
        <w:trPr>
          <w:trHeight w:val="157"/>
        </w:trPr>
        <w:tc>
          <w:tcPr>
            <w:tcW w:w="20" w:type="dxa"/>
            <w:vAlign w:val="bottom"/>
          </w:tcPr>
          <w:p>
            <w:pPr>
              <w:spacing w:after="0"/>
              <w:rPr>
                <w:sz w:val="13"/>
                <w:szCs w:val="13"/>
                <w:color w:val="auto"/>
              </w:rPr>
            </w:pPr>
          </w:p>
        </w:tc>
        <w:tc>
          <w:tcPr>
            <w:tcW w:w="6940" w:type="dxa"/>
            <w:vAlign w:val="bottom"/>
          </w:tcPr>
          <w:p>
            <w:pPr>
              <w:spacing w:after="0"/>
              <w:rPr>
                <w:sz w:val="20"/>
                <w:szCs w:val="20"/>
                <w:color w:val="auto"/>
              </w:rPr>
            </w:pPr>
            <w:r>
              <w:rPr>
                <w:rFonts w:ascii="Arial" w:cs="Arial" w:eastAsia="Arial" w:hAnsi="Arial"/>
                <w:sz w:val="13"/>
                <w:szCs w:val="13"/>
                <w:color w:val="auto"/>
              </w:rPr>
              <w:t>Michigan due 12/1/2012</w:t>
            </w:r>
          </w:p>
        </w:tc>
        <w:tc>
          <w:tcPr>
            <w:tcW w:w="3460" w:type="dxa"/>
            <w:vAlign w:val="bottom"/>
          </w:tcPr>
          <w:p>
            <w:pPr>
              <w:jc w:val="right"/>
              <w:ind w:right="355"/>
              <w:spacing w:after="0"/>
              <w:rPr>
                <w:sz w:val="20"/>
                <w:szCs w:val="20"/>
                <w:color w:val="auto"/>
              </w:rPr>
            </w:pPr>
            <w:r>
              <w:rPr>
                <w:rFonts w:ascii="Arial" w:cs="Arial" w:eastAsia="Arial" w:hAnsi="Arial"/>
                <w:sz w:val="13"/>
                <w:szCs w:val="13"/>
                <w:color w:val="auto"/>
              </w:rPr>
              <w:t>35,000,000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12/1/2012</w:t>
            </w:r>
          </w:p>
        </w:tc>
      </w:tr>
      <w:tr>
        <w:trPr>
          <w:trHeight w:val="157"/>
        </w:trPr>
        <w:tc>
          <w:tcPr>
            <w:tcW w:w="20" w:type="dxa"/>
            <w:vAlign w:val="bottom"/>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Michigan due 12/1/2013</w:t>
            </w:r>
          </w:p>
        </w:tc>
        <w:tc>
          <w:tcPr>
            <w:tcW w:w="34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22,000,000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12/1/2013</w:t>
            </w:r>
          </w:p>
        </w:tc>
      </w:tr>
      <w:tr>
        <w:trPr>
          <w:trHeight w:val="157"/>
        </w:trPr>
        <w:tc>
          <w:tcPr>
            <w:tcW w:w="20" w:type="dxa"/>
            <w:vAlign w:val="bottom"/>
          </w:tcPr>
          <w:p>
            <w:pPr>
              <w:spacing w:after="0"/>
              <w:rPr>
                <w:sz w:val="13"/>
                <w:szCs w:val="13"/>
                <w:color w:val="auto"/>
              </w:rPr>
            </w:pPr>
          </w:p>
        </w:tc>
        <w:tc>
          <w:tcPr>
            <w:tcW w:w="6940" w:type="dxa"/>
            <w:vAlign w:val="bottom"/>
          </w:tcPr>
          <w:p>
            <w:pPr>
              <w:spacing w:after="0"/>
              <w:rPr>
                <w:sz w:val="20"/>
                <w:szCs w:val="20"/>
                <w:color w:val="auto"/>
              </w:rPr>
            </w:pPr>
            <w:r>
              <w:rPr>
                <w:rFonts w:ascii="Arial" w:cs="Arial" w:eastAsia="Arial" w:hAnsi="Arial"/>
                <w:sz w:val="13"/>
                <w:szCs w:val="13"/>
                <w:color w:val="auto"/>
              </w:rPr>
              <w:t>Michigan due 8/1/2027</w:t>
            </w:r>
          </w:p>
        </w:tc>
        <w:tc>
          <w:tcPr>
            <w:tcW w:w="3460" w:type="dxa"/>
            <w:vAlign w:val="bottom"/>
          </w:tcPr>
          <w:p>
            <w:pPr>
              <w:jc w:val="right"/>
              <w:ind w:right="355"/>
              <w:spacing w:after="0"/>
              <w:rPr>
                <w:sz w:val="20"/>
                <w:szCs w:val="20"/>
                <w:color w:val="auto"/>
              </w:rPr>
            </w:pPr>
            <w:r>
              <w:rPr>
                <w:rFonts w:ascii="Arial" w:cs="Arial" w:eastAsia="Arial" w:hAnsi="Arial"/>
                <w:sz w:val="13"/>
                <w:szCs w:val="13"/>
                <w:color w:val="auto"/>
              </w:rPr>
              <w:t>35,000,000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8/1/2027</w:t>
            </w:r>
          </w:p>
        </w:tc>
      </w:tr>
      <w:tr>
        <w:trPr>
          <w:trHeight w:val="157"/>
        </w:trPr>
        <w:tc>
          <w:tcPr>
            <w:tcW w:w="20" w:type="dxa"/>
            <w:vAlign w:val="bottom"/>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Michigan Strategic Fund</w:t>
            </w:r>
          </w:p>
        </w:tc>
        <w:tc>
          <w:tcPr>
            <w:tcW w:w="34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13,000,000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12/1/2013</w:t>
            </w:r>
          </w:p>
        </w:tc>
      </w:tr>
      <w:tr>
        <w:trPr>
          <w:trHeight w:val="157"/>
        </w:trPr>
        <w:tc>
          <w:tcPr>
            <w:tcW w:w="20" w:type="dxa"/>
            <w:vAlign w:val="bottom"/>
          </w:tcPr>
          <w:p>
            <w:pPr>
              <w:spacing w:after="0"/>
              <w:rPr>
                <w:sz w:val="13"/>
                <w:szCs w:val="13"/>
                <w:color w:val="auto"/>
              </w:rPr>
            </w:pPr>
          </w:p>
        </w:tc>
        <w:tc>
          <w:tcPr>
            <w:tcW w:w="6940" w:type="dxa"/>
            <w:vAlign w:val="bottom"/>
          </w:tcPr>
          <w:p>
            <w:pPr>
              <w:spacing w:after="0"/>
              <w:rPr>
                <w:sz w:val="20"/>
                <w:szCs w:val="20"/>
                <w:color w:val="auto"/>
              </w:rPr>
            </w:pPr>
            <w:r>
              <w:rPr>
                <w:rFonts w:ascii="Arial" w:cs="Arial" w:eastAsia="Arial" w:hAnsi="Arial"/>
                <w:sz w:val="13"/>
                <w:szCs w:val="13"/>
                <w:color w:val="auto"/>
              </w:rPr>
              <w:t>Mission, TX Series 2006</w:t>
            </w:r>
          </w:p>
        </w:tc>
        <w:tc>
          <w:tcPr>
            <w:tcW w:w="3460" w:type="dxa"/>
            <w:vAlign w:val="bottom"/>
          </w:tcPr>
          <w:p>
            <w:pPr>
              <w:jc w:val="right"/>
              <w:ind w:right="355"/>
              <w:spacing w:after="0"/>
              <w:rPr>
                <w:sz w:val="20"/>
                <w:szCs w:val="20"/>
                <w:color w:val="auto"/>
              </w:rPr>
            </w:pPr>
            <w:r>
              <w:rPr>
                <w:rFonts w:ascii="Arial" w:cs="Arial" w:eastAsia="Arial" w:hAnsi="Arial"/>
                <w:sz w:val="13"/>
                <w:szCs w:val="13"/>
                <w:color w:val="auto"/>
              </w:rPr>
              <w:t>41,750,000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12/1/2018</w:t>
            </w:r>
          </w:p>
        </w:tc>
      </w:tr>
      <w:tr>
        <w:trPr>
          <w:trHeight w:val="157"/>
        </w:trPr>
        <w:tc>
          <w:tcPr>
            <w:tcW w:w="20" w:type="dxa"/>
            <w:vAlign w:val="bottom"/>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Mississippi due 3/1/27</w:t>
            </w:r>
          </w:p>
        </w:tc>
        <w:tc>
          <w:tcPr>
            <w:tcW w:w="34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10,000,000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3/1/2027</w:t>
            </w:r>
          </w:p>
        </w:tc>
      </w:tr>
      <w:tr>
        <w:trPr>
          <w:trHeight w:val="157"/>
        </w:trPr>
        <w:tc>
          <w:tcPr>
            <w:tcW w:w="20" w:type="dxa"/>
            <w:vAlign w:val="bottom"/>
          </w:tcPr>
          <w:p>
            <w:pPr>
              <w:spacing w:after="0"/>
              <w:rPr>
                <w:sz w:val="13"/>
                <w:szCs w:val="13"/>
                <w:color w:val="auto"/>
              </w:rPr>
            </w:pPr>
          </w:p>
        </w:tc>
        <w:tc>
          <w:tcPr>
            <w:tcW w:w="6940" w:type="dxa"/>
            <w:vAlign w:val="bottom"/>
          </w:tcPr>
          <w:p>
            <w:pPr>
              <w:spacing w:after="0"/>
              <w:rPr>
                <w:sz w:val="20"/>
                <w:szCs w:val="20"/>
                <w:color w:val="auto"/>
              </w:rPr>
            </w:pPr>
            <w:r>
              <w:rPr>
                <w:rFonts w:ascii="Arial" w:cs="Arial" w:eastAsia="Arial" w:hAnsi="Arial"/>
                <w:sz w:val="13"/>
                <w:szCs w:val="13"/>
                <w:color w:val="auto"/>
              </w:rPr>
              <w:t>Mississippi due 3/1/29</w:t>
            </w:r>
          </w:p>
        </w:tc>
        <w:tc>
          <w:tcPr>
            <w:tcW w:w="3460" w:type="dxa"/>
            <w:vAlign w:val="bottom"/>
          </w:tcPr>
          <w:p>
            <w:pPr>
              <w:jc w:val="right"/>
              <w:ind w:right="355"/>
              <w:spacing w:after="0"/>
              <w:rPr>
                <w:sz w:val="20"/>
                <w:szCs w:val="20"/>
                <w:color w:val="auto"/>
              </w:rPr>
            </w:pPr>
            <w:r>
              <w:rPr>
                <w:rFonts w:ascii="Arial" w:cs="Arial" w:eastAsia="Arial" w:hAnsi="Arial"/>
                <w:sz w:val="13"/>
                <w:szCs w:val="13"/>
                <w:color w:val="auto"/>
              </w:rPr>
              <w:t>10,000,000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3/1/2029</w:t>
            </w:r>
          </w:p>
        </w:tc>
      </w:tr>
      <w:tr>
        <w:trPr>
          <w:trHeight w:val="157"/>
        </w:trPr>
        <w:tc>
          <w:tcPr>
            <w:tcW w:w="20" w:type="dxa"/>
            <w:vAlign w:val="bottom"/>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Mississippi due 7/1/28</w:t>
            </w:r>
          </w:p>
        </w:tc>
        <w:tc>
          <w:tcPr>
            <w:tcW w:w="34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10,000,000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7/1/2028</w:t>
            </w:r>
          </w:p>
        </w:tc>
      </w:tr>
      <w:tr>
        <w:trPr>
          <w:trHeight w:val="157"/>
        </w:trPr>
        <w:tc>
          <w:tcPr>
            <w:tcW w:w="20" w:type="dxa"/>
            <w:vAlign w:val="bottom"/>
          </w:tcPr>
          <w:p>
            <w:pPr>
              <w:spacing w:after="0"/>
              <w:rPr>
                <w:sz w:val="13"/>
                <w:szCs w:val="13"/>
                <w:color w:val="auto"/>
              </w:rPr>
            </w:pPr>
          </w:p>
        </w:tc>
        <w:tc>
          <w:tcPr>
            <w:tcW w:w="6940" w:type="dxa"/>
            <w:vAlign w:val="bottom"/>
          </w:tcPr>
          <w:p>
            <w:pPr>
              <w:spacing w:after="0"/>
              <w:rPr>
                <w:sz w:val="20"/>
                <w:szCs w:val="20"/>
                <w:color w:val="auto"/>
              </w:rPr>
            </w:pPr>
            <w:r>
              <w:rPr>
                <w:rFonts w:ascii="Arial" w:cs="Arial" w:eastAsia="Arial" w:hAnsi="Arial"/>
                <w:sz w:val="13"/>
                <w:szCs w:val="13"/>
                <w:color w:val="auto"/>
              </w:rPr>
              <w:t>Mississippi due 7/1/2017</w:t>
            </w:r>
          </w:p>
        </w:tc>
        <w:tc>
          <w:tcPr>
            <w:tcW w:w="3460" w:type="dxa"/>
            <w:vAlign w:val="bottom"/>
          </w:tcPr>
          <w:p>
            <w:pPr>
              <w:jc w:val="right"/>
              <w:ind w:right="355"/>
              <w:spacing w:after="0"/>
              <w:rPr>
                <w:sz w:val="20"/>
                <w:szCs w:val="20"/>
                <w:color w:val="auto"/>
              </w:rPr>
            </w:pPr>
            <w:r>
              <w:rPr>
                <w:rFonts w:ascii="Arial" w:cs="Arial" w:eastAsia="Arial" w:hAnsi="Arial"/>
                <w:sz w:val="13"/>
                <w:szCs w:val="13"/>
                <w:color w:val="auto"/>
              </w:rPr>
              <w:t>20,000,000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7/1/2017</w:t>
            </w:r>
          </w:p>
        </w:tc>
      </w:tr>
      <w:tr>
        <w:trPr>
          <w:trHeight w:val="157"/>
        </w:trPr>
        <w:tc>
          <w:tcPr>
            <w:tcW w:w="20" w:type="dxa"/>
            <w:vAlign w:val="bottom"/>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Nashville (Tennessee) due 8/01/31</w:t>
            </w:r>
          </w:p>
        </w:tc>
        <w:tc>
          <w:tcPr>
            <w:tcW w:w="34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10,000,000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8/1/2031</w:t>
            </w:r>
          </w:p>
        </w:tc>
      </w:tr>
      <w:tr>
        <w:trPr>
          <w:trHeight w:val="157"/>
        </w:trPr>
        <w:tc>
          <w:tcPr>
            <w:tcW w:w="20" w:type="dxa"/>
            <w:vAlign w:val="bottom"/>
          </w:tcPr>
          <w:p>
            <w:pPr>
              <w:spacing w:after="0"/>
              <w:rPr>
                <w:sz w:val="13"/>
                <w:szCs w:val="13"/>
                <w:color w:val="auto"/>
              </w:rPr>
            </w:pPr>
          </w:p>
        </w:tc>
        <w:tc>
          <w:tcPr>
            <w:tcW w:w="6940" w:type="dxa"/>
            <w:vAlign w:val="bottom"/>
          </w:tcPr>
          <w:p>
            <w:pPr>
              <w:spacing w:after="0"/>
              <w:rPr>
                <w:sz w:val="20"/>
                <w:szCs w:val="20"/>
                <w:color w:val="auto"/>
              </w:rPr>
            </w:pPr>
            <w:r>
              <w:rPr>
                <w:rFonts w:ascii="Arial" w:cs="Arial" w:eastAsia="Arial" w:hAnsi="Arial"/>
                <w:sz w:val="13"/>
                <w:szCs w:val="13"/>
                <w:color w:val="auto"/>
              </w:rPr>
              <w:t>Nebraska</w:t>
            </w:r>
          </w:p>
        </w:tc>
        <w:tc>
          <w:tcPr>
            <w:tcW w:w="3460" w:type="dxa"/>
            <w:vAlign w:val="bottom"/>
          </w:tcPr>
          <w:p>
            <w:pPr>
              <w:jc w:val="right"/>
              <w:ind w:right="355"/>
              <w:spacing w:after="0"/>
              <w:rPr>
                <w:sz w:val="20"/>
                <w:szCs w:val="20"/>
                <w:color w:val="auto"/>
              </w:rPr>
            </w:pPr>
            <w:r>
              <w:rPr>
                <w:rFonts w:ascii="Arial" w:cs="Arial" w:eastAsia="Arial" w:hAnsi="Arial"/>
                <w:sz w:val="13"/>
                <w:szCs w:val="13"/>
                <w:color w:val="auto"/>
              </w:rPr>
              <w:t>10,000,000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11/1/2033</w:t>
            </w:r>
          </w:p>
        </w:tc>
      </w:tr>
      <w:tr>
        <w:trPr>
          <w:trHeight w:val="157"/>
        </w:trPr>
        <w:tc>
          <w:tcPr>
            <w:tcW w:w="20" w:type="dxa"/>
            <w:vAlign w:val="bottom"/>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Nevada due 10/01/14</w:t>
            </w:r>
          </w:p>
        </w:tc>
        <w:tc>
          <w:tcPr>
            <w:tcW w:w="34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10,000,000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10/1/2014</w:t>
            </w:r>
          </w:p>
        </w:tc>
      </w:tr>
      <w:tr>
        <w:trPr>
          <w:trHeight w:val="157"/>
        </w:trPr>
        <w:tc>
          <w:tcPr>
            <w:tcW w:w="20" w:type="dxa"/>
            <w:vAlign w:val="bottom"/>
          </w:tcPr>
          <w:p>
            <w:pPr>
              <w:spacing w:after="0"/>
              <w:rPr>
                <w:sz w:val="13"/>
                <w:szCs w:val="13"/>
                <w:color w:val="auto"/>
              </w:rPr>
            </w:pPr>
          </w:p>
        </w:tc>
        <w:tc>
          <w:tcPr>
            <w:tcW w:w="6940" w:type="dxa"/>
            <w:vAlign w:val="bottom"/>
          </w:tcPr>
          <w:p>
            <w:pPr>
              <w:spacing w:after="0"/>
              <w:rPr>
                <w:sz w:val="20"/>
                <w:szCs w:val="20"/>
                <w:color w:val="auto"/>
              </w:rPr>
            </w:pPr>
            <w:r>
              <w:rPr>
                <w:rFonts w:ascii="Arial" w:cs="Arial" w:eastAsia="Arial" w:hAnsi="Arial"/>
                <w:sz w:val="13"/>
                <w:szCs w:val="13"/>
                <w:color w:val="auto"/>
              </w:rPr>
              <w:t>New Jersey due 11/01/13</w:t>
            </w:r>
          </w:p>
        </w:tc>
        <w:tc>
          <w:tcPr>
            <w:tcW w:w="3460" w:type="dxa"/>
            <w:vAlign w:val="bottom"/>
          </w:tcPr>
          <w:p>
            <w:pPr>
              <w:jc w:val="right"/>
              <w:ind w:right="355"/>
              <w:spacing w:after="0"/>
              <w:rPr>
                <w:sz w:val="20"/>
                <w:szCs w:val="20"/>
                <w:color w:val="auto"/>
              </w:rPr>
            </w:pPr>
            <w:r>
              <w:rPr>
                <w:rFonts w:ascii="Arial" w:cs="Arial" w:eastAsia="Arial" w:hAnsi="Arial"/>
                <w:sz w:val="13"/>
                <w:szCs w:val="13"/>
                <w:color w:val="auto"/>
              </w:rPr>
              <w:t>20,000,000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11/1/2013</w:t>
            </w:r>
          </w:p>
        </w:tc>
      </w:tr>
      <w:tr>
        <w:trPr>
          <w:trHeight w:val="157"/>
        </w:trPr>
        <w:tc>
          <w:tcPr>
            <w:tcW w:w="20" w:type="dxa"/>
            <w:vAlign w:val="bottom"/>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New Jersey due 6/01/15</w:t>
            </w:r>
          </w:p>
        </w:tc>
        <w:tc>
          <w:tcPr>
            <w:tcW w:w="34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15,000,000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6/1/2015</w:t>
            </w:r>
          </w:p>
        </w:tc>
      </w:tr>
      <w:tr>
        <w:trPr>
          <w:trHeight w:val="157"/>
        </w:trPr>
        <w:tc>
          <w:tcPr>
            <w:tcW w:w="20" w:type="dxa"/>
            <w:vAlign w:val="bottom"/>
          </w:tcPr>
          <w:p>
            <w:pPr>
              <w:spacing w:after="0"/>
              <w:rPr>
                <w:sz w:val="13"/>
                <w:szCs w:val="13"/>
                <w:color w:val="auto"/>
              </w:rPr>
            </w:pPr>
          </w:p>
        </w:tc>
        <w:tc>
          <w:tcPr>
            <w:tcW w:w="6940" w:type="dxa"/>
            <w:vAlign w:val="bottom"/>
          </w:tcPr>
          <w:p>
            <w:pPr>
              <w:spacing w:after="0"/>
              <w:rPr>
                <w:sz w:val="20"/>
                <w:szCs w:val="20"/>
                <w:color w:val="auto"/>
              </w:rPr>
            </w:pPr>
            <w:r>
              <w:rPr>
                <w:rFonts w:ascii="Arial" w:cs="Arial" w:eastAsia="Arial" w:hAnsi="Arial"/>
                <w:sz w:val="13"/>
                <w:szCs w:val="13"/>
                <w:color w:val="auto"/>
              </w:rPr>
              <w:t>New Jersey due 6/01/15</w:t>
            </w:r>
          </w:p>
        </w:tc>
        <w:tc>
          <w:tcPr>
            <w:tcW w:w="3460" w:type="dxa"/>
            <w:vAlign w:val="bottom"/>
          </w:tcPr>
          <w:p>
            <w:pPr>
              <w:jc w:val="right"/>
              <w:ind w:right="355"/>
              <w:spacing w:after="0"/>
              <w:rPr>
                <w:sz w:val="20"/>
                <w:szCs w:val="20"/>
                <w:color w:val="auto"/>
              </w:rPr>
            </w:pPr>
            <w:r>
              <w:rPr>
                <w:rFonts w:ascii="Arial" w:cs="Arial" w:eastAsia="Arial" w:hAnsi="Arial"/>
                <w:sz w:val="13"/>
                <w:szCs w:val="13"/>
                <w:color w:val="auto"/>
              </w:rPr>
              <w:t>10,000,000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6/1/2015</w:t>
            </w:r>
          </w:p>
        </w:tc>
      </w:tr>
      <w:tr>
        <w:trPr>
          <w:trHeight w:val="157"/>
        </w:trPr>
        <w:tc>
          <w:tcPr>
            <w:tcW w:w="20" w:type="dxa"/>
            <w:vAlign w:val="bottom"/>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New York City due 12/1/17</w:t>
            </w:r>
          </w:p>
        </w:tc>
        <w:tc>
          <w:tcPr>
            <w:tcW w:w="34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20,000,000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12/1/2017</w:t>
            </w:r>
          </w:p>
        </w:tc>
      </w:tr>
      <w:tr>
        <w:trPr>
          <w:trHeight w:val="157"/>
        </w:trPr>
        <w:tc>
          <w:tcPr>
            <w:tcW w:w="20" w:type="dxa"/>
            <w:vAlign w:val="bottom"/>
          </w:tcPr>
          <w:p>
            <w:pPr>
              <w:spacing w:after="0"/>
              <w:rPr>
                <w:sz w:val="13"/>
                <w:szCs w:val="13"/>
                <w:color w:val="auto"/>
              </w:rPr>
            </w:pPr>
          </w:p>
        </w:tc>
        <w:tc>
          <w:tcPr>
            <w:tcW w:w="6940" w:type="dxa"/>
            <w:vAlign w:val="bottom"/>
          </w:tcPr>
          <w:p>
            <w:pPr>
              <w:spacing w:after="0"/>
              <w:rPr>
                <w:sz w:val="20"/>
                <w:szCs w:val="20"/>
                <w:color w:val="auto"/>
              </w:rPr>
            </w:pPr>
            <w:r>
              <w:rPr>
                <w:rFonts w:ascii="Arial" w:cs="Arial" w:eastAsia="Arial" w:hAnsi="Arial"/>
                <w:sz w:val="13"/>
                <w:szCs w:val="13"/>
                <w:color w:val="auto"/>
              </w:rPr>
              <w:t>New York City due 5/1/19</w:t>
            </w:r>
          </w:p>
        </w:tc>
        <w:tc>
          <w:tcPr>
            <w:tcW w:w="3460" w:type="dxa"/>
            <w:vAlign w:val="bottom"/>
          </w:tcPr>
          <w:p>
            <w:pPr>
              <w:jc w:val="right"/>
              <w:ind w:right="355"/>
              <w:spacing w:after="0"/>
              <w:rPr>
                <w:sz w:val="20"/>
                <w:szCs w:val="20"/>
                <w:color w:val="auto"/>
              </w:rPr>
            </w:pPr>
            <w:r>
              <w:rPr>
                <w:rFonts w:ascii="Arial" w:cs="Arial" w:eastAsia="Arial" w:hAnsi="Arial"/>
                <w:sz w:val="13"/>
                <w:szCs w:val="13"/>
                <w:color w:val="auto"/>
              </w:rPr>
              <w:t>25,000,000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5/1/2019</w:t>
            </w:r>
          </w:p>
        </w:tc>
      </w:tr>
      <w:tr>
        <w:trPr>
          <w:trHeight w:val="157"/>
        </w:trPr>
        <w:tc>
          <w:tcPr>
            <w:tcW w:w="20" w:type="dxa"/>
            <w:vAlign w:val="bottom"/>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New York due 5/1/12</w:t>
            </w:r>
          </w:p>
        </w:tc>
        <w:tc>
          <w:tcPr>
            <w:tcW w:w="34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31,000,000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5/1/2012</w:t>
            </w:r>
          </w:p>
        </w:tc>
      </w:tr>
      <w:tr>
        <w:trPr>
          <w:trHeight w:val="157"/>
        </w:trPr>
        <w:tc>
          <w:tcPr>
            <w:tcW w:w="20" w:type="dxa"/>
            <w:vAlign w:val="bottom"/>
          </w:tcPr>
          <w:p>
            <w:pPr>
              <w:spacing w:after="0"/>
              <w:rPr>
                <w:sz w:val="13"/>
                <w:szCs w:val="13"/>
                <w:color w:val="auto"/>
              </w:rPr>
            </w:pPr>
          </w:p>
        </w:tc>
        <w:tc>
          <w:tcPr>
            <w:tcW w:w="6940" w:type="dxa"/>
            <w:vAlign w:val="bottom"/>
          </w:tcPr>
          <w:p>
            <w:pPr>
              <w:spacing w:after="0"/>
              <w:rPr>
                <w:sz w:val="20"/>
                <w:szCs w:val="20"/>
                <w:color w:val="auto"/>
              </w:rPr>
            </w:pPr>
            <w:r>
              <w:rPr>
                <w:rFonts w:ascii="Arial" w:cs="Arial" w:eastAsia="Arial" w:hAnsi="Arial"/>
                <w:sz w:val="13"/>
                <w:szCs w:val="13"/>
                <w:color w:val="auto"/>
              </w:rPr>
              <w:t>New York Series 2004A</w:t>
            </w:r>
          </w:p>
        </w:tc>
        <w:tc>
          <w:tcPr>
            <w:tcW w:w="3460" w:type="dxa"/>
            <w:vAlign w:val="bottom"/>
          </w:tcPr>
          <w:p>
            <w:pPr>
              <w:jc w:val="right"/>
              <w:ind w:right="355"/>
              <w:spacing w:after="0"/>
              <w:rPr>
                <w:sz w:val="20"/>
                <w:szCs w:val="20"/>
                <w:color w:val="auto"/>
              </w:rPr>
            </w:pPr>
            <w:r>
              <w:rPr>
                <w:rFonts w:ascii="Arial" w:cs="Arial" w:eastAsia="Arial" w:hAnsi="Arial"/>
                <w:sz w:val="13"/>
                <w:szCs w:val="13"/>
                <w:color w:val="auto"/>
              </w:rPr>
              <w:t>20,000,000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7/1/2017</w:t>
            </w:r>
          </w:p>
        </w:tc>
      </w:tr>
      <w:tr>
        <w:trPr>
          <w:trHeight w:val="157"/>
        </w:trPr>
        <w:tc>
          <w:tcPr>
            <w:tcW w:w="20" w:type="dxa"/>
            <w:vAlign w:val="bottom"/>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North Sumter, AL</w:t>
            </w:r>
          </w:p>
        </w:tc>
        <w:tc>
          <w:tcPr>
            <w:tcW w:w="34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4,350,000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10/1/2028</w:t>
            </w:r>
          </w:p>
        </w:tc>
      </w:tr>
      <w:tr>
        <w:trPr>
          <w:trHeight w:val="157"/>
        </w:trPr>
        <w:tc>
          <w:tcPr>
            <w:tcW w:w="20" w:type="dxa"/>
            <w:vAlign w:val="bottom"/>
          </w:tcPr>
          <w:p>
            <w:pPr>
              <w:spacing w:after="0"/>
              <w:rPr>
                <w:sz w:val="13"/>
                <w:szCs w:val="13"/>
                <w:color w:val="auto"/>
              </w:rPr>
            </w:pPr>
          </w:p>
        </w:tc>
        <w:tc>
          <w:tcPr>
            <w:tcW w:w="6940" w:type="dxa"/>
            <w:vAlign w:val="bottom"/>
          </w:tcPr>
          <w:p>
            <w:pPr>
              <w:spacing w:after="0"/>
              <w:rPr>
                <w:sz w:val="20"/>
                <w:szCs w:val="20"/>
                <w:color w:val="auto"/>
              </w:rPr>
            </w:pPr>
            <w:r>
              <w:rPr>
                <w:rFonts w:ascii="Arial" w:cs="Arial" w:eastAsia="Arial" w:hAnsi="Arial"/>
                <w:sz w:val="13"/>
                <w:szCs w:val="13"/>
                <w:color w:val="auto"/>
              </w:rPr>
              <w:t>Ohio WDA due 11/1/22</w:t>
            </w:r>
          </w:p>
        </w:tc>
        <w:tc>
          <w:tcPr>
            <w:tcW w:w="3460" w:type="dxa"/>
            <w:vAlign w:val="bottom"/>
          </w:tcPr>
          <w:p>
            <w:pPr>
              <w:jc w:val="right"/>
              <w:ind w:right="355"/>
              <w:spacing w:after="0"/>
              <w:rPr>
                <w:sz w:val="20"/>
                <w:szCs w:val="20"/>
                <w:color w:val="auto"/>
              </w:rPr>
            </w:pPr>
            <w:r>
              <w:rPr>
                <w:rFonts w:ascii="Arial" w:cs="Arial" w:eastAsia="Arial" w:hAnsi="Arial"/>
                <w:sz w:val="13"/>
                <w:szCs w:val="13"/>
                <w:color w:val="auto"/>
              </w:rPr>
              <w:t>45,865,000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11/1/2022</w:t>
            </w:r>
          </w:p>
        </w:tc>
      </w:tr>
      <w:tr>
        <w:trPr>
          <w:trHeight w:val="157"/>
        </w:trPr>
        <w:tc>
          <w:tcPr>
            <w:tcW w:w="20" w:type="dxa"/>
            <w:vAlign w:val="bottom"/>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Ohio WDA due 6/1/13</w:t>
            </w:r>
          </w:p>
        </w:tc>
        <w:tc>
          <w:tcPr>
            <w:tcW w:w="34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25,000,000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6/1/2013</w:t>
            </w:r>
          </w:p>
        </w:tc>
      </w:tr>
      <w:tr>
        <w:trPr>
          <w:trHeight w:val="157"/>
        </w:trPr>
        <w:tc>
          <w:tcPr>
            <w:tcW w:w="20" w:type="dxa"/>
            <w:vAlign w:val="bottom"/>
          </w:tcPr>
          <w:p>
            <w:pPr>
              <w:spacing w:after="0"/>
              <w:rPr>
                <w:sz w:val="13"/>
                <w:szCs w:val="13"/>
                <w:color w:val="auto"/>
              </w:rPr>
            </w:pPr>
          </w:p>
        </w:tc>
        <w:tc>
          <w:tcPr>
            <w:tcW w:w="6940" w:type="dxa"/>
            <w:vAlign w:val="bottom"/>
          </w:tcPr>
          <w:p>
            <w:pPr>
              <w:spacing w:after="0"/>
              <w:rPr>
                <w:sz w:val="20"/>
                <w:szCs w:val="20"/>
                <w:color w:val="auto"/>
              </w:rPr>
            </w:pPr>
            <w:r>
              <w:rPr>
                <w:rFonts w:ascii="Arial" w:cs="Arial" w:eastAsia="Arial" w:hAnsi="Arial"/>
                <w:sz w:val="13"/>
                <w:szCs w:val="13"/>
                <w:color w:val="auto"/>
              </w:rPr>
              <w:t>Ohio WDA due 7/1/21 (Series 2004)</w:t>
            </w:r>
          </w:p>
        </w:tc>
        <w:tc>
          <w:tcPr>
            <w:tcW w:w="3460" w:type="dxa"/>
            <w:vAlign w:val="bottom"/>
          </w:tcPr>
          <w:p>
            <w:pPr>
              <w:jc w:val="right"/>
              <w:ind w:right="355"/>
              <w:spacing w:after="0"/>
              <w:rPr>
                <w:sz w:val="20"/>
                <w:szCs w:val="20"/>
                <w:color w:val="auto"/>
              </w:rPr>
            </w:pPr>
            <w:r>
              <w:rPr>
                <w:rFonts w:ascii="Arial" w:cs="Arial" w:eastAsia="Arial" w:hAnsi="Arial"/>
                <w:sz w:val="13"/>
                <w:szCs w:val="13"/>
                <w:color w:val="auto"/>
              </w:rPr>
              <w:t>15,000,000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7/1/2021</w:t>
            </w:r>
          </w:p>
        </w:tc>
      </w:tr>
      <w:tr>
        <w:trPr>
          <w:trHeight w:val="157"/>
        </w:trPr>
        <w:tc>
          <w:tcPr>
            <w:tcW w:w="20" w:type="dxa"/>
            <w:vAlign w:val="bottom"/>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Okeechobee due 8/1/24</w:t>
            </w:r>
          </w:p>
        </w:tc>
        <w:tc>
          <w:tcPr>
            <w:tcW w:w="34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15,000,000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8/1/2024</w:t>
            </w:r>
          </w:p>
        </w:tc>
      </w:tr>
      <w:tr>
        <w:trPr>
          <w:trHeight w:val="157"/>
        </w:trPr>
        <w:tc>
          <w:tcPr>
            <w:tcW w:w="20" w:type="dxa"/>
            <w:vAlign w:val="bottom"/>
          </w:tcPr>
          <w:p>
            <w:pPr>
              <w:spacing w:after="0"/>
              <w:rPr>
                <w:sz w:val="13"/>
                <w:szCs w:val="13"/>
                <w:color w:val="auto"/>
              </w:rPr>
            </w:pPr>
          </w:p>
        </w:tc>
        <w:tc>
          <w:tcPr>
            <w:tcW w:w="6940" w:type="dxa"/>
            <w:vAlign w:val="bottom"/>
          </w:tcPr>
          <w:p>
            <w:pPr>
              <w:spacing w:after="0"/>
              <w:rPr>
                <w:sz w:val="20"/>
                <w:szCs w:val="20"/>
                <w:color w:val="auto"/>
              </w:rPr>
            </w:pPr>
            <w:r>
              <w:rPr>
                <w:rFonts w:ascii="Arial" w:cs="Arial" w:eastAsia="Arial" w:hAnsi="Arial"/>
                <w:sz w:val="13"/>
                <w:szCs w:val="13"/>
                <w:color w:val="auto"/>
              </w:rPr>
              <w:t>Okeechobee Series 2004A</w:t>
            </w:r>
          </w:p>
        </w:tc>
        <w:tc>
          <w:tcPr>
            <w:tcW w:w="3460" w:type="dxa"/>
            <w:vAlign w:val="bottom"/>
          </w:tcPr>
          <w:p>
            <w:pPr>
              <w:jc w:val="right"/>
              <w:ind w:right="355"/>
              <w:spacing w:after="0"/>
              <w:rPr>
                <w:sz w:val="20"/>
                <w:szCs w:val="20"/>
                <w:color w:val="auto"/>
              </w:rPr>
            </w:pPr>
            <w:r>
              <w:rPr>
                <w:rFonts w:ascii="Arial" w:cs="Arial" w:eastAsia="Arial" w:hAnsi="Arial"/>
                <w:sz w:val="13"/>
                <w:szCs w:val="13"/>
                <w:color w:val="auto"/>
              </w:rPr>
              <w:t>15,970,000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7/1/2039</w:t>
            </w:r>
          </w:p>
        </w:tc>
      </w:tr>
      <w:tr>
        <w:trPr>
          <w:trHeight w:val="157"/>
        </w:trPr>
        <w:tc>
          <w:tcPr>
            <w:tcW w:w="20" w:type="dxa"/>
            <w:vAlign w:val="bottom"/>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Oklahoma</w:t>
            </w:r>
          </w:p>
        </w:tc>
        <w:tc>
          <w:tcPr>
            <w:tcW w:w="34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10,000,000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12/1/2021</w:t>
            </w:r>
          </w:p>
        </w:tc>
      </w:tr>
      <w:tr>
        <w:trPr>
          <w:trHeight w:val="157"/>
        </w:trPr>
        <w:tc>
          <w:tcPr>
            <w:tcW w:w="20" w:type="dxa"/>
            <w:vAlign w:val="bottom"/>
          </w:tcPr>
          <w:p>
            <w:pPr>
              <w:spacing w:after="0"/>
              <w:rPr>
                <w:sz w:val="13"/>
                <w:szCs w:val="13"/>
                <w:color w:val="auto"/>
              </w:rPr>
            </w:pPr>
          </w:p>
        </w:tc>
        <w:tc>
          <w:tcPr>
            <w:tcW w:w="6940" w:type="dxa"/>
            <w:vAlign w:val="bottom"/>
          </w:tcPr>
          <w:p>
            <w:pPr>
              <w:spacing w:after="0"/>
              <w:rPr>
                <w:sz w:val="20"/>
                <w:szCs w:val="20"/>
                <w:color w:val="auto"/>
              </w:rPr>
            </w:pPr>
            <w:r>
              <w:rPr>
                <w:rFonts w:ascii="Arial" w:cs="Arial" w:eastAsia="Arial" w:hAnsi="Arial"/>
                <w:sz w:val="13"/>
                <w:szCs w:val="13"/>
                <w:color w:val="auto"/>
              </w:rPr>
              <w:t>Pennsylvania</w:t>
            </w:r>
          </w:p>
        </w:tc>
        <w:tc>
          <w:tcPr>
            <w:tcW w:w="3460" w:type="dxa"/>
            <w:vAlign w:val="bottom"/>
          </w:tcPr>
          <w:p>
            <w:pPr>
              <w:jc w:val="right"/>
              <w:ind w:right="355"/>
              <w:spacing w:after="0"/>
              <w:rPr>
                <w:sz w:val="20"/>
                <w:szCs w:val="20"/>
                <w:color w:val="auto"/>
              </w:rPr>
            </w:pPr>
            <w:r>
              <w:rPr>
                <w:rFonts w:ascii="Arial" w:cs="Arial" w:eastAsia="Arial" w:hAnsi="Arial"/>
                <w:sz w:val="13"/>
                <w:szCs w:val="13"/>
                <w:color w:val="auto"/>
              </w:rPr>
              <w:t>4,000,000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11/1/2021</w:t>
            </w:r>
          </w:p>
        </w:tc>
      </w:tr>
      <w:tr>
        <w:trPr>
          <w:trHeight w:val="157"/>
        </w:trPr>
        <w:tc>
          <w:tcPr>
            <w:tcW w:w="20" w:type="dxa"/>
            <w:vAlign w:val="bottom"/>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Pennsylvania</w:t>
            </w:r>
          </w:p>
        </w:tc>
        <w:tc>
          <w:tcPr>
            <w:tcW w:w="34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40,000,000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9/1/2013</w:t>
            </w:r>
          </w:p>
        </w:tc>
      </w:tr>
      <w:tr>
        <w:trPr>
          <w:trHeight w:val="165"/>
        </w:trPr>
        <w:tc>
          <w:tcPr>
            <w:tcW w:w="20" w:type="dxa"/>
            <w:vAlign w:val="bottom"/>
          </w:tcPr>
          <w:p>
            <w:pPr>
              <w:spacing w:after="0"/>
              <w:rPr>
                <w:sz w:val="14"/>
                <w:szCs w:val="14"/>
                <w:color w:val="auto"/>
              </w:rPr>
            </w:pPr>
          </w:p>
        </w:tc>
        <w:tc>
          <w:tcPr>
            <w:tcW w:w="6940" w:type="dxa"/>
            <w:vAlign w:val="bottom"/>
          </w:tcPr>
          <w:p>
            <w:pPr>
              <w:spacing w:after="0"/>
              <w:rPr>
                <w:sz w:val="20"/>
                <w:szCs w:val="20"/>
                <w:color w:val="auto"/>
              </w:rPr>
            </w:pPr>
            <w:r>
              <w:rPr>
                <w:rFonts w:ascii="Arial" w:cs="Arial" w:eastAsia="Arial" w:hAnsi="Arial"/>
                <w:sz w:val="13"/>
                <w:szCs w:val="13"/>
                <w:color w:val="auto"/>
              </w:rPr>
              <w:t>Pennsylvania</w:t>
            </w:r>
          </w:p>
        </w:tc>
        <w:tc>
          <w:tcPr>
            <w:tcW w:w="3460" w:type="dxa"/>
            <w:vAlign w:val="bottom"/>
          </w:tcPr>
          <w:p>
            <w:pPr>
              <w:jc w:val="right"/>
              <w:ind w:right="355"/>
              <w:spacing w:after="0"/>
              <w:rPr>
                <w:sz w:val="20"/>
                <w:szCs w:val="20"/>
                <w:color w:val="auto"/>
              </w:rPr>
            </w:pPr>
            <w:r>
              <w:rPr>
                <w:rFonts w:ascii="Arial" w:cs="Arial" w:eastAsia="Arial" w:hAnsi="Arial"/>
                <w:sz w:val="13"/>
                <w:szCs w:val="13"/>
                <w:color w:val="auto"/>
              </w:rPr>
              <w:t>30,000,000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11/1/2021</w:t>
            </w:r>
          </w:p>
        </w:tc>
      </w:tr>
    </w:tbl>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870" w:right="219" w:bottom="1440" w:gutter="0" w:footer="0" w:header="0"/>
        </w:sectPr>
      </w:pPr>
    </w:p>
    <w:bookmarkStart w:id="244" w:name="page245"/>
    <w:bookmarkEnd w:id="244"/>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6760" w:type="dxa"/>
            <w:vAlign w:val="bottom"/>
            <w:tcBorders>
              <w:bottom w:val="single" w:sz="8" w:color="auto"/>
            </w:tcBorders>
          </w:tcPr>
          <w:p>
            <w:pPr>
              <w:ind w:left="4140"/>
              <w:spacing w:after="0"/>
              <w:rPr>
                <w:sz w:val="20"/>
                <w:szCs w:val="20"/>
                <w:color w:val="auto"/>
              </w:rPr>
            </w:pPr>
            <w:r>
              <w:rPr>
                <w:rFonts w:ascii="Arial" w:cs="Arial" w:eastAsia="Arial" w:hAnsi="Arial"/>
                <w:sz w:val="10"/>
                <w:szCs w:val="10"/>
                <w:b w:val="1"/>
                <w:bCs w:val="1"/>
                <w:color w:val="auto"/>
              </w:rPr>
              <w:t>Name</w:t>
            </w:r>
          </w:p>
        </w:tc>
        <w:tc>
          <w:tcPr>
            <w:tcW w:w="2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0"/>
                <w:szCs w:val="10"/>
                <w:b w:val="1"/>
                <w:bCs w:val="1"/>
                <w:color w:val="auto"/>
              </w:rPr>
              <w:t>Principal</w:t>
            </w:r>
          </w:p>
        </w:tc>
        <w:tc>
          <w:tcPr>
            <w:tcW w:w="10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Maturity</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Pennsylvania</w:t>
            </w:r>
          </w:p>
        </w:tc>
        <w:tc>
          <w:tcPr>
            <w:tcW w:w="2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11/1/2021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tcPr>
          <w:p>
            <w:pPr>
              <w:spacing w:after="0"/>
              <w:rPr>
                <w:sz w:val="20"/>
                <w:szCs w:val="20"/>
                <w:color w:val="auto"/>
              </w:rPr>
            </w:pPr>
            <w:r>
              <w:rPr>
                <w:rFonts w:ascii="Arial" w:cs="Arial" w:eastAsia="Arial" w:hAnsi="Arial"/>
                <w:sz w:val="13"/>
                <w:szCs w:val="13"/>
                <w:color w:val="auto"/>
              </w:rPr>
              <w:t>Pennsylvania</w:t>
            </w:r>
          </w:p>
        </w:tc>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14,000,000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10/1/2027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Pennsylvania Series 2009</w:t>
            </w:r>
          </w:p>
        </w:tc>
        <w:tc>
          <w:tcPr>
            <w:tcW w:w="2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12/1/2033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tcPr>
          <w:p>
            <w:pPr>
              <w:spacing w:after="0"/>
              <w:rPr>
                <w:sz w:val="20"/>
                <w:szCs w:val="20"/>
                <w:color w:val="auto"/>
              </w:rPr>
            </w:pPr>
            <w:r>
              <w:rPr>
                <w:rFonts w:ascii="Arial" w:cs="Arial" w:eastAsia="Arial" w:hAnsi="Arial"/>
                <w:sz w:val="13"/>
                <w:szCs w:val="13"/>
                <w:color w:val="auto"/>
              </w:rPr>
              <w:t>Rhode Island Series 2004A</w:t>
            </w:r>
          </w:p>
        </w:tc>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8,000,000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4/1/2016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Richland (SC) due 6/1/15</w:t>
            </w:r>
          </w:p>
        </w:tc>
        <w:tc>
          <w:tcPr>
            <w:tcW w:w="2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6/1/2015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tcPr>
          <w:p>
            <w:pPr>
              <w:spacing w:after="0"/>
              <w:rPr>
                <w:sz w:val="20"/>
                <w:szCs w:val="20"/>
                <w:color w:val="auto"/>
              </w:rPr>
            </w:pPr>
            <w:r>
              <w:rPr>
                <w:rFonts w:ascii="Arial" w:cs="Arial" w:eastAsia="Arial" w:hAnsi="Arial"/>
                <w:sz w:val="13"/>
                <w:szCs w:val="13"/>
                <w:color w:val="auto"/>
              </w:rPr>
              <w:t>Savannah Series 2004A</w:t>
            </w:r>
          </w:p>
        </w:tc>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5,000,000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7/1/2016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Schuylkill/Pine Grove due 10/1/19</w:t>
            </w:r>
          </w:p>
        </w:tc>
        <w:tc>
          <w:tcPr>
            <w:tcW w:w="2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11,700,000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10/1/2019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tcPr>
          <w:p>
            <w:pPr>
              <w:spacing w:after="0"/>
              <w:rPr>
                <w:sz w:val="20"/>
                <w:szCs w:val="20"/>
                <w:color w:val="auto"/>
              </w:rPr>
            </w:pPr>
            <w:r>
              <w:rPr>
                <w:rFonts w:ascii="Arial" w:cs="Arial" w:eastAsia="Arial" w:hAnsi="Arial"/>
                <w:sz w:val="13"/>
                <w:szCs w:val="13"/>
                <w:color w:val="auto"/>
              </w:rPr>
              <w:t>South Carolina</w:t>
            </w:r>
          </w:p>
        </w:tc>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12,500,000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11/1/2016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South Carolina Series 2003A</w:t>
            </w:r>
          </w:p>
        </w:tc>
        <w:tc>
          <w:tcPr>
            <w:tcW w:w="2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7/1/2024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tcPr>
          <w:p>
            <w:pPr>
              <w:spacing w:after="0"/>
              <w:rPr>
                <w:sz w:val="20"/>
                <w:szCs w:val="20"/>
                <w:color w:val="auto"/>
              </w:rPr>
            </w:pPr>
            <w:r>
              <w:rPr>
                <w:rFonts w:ascii="Arial" w:cs="Arial" w:eastAsia="Arial" w:hAnsi="Arial"/>
                <w:sz w:val="13"/>
                <w:szCs w:val="13"/>
                <w:color w:val="auto"/>
              </w:rPr>
              <w:t>South Carolina 2008 Issue</w:t>
            </w:r>
          </w:p>
        </w:tc>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15,000,000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2/1/2015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State of New Hampshire</w:t>
            </w:r>
          </w:p>
        </w:tc>
        <w:tc>
          <w:tcPr>
            <w:tcW w:w="2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8/1/2024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tcPr>
          <w:p>
            <w:pPr>
              <w:spacing w:after="0"/>
              <w:rPr>
                <w:sz w:val="20"/>
                <w:szCs w:val="20"/>
                <w:color w:val="auto"/>
              </w:rPr>
            </w:pPr>
            <w:r>
              <w:rPr>
                <w:rFonts w:ascii="Arial" w:cs="Arial" w:eastAsia="Arial" w:hAnsi="Arial"/>
                <w:sz w:val="13"/>
                <w:szCs w:val="13"/>
                <w:color w:val="auto"/>
              </w:rPr>
              <w:t>State of New Hampshire due 5/1/27</w:t>
            </w:r>
          </w:p>
        </w:tc>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20,000,000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5/1/2027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State of New Hampshire due 9/1/12</w:t>
            </w:r>
          </w:p>
        </w:tc>
        <w:tc>
          <w:tcPr>
            <w:tcW w:w="2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9/1/2012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tcPr>
          <w:p>
            <w:pPr>
              <w:spacing w:after="0"/>
              <w:rPr>
                <w:sz w:val="20"/>
                <w:szCs w:val="20"/>
                <w:color w:val="auto"/>
              </w:rPr>
            </w:pPr>
            <w:r>
              <w:rPr>
                <w:rFonts w:ascii="Arial" w:cs="Arial" w:eastAsia="Arial" w:hAnsi="Arial"/>
                <w:sz w:val="13"/>
                <w:szCs w:val="13"/>
                <w:color w:val="auto"/>
              </w:rPr>
              <w:t>Sussex Co. Virginia</w:t>
            </w:r>
          </w:p>
        </w:tc>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10,000,000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9/1/2027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Sussex County</w:t>
            </w:r>
          </w:p>
        </w:tc>
        <w:tc>
          <w:tcPr>
            <w:tcW w:w="2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6/1/2028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tcPr>
          <w:p>
            <w:pPr>
              <w:spacing w:after="0"/>
              <w:rPr>
                <w:sz w:val="20"/>
                <w:szCs w:val="20"/>
                <w:color w:val="auto"/>
              </w:rPr>
            </w:pPr>
            <w:r>
              <w:rPr>
                <w:rFonts w:ascii="Arial" w:cs="Arial" w:eastAsia="Arial" w:hAnsi="Arial"/>
                <w:sz w:val="13"/>
                <w:szCs w:val="13"/>
                <w:color w:val="auto"/>
              </w:rPr>
              <w:t>SW Illinois due 10/1/2027</w:t>
            </w:r>
          </w:p>
        </w:tc>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4,700,000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10/1/2027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Tennessee - 2003</w:t>
            </w:r>
          </w:p>
        </w:tc>
        <w:tc>
          <w:tcPr>
            <w:tcW w:w="2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7/1/2033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tcPr>
          <w:p>
            <w:pPr>
              <w:spacing w:after="0"/>
              <w:rPr>
                <w:sz w:val="20"/>
                <w:szCs w:val="20"/>
                <w:color w:val="auto"/>
              </w:rPr>
            </w:pPr>
            <w:r>
              <w:rPr>
                <w:rFonts w:ascii="Arial" w:cs="Arial" w:eastAsia="Arial" w:hAnsi="Arial"/>
                <w:sz w:val="13"/>
                <w:szCs w:val="13"/>
                <w:color w:val="auto"/>
              </w:rPr>
              <w:t>Tennessee - 2006</w:t>
            </w:r>
          </w:p>
        </w:tc>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22,000,000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7/1/2012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Texas due 8/1/20 (Mission EDC)</w:t>
            </w:r>
          </w:p>
        </w:tc>
        <w:tc>
          <w:tcPr>
            <w:tcW w:w="2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67,000,000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8/1/2020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tcPr>
          <w:p>
            <w:pPr>
              <w:spacing w:after="0"/>
              <w:rPr>
                <w:sz w:val="20"/>
                <w:szCs w:val="20"/>
                <w:color w:val="auto"/>
              </w:rPr>
            </w:pPr>
            <w:r>
              <w:rPr>
                <w:rFonts w:ascii="Arial" w:cs="Arial" w:eastAsia="Arial" w:hAnsi="Arial"/>
                <w:sz w:val="13"/>
                <w:szCs w:val="13"/>
                <w:color w:val="auto"/>
              </w:rPr>
              <w:t>Travis County</w:t>
            </w:r>
          </w:p>
        </w:tc>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12,000,000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5/1/2028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Washington due 10/1/25</w:t>
            </w:r>
          </w:p>
        </w:tc>
        <w:tc>
          <w:tcPr>
            <w:tcW w:w="2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13,650,000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10/1/2025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tcPr>
          <w:p>
            <w:pPr>
              <w:spacing w:after="0"/>
              <w:rPr>
                <w:sz w:val="20"/>
                <w:szCs w:val="20"/>
                <w:color w:val="auto"/>
              </w:rPr>
            </w:pPr>
            <w:r>
              <w:rPr>
                <w:rFonts w:ascii="Arial" w:cs="Arial" w:eastAsia="Arial" w:hAnsi="Arial"/>
                <w:sz w:val="13"/>
                <w:szCs w:val="13"/>
                <w:color w:val="auto"/>
              </w:rPr>
              <w:t>Washington due 10/1/25</w:t>
            </w:r>
          </w:p>
        </w:tc>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13,650,000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10/1/2025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Washington due 10/1/27</w:t>
            </w:r>
          </w:p>
        </w:tc>
        <w:tc>
          <w:tcPr>
            <w:tcW w:w="2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10/1/2027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tcPr>
          <w:p>
            <w:pPr>
              <w:spacing w:after="0"/>
              <w:rPr>
                <w:sz w:val="20"/>
                <w:szCs w:val="20"/>
                <w:color w:val="auto"/>
              </w:rPr>
            </w:pPr>
            <w:r>
              <w:rPr>
                <w:rFonts w:ascii="Arial" w:cs="Arial" w:eastAsia="Arial" w:hAnsi="Arial"/>
                <w:sz w:val="13"/>
                <w:szCs w:val="13"/>
                <w:color w:val="auto"/>
              </w:rPr>
              <w:t>Washington due 11/1/2017</w:t>
            </w:r>
          </w:p>
        </w:tc>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27,000,000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11/1/2017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Washington due 12/1/25</w:t>
            </w:r>
          </w:p>
        </w:tc>
        <w:tc>
          <w:tcPr>
            <w:tcW w:w="2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7,235,000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12/1/2025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tcPr>
          <w:p>
            <w:pPr>
              <w:spacing w:after="0"/>
              <w:rPr>
                <w:sz w:val="20"/>
                <w:szCs w:val="20"/>
                <w:color w:val="auto"/>
              </w:rPr>
            </w:pPr>
            <w:r>
              <w:rPr>
                <w:rFonts w:ascii="Arial" w:cs="Arial" w:eastAsia="Arial" w:hAnsi="Arial"/>
                <w:sz w:val="13"/>
                <w:szCs w:val="13"/>
                <w:color w:val="auto"/>
              </w:rPr>
              <w:t>Washington due 2/1/26</w:t>
            </w:r>
          </w:p>
        </w:tc>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22,000,000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2/1/2026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Washington due 7/1/30</w:t>
            </w:r>
          </w:p>
        </w:tc>
        <w:tc>
          <w:tcPr>
            <w:tcW w:w="2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7/1/2030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tcPr>
          <w:p>
            <w:pPr>
              <w:spacing w:after="0"/>
              <w:rPr>
                <w:sz w:val="20"/>
                <w:szCs w:val="20"/>
                <w:color w:val="auto"/>
              </w:rPr>
            </w:pPr>
            <w:r>
              <w:rPr>
                <w:rFonts w:ascii="Arial" w:cs="Arial" w:eastAsia="Arial" w:hAnsi="Arial"/>
                <w:sz w:val="13"/>
                <w:szCs w:val="13"/>
                <w:color w:val="auto"/>
              </w:rPr>
              <w:t>Washington due 6/1/20</w:t>
            </w:r>
          </w:p>
        </w:tc>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30,000,000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6/1/2020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Wisconsin Series 2003</w:t>
            </w:r>
          </w:p>
        </w:tc>
        <w:tc>
          <w:tcPr>
            <w:tcW w:w="2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4/1/2016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tcPr>
          <w:p>
            <w:pPr>
              <w:spacing w:after="0"/>
              <w:rPr>
                <w:sz w:val="20"/>
                <w:szCs w:val="20"/>
                <w:color w:val="auto"/>
              </w:rPr>
            </w:pPr>
            <w:r>
              <w:rPr>
                <w:rFonts w:ascii="Arial" w:cs="Arial" w:eastAsia="Arial" w:hAnsi="Arial"/>
                <w:sz w:val="13"/>
                <w:szCs w:val="13"/>
                <w:color w:val="auto"/>
              </w:rPr>
              <w:t>Wisconsin Series 2006A</w:t>
            </w:r>
          </w:p>
        </w:tc>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30,000,000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11/1/2016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Wisconsin Series 2007A</w:t>
            </w:r>
          </w:p>
        </w:tc>
        <w:tc>
          <w:tcPr>
            <w:tcW w:w="2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12/1/2014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tcPr>
          <w:p>
            <w:pPr>
              <w:spacing w:after="0"/>
              <w:rPr>
                <w:sz w:val="20"/>
                <w:szCs w:val="20"/>
                <w:color w:val="auto"/>
              </w:rPr>
            </w:pPr>
            <w:r>
              <w:rPr>
                <w:rFonts w:ascii="Arial" w:cs="Arial" w:eastAsia="Arial" w:hAnsi="Arial"/>
                <w:sz w:val="13"/>
                <w:szCs w:val="13"/>
                <w:color w:val="auto"/>
              </w:rPr>
              <w:t>Wood County due 4/1/24</w:t>
            </w:r>
          </w:p>
        </w:tc>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6,580,000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4/1/2024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Yavapai (Arizona) due 3/1/28</w:t>
            </w:r>
          </w:p>
        </w:tc>
        <w:tc>
          <w:tcPr>
            <w:tcW w:w="2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17,420,000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3/1/2028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tcPr>
          <w:p>
            <w:pPr>
              <w:spacing w:after="0"/>
              <w:rPr>
                <w:sz w:val="20"/>
                <w:szCs w:val="20"/>
                <w:color w:val="auto"/>
              </w:rPr>
            </w:pPr>
            <w:r>
              <w:rPr>
                <w:rFonts w:ascii="Arial" w:cs="Arial" w:eastAsia="Arial" w:hAnsi="Arial"/>
                <w:sz w:val="13"/>
                <w:szCs w:val="13"/>
                <w:color w:val="auto"/>
              </w:rPr>
              <w:t>Yavapai (Arizona) due 3/1/28</w:t>
            </w:r>
          </w:p>
        </w:tc>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20,000,000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3/1/2028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Yavapai (Arizona) due 6/1/27</w:t>
            </w:r>
          </w:p>
        </w:tc>
        <w:tc>
          <w:tcPr>
            <w:tcW w:w="23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30,000,000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6/1/2027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60" w:type="dxa"/>
            <w:vAlign w:val="bottom"/>
          </w:tcPr>
          <w:p>
            <w:pPr>
              <w:ind w:left="120"/>
              <w:spacing w:after="0"/>
              <w:rPr>
                <w:sz w:val="20"/>
                <w:szCs w:val="20"/>
                <w:color w:val="auto"/>
              </w:rPr>
            </w:pPr>
            <w:r>
              <w:rPr>
                <w:rFonts w:ascii="Arial" w:cs="Arial" w:eastAsia="Arial" w:hAnsi="Arial"/>
                <w:sz w:val="13"/>
                <w:szCs w:val="13"/>
                <w:b w:val="1"/>
                <w:bCs w:val="1"/>
                <w:color w:val="auto"/>
              </w:rPr>
              <w:t>Total Tax-Exempt Revenue Bonds</w:t>
            </w:r>
          </w:p>
        </w:tc>
        <w:tc>
          <w:tcPr>
            <w:tcW w:w="24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3"/>
                <w:szCs w:val="13"/>
                <w:color w:val="auto"/>
                <w:w w:val="91"/>
              </w:rPr>
              <w:t>2,600,270,000</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vMerge w:val="restart"/>
          </w:tcPr>
          <w:p>
            <w:pPr>
              <w:spacing w:after="0"/>
              <w:rPr>
                <w:sz w:val="13"/>
                <w:szCs w:val="13"/>
                <w:color w:val="auto"/>
              </w:rPr>
            </w:pPr>
          </w:p>
        </w:tc>
        <w:tc>
          <w:tcPr>
            <w:tcW w:w="67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Tax-Exempt Project Bonds:</w:t>
            </w:r>
          </w:p>
        </w:tc>
        <w:tc>
          <w:tcPr>
            <w:tcW w:w="2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tcPr>
          <w:p>
            <w:pPr>
              <w:spacing w:after="0"/>
              <w:rPr>
                <w:sz w:val="20"/>
                <w:szCs w:val="20"/>
                <w:color w:val="auto"/>
              </w:rPr>
            </w:pPr>
            <w:r>
              <w:rPr>
                <w:rFonts w:ascii="Arial" w:cs="Arial" w:eastAsia="Arial" w:hAnsi="Arial"/>
                <w:sz w:val="13"/>
                <w:szCs w:val="13"/>
                <w:color w:val="auto"/>
              </w:rPr>
              <w:t>Concord Debt Series A</w:t>
            </w:r>
          </w:p>
        </w:tc>
        <w:tc>
          <w:tcPr>
            <w:tcW w:w="24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31,315,000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01/01/18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Concord Debt Series B</w:t>
            </w:r>
          </w:p>
        </w:tc>
        <w:tc>
          <w:tcPr>
            <w:tcW w:w="2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4,925,000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01/01/18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tcPr>
          <w:p>
            <w:pPr>
              <w:spacing w:after="0"/>
              <w:rPr>
                <w:sz w:val="20"/>
                <w:szCs w:val="20"/>
                <w:color w:val="auto"/>
              </w:rPr>
            </w:pPr>
            <w:r>
              <w:rPr>
                <w:rFonts w:ascii="Arial" w:cs="Arial" w:eastAsia="Arial" w:hAnsi="Arial"/>
                <w:sz w:val="13"/>
                <w:szCs w:val="13"/>
                <w:color w:val="auto"/>
              </w:rPr>
              <w:t>Gloucester Bonds</w:t>
            </w:r>
          </w:p>
        </w:tc>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32,585,000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12/01/29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Gloucester Bonds</w:t>
            </w:r>
          </w:p>
        </w:tc>
        <w:tc>
          <w:tcPr>
            <w:tcW w:w="2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6,930,000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12/01/29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tcPr>
          <w:p>
            <w:pPr>
              <w:spacing w:after="0"/>
              <w:rPr>
                <w:sz w:val="20"/>
                <w:szCs w:val="20"/>
                <w:color w:val="auto"/>
              </w:rPr>
            </w:pPr>
            <w:r>
              <w:rPr>
                <w:rFonts w:ascii="Arial" w:cs="Arial" w:eastAsia="Arial" w:hAnsi="Arial"/>
                <w:sz w:val="13"/>
                <w:szCs w:val="13"/>
                <w:color w:val="auto"/>
              </w:rPr>
              <w:t>Massachusetts</w:t>
            </w:r>
          </w:p>
        </w:tc>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10,000,000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05/01/27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North Broward</w:t>
            </w:r>
          </w:p>
        </w:tc>
        <w:tc>
          <w:tcPr>
            <w:tcW w:w="2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17,955,000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12/01/10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tcPr>
          <w:p>
            <w:pPr>
              <w:spacing w:after="0"/>
              <w:rPr>
                <w:sz w:val="20"/>
                <w:szCs w:val="20"/>
                <w:color w:val="auto"/>
              </w:rPr>
            </w:pPr>
            <w:r>
              <w:rPr>
                <w:rFonts w:ascii="Arial" w:cs="Arial" w:eastAsia="Arial" w:hAnsi="Arial"/>
                <w:sz w:val="13"/>
                <w:szCs w:val="13"/>
                <w:color w:val="auto"/>
              </w:rPr>
              <w:t>North Broward</w:t>
            </w:r>
          </w:p>
        </w:tc>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15,480,000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12/01/11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South Broward</w:t>
            </w:r>
          </w:p>
        </w:tc>
        <w:tc>
          <w:tcPr>
            <w:tcW w:w="2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21,330,000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12/01/10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tcPr>
          <w:p>
            <w:pPr>
              <w:spacing w:after="0"/>
              <w:rPr>
                <w:sz w:val="20"/>
                <w:szCs w:val="20"/>
                <w:color w:val="auto"/>
              </w:rPr>
            </w:pPr>
            <w:r>
              <w:rPr>
                <w:rFonts w:ascii="Arial" w:cs="Arial" w:eastAsia="Arial" w:hAnsi="Arial"/>
                <w:sz w:val="13"/>
                <w:szCs w:val="13"/>
                <w:color w:val="auto"/>
              </w:rPr>
              <w:t>South Broward</w:t>
            </w:r>
          </w:p>
        </w:tc>
        <w:tc>
          <w:tcPr>
            <w:tcW w:w="2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14,865,000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12/01/11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Total Tax-Exempt Project Bonds</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155,385,000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870" w:right="219"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960" w:type="dxa"/>
            <w:vAlign w:val="bottom"/>
            <w:tcBorders>
              <w:bottom w:val="single" w:sz="8" w:color="auto"/>
            </w:tcBorders>
          </w:tcPr>
          <w:p>
            <w:pPr>
              <w:ind w:left="2080"/>
              <w:spacing w:after="0"/>
              <w:rPr>
                <w:sz w:val="20"/>
                <w:szCs w:val="20"/>
                <w:color w:val="auto"/>
              </w:rPr>
            </w:pPr>
            <w:r>
              <w:rPr>
                <w:rFonts w:ascii="Arial" w:cs="Arial" w:eastAsia="Arial" w:hAnsi="Arial"/>
                <w:sz w:val="10"/>
                <w:szCs w:val="10"/>
                <w:b w:val="1"/>
                <w:bCs w:val="1"/>
                <w:color w:val="auto"/>
              </w:rPr>
              <w:t>Name</w:t>
            </w:r>
          </w:p>
        </w:tc>
        <w:tc>
          <w:tcPr>
            <w:tcW w:w="4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0"/>
                <w:szCs w:val="10"/>
                <w:b w:val="1"/>
                <w:bCs w:val="1"/>
                <w:color w:val="auto"/>
              </w:rPr>
              <w:t>Principal</w:t>
            </w: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Maturity</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00" w:type="dxa"/>
            <w:vAlign w:val="bottom"/>
            <w:gridSpan w:val="3"/>
          </w:tcPr>
          <w:p>
            <w:pPr>
              <w:spacing w:after="0"/>
              <w:rPr>
                <w:sz w:val="20"/>
                <w:szCs w:val="20"/>
                <w:color w:val="auto"/>
              </w:rPr>
            </w:pPr>
            <w:r>
              <w:rPr>
                <w:rFonts w:ascii="Arial" w:cs="Arial" w:eastAsia="Arial" w:hAnsi="Arial"/>
                <w:sz w:val="13"/>
                <w:szCs w:val="13"/>
                <w:b w:val="1"/>
                <w:bCs w:val="1"/>
                <w:color w:val="auto"/>
              </w:rPr>
              <w:t>Canada Credit Facility:</w:t>
            </w:r>
          </w:p>
        </w:tc>
        <w:tc>
          <w:tcPr>
            <w:tcW w:w="4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Canada facility debt</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118,152,000</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9/9/2010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00" w:type="dxa"/>
            <w:vAlign w:val="bottom"/>
            <w:gridSpan w:val="3"/>
          </w:tcPr>
          <w:p>
            <w:pPr>
              <w:spacing w:after="0"/>
              <w:rPr>
                <w:sz w:val="20"/>
                <w:szCs w:val="20"/>
                <w:color w:val="auto"/>
              </w:rPr>
            </w:pPr>
            <w:r>
              <w:rPr>
                <w:rFonts w:ascii="Arial" w:cs="Arial" w:eastAsia="Arial" w:hAnsi="Arial"/>
                <w:sz w:val="13"/>
                <w:szCs w:val="13"/>
                <w:color w:val="auto"/>
              </w:rPr>
              <w:t>Canada facility debt</w:t>
            </w:r>
          </w:p>
        </w:tc>
        <w:tc>
          <w:tcPr>
            <w:tcW w:w="4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137,844,000</w:t>
            </w:r>
          </w:p>
        </w:tc>
        <w:tc>
          <w:tcPr>
            <w:tcW w:w="1080" w:type="dxa"/>
            <w:vAlign w:val="bottom"/>
          </w:tcPr>
          <w:p>
            <w:pPr>
              <w:jc w:val="right"/>
              <w:ind w:right="39"/>
              <w:spacing w:after="0"/>
              <w:rPr>
                <w:sz w:val="20"/>
                <w:szCs w:val="20"/>
                <w:color w:val="auto"/>
              </w:rPr>
            </w:pPr>
            <w:r>
              <w:rPr>
                <w:rFonts w:ascii="Arial" w:cs="Arial" w:eastAsia="Arial" w:hAnsi="Arial"/>
                <w:sz w:val="13"/>
                <w:szCs w:val="13"/>
                <w:color w:val="auto"/>
              </w:rPr>
              <w:t>12/10/2010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Canada Credit Facility Debt</w:t>
            </w:r>
          </w:p>
        </w:tc>
        <w:tc>
          <w:tcPr>
            <w:tcW w:w="4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255,996,000</w:t>
            </w: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2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Other</w:t>
            </w:r>
          </w:p>
        </w:tc>
        <w:tc>
          <w:tcPr>
            <w:tcW w:w="4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5020" w:type="dxa"/>
            <w:vAlign w:val="bottom"/>
            <w:gridSpan w:val="4"/>
            <w:vMerge w:val="continue"/>
          </w:tcPr>
          <w:p>
            <w:pPr>
              <w:spacing w:after="0"/>
              <w:rPr>
                <w:sz w:val="24"/>
                <w:szCs w:val="24"/>
                <w:color w:val="auto"/>
              </w:rPr>
            </w:pPr>
          </w:p>
        </w:tc>
        <w:tc>
          <w:tcPr>
            <w:tcW w:w="4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237,357,254</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Total Existing Indebtedness (a)</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w w:val="91"/>
              </w:rPr>
              <w:t>3,845,423,254</w:t>
            </w: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29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40" w:type="dxa"/>
            <w:vAlign w:val="bottom"/>
            <w:gridSpan w:val="2"/>
          </w:tcPr>
          <w:p>
            <w:pPr>
              <w:spacing w:after="0"/>
              <w:rPr>
                <w:sz w:val="20"/>
                <w:szCs w:val="20"/>
                <w:color w:val="auto"/>
              </w:rPr>
            </w:pPr>
            <w:r>
              <w:rPr>
                <w:rFonts w:ascii="Arial" w:cs="Arial" w:eastAsia="Arial" w:hAnsi="Arial"/>
                <w:sz w:val="13"/>
                <w:szCs w:val="13"/>
                <w:color w:val="auto"/>
                <w:w w:val="75"/>
              </w:rPr>
              <w:t>(a)</w:t>
            </w:r>
          </w:p>
        </w:tc>
        <w:tc>
          <w:tcPr>
            <w:tcW w:w="4880" w:type="dxa"/>
            <w:vAlign w:val="bottom"/>
            <w:gridSpan w:val="2"/>
          </w:tcPr>
          <w:p>
            <w:pPr>
              <w:ind w:left="320"/>
              <w:spacing w:after="0"/>
              <w:rPr>
                <w:sz w:val="20"/>
                <w:szCs w:val="20"/>
                <w:color w:val="auto"/>
              </w:rPr>
            </w:pPr>
            <w:r>
              <w:rPr>
                <w:rFonts w:ascii="Arial" w:cs="Arial" w:eastAsia="Arial" w:hAnsi="Arial"/>
                <w:sz w:val="13"/>
                <w:szCs w:val="13"/>
                <w:color w:val="auto"/>
              </w:rPr>
              <w:t>Excludes indebtedness incurred subsequent to March 31, 2010.</w:t>
            </w:r>
          </w:p>
        </w:tc>
        <w:tc>
          <w:tcPr>
            <w:tcW w:w="4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180" w:type="dxa"/>
            <w:vAlign w:val="bottom"/>
            <w:gridSpan w:val="2"/>
          </w:tcPr>
          <w:p>
            <w:pPr>
              <w:jc w:val="right"/>
              <w:ind w:right="3331"/>
              <w:spacing w:after="0"/>
              <w:rPr>
                <w:sz w:val="20"/>
                <w:szCs w:val="20"/>
                <w:color w:val="auto"/>
              </w:rPr>
            </w:pPr>
            <w:r>
              <w:rPr>
                <w:rFonts w:ascii="Arial" w:cs="Arial" w:eastAsia="Arial" w:hAnsi="Arial"/>
                <w:sz w:val="13"/>
                <w:szCs w:val="13"/>
                <w:color w:val="auto"/>
              </w:rPr>
              <w:t>-iv-</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920" w:type="dxa"/>
            <w:vAlign w:val="bottom"/>
            <w:tcBorders>
              <w:bottom w:val="single" w:sz="8" w:color="808080"/>
            </w:tcBorders>
          </w:tcPr>
          <w:p>
            <w:pPr>
              <w:spacing w:after="0"/>
              <w:rPr>
                <w:sz w:val="14"/>
                <w:szCs w:val="14"/>
                <w:color w:val="auto"/>
              </w:rPr>
            </w:pPr>
          </w:p>
        </w:tc>
        <w:tc>
          <w:tcPr>
            <w:tcW w:w="296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0" w:right="219" w:bottom="1440" w:gutter="0" w:footer="0" w:header="0"/>
        </w:sectPr>
      </w:pPr>
    </w:p>
    <w:bookmarkStart w:id="246" w:name="page247"/>
    <w:bookmarkEnd w:id="246"/>
    <w:p>
      <w:pPr>
        <w:jc w:val="right"/>
        <w:spacing w:after="0"/>
        <w:rPr>
          <w:sz w:val="20"/>
          <w:szCs w:val="20"/>
          <w:color w:val="auto"/>
        </w:rPr>
      </w:pPr>
      <w:r>
        <w:rPr>
          <w:rFonts w:ascii="Arial" w:cs="Arial" w:eastAsia="Arial" w:hAnsi="Arial"/>
          <w:sz w:val="13"/>
          <w:szCs w:val="13"/>
          <w:color w:val="auto"/>
        </w:rPr>
        <w:t>SCHEDULE 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ADMINISTRATIVE AGENT’S OFFICE; CERTAIN ADDRESSES FOR NOTICES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ADMINISTRATIVE AGENT</w:t>
      </w:r>
      <w:r>
        <w:rPr>
          <w:rFonts w:ascii="Arial" w:cs="Arial" w:eastAsia="Arial" w:hAnsi="Arial"/>
          <w:sz w:val="13"/>
          <w:szCs w:val="13"/>
          <w:b w:val="1"/>
          <w:bCs w:val="1"/>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Administrative Agent’s Office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(for payments and Requests for Credit Extensions):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Bank of America, N.A.</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901 Main Street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Mail Code: TX1-492-14-05</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Dallas, Texas 75202-3714</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Attention: Sandra Gonzalez</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Telephone: 214-209-2139</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Telecopier: 214-672-8760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Electronic Mail: </w:t>
      </w:r>
      <w:r>
        <w:rPr>
          <w:rFonts w:ascii="Arial" w:cs="Arial" w:eastAsia="Arial" w:hAnsi="Arial"/>
          <w:sz w:val="13"/>
          <w:szCs w:val="13"/>
          <w:u w:val="single" w:color="auto"/>
          <w:color w:val="auto"/>
        </w:rPr>
        <w:t>sandra.h.gonzalez@bankofamerica.com</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Account No.: 1292000883</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Ref: Waste Management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ABA# 026-009-593</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Other Notices as Administrative Agent</w:t>
      </w:r>
      <w:r>
        <w:rPr>
          <w:rFonts w:ascii="Arial" w:cs="Arial" w:eastAsia="Arial" w:hAnsi="Arial"/>
          <w:sz w:val="13"/>
          <w:szCs w:val="13"/>
          <w:i w:val="1"/>
          <w:iCs w:val="1"/>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Bank of America, N.A.</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Agency Management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901 Main Street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Mail Code: TX1-492-14-11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Dallas, Texas 75202-3714</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Attention: Ron Naval</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Telephone: 214-209-1162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Telecopier: 877-511-6124</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Electronic Mail: </w:t>
      </w:r>
      <w:r>
        <w:rPr>
          <w:rFonts w:ascii="Arial" w:cs="Arial" w:eastAsia="Arial" w:hAnsi="Arial"/>
          <w:sz w:val="13"/>
          <w:szCs w:val="13"/>
          <w:u w:val="single" w:color="auto"/>
          <w:color w:val="auto"/>
        </w:rPr>
        <w:t>ronaldo.naval@bankofamerica.com</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L/C ISSUER</w:t>
      </w:r>
      <w:r>
        <w:rPr>
          <w:rFonts w:ascii="Arial" w:cs="Arial" w:eastAsia="Arial" w:hAnsi="Arial"/>
          <w:sz w:val="13"/>
          <w:szCs w:val="13"/>
          <w:b w:val="1"/>
          <w:bCs w:val="1"/>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Bank of America, N.A.</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Trade Operations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1 Fleet Way</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Mail Code: PA6-580-02-30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Scranton, PA 18507</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Attention: Mary J. Cooper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Telephone: 570-330-4235</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Telecopier: 570-330-4186</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Electronic Mail: mary.j.cooper@bankofamerica.com</w:t>
      </w:r>
    </w:p>
    <w:p>
      <w:pPr>
        <w:sectPr>
          <w:pgSz w:w="11900" w:h="16838" w:orient="portrait"/>
          <w:cols w:equalWidth="0" w:num="1">
            <w:col w:w="11460"/>
          </w:cols>
          <w:pgMar w:left="220" w:top="720" w:right="219" w:bottom="1440" w:gutter="0" w:footer="0" w:header="0"/>
        </w:sectPr>
      </w:pPr>
    </w:p>
    <w:bookmarkStart w:id="247" w:name="page248"/>
    <w:bookmarkEnd w:id="247"/>
    <w:p>
      <w:pPr>
        <w:jc w:val="right"/>
        <w:spacing w:after="0"/>
        <w:rPr>
          <w:sz w:val="20"/>
          <w:szCs w:val="20"/>
          <w:color w:val="auto"/>
        </w:rPr>
      </w:pPr>
      <w:r>
        <w:rPr>
          <w:rFonts w:ascii="Arial" w:cs="Arial" w:eastAsia="Arial" w:hAnsi="Arial"/>
          <w:sz w:val="13"/>
          <w:szCs w:val="13"/>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RULES 13a-14(a) AND 15d-14(a)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UNDER THE SECURITIES EXCHANGE ACT OF 1934,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302 OF THE SARBANES-OXLEY ACT OF 2002</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I, David P. Steiner, certify that:</w:t>
      </w:r>
    </w:p>
    <w:p>
      <w:pPr>
        <w:spacing w:after="0" w:line="86" w:lineRule="exact"/>
        <w:rPr>
          <w:sz w:val="20"/>
          <w:szCs w:val="20"/>
          <w:color w:val="auto"/>
        </w:rPr>
      </w:pPr>
    </w:p>
    <w:p>
      <w:pPr>
        <w:ind w:left="460" w:hanging="134"/>
        <w:spacing w:after="0"/>
        <w:tabs>
          <w:tab w:leader="none" w:pos="460" w:val="left"/>
        </w:tabs>
        <w:numPr>
          <w:ilvl w:val="0"/>
          <w:numId w:val="161"/>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Waste Management, Inc.;</w:t>
      </w:r>
    </w:p>
    <w:p>
      <w:pPr>
        <w:spacing w:after="0" w:line="86" w:lineRule="exact"/>
        <w:rPr>
          <w:rFonts w:ascii="Arial" w:cs="Arial" w:eastAsia="Arial" w:hAnsi="Arial"/>
          <w:sz w:val="13"/>
          <w:szCs w:val="13"/>
          <w:color w:val="auto"/>
        </w:rPr>
      </w:pPr>
    </w:p>
    <w:p>
      <w:pPr>
        <w:ind w:right="240" w:firstLine="326"/>
        <w:spacing w:after="0" w:line="276" w:lineRule="auto"/>
        <w:tabs>
          <w:tab w:leader="none" w:pos="459" w:val="left"/>
        </w:tabs>
        <w:numPr>
          <w:ilvl w:val="0"/>
          <w:numId w:val="16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right="60" w:firstLine="326"/>
        <w:spacing w:after="0" w:line="276" w:lineRule="auto"/>
        <w:tabs>
          <w:tab w:leader="none" w:pos="459" w:val="left"/>
        </w:tabs>
        <w:numPr>
          <w:ilvl w:val="0"/>
          <w:numId w:val="16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right="400" w:firstLine="326"/>
        <w:spacing w:after="0" w:line="276" w:lineRule="auto"/>
        <w:tabs>
          <w:tab w:leader="none" w:pos="459" w:val="left"/>
        </w:tabs>
        <w:numPr>
          <w:ilvl w:val="0"/>
          <w:numId w:val="161"/>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49" w:lineRule="exact"/>
        <w:rPr>
          <w:rFonts w:ascii="Arial" w:cs="Arial" w:eastAsia="Arial" w:hAnsi="Arial"/>
          <w:sz w:val="13"/>
          <w:szCs w:val="13"/>
          <w:color w:val="auto"/>
        </w:rPr>
      </w:pPr>
    </w:p>
    <w:p>
      <w:pPr>
        <w:ind w:left="460" w:right="80" w:firstLine="325"/>
        <w:spacing w:after="0" w:line="276" w:lineRule="auto"/>
        <w:tabs>
          <w:tab w:leader="none" w:pos="911" w:val="left"/>
        </w:tabs>
        <w:numPr>
          <w:ilvl w:val="1"/>
          <w:numId w:val="161"/>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3"/>
          <w:szCs w:val="13"/>
          <w:color w:val="auto"/>
        </w:rPr>
      </w:pPr>
    </w:p>
    <w:p>
      <w:pPr>
        <w:ind w:left="460" w:right="300" w:firstLine="325"/>
        <w:spacing w:after="0" w:line="276" w:lineRule="auto"/>
        <w:tabs>
          <w:tab w:leader="none" w:pos="919" w:val="left"/>
        </w:tabs>
        <w:numPr>
          <w:ilvl w:val="1"/>
          <w:numId w:val="161"/>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3"/>
          <w:szCs w:val="13"/>
          <w:color w:val="auto"/>
        </w:rPr>
      </w:pPr>
    </w:p>
    <w:p>
      <w:pPr>
        <w:ind w:left="460" w:right="80" w:firstLine="325"/>
        <w:spacing w:after="0" w:line="276" w:lineRule="auto"/>
        <w:tabs>
          <w:tab w:leader="none" w:pos="911" w:val="left"/>
        </w:tabs>
        <w:numPr>
          <w:ilvl w:val="1"/>
          <w:numId w:val="16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3"/>
          <w:szCs w:val="13"/>
          <w:color w:val="auto"/>
        </w:rPr>
      </w:pPr>
    </w:p>
    <w:p>
      <w:pPr>
        <w:ind w:left="460" w:right="60" w:firstLine="325"/>
        <w:spacing w:after="0" w:line="276" w:lineRule="auto"/>
        <w:tabs>
          <w:tab w:leader="none" w:pos="919" w:val="left"/>
        </w:tabs>
        <w:numPr>
          <w:ilvl w:val="1"/>
          <w:numId w:val="16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right="40" w:firstLine="326"/>
        <w:spacing w:after="0" w:line="276" w:lineRule="auto"/>
        <w:tabs>
          <w:tab w:leader="none" w:pos="459" w:val="left"/>
        </w:tabs>
        <w:numPr>
          <w:ilvl w:val="0"/>
          <w:numId w:val="161"/>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460" w:right="360" w:firstLine="325"/>
        <w:spacing w:after="0" w:line="276" w:lineRule="auto"/>
        <w:tabs>
          <w:tab w:leader="none" w:pos="911" w:val="left"/>
        </w:tabs>
        <w:numPr>
          <w:ilvl w:val="1"/>
          <w:numId w:val="16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3"/>
          <w:szCs w:val="13"/>
          <w:color w:val="auto"/>
        </w:rPr>
      </w:pPr>
    </w:p>
    <w:p>
      <w:pPr>
        <w:ind w:left="920" w:hanging="135"/>
        <w:spacing w:after="0"/>
        <w:tabs>
          <w:tab w:leader="none" w:pos="920" w:val="left"/>
        </w:tabs>
        <w:numPr>
          <w:ilvl w:val="1"/>
          <w:numId w:val="16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3594100</wp:posOffset>
            </wp:positionH>
            <wp:positionV relativeFrom="paragraph">
              <wp:posOffset>10795</wp:posOffset>
            </wp:positionV>
            <wp:extent cx="3663950" cy="63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663950" cy="635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3"/>
          <w:szCs w:val="13"/>
          <w:i w:val="1"/>
          <w:iCs w:val="1"/>
          <w:color w:val="auto"/>
        </w:rPr>
        <w:t>President and Chief Executive Officer</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Date: August 2, 2010</w:t>
      </w:r>
    </w:p>
    <w:p>
      <w:pPr>
        <w:sectPr>
          <w:pgSz w:w="11900" w:h="16838" w:orient="portrait"/>
          <w:cols w:equalWidth="0" w:num="1">
            <w:col w:w="11460"/>
          </w:cols>
          <w:pgMar w:left="220" w:top="127" w:right="219" w:bottom="1440" w:gutter="0" w:footer="0" w:header="0"/>
        </w:sectPr>
      </w:pPr>
    </w:p>
    <w:bookmarkStart w:id="248" w:name="page249"/>
    <w:bookmarkEnd w:id="248"/>
    <w:p>
      <w:pPr>
        <w:jc w:val="right"/>
        <w:spacing w:after="0"/>
        <w:rPr>
          <w:sz w:val="20"/>
          <w:szCs w:val="20"/>
          <w:color w:val="auto"/>
        </w:rPr>
      </w:pPr>
      <w:r>
        <w:rPr>
          <w:rFonts w:ascii="Arial" w:cs="Arial" w:eastAsia="Arial" w:hAnsi="Arial"/>
          <w:sz w:val="13"/>
          <w:szCs w:val="13"/>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RULES 13a-14(a) AND 15d-14(a)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UNDER THE SECURITIES EXCHANGE ACT OF 1934,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302 OF THE SARBANES-OXLEY ACT OF 2002</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I, Robert G. Simpson, certify that:</w:t>
      </w:r>
    </w:p>
    <w:p>
      <w:pPr>
        <w:spacing w:after="0" w:line="86" w:lineRule="exact"/>
        <w:rPr>
          <w:sz w:val="20"/>
          <w:szCs w:val="20"/>
          <w:color w:val="auto"/>
        </w:rPr>
      </w:pPr>
    </w:p>
    <w:p>
      <w:pPr>
        <w:ind w:left="460" w:hanging="134"/>
        <w:spacing w:after="0"/>
        <w:tabs>
          <w:tab w:leader="none" w:pos="460" w:val="left"/>
        </w:tabs>
        <w:numPr>
          <w:ilvl w:val="0"/>
          <w:numId w:val="162"/>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Waste Management, Inc.;</w:t>
      </w:r>
    </w:p>
    <w:p>
      <w:pPr>
        <w:spacing w:after="0" w:line="86" w:lineRule="exact"/>
        <w:rPr>
          <w:rFonts w:ascii="Arial" w:cs="Arial" w:eastAsia="Arial" w:hAnsi="Arial"/>
          <w:sz w:val="13"/>
          <w:szCs w:val="13"/>
          <w:color w:val="auto"/>
        </w:rPr>
      </w:pPr>
    </w:p>
    <w:p>
      <w:pPr>
        <w:ind w:right="240" w:firstLine="326"/>
        <w:spacing w:after="0" w:line="276" w:lineRule="auto"/>
        <w:tabs>
          <w:tab w:leader="none" w:pos="459" w:val="left"/>
        </w:tabs>
        <w:numPr>
          <w:ilvl w:val="0"/>
          <w:numId w:val="16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right="60" w:firstLine="326"/>
        <w:spacing w:after="0" w:line="276" w:lineRule="auto"/>
        <w:tabs>
          <w:tab w:leader="none" w:pos="459" w:val="left"/>
        </w:tabs>
        <w:numPr>
          <w:ilvl w:val="0"/>
          <w:numId w:val="16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right="400" w:firstLine="326"/>
        <w:spacing w:after="0" w:line="276" w:lineRule="auto"/>
        <w:tabs>
          <w:tab w:leader="none" w:pos="459" w:val="left"/>
        </w:tabs>
        <w:numPr>
          <w:ilvl w:val="0"/>
          <w:numId w:val="162"/>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49" w:lineRule="exact"/>
        <w:rPr>
          <w:rFonts w:ascii="Arial" w:cs="Arial" w:eastAsia="Arial" w:hAnsi="Arial"/>
          <w:sz w:val="13"/>
          <w:szCs w:val="13"/>
          <w:color w:val="auto"/>
        </w:rPr>
      </w:pPr>
    </w:p>
    <w:p>
      <w:pPr>
        <w:ind w:left="460" w:right="80" w:firstLine="325"/>
        <w:spacing w:after="0" w:line="276" w:lineRule="auto"/>
        <w:tabs>
          <w:tab w:leader="none" w:pos="911" w:val="left"/>
        </w:tabs>
        <w:numPr>
          <w:ilvl w:val="1"/>
          <w:numId w:val="162"/>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3"/>
          <w:szCs w:val="13"/>
          <w:color w:val="auto"/>
        </w:rPr>
      </w:pPr>
    </w:p>
    <w:p>
      <w:pPr>
        <w:ind w:left="460" w:right="300" w:firstLine="325"/>
        <w:spacing w:after="0" w:line="276" w:lineRule="auto"/>
        <w:tabs>
          <w:tab w:leader="none" w:pos="919" w:val="left"/>
        </w:tabs>
        <w:numPr>
          <w:ilvl w:val="1"/>
          <w:numId w:val="162"/>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3"/>
          <w:szCs w:val="13"/>
          <w:color w:val="auto"/>
        </w:rPr>
      </w:pPr>
    </w:p>
    <w:p>
      <w:pPr>
        <w:ind w:left="460" w:right="80" w:firstLine="325"/>
        <w:spacing w:after="0" w:line="276" w:lineRule="auto"/>
        <w:tabs>
          <w:tab w:leader="none" w:pos="911" w:val="left"/>
        </w:tabs>
        <w:numPr>
          <w:ilvl w:val="1"/>
          <w:numId w:val="16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3"/>
          <w:szCs w:val="13"/>
          <w:color w:val="auto"/>
        </w:rPr>
      </w:pPr>
    </w:p>
    <w:p>
      <w:pPr>
        <w:ind w:left="460" w:right="60" w:firstLine="325"/>
        <w:spacing w:after="0" w:line="276" w:lineRule="auto"/>
        <w:tabs>
          <w:tab w:leader="none" w:pos="919" w:val="left"/>
        </w:tabs>
        <w:numPr>
          <w:ilvl w:val="1"/>
          <w:numId w:val="16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right="40" w:firstLine="326"/>
        <w:spacing w:after="0" w:line="276" w:lineRule="auto"/>
        <w:tabs>
          <w:tab w:leader="none" w:pos="459" w:val="left"/>
        </w:tabs>
        <w:numPr>
          <w:ilvl w:val="0"/>
          <w:numId w:val="162"/>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460" w:right="360" w:firstLine="325"/>
        <w:spacing w:after="0" w:line="276" w:lineRule="auto"/>
        <w:tabs>
          <w:tab w:leader="none" w:pos="911" w:val="left"/>
        </w:tabs>
        <w:numPr>
          <w:ilvl w:val="1"/>
          <w:numId w:val="16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3"/>
          <w:szCs w:val="13"/>
          <w:color w:val="auto"/>
        </w:rPr>
      </w:pPr>
    </w:p>
    <w:p>
      <w:pPr>
        <w:ind w:left="920" w:hanging="135"/>
        <w:spacing w:after="0"/>
        <w:tabs>
          <w:tab w:leader="none" w:pos="920" w:val="left"/>
        </w:tabs>
        <w:numPr>
          <w:ilvl w:val="1"/>
          <w:numId w:val="16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By: /s/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3594100</wp:posOffset>
            </wp:positionH>
            <wp:positionV relativeFrom="paragraph">
              <wp:posOffset>10795</wp:posOffset>
            </wp:positionV>
            <wp:extent cx="3663950" cy="63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663950" cy="635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3"/>
          <w:szCs w:val="13"/>
          <w:color w:val="auto"/>
        </w:rPr>
        <w:t>Robert G. Simpson</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Date: August 2, 2010</w:t>
      </w:r>
    </w:p>
    <w:p>
      <w:pPr>
        <w:sectPr>
          <w:pgSz w:w="11900" w:h="16838" w:orient="portrait"/>
          <w:cols w:equalWidth="0" w:num="1">
            <w:col w:w="11460"/>
          </w:cols>
          <w:pgMar w:left="220" w:top="127" w:right="219" w:bottom="1440" w:gutter="0" w:footer="0" w:header="0"/>
        </w:sectPr>
      </w:pPr>
    </w:p>
    <w:bookmarkStart w:id="249" w:name="page250"/>
    <w:bookmarkEnd w:id="249"/>
    <w:p>
      <w:pPr>
        <w:jc w:val="right"/>
        <w:spacing w:after="0"/>
        <w:rPr>
          <w:sz w:val="20"/>
          <w:szCs w:val="20"/>
          <w:color w:val="auto"/>
        </w:rPr>
      </w:pPr>
      <w:r>
        <w:rPr>
          <w:rFonts w:ascii="Arial" w:cs="Arial" w:eastAsia="Arial" w:hAnsi="Arial"/>
          <w:sz w:val="13"/>
          <w:szCs w:val="13"/>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80" w:firstLine="328"/>
        <w:spacing w:after="0" w:line="320" w:lineRule="auto"/>
        <w:rPr>
          <w:sz w:val="20"/>
          <w:szCs w:val="20"/>
          <w:color w:val="auto"/>
        </w:rPr>
      </w:pPr>
      <w:r>
        <w:rPr>
          <w:rFonts w:ascii="Arial" w:cs="Arial" w:eastAsia="Arial" w:hAnsi="Arial"/>
          <w:sz w:val="12"/>
          <w:szCs w:val="12"/>
          <w:color w:val="auto"/>
        </w:rPr>
        <w:t>In connection with the Quarterly Report of Waste Management, Inc. (the “Company”) on Form 10-Q for the quarter ended June 30, 2010 as filed with the Securities and Exchange Commission on the date hereof (the “Report”), I, David P. Steiner, Chief Executive Officer of the Company, certify, pursuant to 18 U.S.C. § 1350, as adopted pursuant to § 906 of the Sarbanes-Oxley Act of 2002, that:</w:t>
      </w:r>
    </w:p>
    <w:p>
      <w:pPr>
        <w:spacing w:after="0" w:line="25" w:lineRule="exact"/>
        <w:rPr>
          <w:sz w:val="20"/>
          <w:szCs w:val="20"/>
          <w:color w:val="auto"/>
        </w:rPr>
      </w:pPr>
    </w:p>
    <w:p>
      <w:pPr>
        <w:ind w:left="980" w:hanging="195"/>
        <w:spacing w:after="0"/>
        <w:tabs>
          <w:tab w:leader="none" w:pos="98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86" w:lineRule="exact"/>
        <w:rPr>
          <w:rFonts w:ascii="Arial" w:cs="Arial" w:eastAsia="Arial" w:hAnsi="Arial"/>
          <w:sz w:val="13"/>
          <w:szCs w:val="13"/>
          <w:color w:val="auto"/>
        </w:rPr>
      </w:pPr>
    </w:p>
    <w:p>
      <w:pPr>
        <w:ind w:left="980" w:hanging="195"/>
        <w:spacing w:after="0"/>
        <w:tabs>
          <w:tab w:leader="none" w:pos="98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3594100</wp:posOffset>
            </wp:positionH>
            <wp:positionV relativeFrom="paragraph">
              <wp:posOffset>10795</wp:posOffset>
            </wp:positionV>
            <wp:extent cx="3663950" cy="63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663950" cy="635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3"/>
          <w:szCs w:val="13"/>
          <w:i w:val="1"/>
          <w:iCs w:val="1"/>
          <w:color w:val="auto"/>
        </w:rPr>
        <w:t>President and Chief Executive Officer</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August 2, 2010</w:t>
      </w:r>
    </w:p>
    <w:p>
      <w:pPr>
        <w:sectPr>
          <w:pgSz w:w="11900" w:h="16838" w:orient="portrait"/>
          <w:cols w:equalWidth="0" w:num="1">
            <w:col w:w="11460"/>
          </w:cols>
          <w:pgMar w:left="220" w:top="127" w:right="219" w:bottom="1440" w:gutter="0" w:footer="0" w:header="0"/>
        </w:sectPr>
      </w:pPr>
    </w:p>
    <w:bookmarkStart w:id="250" w:name="page251"/>
    <w:bookmarkEnd w:id="250"/>
    <w:p>
      <w:pPr>
        <w:jc w:val="right"/>
        <w:spacing w:after="0"/>
        <w:rPr>
          <w:sz w:val="20"/>
          <w:szCs w:val="20"/>
          <w:color w:val="auto"/>
        </w:rPr>
      </w:pPr>
      <w:r>
        <w:rPr>
          <w:rFonts w:ascii="Arial" w:cs="Arial" w:eastAsia="Arial" w:hAnsi="Arial"/>
          <w:sz w:val="13"/>
          <w:szCs w:val="13"/>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120" w:firstLine="328"/>
        <w:spacing w:after="0" w:line="320" w:lineRule="auto"/>
        <w:rPr>
          <w:sz w:val="20"/>
          <w:szCs w:val="20"/>
          <w:color w:val="auto"/>
        </w:rPr>
      </w:pPr>
      <w:r>
        <w:rPr>
          <w:rFonts w:ascii="Arial" w:cs="Arial" w:eastAsia="Arial" w:hAnsi="Arial"/>
          <w:sz w:val="12"/>
          <w:szCs w:val="12"/>
          <w:color w:val="auto"/>
        </w:rPr>
        <w:t>In connection with the Quarterly Report of Waste Management, Inc. (the “Company”) on Form 10-Q for the period ended June 30, 2010 as filed with the Securities and Exchange Commission on the date hereof (the “Report”), I, Robert G. Simpson, Chief Financial Officer of the Company, certify, pursuant to 18 U.S.C. § 1350, as adopted pursuant to § 906 of the Sarbanes-Oxley Act of 2002, that:</w:t>
      </w:r>
    </w:p>
    <w:p>
      <w:pPr>
        <w:spacing w:after="0" w:line="25" w:lineRule="exact"/>
        <w:rPr>
          <w:sz w:val="20"/>
          <w:szCs w:val="20"/>
          <w:color w:val="auto"/>
        </w:rPr>
      </w:pPr>
    </w:p>
    <w:p>
      <w:pPr>
        <w:ind w:left="980" w:hanging="195"/>
        <w:spacing w:after="0"/>
        <w:tabs>
          <w:tab w:leader="none" w:pos="98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86" w:lineRule="exact"/>
        <w:rPr>
          <w:rFonts w:ascii="Arial" w:cs="Arial" w:eastAsia="Arial" w:hAnsi="Arial"/>
          <w:sz w:val="13"/>
          <w:szCs w:val="13"/>
          <w:color w:val="auto"/>
        </w:rPr>
      </w:pPr>
    </w:p>
    <w:p>
      <w:pPr>
        <w:ind w:left="980" w:hanging="195"/>
        <w:spacing w:after="0"/>
        <w:tabs>
          <w:tab w:leader="none" w:pos="98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22"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By: /s/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3594100</wp:posOffset>
            </wp:positionH>
            <wp:positionV relativeFrom="paragraph">
              <wp:posOffset>10795</wp:posOffset>
            </wp:positionV>
            <wp:extent cx="3663950" cy="63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663950" cy="635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3"/>
          <w:szCs w:val="13"/>
          <w:color w:val="auto"/>
        </w:rPr>
        <w:t>Robert G. Simpson</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August 2, 2010</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FFCA11"/>
    <w:multiLevelType w:val="hybridMultilevel"/>
    <w:lvl w:ilvl="0">
      <w:lvlJc w:val="left"/>
      <w:lvlText w:val="☑"/>
      <w:numFmt w:val="bullet"/>
      <w:start w:val="1"/>
    </w:lvl>
  </w:abstractNum>
  <w:abstractNum w:abstractNumId="1">
    <w:nsid w:val="1A27709E"/>
    <w:multiLevelType w:val="hybridMultilevel"/>
    <w:lvl w:ilvl="0">
      <w:lvlJc w:val="left"/>
      <w:lvlText w:val="o"/>
      <w:numFmt w:val="bullet"/>
      <w:start w:val="1"/>
    </w:lvl>
  </w:abstractNum>
  <w:abstractNum w:abstractNumId="2">
    <w:nsid w:val="71EA1109"/>
    <w:multiLevelType w:val="hybridMultilevel"/>
    <w:lvl w:ilvl="0">
      <w:lvlJc w:val="left"/>
      <w:lvlText w:val="%1."/>
      <w:numFmt w:val="decimal"/>
      <w:start w:val="1"/>
    </w:lvl>
  </w:abstractNum>
  <w:abstractNum w:abstractNumId="3">
    <w:nsid w:val="100F59DC"/>
    <w:multiLevelType w:val="hybridMultilevel"/>
    <w:lvl w:ilvl="0">
      <w:lvlJc w:val="left"/>
      <w:lvlText w:val="%1."/>
      <w:numFmt w:val="decimal"/>
      <w:start w:val="2"/>
    </w:lvl>
  </w:abstractNum>
  <w:abstractNum w:abstractNumId="4">
    <w:nsid w:val="7FB7E0AA"/>
    <w:multiLevelType w:val="hybridMultilevel"/>
    <w:lvl w:ilvl="0">
      <w:lvlJc w:val="left"/>
      <w:lvlText w:val="(%1)"/>
      <w:numFmt w:val="lowerLetter"/>
      <w:start w:val="1"/>
    </w:lvl>
  </w:abstractNum>
  <w:abstractNum w:abstractNumId="5">
    <w:nsid w:val="6EB5BD4"/>
    <w:multiLevelType w:val="hybridMultilevel"/>
    <w:lvl w:ilvl="0">
      <w:lvlJc w:val="left"/>
      <w:lvlText w:val="%1."/>
      <w:numFmt w:val="decimal"/>
      <w:start w:val="3"/>
    </w:lvl>
  </w:abstractNum>
  <w:abstractNum w:abstractNumId="6">
    <w:nsid w:val="6F6DD9AC"/>
    <w:multiLevelType w:val="hybridMultilevel"/>
    <w:lvl w:ilvl="0">
      <w:lvlJc w:val="left"/>
      <w:lvlText w:val="%1."/>
      <w:numFmt w:val="decimal"/>
      <w:start w:val="4"/>
    </w:lvl>
  </w:abstractNum>
  <w:abstractNum w:abstractNumId="7">
    <w:nsid w:val="94211F2"/>
    <w:multiLevelType w:val="hybridMultilevel"/>
    <w:lvl w:ilvl="0">
      <w:lvlJc w:val="left"/>
      <w:lvlText w:val="(%1)"/>
      <w:numFmt w:val="lowerLetter"/>
      <w:start w:val="1"/>
    </w:lvl>
  </w:abstractNum>
  <w:abstractNum w:abstractNumId="8">
    <w:nsid w:val="885E1B"/>
    <w:multiLevelType w:val="hybridMultilevel"/>
    <w:lvl w:ilvl="0">
      <w:lvlJc w:val="left"/>
      <w:lvlText w:val="%1."/>
      <w:numFmt w:val="decimal"/>
      <w:start w:val="5"/>
    </w:lvl>
  </w:abstractNum>
  <w:abstractNum w:abstractNumId="9">
    <w:nsid w:val="76272110"/>
    <w:multiLevelType w:val="hybridMultilevel"/>
    <w:lvl w:ilvl="0">
      <w:lvlJc w:val="left"/>
      <w:lvlText w:val="%1."/>
      <w:numFmt w:val="decimal"/>
      <w:start w:val="8"/>
    </w:lvl>
  </w:abstractNum>
  <w:abstractNum w:abstractNumId="10">
    <w:nsid w:val="4C04A8AF"/>
    <w:multiLevelType w:val="hybridMultilevel"/>
    <w:lvl w:ilvl="0">
      <w:lvlJc w:val="left"/>
      <w:lvlText w:val="%1."/>
      <w:numFmt w:val="decimal"/>
      <w:start w:val="9"/>
    </w:lvl>
  </w:abstractNum>
  <w:abstractNum w:abstractNumId="11">
    <w:nsid w:val="1716703B"/>
    <w:multiLevelType w:val="hybridMultilevel"/>
    <w:lvl w:ilvl="0">
      <w:lvlJc w:val="left"/>
      <w:lvlText w:val="%1."/>
      <w:numFmt w:val="decimal"/>
      <w:start w:val="10"/>
    </w:lvl>
  </w:abstractNum>
  <w:abstractNum w:abstractNumId="12">
    <w:nsid w:val="14E17E33"/>
    <w:multiLevelType w:val="hybridMultilevel"/>
    <w:lvl w:ilvl="0">
      <w:lvlJc w:val="left"/>
      <w:lvlText w:val="%1."/>
      <w:numFmt w:val="decimal"/>
      <w:start w:val="11"/>
    </w:lvl>
  </w:abstractNum>
  <w:abstractNum w:abstractNumId="13">
    <w:nsid w:val="3222E7CD"/>
    <w:multiLevelType w:val="hybridMultilevel"/>
    <w:lvl w:ilvl="0">
      <w:lvlJc w:val="left"/>
      <w:lvlText w:val="%1."/>
      <w:numFmt w:val="decimal"/>
      <w:start w:val="12"/>
    </w:lvl>
  </w:abstractNum>
  <w:abstractNum w:abstractNumId="14">
    <w:nsid w:val="74DE0EE3"/>
    <w:multiLevelType w:val="hybridMultilevel"/>
    <w:lvl w:ilvl="0">
      <w:lvlJc w:val="left"/>
      <w:lvlText w:val="%1."/>
      <w:numFmt w:val="decimal"/>
      <w:start w:val="13"/>
    </w:lvl>
  </w:abstractNum>
  <w:abstractNum w:abstractNumId="15">
    <w:nsid w:val="68EBC550"/>
    <w:multiLevelType w:val="hybridMultilevel"/>
    <w:lvl w:ilvl="0">
      <w:lvlJc w:val="left"/>
      <w:lvlText w:val="%1."/>
      <w:numFmt w:val="decimal"/>
      <w:start w:val="14"/>
    </w:lvl>
  </w:abstractNum>
  <w:abstractNum w:abstractNumId="16">
    <w:nsid w:val="2DF6D648"/>
    <w:multiLevelType w:val="hybridMultilevel"/>
    <w:lvl w:ilvl="0">
      <w:lvlJc w:val="left"/>
      <w:lvlText w:val="•"/>
      <w:numFmt w:val="bullet"/>
      <w:start w:val="1"/>
    </w:lvl>
  </w:abstractNum>
  <w:abstractNum w:abstractNumId="17">
    <w:nsid w:val="46B7D447"/>
    <w:multiLevelType w:val="hybridMultilevel"/>
    <w:lvl w:ilvl="0">
      <w:lvlJc w:val="left"/>
      <w:lvlText w:val="•"/>
      <w:numFmt w:val="bullet"/>
      <w:start w:val="1"/>
    </w:lvl>
  </w:abstractNum>
  <w:abstractNum w:abstractNumId="18">
    <w:nsid w:val="4A2AC315"/>
    <w:multiLevelType w:val="hybridMultilevel"/>
    <w:lvl w:ilvl="0">
      <w:lvlJc w:val="left"/>
      <w:lvlText w:val="•"/>
      <w:numFmt w:val="bullet"/>
      <w:start w:val="1"/>
    </w:lvl>
  </w:abstractNum>
  <w:abstractNum w:abstractNumId="19">
    <w:nsid w:val="39EE015C"/>
    <w:multiLevelType w:val="hybridMultilevel"/>
    <w:lvl w:ilvl="0">
      <w:lvlJc w:val="left"/>
      <w:lvlText w:val="•"/>
      <w:numFmt w:val="bullet"/>
      <w:start w:val="1"/>
    </w:lvl>
    <w:lvl w:ilvl="1">
      <w:lvlJc w:val="left"/>
      <w:lvlText w:val="•"/>
      <w:numFmt w:val="bullet"/>
      <w:start w:val="1"/>
    </w:lvl>
  </w:abstractNum>
  <w:abstractNum w:abstractNumId="20">
    <w:nsid w:val="57FC4FBB"/>
    <w:multiLevelType w:val="hybridMultilevel"/>
    <w:lvl w:ilvl="0">
      <w:lvlJc w:val="left"/>
      <w:lvlText w:val="•"/>
      <w:numFmt w:val="bullet"/>
      <w:start w:val="1"/>
    </w:lvl>
  </w:abstractNum>
  <w:abstractNum w:abstractNumId="21">
    <w:nsid w:val="CC1016F"/>
    <w:multiLevelType w:val="hybridMultilevel"/>
    <w:lvl w:ilvl="0">
      <w:lvlJc w:val="left"/>
      <w:lvlText w:val="•"/>
      <w:numFmt w:val="bullet"/>
      <w:start w:val="1"/>
    </w:lvl>
  </w:abstractNum>
  <w:abstractNum w:abstractNumId="22">
    <w:nsid w:val="43F18422"/>
    <w:multiLevelType w:val="hybridMultilevel"/>
    <w:lvl w:ilvl="0">
      <w:lvlJc w:val="left"/>
      <w:lvlText w:val="(%1)"/>
      <w:numFmt w:val="lowerLetter"/>
      <w:start w:val="1"/>
    </w:lvl>
  </w:abstractNum>
  <w:abstractNum w:abstractNumId="23">
    <w:nsid w:val="60EF0119"/>
    <w:multiLevelType w:val="hybridMultilevel"/>
    <w:lvl w:ilvl="0">
      <w:lvlJc w:val="left"/>
      <w:lvlText w:val="(%1)"/>
      <w:numFmt w:val="lowerLetter"/>
      <w:start w:val="2"/>
    </w:lvl>
  </w:abstractNum>
  <w:abstractNum w:abstractNumId="24">
    <w:nsid w:val="26F324BA"/>
    <w:multiLevelType w:val="hybridMultilevel"/>
    <w:lvl w:ilvl="0">
      <w:lvlJc w:val="left"/>
      <w:lvlText w:val="(%1)"/>
      <w:numFmt w:val="lowerRoman"/>
      <w:start w:val="1"/>
    </w:lvl>
  </w:abstractNum>
  <w:abstractNum w:abstractNumId="25">
    <w:nsid w:val="7F01579B"/>
    <w:multiLevelType w:val="hybridMultilevel"/>
    <w:lvl w:ilvl="0">
      <w:lvlJc w:val="left"/>
      <w:lvlText w:val="(%1)"/>
      <w:numFmt w:val="lowerRoman"/>
      <w:start w:val="2"/>
    </w:lvl>
  </w:abstractNum>
  <w:abstractNum w:abstractNumId="26">
    <w:nsid w:val="49DA307D"/>
    <w:multiLevelType w:val="hybridMultilevel"/>
    <w:lvl w:ilvl="0">
      <w:lvlJc w:val="left"/>
      <w:lvlText w:val="•"/>
      <w:numFmt w:val="bullet"/>
      <w:start w:val="1"/>
    </w:lvl>
  </w:abstractNum>
  <w:abstractNum w:abstractNumId="27">
    <w:nsid w:val="7055A5F5"/>
    <w:multiLevelType w:val="hybridMultilevel"/>
    <w:lvl w:ilvl="0">
      <w:lvlJc w:val="left"/>
      <w:lvlText w:val="•"/>
      <w:numFmt w:val="bullet"/>
      <w:start w:val="1"/>
    </w:lvl>
  </w:abstractNum>
  <w:abstractNum w:abstractNumId="28">
    <w:nsid w:val="5FB8370B"/>
    <w:multiLevelType w:val="hybridMultilevel"/>
    <w:lvl w:ilvl="0">
      <w:lvlJc w:val="left"/>
      <w:lvlText w:val="•"/>
      <w:numFmt w:val="bullet"/>
      <w:start w:val="1"/>
    </w:lvl>
  </w:abstractNum>
  <w:abstractNum w:abstractNumId="29">
    <w:nsid w:val="50801EE1"/>
    <w:multiLevelType w:val="hybridMultilevel"/>
    <w:lvl w:ilvl="0">
      <w:lvlJc w:val="left"/>
      <w:lvlText w:val="(%1)"/>
      <w:numFmt w:val="lowerRoman"/>
      <w:start w:val="2"/>
    </w:lvl>
  </w:abstractNum>
  <w:abstractNum w:abstractNumId="30">
    <w:nsid w:val="488AC1A"/>
    <w:multiLevelType w:val="hybridMultilevel"/>
    <w:lvl w:ilvl="0">
      <w:lvlJc w:val="left"/>
      <w:lvlText w:val="(%1)"/>
      <w:numFmt w:val="lowerLetter"/>
      <w:start w:val="1"/>
    </w:lvl>
  </w:abstractNum>
  <w:abstractNum w:abstractNumId="31">
    <w:nsid w:val="5FB8011C"/>
    <w:multiLevelType w:val="hybridMultilevel"/>
    <w:lvl w:ilvl="0">
      <w:lvlJc w:val="left"/>
      <w:lvlText w:val="•"/>
      <w:numFmt w:val="bullet"/>
      <w:start w:val="1"/>
    </w:lvl>
  </w:abstractNum>
  <w:abstractNum w:abstractNumId="32">
    <w:nsid w:val="6AA78F7F"/>
    <w:multiLevelType w:val="hybridMultilevel"/>
    <w:lvl w:ilvl="0">
      <w:lvlJc w:val="left"/>
      <w:lvlText w:val="•"/>
      <w:numFmt w:val="bullet"/>
      <w:start w:val="1"/>
    </w:lvl>
  </w:abstractNum>
  <w:abstractNum w:abstractNumId="33">
    <w:nsid w:val="7672BD23"/>
    <w:multiLevelType w:val="hybridMultilevel"/>
    <w:lvl w:ilvl="0">
      <w:lvlJc w:val="left"/>
      <w:lvlText w:val="(%1)"/>
      <w:numFmt w:val="lowerRoman"/>
      <w:start w:val="1"/>
    </w:lvl>
  </w:abstractNum>
  <w:abstractNum w:abstractNumId="34">
    <w:nsid w:val="6FC75AF8"/>
    <w:multiLevelType w:val="hybridMultilevel"/>
    <w:lvl w:ilvl="0">
      <w:lvlJc w:val="left"/>
      <w:lvlText w:val="•"/>
      <w:numFmt w:val="bullet"/>
      <w:start w:val="1"/>
    </w:lvl>
  </w:abstractNum>
  <w:abstractNum w:abstractNumId="35">
    <w:nsid w:val="6A5F7029"/>
    <w:multiLevelType w:val="hybridMultilevel"/>
    <w:lvl w:ilvl="0">
      <w:lvlJc w:val="left"/>
      <w:lvlText w:val="(%1)"/>
      <w:numFmt w:val="lowerLetter"/>
      <w:start w:val="1"/>
    </w:lvl>
  </w:abstractNum>
  <w:abstractNum w:abstractNumId="36">
    <w:nsid w:val="7D5E18F8"/>
    <w:multiLevelType w:val="hybridMultilevel"/>
    <w:lvl w:ilvl="0">
      <w:lvlJc w:val="left"/>
      <w:lvlText w:val="(%1)"/>
      <w:numFmt w:val="lowerLetter"/>
      <w:start w:val="2"/>
    </w:lvl>
  </w:abstractNum>
  <w:abstractNum w:abstractNumId="37">
    <w:nsid w:val="5F3534A4"/>
    <w:multiLevelType w:val="hybridMultilevel"/>
    <w:lvl w:ilvl="0">
      <w:lvlJc w:val="left"/>
      <w:lvlText w:val="(%1)"/>
      <w:numFmt w:val="lowerLetter"/>
      <w:start w:val="1"/>
    </w:lvl>
  </w:abstractNum>
  <w:abstractNum w:abstractNumId="38">
    <w:nsid w:val="73A1821B"/>
    <w:multiLevelType w:val="hybridMultilevel"/>
    <w:lvl w:ilvl="0">
      <w:lvlJc w:val="left"/>
      <w:lvlText w:val="•"/>
      <w:numFmt w:val="bullet"/>
      <w:start w:val="1"/>
    </w:lvl>
  </w:abstractNum>
  <w:abstractNum w:abstractNumId="39">
    <w:nsid w:val="7DE67713"/>
    <w:multiLevelType w:val="hybridMultilevel"/>
    <w:lvl w:ilvl="0">
      <w:lvlJc w:val="left"/>
      <w:lvlText w:val="•"/>
      <w:numFmt w:val="bullet"/>
      <w:start w:val="1"/>
    </w:lvl>
  </w:abstractNum>
  <w:abstractNum w:abstractNumId="40">
    <w:nsid w:val="555C55B5"/>
    <w:multiLevelType w:val="hybridMultilevel"/>
    <w:lvl w:ilvl="0">
      <w:lvlJc w:val="left"/>
      <w:lvlText w:val="•"/>
      <w:numFmt w:val="bullet"/>
      <w:start w:val="1"/>
    </w:lvl>
  </w:abstractNum>
  <w:abstractNum w:abstractNumId="41">
    <w:nsid w:val="3FA62ACA"/>
    <w:multiLevelType w:val="hybridMultilevel"/>
    <w:lvl w:ilvl="0">
      <w:lvlJc w:val="left"/>
      <w:lvlText w:val="(%1)"/>
      <w:numFmt w:val="lowerLetter"/>
      <w:start w:val="1"/>
    </w:lvl>
  </w:abstractNum>
  <w:abstractNum w:abstractNumId="42">
    <w:nsid w:val="14FCE74E"/>
    <w:multiLevelType w:val="hybridMultilevel"/>
    <w:lvl w:ilvl="0">
      <w:lvlJc w:val="left"/>
      <w:lvlText w:val="%1."/>
      <w:numFmt w:val="decimal"/>
      <w:start w:val="1"/>
    </w:lvl>
  </w:abstractNum>
  <w:abstractNum w:abstractNumId="43">
    <w:nsid w:val="6A3DD3E8"/>
    <w:multiLevelType w:val="hybridMultilevel"/>
    <w:lvl w:ilvl="0">
      <w:lvlJc w:val="left"/>
      <w:lvlText w:val="(%1)"/>
      <w:numFmt w:val="decimal"/>
      <w:start w:val="1"/>
    </w:lvl>
  </w:abstractNum>
  <w:abstractNum w:abstractNumId="44">
    <w:nsid w:val="71C91298"/>
    <w:multiLevelType w:val="hybridMultilevel"/>
    <w:lvl w:ilvl="0">
      <w:lvlJc w:val="left"/>
      <w:lvlText w:val="%1"/>
      <w:numFmt w:val="upperLetter"/>
      <w:start w:val="1"/>
    </w:lvl>
    <w:lvl w:ilvl="1">
      <w:lvlJc w:val="left"/>
      <w:lvlText w:val="(%2)"/>
      <w:numFmt w:val="decimal"/>
      <w:start w:val="7"/>
    </w:lvl>
  </w:abstractNum>
  <w:abstractNum w:abstractNumId="45">
    <w:nsid w:val="9DAF632"/>
    <w:multiLevelType w:val="hybridMultilevel"/>
    <w:lvl w:ilvl="0">
      <w:lvlJc w:val="left"/>
      <w:lvlText w:val="%1."/>
      <w:numFmt w:val="upperLetter"/>
      <w:start w:val="4"/>
    </w:lvl>
    <w:lvl w:ilvl="1">
      <w:lvlJc w:val="left"/>
      <w:lvlText w:val="%2"/>
      <w:numFmt w:val="decimal"/>
      <w:start w:val="1"/>
    </w:lvl>
  </w:abstractNum>
  <w:abstractNum w:abstractNumId="46">
    <w:nsid w:val="53299938"/>
    <w:multiLevelType w:val="hybridMultilevel"/>
    <w:lvl w:ilvl="0">
      <w:lvlJc w:val="left"/>
      <w:lvlText w:val="%1."/>
      <w:numFmt w:val="decimal"/>
      <w:start w:val="1"/>
    </w:lvl>
  </w:abstractNum>
  <w:abstractNum w:abstractNumId="47">
    <w:nsid w:val="1FBFE8E0"/>
    <w:multiLevelType w:val="hybridMultilevel"/>
    <w:lvl w:ilvl="0">
      <w:lvlJc w:val="left"/>
      <w:lvlText w:val="(%1)"/>
      <w:numFmt w:val="decimal"/>
      <w:start w:val="1"/>
    </w:lvl>
  </w:abstractNum>
  <w:abstractNum w:abstractNumId="48">
    <w:nsid w:val="5092CA79"/>
    <w:multiLevelType w:val="hybridMultilevel"/>
    <w:lvl w:ilvl="0">
      <w:lvlJc w:val="left"/>
      <w:lvlText w:val="(%1)"/>
      <w:numFmt w:val="decimal"/>
      <w:start w:val="8"/>
    </w:lvl>
  </w:abstractNum>
  <w:abstractNum w:abstractNumId="49">
    <w:nsid w:val="1D545C4D"/>
    <w:multiLevelType w:val="hybridMultilevel"/>
    <w:lvl w:ilvl="0">
      <w:lvlJc w:val="left"/>
      <w:lvlText w:val="%1."/>
      <w:numFmt w:val="decimal"/>
      <w:start w:val="1"/>
    </w:lvl>
  </w:abstractNum>
  <w:abstractNum w:abstractNumId="50">
    <w:nsid w:val="59ADEA3D"/>
    <w:multiLevelType w:val="hybridMultilevel"/>
    <w:lvl w:ilvl="0">
      <w:lvlJc w:val="left"/>
      <w:lvlText w:val="%1."/>
      <w:numFmt w:val="decimal"/>
      <w:start w:val="2"/>
    </w:lvl>
  </w:abstractNum>
  <w:abstractNum w:abstractNumId="51">
    <w:nsid w:val="288F1A34"/>
    <w:multiLevelType w:val="hybridMultilevel"/>
    <w:lvl w:ilvl="0">
      <w:lvlJc w:val="left"/>
      <w:lvlText w:val="%1."/>
      <w:numFmt w:val="decimal"/>
      <w:start w:val="3"/>
    </w:lvl>
  </w:abstractNum>
  <w:abstractNum w:abstractNumId="52">
    <w:nsid w:val="2A155DBC"/>
    <w:multiLevelType w:val="hybridMultilevel"/>
    <w:lvl w:ilvl="0">
      <w:lvlJc w:val="left"/>
      <w:lvlText w:val="%1."/>
      <w:numFmt w:val="decimal"/>
      <w:start w:val="4"/>
    </w:lvl>
  </w:abstractNum>
  <w:abstractNum w:abstractNumId="53">
    <w:nsid w:val="1D9F6E5F"/>
    <w:multiLevelType w:val="hybridMultilevel"/>
    <w:lvl w:ilvl="0">
      <w:lvlJc w:val="left"/>
      <w:lvlText w:val="%1."/>
      <w:numFmt w:val="decimal"/>
      <w:start w:val="5"/>
    </w:lvl>
  </w:abstractNum>
  <w:abstractNum w:abstractNumId="54">
    <w:nsid w:val="97E1B4E"/>
    <w:multiLevelType w:val="hybridMultilevel"/>
    <w:lvl w:ilvl="0">
      <w:lvlJc w:val="left"/>
      <w:lvlText w:val="%1."/>
      <w:numFmt w:val="decimal"/>
      <w:start w:val="6"/>
    </w:lvl>
  </w:abstractNum>
  <w:abstractNum w:abstractNumId="55">
    <w:nsid w:val="51088277"/>
    <w:multiLevelType w:val="hybridMultilevel"/>
    <w:lvl w:ilvl="0">
      <w:lvlJc w:val="left"/>
      <w:lvlText w:val="•"/>
      <w:numFmt w:val="bullet"/>
      <w:start w:val="1"/>
    </w:lvl>
  </w:abstractNum>
  <w:abstractNum w:abstractNumId="56">
    <w:nsid w:val="1CA0C5FA"/>
    <w:multiLevelType w:val="hybridMultilevel"/>
    <w:lvl w:ilvl="0">
      <w:lvlJc w:val="left"/>
      <w:lvlText w:val="•"/>
      <w:numFmt w:val="bullet"/>
      <w:start w:val="1"/>
    </w:lvl>
  </w:abstractNum>
  <w:abstractNum w:abstractNumId="57">
    <w:nsid w:val="53584BCB"/>
    <w:multiLevelType w:val="hybridMultilevel"/>
    <w:lvl w:ilvl="0">
      <w:lvlJc w:val="left"/>
      <w:lvlText w:val="(%1)"/>
      <w:numFmt w:val="decimal"/>
      <w:start w:val="2"/>
    </w:lvl>
  </w:abstractNum>
  <w:abstractNum w:abstractNumId="58">
    <w:nsid w:val="415E286C"/>
    <w:multiLevelType w:val="hybridMultilevel"/>
    <w:lvl w:ilvl="0">
      <w:lvlJc w:val="left"/>
      <w:lvlText w:val="%1."/>
      <w:numFmt w:val="decimal"/>
      <w:start w:val="7"/>
    </w:lvl>
  </w:abstractNum>
  <w:abstractNum w:abstractNumId="59">
    <w:nsid w:val="7C58FD05"/>
    <w:multiLevelType w:val="hybridMultilevel"/>
    <w:lvl w:ilvl="0">
      <w:lvlJc w:val="left"/>
      <w:lvlText w:val="%1."/>
      <w:numFmt w:val="decimal"/>
      <w:start w:val="8"/>
    </w:lvl>
  </w:abstractNum>
  <w:abstractNum w:abstractNumId="60">
    <w:nsid w:val="23D86AAC"/>
    <w:multiLevelType w:val="hybridMultilevel"/>
    <w:lvl w:ilvl="0">
      <w:lvlJc w:val="left"/>
      <w:lvlText w:val="%1."/>
      <w:numFmt w:val="decimal"/>
      <w:start w:val="9"/>
    </w:lvl>
  </w:abstractNum>
  <w:abstractNum w:abstractNumId="61">
    <w:nsid w:val="45E6D486"/>
    <w:multiLevelType w:val="hybridMultilevel"/>
    <w:lvl w:ilvl="0">
      <w:lvlJc w:val="left"/>
      <w:lvlText w:val="%1."/>
      <w:numFmt w:val="decimal"/>
      <w:start w:val="10"/>
    </w:lvl>
  </w:abstractNum>
  <w:abstractNum w:abstractNumId="62">
    <w:nsid w:val="5C10FE21"/>
    <w:multiLevelType w:val="hybridMultilevel"/>
    <w:lvl w:ilvl="0">
      <w:lvlJc w:val="left"/>
      <w:lvlText w:val="(%1)"/>
      <w:numFmt w:val="decimal"/>
      <w:start w:val="2"/>
    </w:lvl>
    <w:lvl w:ilvl="1">
      <w:lvlJc w:val="left"/>
      <w:lvlText w:val="%2."/>
      <w:numFmt w:val="decimal"/>
      <w:start w:val="11"/>
    </w:lvl>
  </w:abstractNum>
  <w:abstractNum w:abstractNumId="63">
    <w:nsid w:val="E7FFA2B"/>
    <w:multiLevelType w:val="hybridMultilevel"/>
    <w:lvl w:ilvl="0">
      <w:lvlJc w:val="left"/>
      <w:lvlText w:val="%1."/>
      <w:numFmt w:val="decimal"/>
      <w:start w:val="12"/>
    </w:lvl>
  </w:abstractNum>
  <w:abstractNum w:abstractNumId="64">
    <w:nsid w:val="3C5991AA"/>
    <w:multiLevelType w:val="hybridMultilevel"/>
    <w:lvl w:ilvl="0">
      <w:lvlJc w:val="left"/>
      <w:lvlText w:val="%1."/>
      <w:numFmt w:val="decimal"/>
      <w:start w:val="13"/>
    </w:lvl>
  </w:abstractNum>
  <w:abstractNum w:abstractNumId="65">
    <w:nsid w:val="4BD8591A"/>
    <w:multiLevelType w:val="hybridMultilevel"/>
    <w:lvl w:ilvl="0">
      <w:lvlJc w:val="left"/>
      <w:lvlText w:val="%1."/>
      <w:numFmt w:val="decimal"/>
      <w:start w:val="14"/>
    </w:lvl>
  </w:abstractNum>
  <w:abstractNum w:abstractNumId="66">
    <w:nsid w:val="78DF6A55"/>
    <w:multiLevelType w:val="hybridMultilevel"/>
    <w:lvl w:ilvl="0">
      <w:lvlJc w:val="left"/>
      <w:lvlText w:val="%1."/>
      <w:numFmt w:val="decimal"/>
      <w:start w:val="15"/>
    </w:lvl>
  </w:abstractNum>
  <w:abstractNum w:abstractNumId="67">
    <w:nsid w:val="39B7AAA2"/>
    <w:multiLevelType w:val="hybridMultilevel"/>
    <w:lvl w:ilvl="0">
      <w:lvlJc w:val="left"/>
      <w:lvlText w:val="%1."/>
      <w:numFmt w:val="decimal"/>
      <w:start w:val="16"/>
    </w:lvl>
  </w:abstractNum>
  <w:abstractNum w:abstractNumId="68">
    <w:nsid w:val="2B0D8DBE"/>
    <w:multiLevelType w:val="hybridMultilevel"/>
    <w:lvl w:ilvl="0">
      <w:lvlJc w:val="left"/>
      <w:lvlText w:val="%1."/>
      <w:numFmt w:val="decimal"/>
      <w:start w:val="17"/>
    </w:lvl>
  </w:abstractNum>
  <w:abstractNum w:abstractNumId="69">
    <w:nsid w:val="6C80EC70"/>
    <w:multiLevelType w:val="hybridMultilevel"/>
    <w:lvl w:ilvl="0">
      <w:lvlJc w:val="left"/>
      <w:lvlText w:val="%1."/>
      <w:numFmt w:val="decimal"/>
      <w:start w:val="18"/>
    </w:lvl>
  </w:abstractNum>
  <w:abstractNum w:abstractNumId="70">
    <w:nsid w:val="379E21B5"/>
    <w:multiLevelType w:val="hybridMultilevel"/>
    <w:lvl w:ilvl="0">
      <w:lvlJc w:val="left"/>
      <w:lvlText w:val="(%1)"/>
      <w:numFmt w:val="lowerLetter"/>
      <w:start w:val="1"/>
    </w:lvl>
  </w:abstractNum>
  <w:abstractNum w:abstractNumId="71">
    <w:nsid w:val="69E373"/>
    <w:multiLevelType w:val="hybridMultilevel"/>
    <w:lvl w:ilvl="0">
      <w:lvlJc w:val="left"/>
      <w:lvlText w:val="(%1)"/>
      <w:numFmt w:val="lowerRoman"/>
      <w:start w:val="1"/>
    </w:lvl>
  </w:abstractNum>
  <w:abstractNum w:abstractNumId="72">
    <w:nsid w:val="2C27173B"/>
    <w:multiLevelType w:val="hybridMultilevel"/>
    <w:lvl w:ilvl="0">
      <w:lvlJc w:val="left"/>
      <w:lvlText w:val="(%1)"/>
      <w:numFmt w:val="lowerLetter"/>
      <w:start w:val="1"/>
    </w:lvl>
  </w:abstractNum>
  <w:abstractNum w:abstractNumId="73">
    <w:nsid w:val="4C9B0904"/>
    <w:multiLevelType w:val="hybridMultilevel"/>
    <w:lvl w:ilvl="0">
      <w:lvlJc w:val="left"/>
      <w:lvlText w:val="(%1)"/>
      <w:numFmt w:val="lowerRoman"/>
      <w:start w:val="3"/>
    </w:lvl>
    <w:lvl w:ilvl="1">
      <w:lvlJc w:val="left"/>
      <w:lvlText w:val="-"/>
      <w:numFmt w:val="bullet"/>
      <w:start w:val="1"/>
    </w:lvl>
  </w:abstractNum>
  <w:abstractNum w:abstractNumId="74">
    <w:nsid w:val="6AA7B75C"/>
    <w:multiLevelType w:val="hybridMultilevel"/>
    <w:lvl w:ilvl="0">
      <w:lvlJc w:val="left"/>
      <w:lvlText w:val="(%1)"/>
      <w:numFmt w:val="decimal"/>
      <w:start w:val="2"/>
    </w:lvl>
  </w:abstractNum>
  <w:abstractNum w:abstractNumId="75">
    <w:nsid w:val="1DF029D3"/>
    <w:multiLevelType w:val="hybridMultilevel"/>
    <w:lvl w:ilvl="0">
      <w:lvlJc w:val="left"/>
      <w:lvlText w:val="(%1)"/>
      <w:numFmt w:val="decimal"/>
      <w:start w:val="5"/>
    </w:lvl>
  </w:abstractNum>
  <w:abstractNum w:abstractNumId="76">
    <w:nsid w:val="5675FF36"/>
    <w:multiLevelType w:val="hybridMultilevel"/>
    <w:lvl w:ilvl="0">
      <w:lvlJc w:val="left"/>
      <w:lvlText w:val="(%1)"/>
      <w:numFmt w:val="lowerLetter"/>
      <w:start w:val="1"/>
    </w:lvl>
  </w:abstractNum>
  <w:abstractNum w:abstractNumId="77">
    <w:nsid w:val="3DD15094"/>
    <w:multiLevelType w:val="hybridMultilevel"/>
    <w:lvl w:ilvl="0">
      <w:lvlJc w:val="left"/>
      <w:lvlText w:val="(%1)"/>
      <w:numFmt w:val="lowerLetter"/>
      <w:start w:val="2"/>
    </w:lvl>
  </w:abstractNum>
  <w:abstractNum w:abstractNumId="78">
    <w:nsid w:val="3DB012B3"/>
    <w:multiLevelType w:val="hybridMultilevel"/>
    <w:lvl w:ilvl="0">
      <w:lvlJc w:val="left"/>
      <w:lvlText w:val="(%1)"/>
      <w:numFmt w:val="lowerLetter"/>
      <w:start w:val="1"/>
    </w:lvl>
  </w:abstractNum>
  <w:abstractNum w:abstractNumId="79">
    <w:nsid w:val="2708C9AF"/>
    <w:multiLevelType w:val="hybridMultilevel"/>
    <w:lvl w:ilvl="0">
      <w:lvlJc w:val="left"/>
      <w:lvlText w:val="(%1)"/>
      <w:numFmt w:val="lowerLetter"/>
      <w:start w:val="1"/>
    </w:lvl>
    <w:lvl w:ilvl="1">
      <w:lvlJc w:val="left"/>
      <w:lvlText w:val="-"/>
      <w:numFmt w:val="bullet"/>
      <w:start w:val="1"/>
    </w:lvl>
  </w:abstractNum>
  <w:abstractNum w:abstractNumId="80">
    <w:nsid w:val="5B25ACE2"/>
    <w:multiLevelType w:val="hybridMultilevel"/>
    <w:lvl w:ilvl="0">
      <w:lvlJc w:val="left"/>
      <w:lvlText w:val="(%1)"/>
      <w:numFmt w:val="lowerLetter"/>
      <w:start w:val="11"/>
    </w:lvl>
  </w:abstractNum>
  <w:abstractNum w:abstractNumId="81">
    <w:nsid w:val="175DFCF0"/>
    <w:multiLevelType w:val="hybridMultilevel"/>
    <w:lvl w:ilvl="0">
      <w:lvlJc w:val="left"/>
      <w:lvlText w:val="(%1)"/>
      <w:numFmt w:val="lowerLetter"/>
      <w:start w:val="1"/>
    </w:lvl>
    <w:lvl w:ilvl="1">
      <w:lvlJc w:val="left"/>
      <w:lvlText w:val="-"/>
      <w:numFmt w:val="bullet"/>
      <w:start w:val="1"/>
    </w:lvl>
  </w:abstractNum>
  <w:abstractNum w:abstractNumId="82">
    <w:nsid w:val="4F97E3E4"/>
    <w:multiLevelType w:val="hybridMultilevel"/>
    <w:lvl w:ilvl="0">
      <w:lvlJc w:val="left"/>
      <w:lvlText w:val="(%1)"/>
      <w:numFmt w:val="lowerLetter"/>
      <w:start w:val="5"/>
    </w:lvl>
  </w:abstractNum>
  <w:abstractNum w:abstractNumId="83">
    <w:nsid w:val="53B0A9E"/>
    <w:multiLevelType w:val="hybridMultilevel"/>
    <w:lvl w:ilvl="0">
      <w:lvlJc w:val="left"/>
      <w:lvlText w:val="(%1)"/>
      <w:numFmt w:val="lowerLetter"/>
      <w:start w:val="1"/>
    </w:lvl>
  </w:abstractNum>
  <w:abstractNum w:abstractNumId="84">
    <w:nsid w:val="34FD6B4F"/>
    <w:multiLevelType w:val="hybridMultilevel"/>
    <w:lvl w:ilvl="0">
      <w:lvlJc w:val="left"/>
      <w:lvlText w:val="(%1)"/>
      <w:numFmt w:val="lowerLetter"/>
      <w:start w:val="1"/>
    </w:lvl>
  </w:abstractNum>
  <w:abstractNum w:abstractNumId="85">
    <w:nsid w:val="5915FF32"/>
    <w:multiLevelType w:val="hybridMultilevel"/>
    <w:lvl w:ilvl="0">
      <w:lvlJc w:val="left"/>
      <w:lvlText w:val="(%1)"/>
      <w:numFmt w:val="lowerRoman"/>
      <w:start w:val="3"/>
    </w:lvl>
    <w:lvl w:ilvl="1">
      <w:lvlJc w:val="left"/>
      <w:lvlText w:val="-"/>
      <w:numFmt w:val="bullet"/>
      <w:start w:val="1"/>
    </w:lvl>
  </w:abstractNum>
  <w:abstractNum w:abstractNumId="86">
    <w:nsid w:val="56438D15"/>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87">
    <w:nsid w:val="519E3149"/>
    <w:multiLevelType w:val="hybridMultilevel"/>
    <w:lvl w:ilvl="0">
      <w:lvlJc w:val="left"/>
      <w:lvlText w:val="(%1)"/>
      <w:numFmt w:val="lowerRoman"/>
      <w:start w:val="2"/>
    </w:lvl>
    <w:lvl w:ilvl="1">
      <w:lvlJc w:val="left"/>
      <w:lvlText w:val="(%2)"/>
      <w:numFmt w:val="lowerLetter"/>
      <w:start w:val="2"/>
    </w:lvl>
    <w:lvl w:ilvl="2">
      <w:lvlJc w:val="left"/>
      <w:lvlText w:val="-"/>
      <w:numFmt w:val="bullet"/>
      <w:start w:val="1"/>
    </w:lvl>
  </w:abstractNum>
  <w:abstractNum w:abstractNumId="88">
    <w:nsid w:val="2C6E4AFD"/>
    <w:multiLevelType w:val="hybridMultilevel"/>
    <w:lvl w:ilvl="0">
      <w:lvlJc w:val="left"/>
      <w:lvlText w:val="(%1)"/>
      <w:numFmt w:val="lowerLetter"/>
      <w:start w:val="1"/>
    </w:lvl>
  </w:abstractNum>
  <w:abstractNum w:abstractNumId="89">
    <w:nsid w:val="17A1B582"/>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90">
    <w:nsid w:val="4DF72E4E"/>
    <w:multiLevelType w:val="hybridMultilevel"/>
    <w:lvl w:ilvl="0">
      <w:lvlJc w:val="left"/>
      <w:lvlText w:val="(%1)"/>
      <w:numFmt w:val="decimal"/>
      <w:start w:val="3"/>
    </w:lvl>
    <w:lvl w:ilvl="1">
      <w:lvlJc w:val="left"/>
      <w:lvlText w:val="(%2)"/>
      <w:numFmt w:val="lowerLetter"/>
      <w:start w:val="2"/>
    </w:lvl>
    <w:lvl w:ilvl="2">
      <w:lvlJc w:val="left"/>
      <w:lvlText w:val="-"/>
      <w:numFmt w:val="bullet"/>
      <w:start w:val="1"/>
    </w:lvl>
  </w:abstractNum>
  <w:abstractNum w:abstractNumId="91">
    <w:nsid w:val="5046B5A9"/>
    <w:multiLevelType w:val="hybridMultilevel"/>
    <w:lvl w:ilvl="0">
      <w:lvlJc w:val="left"/>
      <w:lvlText w:val="%1"/>
      <w:numFmt w:val="decimal"/>
      <w:start w:val="1"/>
    </w:lvl>
    <w:lvl w:ilvl="1">
      <w:lvlJc w:val="left"/>
      <w:lvlText w:val="(%2)"/>
      <w:numFmt w:val="lowerLetter"/>
      <w:start w:val="3"/>
    </w:lvl>
  </w:abstractNum>
  <w:abstractNum w:abstractNumId="92">
    <w:nsid w:val="5D888A08"/>
    <w:multiLevelType w:val="hybridMultilevel"/>
    <w:lvl w:ilvl="0">
      <w:lvlJc w:val="left"/>
      <w:lvlText w:val="(%1)"/>
      <w:numFmt w:val="decimal"/>
      <w:start w:val="3"/>
    </w:lvl>
    <w:lvl w:ilvl="1">
      <w:lvlJc w:val="left"/>
      <w:lvlText w:val="%2"/>
      <w:numFmt w:val="lowerLetter"/>
      <w:start w:val="1"/>
    </w:lvl>
  </w:abstractNum>
  <w:abstractNum w:abstractNumId="93">
    <w:nsid w:val="2A082C70"/>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94">
    <w:nsid w:val="5EC6AFD4"/>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95">
    <w:nsid w:val="19E21BB2"/>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96">
    <w:nsid w:val="75E0858A"/>
    <w:multiLevelType w:val="hybridMultilevel"/>
    <w:lvl w:ilvl="0">
      <w:lvlJc w:val="left"/>
      <w:lvlText w:val="(%1)"/>
      <w:numFmt w:val="lowerLetter"/>
      <w:start w:val="9"/>
    </w:lvl>
    <w:lvl w:ilvl="1">
      <w:lvlJc w:val="left"/>
      <w:lvlText w:val="(%2)"/>
      <w:numFmt w:val="lowerLetter"/>
      <w:start w:val="2"/>
    </w:lvl>
    <w:lvl w:ilvl="2">
      <w:lvlJc w:val="left"/>
      <w:lvlText w:val="-"/>
      <w:numFmt w:val="bullet"/>
      <w:start w:val="1"/>
    </w:lvl>
  </w:abstractNum>
  <w:abstractNum w:abstractNumId="97">
    <w:nsid w:val="57A61A29"/>
    <w:multiLevelType w:val="hybridMultilevel"/>
    <w:lvl w:ilvl="0">
      <w:lvlJc w:val="left"/>
      <w:lvlText w:val="(%1)"/>
      <w:numFmt w:val="lowerLetter"/>
      <w:start w:val="3"/>
    </w:lvl>
    <w:lvl w:ilvl="1">
      <w:lvlJc w:val="left"/>
      <w:lvlText w:val="-"/>
      <w:numFmt w:val="bullet"/>
      <w:start w:val="1"/>
    </w:lvl>
  </w:abstractNum>
  <w:abstractNum w:abstractNumId="98">
    <w:nsid w:val="5399C654"/>
    <w:multiLevelType w:val="hybridMultilevel"/>
    <w:lvl w:ilvl="0">
      <w:lvlJc w:val="left"/>
      <w:lvlText w:val="%1"/>
      <w:numFmt w:val="upperLetter"/>
      <w:start w:val="1"/>
    </w:lvl>
    <w:lvl w:ilvl="1">
      <w:lvlJc w:val="left"/>
      <w:lvlText w:val="(%2)"/>
      <w:numFmt w:val="lowerLetter"/>
      <w:start w:val="6"/>
    </w:lvl>
  </w:abstractNum>
  <w:abstractNum w:abstractNumId="99">
    <w:nsid w:val="20EE1348"/>
    <w:multiLevelType w:val="hybridMultilevel"/>
    <w:lvl w:ilvl="0">
      <w:lvlJc w:val="left"/>
      <w:lvlText w:val="(%1)"/>
      <w:numFmt w:val="upperLetter"/>
      <w:start w:val="2"/>
    </w:lvl>
    <w:lvl w:ilvl="1">
      <w:lvlJc w:val="left"/>
      <w:lvlText w:val="(%2)"/>
      <w:numFmt w:val="lowerLetter"/>
      <w:start w:val="7"/>
    </w:lvl>
  </w:abstractNum>
  <w:abstractNum w:abstractNumId="100">
    <w:nsid w:val="4427069A"/>
    <w:multiLevelType w:val="hybridMultilevel"/>
    <w:lvl w:ilvl="0">
      <w:lvlJc w:val="left"/>
      <w:lvlText w:val="(%1)"/>
      <w:numFmt w:val="lowerLetter"/>
      <w:start w:val="1"/>
    </w:lvl>
    <w:lvl w:ilvl="1">
      <w:lvlJc w:val="left"/>
      <w:lvlText w:val="-"/>
      <w:numFmt w:val="bullet"/>
      <w:start w:val="1"/>
    </w:lvl>
  </w:abstractNum>
  <w:abstractNum w:abstractNumId="101">
    <w:nsid w:val="B37E80A"/>
    <w:multiLevelType w:val="hybridMultilevel"/>
    <w:lvl w:ilvl="0">
      <w:lvlJc w:val="left"/>
      <w:lvlText w:val="(%1)"/>
      <w:numFmt w:val="decimal"/>
      <w:start w:val="5"/>
    </w:lvl>
    <w:lvl w:ilvl="1">
      <w:lvlJc w:val="left"/>
      <w:lvlText w:val="-"/>
      <w:numFmt w:val="bullet"/>
      <w:start w:val="1"/>
    </w:lvl>
  </w:abstractNum>
  <w:abstractNum w:abstractNumId="102">
    <w:nsid w:val="2157F6BC"/>
    <w:multiLevelType w:val="hybridMultilevel"/>
    <w:lvl w:ilvl="0">
      <w:lvlJc w:val="left"/>
      <w:lvlText w:val="(%1)"/>
      <w:numFmt w:val="lowerLetter"/>
      <w:start w:val="2"/>
    </w:lvl>
  </w:abstractNum>
  <w:abstractNum w:abstractNumId="103">
    <w:nsid w:val="704E1DD5"/>
    <w:multiLevelType w:val="hybridMultilevel"/>
    <w:lvl w:ilvl="0">
      <w:lvlJc w:val="left"/>
      <w:lvlText w:val="(%1)"/>
      <w:numFmt w:val="lowerRoman"/>
      <w:start w:val="2"/>
    </w:lvl>
    <w:lvl w:ilvl="1">
      <w:lvlJc w:val="left"/>
      <w:lvlText w:val="-"/>
      <w:numFmt w:val="bullet"/>
      <w:start w:val="1"/>
    </w:lvl>
  </w:abstractNum>
  <w:abstractNum w:abstractNumId="104">
    <w:nsid w:val="57D2F10E"/>
    <w:multiLevelType w:val="hybridMultilevel"/>
    <w:lvl w:ilvl="0">
      <w:lvlJc w:val="left"/>
      <w:lvlText w:val="(%1)"/>
      <w:numFmt w:val="lowerLetter"/>
      <w:start w:val="6"/>
    </w:lvl>
  </w:abstractNum>
  <w:abstractNum w:abstractNumId="105">
    <w:nsid w:val="BFFAE18"/>
    <w:multiLevelType w:val="hybridMultilevel"/>
    <w:lvl w:ilvl="0">
      <w:lvlJc w:val="left"/>
      <w:lvlText w:val="(%1)"/>
      <w:numFmt w:val="lowerLetter"/>
      <w:start w:val="1"/>
    </w:lvl>
    <w:lvl w:ilvl="1">
      <w:lvlJc w:val="left"/>
      <w:lvlText w:val="-"/>
      <w:numFmt w:val="bullet"/>
      <w:start w:val="1"/>
    </w:lvl>
  </w:abstractNum>
  <w:abstractNum w:abstractNumId="106">
    <w:nsid w:val="E3E47A8"/>
    <w:multiLevelType w:val="hybridMultilevel"/>
    <w:lvl w:ilvl="0">
      <w:lvlJc w:val="left"/>
      <w:lvlText w:val="(%1)"/>
      <w:numFmt w:val="lowerLetter"/>
      <w:start w:val="2"/>
    </w:lvl>
  </w:abstractNum>
  <w:abstractNum w:abstractNumId="107">
    <w:nsid w:val="2E48F044"/>
    <w:multiLevelType w:val="hybridMultilevel"/>
    <w:lvl w:ilvl="0">
      <w:lvlJc w:val="left"/>
      <w:lvlText w:val="(%1)"/>
      <w:numFmt w:val="lowerLetter"/>
      <w:start w:val="1"/>
    </w:lvl>
  </w:abstractNum>
  <w:abstractNum w:abstractNumId="108">
    <w:nsid w:val="49D0FEAC"/>
    <w:multiLevelType w:val="hybridMultilevel"/>
    <w:lvl w:ilvl="0">
      <w:lvlJc w:val="left"/>
      <w:lvlText w:val="(%1)"/>
      <w:numFmt w:val="lowerLetter"/>
      <w:start w:val="1"/>
    </w:lvl>
    <w:lvl w:ilvl="1">
      <w:lvlJc w:val="left"/>
      <w:lvlText w:val="-"/>
      <w:numFmt w:val="bullet"/>
      <w:start w:val="1"/>
    </w:lvl>
  </w:abstractNum>
  <w:abstractNum w:abstractNumId="109">
    <w:nsid w:val="4BEE5A5B"/>
    <w:multiLevelType w:val="hybridMultilevel"/>
    <w:lvl w:ilvl="0">
      <w:lvlJc w:val="left"/>
      <w:lvlText w:val="(%1)"/>
      <w:numFmt w:val="lowerRoman"/>
      <w:start w:val="1"/>
    </w:lvl>
  </w:abstractNum>
  <w:abstractNum w:abstractNumId="110">
    <w:nsid w:val="5551B9F3"/>
    <w:multiLevelType w:val="hybridMultilevel"/>
    <w:lvl w:ilvl="0">
      <w:lvlJc w:val="left"/>
      <w:lvlText w:val="(%1)"/>
      <w:numFmt w:val="lowerLetter"/>
      <w:start w:val="2"/>
    </w:lvl>
  </w:abstractNum>
  <w:abstractNum w:abstractNumId="111">
    <w:nsid w:val="24F6AB8E"/>
    <w:multiLevelType w:val="hybridMultilevel"/>
    <w:lvl w:ilvl="0">
      <w:lvlJc w:val="left"/>
      <w:lvlText w:val="(%1)"/>
      <w:numFmt w:val="lowerLetter"/>
      <w:start w:val="1"/>
    </w:lvl>
    <w:lvl w:ilvl="1">
      <w:lvlJc w:val="left"/>
      <w:lvlText w:val="-"/>
      <w:numFmt w:val="bullet"/>
      <w:start w:val="1"/>
    </w:lvl>
  </w:abstractNum>
  <w:abstractNum w:abstractNumId="112">
    <w:nsid w:val="634C574C"/>
    <w:multiLevelType w:val="hybridMultilevel"/>
    <w:lvl w:ilvl="0">
      <w:lvlJc w:val="left"/>
      <w:lvlText w:val="(%1)"/>
      <w:numFmt w:val="lowerLetter"/>
      <w:start w:val="2"/>
    </w:lvl>
    <w:lvl w:ilvl="1">
      <w:lvlJc w:val="left"/>
      <w:lvlText w:val="(%2)"/>
      <w:numFmt w:val="lowerRoman"/>
      <w:start w:val="1"/>
    </w:lvl>
  </w:abstractNum>
  <w:abstractNum w:abstractNumId="113">
    <w:nsid w:val="24E99DD7"/>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114">
    <w:nsid w:val="2A31B62D"/>
    <w:multiLevelType w:val="hybridMultilevel"/>
    <w:lvl w:ilvl="0">
      <w:lvlJc w:val="left"/>
      <w:lvlText w:val="(%1)"/>
      <w:numFmt w:val="lowerRoman"/>
      <w:start w:val="1"/>
    </w:lvl>
  </w:abstractNum>
  <w:abstractNum w:abstractNumId="115">
    <w:nsid w:val="1849C29B"/>
    <w:multiLevelType w:val="hybridMultilevel"/>
    <w:lvl w:ilvl="0">
      <w:lvlJc w:val="left"/>
      <w:lvlText w:val="(%1)"/>
      <w:numFmt w:val="lowerLetter"/>
      <w:start w:val="1"/>
    </w:lvl>
    <w:lvl w:ilvl="1">
      <w:lvlJc w:val="left"/>
      <w:lvlText w:val="-"/>
      <w:numFmt w:val="bullet"/>
      <w:start w:val="1"/>
    </w:lvl>
  </w:abstractNum>
  <w:abstractNum w:abstractNumId="116">
    <w:nsid w:val="7DFF9D09"/>
    <w:multiLevelType w:val="hybridMultilevel"/>
    <w:lvl w:ilvl="0">
      <w:lvlJc w:val="left"/>
      <w:lvlText w:val="(%1)"/>
      <w:numFmt w:val="lowerLetter"/>
      <w:start w:val="2"/>
    </w:lvl>
    <w:lvl w:ilvl="1">
      <w:lvlJc w:val="left"/>
      <w:lvlText w:val="-"/>
      <w:numFmt w:val="bullet"/>
      <w:start w:val="1"/>
    </w:lvl>
  </w:abstractNum>
  <w:abstractNum w:abstractNumId="117">
    <w:nsid w:val="754342"/>
    <w:multiLevelType w:val="hybridMultilevel"/>
    <w:lvl w:ilvl="0">
      <w:lvlJc w:val="left"/>
      <w:lvlText w:val="(%1)"/>
      <w:numFmt w:val="lowerLetter"/>
      <w:start w:val="4"/>
    </w:lvl>
  </w:abstractNum>
  <w:abstractNum w:abstractNumId="118">
    <w:nsid w:val="69E7F3E5"/>
    <w:multiLevelType w:val="hybridMultilevel"/>
    <w:lvl w:ilvl="0">
      <w:lvlJc w:val="left"/>
      <w:lvlText w:val="(%1)"/>
      <w:numFmt w:val="lowerLetter"/>
      <w:start w:val="1"/>
    </w:lvl>
    <w:lvl w:ilvl="1">
      <w:lvlJc w:val="left"/>
      <w:lvlText w:val="(%2)"/>
      <w:numFmt w:val="lowerRoman"/>
      <w:start w:val="1"/>
    </w:lvl>
  </w:abstractNum>
  <w:abstractNum w:abstractNumId="119">
    <w:nsid w:val="2A6DE806"/>
    <w:multiLevelType w:val="hybridMultilevel"/>
    <w:lvl w:ilvl="0">
      <w:lvlJc w:val="left"/>
      <w:lvlText w:val="(%1)"/>
      <w:numFmt w:val="lowerRoman"/>
      <w:start w:val="1"/>
    </w:lvl>
  </w:abstractNum>
  <w:abstractNum w:abstractNumId="120">
    <w:nsid w:val="1816F8C4"/>
    <w:multiLevelType w:val="hybridMultilevel"/>
    <w:lvl w:ilvl="0">
      <w:lvlJc w:val="left"/>
      <w:lvlText w:val="(%1)"/>
      <w:numFmt w:val="lowerRoman"/>
      <w:start w:val="1"/>
    </w:lvl>
    <w:lvl w:ilvl="1">
      <w:lvlJc w:val="left"/>
      <w:lvlText w:val="-"/>
      <w:numFmt w:val="bullet"/>
      <w:start w:val="1"/>
    </w:lvl>
  </w:abstractNum>
  <w:abstractNum w:abstractNumId="121">
    <w:nsid w:val="37DF2233"/>
    <w:multiLevelType w:val="hybridMultilevel"/>
    <w:lvl w:ilvl="0">
      <w:lvlJc w:val="left"/>
      <w:lvlText w:val="(%1)"/>
      <w:numFmt w:val="lowerRoman"/>
      <w:start w:val="3"/>
    </w:lvl>
  </w:abstractNum>
  <w:abstractNum w:abstractNumId="122">
    <w:nsid w:val="7AB49DAF"/>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23">
    <w:nsid w:val="759F82CD"/>
    <w:multiLevelType w:val="hybridMultilevel"/>
    <w:lvl w:ilvl="0">
      <w:lvlJc w:val="left"/>
      <w:lvlText w:val="(%1)"/>
      <w:numFmt w:val="lowerLetter"/>
      <w:start w:val="35"/>
    </w:lvl>
    <w:lvl w:ilvl="1">
      <w:lvlJc w:val="left"/>
      <w:lvlText w:val="(%2)"/>
      <w:numFmt w:val="lowerLetter"/>
      <w:start w:val="2"/>
    </w:lvl>
    <w:lvl w:ilvl="2">
      <w:lvlJc w:val="left"/>
      <w:lvlText w:val="-"/>
      <w:numFmt w:val="bullet"/>
      <w:start w:val="1"/>
    </w:lvl>
  </w:abstractNum>
  <w:abstractNum w:abstractNumId="124">
    <w:nsid w:val="61E74EA3"/>
    <w:multiLevelType w:val="hybridMultilevel"/>
    <w:lvl w:ilvl="0">
      <w:lvlJc w:val="left"/>
      <w:lvlText w:val="(%1)"/>
      <w:numFmt w:val="lowerLetter"/>
      <w:start w:val="35"/>
    </w:lvl>
    <w:lvl w:ilvl="1">
      <w:lvlJc w:val="left"/>
      <w:lvlText w:val="(%2)"/>
      <w:numFmt w:val="lowerLetter"/>
      <w:start w:val="3"/>
    </w:lvl>
    <w:lvl w:ilvl="2">
      <w:lvlJc w:val="left"/>
      <w:lvlText w:val="-"/>
      <w:numFmt w:val="bullet"/>
      <w:start w:val="1"/>
    </w:lvl>
  </w:abstractNum>
  <w:abstractNum w:abstractNumId="125">
    <w:nsid w:val="597B4D84"/>
    <w:multiLevelType w:val="hybridMultilevel"/>
    <w:lvl w:ilvl="0">
      <w:lvlJc w:val="left"/>
      <w:lvlText w:val="(%1)"/>
      <w:numFmt w:val="lowerLetter"/>
      <w:start w:val="1"/>
    </w:lvl>
  </w:abstractNum>
  <w:abstractNum w:abstractNumId="126">
    <w:nsid w:val="F819E7F"/>
    <w:multiLevelType w:val="hybridMultilevel"/>
    <w:lvl w:ilvl="0">
      <w:lvlJc w:val="left"/>
      <w:lvlText w:val="(%1)"/>
      <w:numFmt w:val="lowerLetter"/>
      <w:start w:val="1"/>
    </w:lvl>
    <w:lvl w:ilvl="1">
      <w:lvlJc w:val="left"/>
      <w:lvlText w:val="-"/>
      <w:numFmt w:val="bullet"/>
      <w:start w:val="1"/>
    </w:lvl>
  </w:abstractNum>
  <w:abstractNum w:abstractNumId="127">
    <w:nsid w:val="57C7D42D"/>
    <w:multiLevelType w:val="hybridMultilevel"/>
    <w:lvl w:ilvl="0">
      <w:lvlJc w:val="left"/>
      <w:lvlText w:val="(%1)"/>
      <w:numFmt w:val="lowerLetter"/>
      <w:start w:val="3"/>
    </w:lvl>
  </w:abstractNum>
  <w:abstractNum w:abstractNumId="128">
    <w:nsid w:val="312167AD"/>
    <w:multiLevelType w:val="hybridMultilevel"/>
    <w:lvl w:ilvl="0">
      <w:lvlJc w:val="left"/>
      <w:lvlText w:val="(%1)"/>
      <w:numFmt w:val="lowerLetter"/>
      <w:start w:val="1"/>
    </w:lvl>
    <w:lvl w:ilvl="1">
      <w:lvlJc w:val="left"/>
      <w:lvlText w:val="-"/>
      <w:numFmt w:val="bullet"/>
      <w:start w:val="1"/>
    </w:lvl>
  </w:abstractNum>
  <w:abstractNum w:abstractNumId="129">
    <w:nsid w:val="631B64D4"/>
    <w:multiLevelType w:val="hybridMultilevel"/>
    <w:lvl w:ilvl="0">
      <w:lvlJc w:val="left"/>
      <w:lvlText w:val="(%1)"/>
      <w:numFmt w:val="lowerLetter"/>
      <w:start w:val="2"/>
    </w:lvl>
  </w:abstractNum>
  <w:abstractNum w:abstractNumId="130">
    <w:nsid w:val="78B5E776"/>
    <w:multiLevelType w:val="hybridMultilevel"/>
    <w:lvl w:ilvl="0">
      <w:lvlJc w:val="left"/>
      <w:lvlText w:val="(%1)"/>
      <w:numFmt w:val="lowerRoman"/>
      <w:start w:val="1"/>
    </w:lvl>
    <w:lvl w:ilvl="1">
      <w:lvlJc w:val="left"/>
      <w:lvlText w:val="-"/>
      <w:numFmt w:val="bullet"/>
      <w:start w:val="1"/>
    </w:lvl>
  </w:abstractNum>
  <w:abstractNum w:abstractNumId="131">
    <w:nsid w:val="75486E47"/>
    <w:multiLevelType w:val="hybridMultilevel"/>
    <w:lvl w:ilvl="0">
      <w:lvlJc w:val="left"/>
      <w:lvlText w:val="(%1)"/>
      <w:numFmt w:val="lowerRoman"/>
      <w:start w:val="4"/>
    </w:lvl>
  </w:abstractNum>
  <w:abstractNum w:abstractNumId="132">
    <w:nsid w:val="6E534CDE"/>
    <w:multiLevelType w:val="hybridMultilevel"/>
    <w:lvl w:ilvl="0">
      <w:lvlJc w:val="left"/>
      <w:lvlText w:val="(%1)"/>
      <w:numFmt w:val="lowerLetter"/>
      <w:start w:val="1"/>
    </w:lvl>
  </w:abstractNum>
  <w:abstractNum w:abstractNumId="133">
    <w:nsid w:val="1A0DDE32"/>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134">
    <w:nsid w:val="65968C1C"/>
    <w:multiLevelType w:val="hybridMultilevel"/>
    <w:lvl w:ilvl="0">
      <w:lvlJc w:val="left"/>
      <w:lvlText w:val="(%1)"/>
      <w:numFmt w:val="upperLetter"/>
      <w:start w:val="2"/>
    </w:lvl>
    <w:lvl w:ilvl="1">
      <w:lvlJc w:val="left"/>
      <w:lvlText w:val="(%2)"/>
      <w:numFmt w:val="lowerLetter"/>
      <w:start w:val="2"/>
    </w:lvl>
    <w:lvl w:ilvl="2">
      <w:lvlJc w:val="left"/>
      <w:lvlText w:val="-"/>
      <w:numFmt w:val="bullet"/>
      <w:start w:val="1"/>
    </w:lvl>
  </w:abstractNum>
  <w:abstractNum w:abstractNumId="135">
    <w:nsid w:val="46263DEC"/>
    <w:multiLevelType w:val="hybridMultilevel"/>
    <w:lvl w:ilvl="0">
      <w:lvlJc w:val="left"/>
      <w:lvlText w:val="(%1)"/>
      <w:numFmt w:val="lowerLetter"/>
      <w:start w:val="1"/>
    </w:lvl>
  </w:abstractNum>
  <w:abstractNum w:abstractNumId="136">
    <w:nsid w:val="260D8C4A"/>
    <w:multiLevelType w:val="hybridMultilevel"/>
    <w:lvl w:ilvl="0">
      <w:lvlJc w:val="left"/>
      <w:lvlText w:val="(%1)"/>
      <w:numFmt w:val="lowerLetter"/>
      <w:start w:val="1"/>
    </w:lvl>
    <w:lvl w:ilvl="1">
      <w:lvlJc w:val="left"/>
      <w:lvlText w:val="-"/>
      <w:numFmt w:val="bullet"/>
      <w:start w:val="1"/>
    </w:lvl>
  </w:abstractNum>
  <w:abstractNum w:abstractNumId="137">
    <w:nsid w:val="73D4D3C4"/>
    <w:multiLevelType w:val="hybridMultilevel"/>
    <w:lvl w:ilvl="0">
      <w:lvlJc w:val="left"/>
      <w:lvlText w:val="(%1)"/>
      <w:numFmt w:val="lowerLetter"/>
      <w:start w:val="3"/>
    </w:lvl>
  </w:abstractNum>
  <w:abstractNum w:abstractNumId="138">
    <w:nsid w:val="746F2E30"/>
    <w:multiLevelType w:val="hybridMultilevel"/>
    <w:lvl w:ilvl="0">
      <w:lvlJc w:val="left"/>
      <w:lvlText w:val="(%1)"/>
      <w:numFmt w:val="lowerLetter"/>
      <w:start w:val="7"/>
    </w:lvl>
    <w:lvl w:ilvl="1">
      <w:lvlJc w:val="left"/>
      <w:lvlText w:val="-"/>
      <w:numFmt w:val="bullet"/>
      <w:start w:val="1"/>
    </w:lvl>
  </w:abstractNum>
  <w:abstractNum w:abstractNumId="139">
    <w:nsid w:val="6FDE8AF6"/>
    <w:multiLevelType w:val="hybridMultilevel"/>
    <w:lvl w:ilvl="0">
      <w:lvlJc w:val="left"/>
      <w:lvlText w:val="(%1)"/>
      <w:numFmt w:val="lowerLetter"/>
      <w:start w:val="10"/>
    </w:lvl>
  </w:abstractNum>
  <w:abstractNum w:abstractNumId="140">
    <w:nsid w:val="3FC32E20"/>
    <w:multiLevelType w:val="hybridMultilevel"/>
    <w:lvl w:ilvl="0">
      <w:lvlJc w:val="left"/>
      <w:lvlText w:val="(%1)"/>
      <w:numFmt w:val="lowerLetter"/>
      <w:start w:val="2"/>
    </w:lvl>
    <w:lvl w:ilvl="1">
      <w:lvlJc w:val="left"/>
      <w:lvlText w:val="(%2)"/>
      <w:numFmt w:val="lowerLetter"/>
      <w:start w:val="2"/>
    </w:lvl>
    <w:lvl w:ilvl="2">
      <w:lvlJc w:val="left"/>
      <w:lvlText w:val="-"/>
      <w:numFmt w:val="bullet"/>
      <w:start w:val="1"/>
    </w:lvl>
  </w:abstractNum>
  <w:abstractNum w:abstractNumId="141">
    <w:nsid w:val="49C0E823"/>
    <w:multiLevelType w:val="hybridMultilevel"/>
    <w:lvl w:ilvl="0">
      <w:lvlJc w:val="left"/>
      <w:lvlText w:val="(%1)"/>
      <w:numFmt w:val="lowerLetter"/>
      <w:start w:val="1"/>
    </w:lvl>
    <w:lvl w:ilvl="1">
      <w:lvlJc w:val="left"/>
      <w:lvlText w:val="-"/>
      <w:numFmt w:val="bullet"/>
      <w:start w:val="1"/>
    </w:lvl>
  </w:abstractNum>
  <w:abstractNum w:abstractNumId="142">
    <w:nsid w:val="14D53685"/>
    <w:multiLevelType w:val="hybridMultilevel"/>
    <w:lvl w:ilvl="0">
      <w:lvlJc w:val="left"/>
      <w:lvlText w:val="(%1)"/>
      <w:numFmt w:val="lowerLetter"/>
      <w:start w:val="2"/>
    </w:lvl>
    <w:lvl w:ilvl="1">
      <w:lvlJc w:val="left"/>
      <w:lvlText w:val="-"/>
      <w:numFmt w:val="bullet"/>
      <w:start w:val="1"/>
    </w:lvl>
  </w:abstractNum>
  <w:abstractNum w:abstractNumId="143">
    <w:nsid w:val="230F856C"/>
    <w:multiLevelType w:val="hybridMultilevel"/>
    <w:lvl w:ilvl="0">
      <w:lvlJc w:val="left"/>
      <w:lvlText w:val="(%1)"/>
      <w:numFmt w:val="lowerLetter"/>
      <w:start w:val="4"/>
    </w:lvl>
  </w:abstractNum>
  <w:abstractNum w:abstractNumId="144">
    <w:nsid w:val="6EAA85FB"/>
    <w:multiLevelType w:val="hybridMultilevel"/>
    <w:lvl w:ilvl="0">
      <w:lvlJc w:val="left"/>
      <w:lvlText w:val="(%1)"/>
      <w:numFmt w:val="lowerLetter"/>
      <w:start w:val="1"/>
    </w:lvl>
    <w:lvl w:ilvl="1">
      <w:lvlJc w:val="left"/>
      <w:lvlText w:val="(%2)"/>
      <w:numFmt w:val="lowerRoman"/>
      <w:start w:val="1"/>
    </w:lvl>
  </w:abstractNum>
  <w:abstractNum w:abstractNumId="145">
    <w:nsid w:val="3F06ECB2"/>
    <w:multiLevelType w:val="hybridMultilevel"/>
    <w:lvl w:ilvl="0">
      <w:lvlJc w:val="left"/>
      <w:lvlText w:val="(%1)"/>
      <w:numFmt w:val="lowerLetter"/>
      <w:start w:val="2"/>
    </w:lvl>
    <w:lvl w:ilvl="1">
      <w:lvlJc w:val="left"/>
      <w:lvlText w:val="-"/>
      <w:numFmt w:val="bullet"/>
      <w:start w:val="1"/>
    </w:lvl>
  </w:abstractNum>
  <w:abstractNum w:abstractNumId="146">
    <w:nsid w:val="3B594807"/>
    <w:multiLevelType w:val="hybridMultilevel"/>
    <w:lvl w:ilvl="0">
      <w:lvlJc w:val="left"/>
      <w:lvlText w:val="(%1)"/>
      <w:numFmt w:val="lowerLetter"/>
      <w:start w:val="4"/>
    </w:lvl>
    <w:lvl w:ilvl="1">
      <w:lvlJc w:val="left"/>
      <w:lvlText w:val="-"/>
      <w:numFmt w:val="bullet"/>
      <w:start w:val="1"/>
    </w:lvl>
  </w:abstractNum>
  <w:abstractNum w:abstractNumId="147">
    <w:nsid w:val="6CAA2304"/>
    <w:multiLevelType w:val="hybridMultilevel"/>
    <w:lvl w:ilvl="0">
      <w:lvlJc w:val="left"/>
      <w:lvlText w:val="(%1)"/>
      <w:numFmt w:val="lowerLetter"/>
      <w:start w:val="1"/>
    </w:lvl>
  </w:abstractNum>
  <w:abstractNum w:abstractNumId="148">
    <w:nsid w:val="3F7C2FF4"/>
    <w:multiLevelType w:val="hybridMultilevel"/>
    <w:lvl w:ilvl="0">
      <w:lvlJc w:val="left"/>
      <w:lvlText w:val="(%1)"/>
      <w:numFmt w:val="lowerLetter"/>
      <w:start w:val="2"/>
    </w:lvl>
  </w:abstractNum>
  <w:abstractNum w:abstractNumId="149">
    <w:nsid w:val="25413BEC"/>
    <w:multiLevelType w:val="hybridMultilevel"/>
    <w:lvl w:ilvl="0">
      <w:lvlJc w:val="left"/>
      <w:lvlText w:val="(%1)"/>
      <w:numFmt w:val="lowerLetter"/>
      <w:start w:val="1"/>
    </w:lvl>
    <w:lvl w:ilvl="1">
      <w:lvlJc w:val="left"/>
      <w:lvlText w:val="-"/>
      <w:numFmt w:val="bullet"/>
      <w:start w:val="1"/>
    </w:lvl>
  </w:abstractNum>
  <w:abstractNum w:abstractNumId="150">
    <w:nsid w:val="17180B0B"/>
    <w:multiLevelType w:val="hybridMultilevel"/>
    <w:lvl w:ilvl="0">
      <w:lvlJc w:val="left"/>
      <w:lvlText w:val="(%1)"/>
      <w:numFmt w:val="lowerLetter"/>
      <w:start w:val="2"/>
    </w:lvl>
    <w:lvl w:ilvl="1">
      <w:lvlJc w:val="left"/>
      <w:lvlText w:val="-"/>
      <w:numFmt w:val="bullet"/>
      <w:start w:val="1"/>
    </w:lvl>
  </w:abstractNum>
  <w:abstractNum w:abstractNumId="151">
    <w:nsid w:val="579328B9"/>
    <w:multiLevelType w:val="hybridMultilevel"/>
    <w:lvl w:ilvl="0">
      <w:lvlJc w:val="left"/>
      <w:lvlText w:val="(%1)"/>
      <w:numFmt w:val="lowerLetter"/>
      <w:start w:val="5"/>
    </w:lvl>
  </w:abstractNum>
  <w:abstractNum w:abstractNumId="152">
    <w:nsid w:val="5D205E20"/>
    <w:multiLevelType w:val="hybridMultilevel"/>
    <w:lvl w:ilvl="0">
      <w:lvlJc w:val="left"/>
      <w:lvlText w:val="(%1)"/>
      <w:numFmt w:val="lowerLetter"/>
      <w:start w:val="1"/>
    </w:lvl>
    <w:lvl w:ilvl="1">
      <w:lvlJc w:val="left"/>
      <w:lvlText w:val="-"/>
      <w:numFmt w:val="bullet"/>
      <w:start w:val="1"/>
    </w:lvl>
  </w:abstractNum>
  <w:abstractNum w:abstractNumId="153">
    <w:nsid w:val="11CCA8BA"/>
    <w:multiLevelType w:val="hybridMultilevel"/>
    <w:lvl w:ilvl="0">
      <w:lvlJc w:val="left"/>
      <w:lvlText w:val="\emdash "/>
      <w:numFmt w:val="bullet"/>
      <w:start w:val="1"/>
    </w:lvl>
  </w:abstractNum>
  <w:abstractNum w:abstractNumId="154">
    <w:nsid w:val="4D32AB86"/>
    <w:multiLevelType w:val="hybridMultilevel"/>
    <w:lvl w:ilvl="0">
      <w:lvlJc w:val="left"/>
      <w:lvlText w:val="%1."/>
      <w:numFmt w:val="decimal"/>
      <w:start w:val="1"/>
    </w:lvl>
  </w:abstractNum>
  <w:abstractNum w:abstractNumId="155">
    <w:nsid w:val="3F07ACC3"/>
    <w:multiLevelType w:val="hybridMultilevel"/>
    <w:lvl w:ilvl="0">
      <w:lvlJc w:val="left"/>
      <w:lvlText w:val="%1."/>
      <w:numFmt w:val="decimal"/>
      <w:start w:val="5"/>
    </w:lvl>
  </w:abstractNum>
  <w:abstractNum w:abstractNumId="156">
    <w:nsid w:val="6B47F63E"/>
    <w:multiLevelType w:val="hybridMultilevel"/>
    <w:lvl w:ilvl="0">
      <w:lvlJc w:val="left"/>
      <w:lvlText w:val="1"/>
      <w:numFmt w:val="bullet"/>
      <w:start w:val="1"/>
    </w:lvl>
  </w:abstractNum>
  <w:abstractNum w:abstractNumId="157">
    <w:nsid w:val="5CB44A05"/>
    <w:multiLevelType w:val="hybridMultilevel"/>
    <w:lvl w:ilvl="0">
      <w:lvlJc w:val="left"/>
      <w:lvlText w:val="3"/>
      <w:numFmt w:val="bullet"/>
      <w:start w:val="1"/>
    </w:lvl>
  </w:abstractNum>
  <w:abstractNum w:abstractNumId="158">
    <w:nsid w:val="16CF80F1"/>
    <w:multiLevelType w:val="hybridMultilevel"/>
    <w:lvl w:ilvl="0">
      <w:lvlJc w:val="left"/>
      <w:lvlText w:val="%1."/>
      <w:numFmt w:val="decimal"/>
      <w:start w:val="1"/>
    </w:lvl>
  </w:abstractNum>
  <w:abstractNum w:abstractNumId="159">
    <w:nsid w:val="1C695DEC"/>
    <w:multiLevelType w:val="hybridMultilevel"/>
    <w:lvl w:ilvl="0">
      <w:lvlJc w:val="left"/>
      <w:lvlText w:val="%1."/>
      <w:numFmt w:val="decimal"/>
      <w:start w:val="2"/>
    </w:lvl>
  </w:abstractNum>
  <w:abstractNum w:abstractNumId="160">
    <w:nsid w:val="3FCFAED9"/>
    <w:multiLevelType w:val="hybridMultilevel"/>
    <w:lvl w:ilvl="0">
      <w:lvlJc w:val="left"/>
      <w:lvlText w:val="%1."/>
      <w:numFmt w:val="decimal"/>
      <w:start w:val="1"/>
    </w:lvl>
    <w:lvl w:ilvl="1">
      <w:lvlJc w:val="left"/>
      <w:lvlText w:val="%2."/>
      <w:numFmt w:val="lowerLetter"/>
      <w:start w:val="1"/>
    </w:lvl>
  </w:abstractNum>
  <w:abstractNum w:abstractNumId="161">
    <w:nsid w:val="F856867"/>
    <w:multiLevelType w:val="hybridMultilevel"/>
    <w:lvl w:ilvl="0">
      <w:lvlJc w:val="left"/>
      <w:lvlText w:val="%1."/>
      <w:numFmt w:val="decimal"/>
      <w:start w:val="1"/>
    </w:lvl>
    <w:lvl w:ilvl="1">
      <w:lvlJc w:val="left"/>
      <w:lvlText w:val="%2."/>
      <w:numFmt w:val="lowerLetter"/>
      <w:start w:val="1"/>
    </w:lvl>
  </w:abstractNum>
  <w:abstractNum w:abstractNumId="162">
    <w:nsid w:val="11B1CC33"/>
    <w:multiLevelType w:val="hybridMultilevel"/>
    <w:lvl w:ilvl="0">
      <w:lvlJc w:val="left"/>
      <w:lvlText w:val="(%1)"/>
      <w:numFmt w:val="decimal"/>
      <w:start w:val="1"/>
    </w:lvl>
  </w:abstractNum>
  <w:abstractNum w:abstractNumId="163">
    <w:nsid w:val="2E22FB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2019-12-10T08:25:51Z</dcterms:created>
  <dcterms:modified xsi:type="dcterms:W3CDTF">2019-12-10T08:25:51Z</dcterms:modified>
</cp:coreProperties>
</file>