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412128d1_8k.htm"/>
      <w:bookmarkStart w:id="1" w:name="kstm2412128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6_edei--DocumentType_c2024042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April 24,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2_edei--EntityRegistrantName_dxL_c"/>
      <w:bookmarkEnd w:id="4"/>
      <w:r>
        <w:rPr>
          <w:rFonts w:ascii="Times New Roman;Times;Serif" w:hAnsi="Times New Roman;Times;Serif"/>
          <w:b/>
          <w:i w:val="false"/>
          <w:caps w:val="false"/>
          <w:smallCaps w:val="false"/>
          <w:sz w:val="48"/>
        </w:rPr>
        <w:t>Waste Management,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2195"/>
        <w:gridCol w:w="60"/>
        <w:gridCol w:w="2210"/>
        <w:gridCol w:w="60"/>
        <w:gridCol w:w="1520"/>
      </w:tblGrid>
      <w:tr>
        <w:trPr/>
        <w:tc>
          <w:tcPr>
            <w:tcW w:w="2195" w:type="dxa"/>
            <w:tcBorders/>
            <w:vAlign w:val="center"/>
          </w:tcPr>
          <w:p>
            <w:pPr>
              <w:pStyle w:val="TableContents"/>
              <w:bidi w:val="0"/>
              <w:spacing w:before="0" w:after="283"/>
              <w:jc w:val="center"/>
              <w:rPr>
                <w:b/>
              </w:rPr>
            </w:pPr>
            <w:bookmarkStart w:id="5" w:name="xdx_902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40424"/>
            <w:bookmarkEnd w:id="6"/>
            <w:r>
              <w:rPr>
                <w:rFonts w:ascii="Times New Roman;Times;Serif" w:hAnsi="Times New Roman;Times;Serif"/>
                <w:b/>
                <w:sz w:val="20"/>
              </w:rPr>
              <w:t>1-12154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73-1309529</w:t>
            </w:r>
          </w:p>
        </w:tc>
      </w:tr>
      <w:tr>
        <w:trPr/>
        <w:tc>
          <w:tcPr>
            <w:tcW w:w="21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920"/>
        <w:gridCol w:w="60"/>
        <w:gridCol w:w="905"/>
      </w:tblGrid>
      <w:tr>
        <w:trPr/>
        <w:tc>
          <w:tcPr>
            <w:tcW w:w="3920" w:type="dxa"/>
            <w:tcBorders/>
            <w:vAlign w:val="center"/>
          </w:tcPr>
          <w:p>
            <w:pPr>
              <w:pStyle w:val="TableContents"/>
              <w:bidi w:val="0"/>
              <w:spacing w:before="0" w:after="283"/>
              <w:jc w:val="center"/>
              <w:rPr/>
            </w:pPr>
            <w:bookmarkStart w:id="8" w:name="xdx_90B_edei--EntityAddressAddressLine1_"/>
            <w:bookmarkEnd w:id="8"/>
            <w:r>
              <w:rPr>
                <w:rFonts w:ascii="Times New Roman;Times;Serif" w:hAnsi="Times New Roman;Times;Serif"/>
                <w:b/>
                <w:sz w:val="20"/>
              </w:rPr>
              <w:t xml:space="preserve">800 Capitol Street, </w:t>
            </w:r>
            <w:bookmarkStart w:id="9" w:name="xdx_90A_edei--EntityAddressAddressLine2_"/>
            <w:bookmarkEnd w:id="9"/>
            <w:r>
              <w:rPr>
                <w:rFonts w:ascii="Times New Roman;Times;Serif" w:hAnsi="Times New Roman;Times;Serif"/>
                <w:b/>
                <w:sz w:val="20"/>
              </w:rPr>
              <w:t xml:space="preserve">Suite 3000, </w:t>
            </w:r>
            <w:bookmarkStart w:id="10" w:name="xdx_908_edei--EntityAddressCityOrTown_c2"/>
            <w:bookmarkEnd w:id="10"/>
            <w:r>
              <w:rPr>
                <w:rFonts w:ascii="Times New Roman;Times;Serif" w:hAnsi="Times New Roman;Times;Serif"/>
                <w:b/>
                <w:sz w:val="20"/>
              </w:rPr>
              <w:t xml:space="preserve">Houston, </w:t>
            </w:r>
            <w:bookmarkStart w:id="11" w:name="xdx_903_edei--EntityAddressStateOrProvin"/>
            <w:bookmarkEnd w:id="11"/>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2" w:name="xdx_90F_edei--EntityAddressPostalZipCode"/>
            <w:bookmarkEnd w:id="12"/>
            <w:r>
              <w:rPr>
                <w:rFonts w:ascii="Times New Roman;Times;Serif" w:hAnsi="Times New Roman;Times;Serif"/>
                <w:b/>
                <w:sz w:val="20"/>
              </w:rPr>
              <w:t>77002</w:t>
            </w:r>
          </w:p>
        </w:tc>
      </w:tr>
      <w:tr>
        <w:trPr/>
        <w:tc>
          <w:tcPr>
            <w:tcW w:w="3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6_edei--CityAreaCode_c20240424__20"/>
      <w:bookmarkEnd w:id="13"/>
      <w:r>
        <w:rPr>
          <w:rFonts w:ascii="Times New Roman;Times;Serif" w:hAnsi="Times New Roman;Times;Serif"/>
          <w:b/>
          <w:i w:val="false"/>
          <w:caps w:val="false"/>
          <w:smallCaps w:val="false"/>
          <w:sz w:val="20"/>
        </w:rPr>
        <w:t xml:space="preserve">713) </w:t>
      </w:r>
      <w:bookmarkStart w:id="14" w:name="xdx_90E_edei--LocalPhoneNumber_c20240424"/>
      <w:bookmarkEnd w:id="14"/>
      <w:r>
        <w:rPr>
          <w:rFonts w:ascii="Times New Roman;Times;Serif" w:hAnsi="Times New Roman;Times;Serif"/>
          <w:b/>
          <w:i w:val="false"/>
          <w:caps w:val="false"/>
          <w:smallCaps w:val="false"/>
          <w:sz w:val="20"/>
        </w:rPr>
        <w:t>512-6200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5" w:name="xdx_908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both"/>
        <w:rPr>
          <w:caps w:val="false"/>
          <w:smallCaps w:val="false"/>
        </w:rPr>
      </w:pPr>
      <w:bookmarkStart w:id="16" w:name="xdx_90F_edei--SolicitingMaterial_c202404"/>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both"/>
        <w:rPr>
          <w:caps w:val="false"/>
          <w:smallCaps w:val="false"/>
        </w:rPr>
      </w:pPr>
      <w:bookmarkStart w:id="17" w:name="xdx_90E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both"/>
        <w:rPr>
          <w:caps w:val="false"/>
          <w:smallCaps w:val="false"/>
        </w:rPr>
      </w:pPr>
      <w:bookmarkStart w:id="18" w:name="xdx_903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7860" w:type="dxa"/>
        <w:jc w:val="left"/>
        <w:tblInd w:w="0" w:type="dxa"/>
        <w:tblLayout w:type="fixed"/>
        <w:tblCellMar>
          <w:top w:w="28" w:type="dxa"/>
          <w:left w:w="0" w:type="dxa"/>
          <w:bottom w:w="0" w:type="dxa"/>
          <w:right w:w="0" w:type="dxa"/>
        </w:tblCellMar>
      </w:tblPr>
      <w:tblGrid>
        <w:gridCol w:w="2630"/>
        <w:gridCol w:w="60"/>
        <w:gridCol w:w="1535"/>
        <w:gridCol w:w="60"/>
        <w:gridCol w:w="3575"/>
      </w:tblGrid>
      <w:tr>
        <w:trPr/>
        <w:tc>
          <w:tcPr>
            <w:tcW w:w="2630"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tcMar>
              <w:bottom w:w="28" w:type="dxa"/>
            </w:tcMar>
            <w:vAlign w:val="center"/>
          </w:tcPr>
          <w:p>
            <w:pPr>
              <w:pStyle w:val="TableContents"/>
              <w:bidi w:val="0"/>
              <w:spacing w:before="0" w:after="283"/>
              <w:jc w:val="center"/>
              <w:rPr/>
            </w:pPr>
            <w:r>
              <w:rPr/>
              <w:t> </w:t>
            </w:r>
          </w:p>
        </w:tc>
        <w:tc>
          <w:tcPr>
            <w:tcW w:w="153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tcBorders>
            <w:tcMar>
              <w:bottom w:w="28" w:type="dxa"/>
            </w:tcMar>
            <w:vAlign w:val="center"/>
          </w:tcPr>
          <w:p>
            <w:pPr>
              <w:pStyle w:val="TableContents"/>
              <w:bidi w:val="0"/>
              <w:spacing w:before="0" w:after="283"/>
              <w:jc w:val="center"/>
              <w:rPr/>
            </w:pPr>
            <w:r>
              <w:rPr/>
              <w:t> </w:t>
            </w:r>
          </w:p>
        </w:tc>
        <w:tc>
          <w:tcPr>
            <w:tcW w:w="3575" w:type="dxa"/>
            <w:tcBorders>
              <w:top w:val="single" w:sz="8" w:space="0" w:color="000000"/>
              <w:right w:val="single" w:sz="8" w:space="0" w:color="000000"/>
            </w:tcBorders>
            <w:tcMar>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tcMar>
              <w:top w:w="0" w:type="dxa"/>
              <w:left w:w="120" w:type="dxa"/>
              <w:bottom w:w="160" w:type="dxa"/>
            </w:tcMar>
            <w:vAlign w:val="center"/>
          </w:tcPr>
          <w:p>
            <w:pPr>
              <w:pStyle w:val="TableContents"/>
              <w:bidi w:val="0"/>
              <w:spacing w:before="0" w:after="283"/>
              <w:jc w:val="left"/>
              <w:rPr>
                <w:rFonts w:ascii="Times New Roman;Times;Serif" w:hAnsi="Times New Roman;Times;Serif"/>
                <w:sz w:val="20"/>
              </w:rPr>
            </w:pPr>
            <w:bookmarkStart w:id="19" w:name="xdx_907_edei--Security12bTitle_c20240424"/>
            <w:bookmarkEnd w:id="19"/>
            <w:r>
              <w:rPr>
                <w:rFonts w:ascii="Times New Roman;Times;Serif" w:hAnsi="Times New Roman;Times;Serif"/>
                <w:sz w:val="20"/>
              </w:rPr>
              <w:t>Common Stock, $0.01 par value</w:t>
            </w:r>
          </w:p>
        </w:tc>
        <w:tc>
          <w:tcPr>
            <w:tcW w:w="60" w:type="dxa"/>
            <w:tcBorders>
              <w:bottom w:val="single" w:sz="8" w:space="0" w:color="000000"/>
            </w:tcBorders>
            <w:tcMar>
              <w:top w:w="0" w:type="dxa"/>
              <w:bottom w:w="160" w:type="dxa"/>
            </w:tcMar>
            <w:vAlign w:val="center"/>
          </w:tcPr>
          <w:p>
            <w:pPr>
              <w:pStyle w:val="TableContents"/>
              <w:bidi w:val="0"/>
              <w:spacing w:before="0" w:after="283"/>
              <w:jc w:val="left"/>
              <w:rPr/>
            </w:pPr>
            <w:r>
              <w:rPr/>
              <w:t> </w:t>
            </w:r>
          </w:p>
        </w:tc>
        <w:tc>
          <w:tcPr>
            <w:tcW w:w="1535" w:type="dxa"/>
            <w:tcBorders>
              <w:left w:val="single" w:sz="8" w:space="0" w:color="000000"/>
              <w:bottom w:val="single" w:sz="8" w:space="0" w:color="000000"/>
            </w:tcBorders>
            <w:tcMar>
              <w:top w:w="0" w:type="dxa"/>
              <w:left w:w="120" w:type="dxa"/>
              <w:bottom w:w="160" w:type="dxa"/>
            </w:tcMar>
            <w:vAlign w:val="center"/>
          </w:tcPr>
          <w:p>
            <w:pPr>
              <w:pStyle w:val="TableContents"/>
              <w:bidi w:val="0"/>
              <w:spacing w:before="0" w:after="283"/>
              <w:jc w:val="left"/>
              <w:rPr>
                <w:rFonts w:ascii="Times New Roman;Times;Serif" w:hAnsi="Times New Roman;Times;Serif"/>
                <w:sz w:val="20"/>
              </w:rPr>
            </w:pPr>
            <w:bookmarkStart w:id="20" w:name="xdx_905_edei--TradingSymbol_c20240424__2"/>
            <w:bookmarkEnd w:id="20"/>
            <w:r>
              <w:rPr>
                <w:rFonts w:ascii="Times New Roman;Times;Serif" w:hAnsi="Times New Roman;Times;Serif"/>
                <w:sz w:val="20"/>
              </w:rPr>
              <w:t>WM</w:t>
            </w:r>
          </w:p>
        </w:tc>
        <w:tc>
          <w:tcPr>
            <w:tcW w:w="60" w:type="dxa"/>
            <w:tcBorders>
              <w:bottom w:val="single" w:sz="8" w:space="0" w:color="000000"/>
            </w:tcBorders>
            <w:tcMar>
              <w:top w:w="0" w:type="dxa"/>
              <w:bottom w:w="160" w:type="dxa"/>
            </w:tcMar>
            <w:vAlign w:val="center"/>
          </w:tcPr>
          <w:p>
            <w:pPr>
              <w:pStyle w:val="TableContents"/>
              <w:bidi w:val="0"/>
              <w:spacing w:before="0" w:after="283"/>
              <w:jc w:val="left"/>
              <w:rPr/>
            </w:pPr>
            <w:r>
              <w:rPr/>
              <w:t> </w:t>
            </w:r>
          </w:p>
        </w:tc>
        <w:tc>
          <w:tcPr>
            <w:tcW w:w="3575" w:type="dxa"/>
            <w:tcBorders>
              <w:left w:val="single" w:sz="8" w:space="0" w:color="000000"/>
              <w:bottom w:val="single" w:sz="8" w:space="0" w:color="000000"/>
              <w:right w:val="single" w:sz="8" w:space="0" w:color="000000"/>
            </w:tcBorders>
            <w:tcMar>
              <w:top w:w="0" w:type="dxa"/>
              <w:left w:w="120" w:type="dxa"/>
              <w:bottom w:w="160" w:type="dxa"/>
              <w:right w:w="60" w:type="dxa"/>
            </w:tcMar>
            <w:vAlign w:val="center"/>
          </w:tcPr>
          <w:p>
            <w:pPr>
              <w:pStyle w:val="TableContents"/>
              <w:bidi w:val="0"/>
              <w:spacing w:before="0" w:after="283"/>
              <w:jc w:val="left"/>
              <w:rPr>
                <w:rFonts w:ascii="Times New Roman;Times;Serif" w:hAnsi="Times New Roman;Times;Serif"/>
                <w:sz w:val="20"/>
              </w:rPr>
            </w:pPr>
            <w:bookmarkStart w:id="21" w:name="xdx_909_edei--SecurityExchangeName_c2024"/>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2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Waste Management, Inc. (the “Company”) issued a press release today announcing its financial results for the first quarter of 2024, a copy of which is furnished as Exhibit 99.1 to this Form 8-K. The Company is conducting an audio webcast to discuss these results beginning at 9:00 a.m. Central Time on April 25, 2024. </w:t>
      </w:r>
      <w:r>
        <w:rPr>
          <w:rFonts w:ascii="Times New Roman;Times;Serif" w:hAnsi="Times New Roman;Times;Serif"/>
          <w:b w:val="false"/>
          <w:i w:val="false"/>
          <w:caps w:val="false"/>
          <w:smallCaps w:val="false"/>
          <w:color w:val="0A0A0A"/>
          <w:sz w:val="20"/>
        </w:rPr>
        <w:t>Listeners can access the live audio webcast by visiting investors.wm.com and selecting “Events &amp; Presentations” from the website menu. A replay of the audio webcast will be available at the same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jc w:val="left"/>
        <w:rPr>
          <w:caps w:val="false"/>
          <w:smallCaps w:val="false"/>
        </w:rPr>
      </w:pPr>
      <w:r>
        <w:rPr>
          <w:caps w:val="false"/>
          <w:smallCaps w:val="false"/>
        </w:rPr>
        <w:t> </w:t>
      </w:r>
    </w:p>
    <w:tbl>
      <w:tblPr>
        <w:tblW w:w="9535" w:type="dxa"/>
        <w:jc w:val="left"/>
        <w:tblInd w:w="0" w:type="dxa"/>
        <w:tblLayout w:type="fixed"/>
        <w:tblCellMar>
          <w:top w:w="0" w:type="dxa"/>
          <w:left w:w="0" w:type="dxa"/>
          <w:bottom w:w="28" w:type="dxa"/>
          <w:right w:w="0" w:type="dxa"/>
        </w:tblCellMar>
      </w:tblPr>
      <w:tblGrid>
        <w:gridCol w:w="890"/>
        <w:gridCol w:w="60"/>
        <w:gridCol w:w="8585"/>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858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58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412128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8585" w:type="dxa"/>
            <w:tcBorders/>
            <w:tcMar>
              <w:bottom w:w="0" w:type="dxa"/>
            </w:tcMar>
            <w:vAlign w:val="center"/>
          </w:tcPr>
          <w:p>
            <w:pPr>
              <w:pStyle w:val="TableContents"/>
              <w:bidi w:val="0"/>
              <w:spacing w:before="0" w:after="283"/>
              <w:jc w:val="left"/>
              <w:rPr/>
            </w:pPr>
            <w:hyperlink w:anchor="tm2412128d1_ex99-1.htm">
              <w:r>
                <w:rPr>
                  <w:rStyle w:val="InternetLink"/>
                </w:rPr>
                <w:t>Press Release dated April 24, 2024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58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8585" w:type="dxa"/>
            <w:tcBorders/>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w:t>
            </w: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0" w:type="dxa"/>
          <w:right w:w="0" w:type="dxa"/>
        </w:tblCellMar>
      </w:tblPr>
      <w:tblGrid>
        <w:gridCol w:w="1700"/>
        <w:gridCol w:w="320"/>
        <w:gridCol w:w="6065"/>
      </w:tblGrid>
      <w:tr>
        <w:trPr/>
        <w:tc>
          <w:tcPr>
            <w:tcW w:w="1700" w:type="dxa"/>
            <w:tcBorders/>
            <w:vAlign w:val="center"/>
          </w:tcPr>
          <w:p>
            <w:pPr>
              <w:pStyle w:val="TableContents"/>
              <w:bidi w:val="0"/>
              <w:spacing w:before="0" w:after="283"/>
              <w:jc w:val="left"/>
              <w:rPr/>
            </w:pPr>
            <w:r>
              <w:rPr/>
              <w:t> </w:t>
            </w:r>
          </w:p>
        </w:tc>
        <w:tc>
          <w:tcPr>
            <w:tcW w:w="63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tc>
      </w:tr>
      <w:tr>
        <w:trPr/>
        <w:tc>
          <w:tcPr>
            <w:tcW w:w="1700" w:type="dxa"/>
            <w:tcBorders/>
            <w:vAlign w:val="center"/>
          </w:tcPr>
          <w:p>
            <w:pPr>
              <w:pStyle w:val="TableContents"/>
              <w:bidi w:val="0"/>
              <w:spacing w:before="0" w:after="283"/>
              <w:jc w:val="left"/>
              <w:rPr/>
            </w:pPr>
            <w:r>
              <w:rPr/>
              <w:t> </w:t>
            </w:r>
          </w:p>
        </w:tc>
        <w:tc>
          <w:tcPr>
            <w:tcW w:w="63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sz w:val="20"/>
              </w:rPr>
            </w:pPr>
            <w:r>
              <w:rPr>
                <w:sz w:val="20"/>
              </w:rPr>
              <w:t>Date: April 24, 2024</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Charles C. Boettcher</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C. Boettcher</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Corporate Development and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3" w:name="tm2412128d1_ex99-1.htm"/>
      <w:bookmarkStart w:id="24" w:name="kstm2412128d1_ex991"/>
      <w:bookmarkEnd w:id="23"/>
      <w:bookmarkEnd w:id="24"/>
      <w:r>
        <w:rPr/>
        <w:t> </w:t>
      </w:r>
      <w:r>
        <w:br w:type="page"/>
      </w:r>
    </w:p>
    <w:p>
      <w:pPr>
        <w:pStyle w:val="TextBody"/>
        <w:bidi w:val="0"/>
        <w:spacing w:before="0" w:after="0"/>
        <w:ind w:left="0" w:right="0" w:firstLine="936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99.1</w:t>
      </w:r>
    </w:p>
    <w:p>
      <w:pPr>
        <w:pStyle w:val="TextBody"/>
        <w:bidi w:val="0"/>
        <w:spacing w:before="0" w:after="0"/>
        <w:ind w:left="0" w:right="0" w:hanging="0"/>
        <w:jc w:val="left"/>
        <w:rPr>
          <w:rFonts w:ascii="Arial;Helvetica;Sans-Serif" w:hAnsi="Arial;Helvetica;Sans-Serif"/>
          <w:b/>
          <w:i w:val="false"/>
          <w:caps/>
          <w:sz w:val="18"/>
        </w:rPr>
      </w:pPr>
      <w:r>
        <w:rPr>
          <w:rFonts w:ascii="Arial;Helvetica;Sans-Serif" w:hAnsi="Arial;Helvetica;Sans-Serif"/>
          <w:b/>
          <w:i w:val="false"/>
          <w:caps/>
          <w:sz w:val="18"/>
        </w:rPr>
        <w:t>For Immediate Release</w:t>
      </w:r>
    </w:p>
    <w:p>
      <w:pPr>
        <w:pStyle w:val="TextBody"/>
        <w:bidi w:val="0"/>
        <w:spacing w:before="0" w:after="0"/>
        <w:ind w:left="0" w:right="0" w:hanging="0"/>
        <w:jc w:val="left"/>
        <w:rPr>
          <w:caps/>
          <w:color w:val="00693C"/>
        </w:rPr>
      </w:pPr>
      <w:r>
        <w:rPr>
          <w:caps/>
          <w:color w:val="00693C"/>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5053965" cy="9972040"/>
                <wp:effectExtent l="0" t="0" r="0" b="0"/>
                <wp:wrapSquare wrapText="right"/>
                <wp:docPr id="1" name="Frame1"/>
                <a:graphic xmlns:a="http://schemas.openxmlformats.org/drawingml/2006/main">
                  <a:graphicData uri="http://schemas.microsoft.com/office/word/2010/wordprocessingShape">
                    <wps:wsp>
                      <wps:cNvSpPr txBox="1"/>
                      <wps:spPr>
                        <a:xfrm>
                          <a:off x="0" y="0"/>
                          <a:ext cx="5053965" cy="9972040"/>
                        </a:xfrm>
                        <a:prstGeom prst="rect"/>
                        <a:solidFill>
                          <a:srgbClr val="FFFFFF"/>
                        </a:solidFill>
                      </wps:spPr>
                      <wps:txbx>
                        <w:txbxContent>
                          <w:p>
                            <w:pPr>
                              <w:pStyle w:val="TextBody"/>
                              <w:bidi w:val="0"/>
                              <w:spacing w:before="0" w:after="0"/>
                              <w:ind w:left="0" w:right="0" w:hanging="0"/>
                              <w:jc w:val="left"/>
                              <w:rPr>
                                <w:caps/>
                                <w:color w:val="00693C"/>
                              </w:rPr>
                            </w:pPr>
                            <w:r>
                              <w:rPr>
                                <w:caps/>
                                <w:color w:val="00693C"/>
                              </w:rPr>
                              <w:t> </w:t>
                            </w:r>
                          </w:p>
                          <w:p>
                            <w:pPr>
                              <w:pStyle w:val="TextBody"/>
                              <w:bidi w:val="0"/>
                              <w:spacing w:before="0" w:after="0"/>
                              <w:ind w:left="0" w:right="0" w:hanging="0"/>
                              <w:jc w:val="left"/>
                              <w:rPr>
                                <w:caps/>
                                <w:color w:val="00693C"/>
                              </w:rPr>
                            </w:pPr>
                            <w:r>
                              <w:rPr>
                                <w:caps/>
                                <w:color w:val="00693C"/>
                              </w:rPr>
                              <w:t> </w:t>
                            </w:r>
                          </w:p>
                          <w:p>
                            <w:pPr>
                              <w:pStyle w:val="TextBody"/>
                              <w:bidi w:val="0"/>
                              <w:spacing w:before="0" w:after="0"/>
                              <w:ind w:left="0" w:right="0" w:hanging="0"/>
                              <w:jc w:val="center"/>
                              <w:rPr>
                                <w:rFonts w:ascii="Arial;Helvetica;Sans-Serif" w:hAnsi="Arial;Helvetica;Sans-Serif"/>
                                <w:b w:val="false"/>
                                <w:i w:val="false"/>
                                <w:caps w:val="false"/>
                                <w:smallCaps w:val="false"/>
                                <w:color w:val="7AB800"/>
                                <w:sz w:val="44"/>
                              </w:rPr>
                            </w:pPr>
                            <w:r>
                              <w:rPr>
                                <w:rFonts w:ascii="Arial;Helvetica;Sans-Serif" w:hAnsi="Arial;Helvetica;Sans-Serif"/>
                                <w:b w:val="false"/>
                                <w:i w:val="false"/>
                                <w:caps w:val="false"/>
                                <w:smallCaps w:val="false"/>
                                <w:color w:val="7AB800"/>
                                <w:sz w:val="44"/>
                              </w:rPr>
                              <w:t>WM Announces First Quarter 2024 Earnings</w:t>
                            </w:r>
                          </w:p>
                          <w:p>
                            <w:pPr>
                              <w:pStyle w:val="TextBody"/>
                              <w:bidi w:val="0"/>
                              <w:spacing w:before="0" w:after="0"/>
                              <w:ind w:left="0" w:right="0" w:hanging="0"/>
                              <w:jc w:val="center"/>
                              <w:rPr>
                                <w:caps w:val="false"/>
                                <w:smallCaps w:val="false"/>
                                <w:color w:val="7AB800"/>
                              </w:rPr>
                            </w:pPr>
                            <w:r>
                              <w:rPr>
                                <w:caps w:val="false"/>
                                <w:smallCaps w:val="false"/>
                                <w:color w:val="7AB800"/>
                              </w:rPr>
                              <w:t> </w:t>
                            </w:r>
                          </w:p>
                          <w:p>
                            <w:pPr>
                              <w:pStyle w:val="TextBody"/>
                              <w:bidi w:val="0"/>
                              <w:spacing w:before="0" w:after="0"/>
                              <w:ind w:left="0" w:right="0" w:hanging="0"/>
                              <w:jc w:val="left"/>
                              <w:rPr>
                                <w:caps w:val="false"/>
                                <w:smallCaps w:val="false"/>
                                <w:color w:val="57584F"/>
                              </w:rPr>
                            </w:pPr>
                            <w:r>
                              <w:rPr>
                                <w:caps w:val="false"/>
                                <w:smallCaps w:val="false"/>
                                <w:color w:val="57584F"/>
                              </w:rPr>
                              <w:t> </w:t>
                            </w:r>
                          </w:p>
                          <w:p>
                            <w:pPr>
                              <w:pStyle w:val="TextBody"/>
                              <w:bidi w:val="0"/>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Momentum on Cost Optimization Powers Strong Expansion of Operating EBITDA Margin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WM Increases Full-Year Financial Outlook for Earnings and Cash Flow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36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sz w:val="20"/>
                              </w:rPr>
                              <w:t xml:space="preserve">Houston </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 xml:space="preserve">Apr. 24, 2024 </w:t>
                            </w:r>
                            <w:r>
                              <w:rPr>
                                <w:rFonts w:ascii="Arial;Helvetica;Sans-Serif" w:hAnsi="Arial;Helvetica;Sans-Serif"/>
                                <w:b w:val="false"/>
                                <w:i w:val="false"/>
                                <w:caps w:val="false"/>
                                <w:smallCaps w:val="false"/>
                                <w:sz w:val="20"/>
                              </w:rPr>
                              <w:t>— WM (NYSE: WM) today announced financial results for the quarter ended March 31, 2024.</w:t>
                            </w:r>
                          </w:p>
                          <w:p>
                            <w:pPr>
                              <w:pStyle w:val="TextBody"/>
                              <w:bidi w:val="0"/>
                              <w:spacing w:before="0" w:after="0"/>
                              <w:ind w:left="0" w:right="0" w:hanging="0"/>
                              <w:jc w:val="both"/>
                              <w:rPr>
                                <w:caps w:val="false"/>
                                <w:smallCaps w:val="false"/>
                              </w:rPr>
                            </w:pPr>
                            <w:r>
                              <w:rPr>
                                <w:caps w:val="false"/>
                                <w:smallCaps w:val="false"/>
                              </w:rPr>
                              <w:t> </w:t>
                            </w:r>
                          </w:p>
                          <w:tbl>
                            <w:tblPr>
                              <w:tblW w:w="8443" w:type="dxa"/>
                              <w:jc w:val="left"/>
                              <w:tblInd w:w="0" w:type="dxa"/>
                              <w:tblLayout w:type="fixed"/>
                              <w:tblCellMar>
                                <w:top w:w="0" w:type="dxa"/>
                                <w:left w:w="0" w:type="dxa"/>
                                <w:bottom w:w="0" w:type="dxa"/>
                                <w:right w:w="0" w:type="dxa"/>
                              </w:tblCellMar>
                            </w:tblPr>
                            <w:tblGrid>
                              <w:gridCol w:w="2150"/>
                              <w:gridCol w:w="1460"/>
                              <w:gridCol w:w="1649"/>
                              <w:gridCol w:w="60"/>
                              <w:gridCol w:w="1457"/>
                              <w:gridCol w:w="1667"/>
                            </w:tblGrid>
                            <w:tr>
                              <w:trPr/>
                              <w:tc>
                                <w:tcPr>
                                  <w:tcW w:w="2150" w:type="dxa"/>
                                  <w:tcBorders/>
                                  <w:vAlign w:val="center"/>
                                </w:tcPr>
                                <w:p>
                                  <w:pPr>
                                    <w:pStyle w:val="TableContents"/>
                                    <w:bidi w:val="0"/>
                                    <w:spacing w:before="0" w:after="283"/>
                                    <w:jc w:val="both"/>
                                    <w:rPr>
                                      <w:caps w:val="false"/>
                                      <w:smallCaps w:val="false"/>
                                    </w:rPr>
                                  </w:pPr>
                                  <w:r>
                                    <w:rPr>
                                      <w:caps w:val="false"/>
                                      <w:smallCaps w:val="false"/>
                                    </w:rPr>
                                    <w:t> </w:t>
                                  </w:r>
                                </w:p>
                              </w:tc>
                              <w:tc>
                                <w:tcPr>
                                  <w:tcW w:w="3109" w:type="dxa"/>
                                  <w:gridSpan w:val="2"/>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Three Months Ended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24" w:type="dxa"/>
                                  <w:gridSpan w:val="2"/>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Three Months Ended</w:t>
                                  </w:r>
                                </w:p>
                              </w:tc>
                            </w:tr>
                            <w:tr>
                              <w:trPr/>
                              <w:tc>
                                <w:tcPr>
                                  <w:tcW w:w="2150" w:type="dxa"/>
                                  <w:tcBorders/>
                                  <w:vAlign w:val="center"/>
                                </w:tcPr>
                                <w:p>
                                  <w:pPr>
                                    <w:pStyle w:val="TableContents"/>
                                    <w:bidi w:val="0"/>
                                    <w:spacing w:before="0" w:after="283"/>
                                    <w:jc w:val="both"/>
                                    <w:rPr>
                                      <w:caps w:val="false"/>
                                      <w:smallCaps w:val="false"/>
                                    </w:rPr>
                                  </w:pPr>
                                  <w:r>
                                    <w:rPr>
                                      <w:caps w:val="false"/>
                                      <w:smallCaps w:val="false"/>
                                    </w:rPr>
                                    <w:t> </w:t>
                                  </w:r>
                                </w:p>
                              </w:tc>
                              <w:tc>
                                <w:tcPr>
                                  <w:tcW w:w="3109" w:type="dxa"/>
                                  <w:gridSpan w:val="2"/>
                                  <w:tcBorders/>
                                  <w:vAlign w:val="center"/>
                                </w:tcPr>
                                <w:p>
                                  <w:pPr>
                                    <w:pStyle w:val="TableContents"/>
                                    <w:bidi w:val="0"/>
                                    <w:jc w:val="center"/>
                                    <w:rPr>
                                      <w:rFonts w:ascii="Arial;Helvetica;Sans-Serif" w:hAnsi="Arial;Helvetica;Sans-Serif"/>
                                      <w:b/>
                                      <w:i w:val="false"/>
                                      <w:caps w:val="false"/>
                                      <w:smallCaps w:val="false"/>
                                      <w:sz w:val="18"/>
                                      <w:u w:val="single"/>
                                    </w:rPr>
                                  </w:pPr>
                                  <w:r>
                                    <w:rPr>
                                      <w:rFonts w:ascii="Arial;Helvetica;Sans-Serif" w:hAnsi="Arial;Helvetica;Sans-Serif"/>
                                      <w:b/>
                                      <w:i w:val="false"/>
                                      <w:caps w:val="false"/>
                                      <w:smallCaps w:val="false"/>
                                      <w:sz w:val="18"/>
                                      <w:u w:val="single"/>
                                    </w:rPr>
                                    <w:t>March 31, 2024</w:t>
                                  </w:r>
                                </w:p>
                                <w:p>
                                  <w:pPr>
                                    <w:pStyle w:val="TableContents"/>
                                    <w:bidi w:val="0"/>
                                    <w:spacing w:before="0" w:after="283"/>
                                    <w:jc w:val="center"/>
                                    <w:rPr>
                                      <w:rFonts w:ascii="Arial;Helvetica;Sans-Serif" w:hAnsi="Arial;Helvetica;Sans-Serif"/>
                                      <w:b/>
                                      <w:i w:val="false"/>
                                      <w:caps w:val="false"/>
                                      <w:smallCaps w:val="false"/>
                                      <w:sz w:val="16"/>
                                      <w:u w:val="single"/>
                                    </w:rPr>
                                  </w:pPr>
                                  <w:r>
                                    <w:rPr>
                                      <w:rFonts w:ascii="Arial;Helvetica;Sans-Serif" w:hAnsi="Arial;Helvetica;Sans-Serif"/>
                                      <w:b/>
                                      <w:i w:val="false"/>
                                      <w:caps w:val="false"/>
                                      <w:smallCaps w:val="false"/>
                                      <w:sz w:val="16"/>
                                      <w:u w:val="single"/>
                                    </w:rPr>
                                    <w:t>(in millions, except per share amounts)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24" w:type="dxa"/>
                                  <w:gridSpan w:val="2"/>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18"/>
                                      <w:u w:val="single"/>
                                    </w:rPr>
                                  </w:pPr>
                                  <w:r>
                                    <w:rPr>
                                      <w:rFonts w:ascii="Arial;Helvetica;Sans-Serif" w:hAnsi="Arial;Helvetica;Sans-Serif"/>
                                      <w:b/>
                                      <w:i w:val="false"/>
                                      <w:caps w:val="false"/>
                                      <w:smallCaps w:val="false"/>
                                      <w:sz w:val="18"/>
                                      <w:u w:val="single"/>
                                    </w:rPr>
                                    <w:t>March 31, 2023</w:t>
                                  </w:r>
                                </w:p>
                                <w:p>
                                  <w:pPr>
                                    <w:pStyle w:val="TableContents"/>
                                    <w:bidi w:val="0"/>
                                    <w:spacing w:before="0" w:after="0"/>
                                    <w:ind w:left="0" w:right="0" w:hanging="0"/>
                                    <w:jc w:val="center"/>
                                    <w:rPr>
                                      <w:rFonts w:ascii="Arial;Helvetica;Sans-Serif" w:hAnsi="Arial;Helvetica;Sans-Serif"/>
                                      <w:b/>
                                      <w:i w:val="false"/>
                                      <w:caps w:val="false"/>
                                      <w:smallCaps w:val="false"/>
                                      <w:sz w:val="16"/>
                                      <w:u w:val="single"/>
                                    </w:rPr>
                                  </w:pPr>
                                  <w:r>
                                    <w:rPr>
                                      <w:rFonts w:ascii="Arial;Helvetica;Sans-Serif" w:hAnsi="Arial;Helvetica;Sans-Serif"/>
                                      <w:b/>
                                      <w:i w:val="false"/>
                                      <w:caps w:val="false"/>
                                      <w:smallCaps w:val="false"/>
                                      <w:sz w:val="16"/>
                                      <w:u w:val="single"/>
                                    </w:rPr>
                                    <w:t>(in millions, except per share amounts)</w:t>
                                  </w:r>
                                </w:p>
                              </w:tc>
                            </w:tr>
                            <w:tr>
                              <w:trPr/>
                              <w:tc>
                                <w:tcPr>
                                  <w:tcW w:w="2150" w:type="dxa"/>
                                  <w:tcBorders/>
                                  <w:vAlign w:val="center"/>
                                </w:tcPr>
                                <w:p>
                                  <w:pPr>
                                    <w:pStyle w:val="TableContents"/>
                                    <w:bidi w:val="0"/>
                                    <w:spacing w:before="0" w:after="283"/>
                                    <w:jc w:val="both"/>
                                    <w:rPr>
                                      <w:caps w:val="false"/>
                                      <w:smallCaps w:val="false"/>
                                    </w:rPr>
                                  </w:pPr>
                                  <w:r>
                                    <w:rPr>
                                      <w:caps w:val="false"/>
                                      <w:smallCaps w:val="false"/>
                                    </w:rPr>
                                    <w:t> </w:t>
                                  </w:r>
                                </w:p>
                              </w:tc>
                              <w:tc>
                                <w:tcPr>
                                  <w:tcW w:w="310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both"/>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Reported</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Adjusted</w:t>
                                  </w:r>
                                  <w:r>
                                    <w:rPr>
                                      <w:rFonts w:ascii="Arial;Helvetica;Sans-Serif" w:hAnsi="Arial;Helvetica;Sans-Serif"/>
                                      <w:b w:val="false"/>
                                      <w:i w:val="false"/>
                                      <w:caps w:val="false"/>
                                      <w:smallCaps w:val="false"/>
                                      <w:position w:val="6"/>
                                      <w:sz w:val="14"/>
                                      <w:sz w:val="18"/>
                                    </w:rPr>
                                    <w:t>(a)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Reported</w:t>
                                  </w:r>
                                </w:p>
                              </w:tc>
                              <w:tc>
                                <w:tcPr>
                                  <w:tcW w:w="166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Adjusted</w:t>
                                  </w:r>
                                  <w:r>
                                    <w:rPr>
                                      <w:rFonts w:ascii="Arial;Helvetica;Sans-Serif" w:hAnsi="Arial;Helvetica;Sans-Serif"/>
                                      <w:b w:val="false"/>
                                      <w:i w:val="false"/>
                                      <w:caps w:val="false"/>
                                      <w:smallCaps w:val="false"/>
                                      <w:position w:val="6"/>
                                      <w:sz w:val="14"/>
                                      <w:sz w:val="18"/>
                                    </w:rPr>
                                    <w:t>(a)</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16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Revenue</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$5,159</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$5,159</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$4,892</w:t>
                                  </w:r>
                                </w:p>
                              </w:tc>
                              <w:tc>
                                <w:tcPr>
                                  <w:tcW w:w="166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$4,892</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16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Income from Operations</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$1,016</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$1,014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r>
                                    <w:rPr>
                                      <w:rFonts w:ascii="Arial;Helvetica;Sans-Serif" w:hAnsi="Arial;Helvetica;Sans-Serif"/>
                                      <w:b w:val="false"/>
                                      <w:i w:val="false"/>
                                      <w:caps w:val="false"/>
                                      <w:smallCaps w:val="false"/>
                                      <w:sz w:val="18"/>
                                    </w:rPr>
                                    <w:t>$825</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r>
                                    <w:rPr>
                                      <w:rFonts w:ascii="Arial;Helvetica;Sans-Serif" w:hAnsi="Arial;Helvetica;Sans-Serif"/>
                                      <w:b w:val="false"/>
                                      <w:i w:val="false"/>
                                      <w:caps w:val="false"/>
                                      <w:smallCaps w:val="false"/>
                                      <w:sz w:val="18"/>
                                    </w:rPr>
                                    <w:t>$828</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16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Operating EBITDA</w:t>
                                  </w:r>
                                  <w:r>
                                    <w:rPr>
                                      <w:rFonts w:ascii="Arial;Helvetica;Sans-Serif" w:hAnsi="Arial;Helvetica;Sans-Serif"/>
                                      <w:b w:val="false"/>
                                      <w:i w:val="false"/>
                                      <w:caps w:val="false"/>
                                      <w:smallCaps w:val="false"/>
                                      <w:position w:val="6"/>
                                      <w:sz w:val="14"/>
                                      <w:sz w:val="18"/>
                                    </w:rPr>
                                    <w:t>(b)</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$1,530 </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$1,528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$1,330 </w:t>
                                  </w:r>
                                </w:p>
                              </w:tc>
                              <w:tc>
                                <w:tcPr>
                                  <w:tcW w:w="166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$1,333</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16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Operating EBITDA Margin</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29.7%</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29.6%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27.2%</w:t>
                                  </w:r>
                                </w:p>
                              </w:tc>
                              <w:tc>
                                <w:tcPr>
                                  <w:tcW w:w="166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27.2%</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16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Income</w:t>
                                  </w:r>
                                  <w:r>
                                    <w:rPr>
                                      <w:rFonts w:ascii="Arial;Helvetica;Sans-Serif" w:hAnsi="Arial;Helvetica;Sans-Serif"/>
                                      <w:b w:val="false"/>
                                      <w:i w:val="false"/>
                                      <w:caps w:val="false"/>
                                      <w:smallCaps w:val="false"/>
                                      <w:position w:val="6"/>
                                      <w:sz w:val="14"/>
                                      <w:sz w:val="18"/>
                                    </w:rPr>
                                    <w:t>(c) (d)</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$708</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$706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$533</w:t>
                                  </w:r>
                                </w:p>
                              </w:tc>
                              <w:tc>
                                <w:tcPr>
                                  <w:tcW w:w="166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$535</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16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Diluted EPS</w:t>
                                  </w:r>
                                  <w:r>
                                    <w:rPr>
                                      <w:rFonts w:ascii="Arial;Helvetica;Sans-Serif" w:hAnsi="Arial;Helvetica;Sans-Serif"/>
                                      <w:b w:val="false"/>
                                      <w:i w:val="false"/>
                                      <w:caps w:val="false"/>
                                      <w:smallCaps w:val="false"/>
                                      <w:position w:val="6"/>
                                      <w:sz w:val="14"/>
                                      <w:sz w:val="18"/>
                                    </w:rPr>
                                    <w:t>(d)</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$1.75</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$1.75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$1.30</w:t>
                                  </w:r>
                                </w:p>
                              </w:tc>
                              <w:tc>
                                <w:tcPr>
                                  <w:tcW w:w="166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We’re pleased with the strong operational and financial performance the WM team delivered in the first quarter,” said Jim Fish, WM’s President and Chief Executive Officer. “Adjusted operating EBITDA growth was 14.6% and margin expanded 240 basis points, which was powered by optimization of costs in the Collection and Disposal business and disciplined execution on price programs. Our results are a testament to the investments we have made in talent, technology, and assets over the past several years.”</w:t>
                            </w:r>
                            <w:r>
                              <w:rPr>
                                <w:rFonts w:ascii="Arial;Helvetica;Sans-Serif" w:hAnsi="Arial;Helvetica;Sans-Serif"/>
                                <w:b w:val="false"/>
                                <w:i w:val="false"/>
                                <w:caps w:val="false"/>
                                <w:smallCaps w:val="false"/>
                                <w:position w:val="7"/>
                                <w:sz w:val="16"/>
                                <w:sz w:val="20"/>
                              </w:rPr>
                              <w: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Fish continued, “We outperformed our own high expectations in the first quarter, and what really stands out in our results is our ability to convert more of each revenue dollar to earnings. Achieving 29.6% adjusted operating EBITDA margin in the first quarter of the year, which historically has been our lowest margin quarter of a year, gives us confidence that we are positioned to deliver full-year margin in the range of 29.7% to 30.2%, expanding more than 100 basis points from the prior year at the midpoint. Momentum in capturing cost efficiencies and execution on our pricing programs allows us to raise our prior outlook for both adjusted operating EBITDA and free cash flow by $100 million.”</w:t>
                            </w:r>
                            <w:r>
                              <w:rPr>
                                <w:rFonts w:ascii="Arial;Helvetica;Sans-Serif" w:hAnsi="Arial;Helvetica;Sans-Serif"/>
                                <w:b w:val="false"/>
                                <w:i w:val="false"/>
                                <w:caps w:val="false"/>
                                <w:smallCaps w:val="false"/>
                                <w:position w:val="7"/>
                                <w:sz w:val="16"/>
                                <w:sz w:val="20"/>
                              </w:rPr>
                              <w:t xml:space="preserve">(a) </w:t>
                            </w:r>
                          </w:p>
                        </w:txbxContent>
                      </wps:txbx>
                      <wps:bodyPr anchor="t" lIns="0" tIns="0" rIns="0" bIns="0">
                        <a:noAutofit/>
                      </wps:bodyPr>
                    </wps:wsp>
                  </a:graphicData>
                </a:graphic>
                <wp14:sizeRelH relativeFrom="margin">
                  <wp14:pctWidth>78000</wp14:pctWidth>
                </wp14:sizeRelH>
              </wp:anchor>
            </w:drawing>
          </mc:Choice>
          <mc:Fallback>
            <w:pict>
              <v:rect style="position:absolute;rotation:-0;width:397.95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caps/>
                          <w:color w:val="00693C"/>
                        </w:rPr>
                      </w:pPr>
                      <w:r>
                        <w:rPr>
                          <w:caps/>
                          <w:color w:val="00693C"/>
                        </w:rPr>
                        <w:t> </w:t>
                      </w:r>
                    </w:p>
                    <w:p>
                      <w:pPr>
                        <w:pStyle w:val="TextBody"/>
                        <w:bidi w:val="0"/>
                        <w:spacing w:before="0" w:after="0"/>
                        <w:ind w:left="0" w:right="0" w:hanging="0"/>
                        <w:jc w:val="left"/>
                        <w:rPr>
                          <w:caps/>
                          <w:color w:val="00693C"/>
                        </w:rPr>
                      </w:pPr>
                      <w:r>
                        <w:rPr>
                          <w:caps/>
                          <w:color w:val="00693C"/>
                        </w:rPr>
                        <w:t> </w:t>
                      </w:r>
                    </w:p>
                    <w:p>
                      <w:pPr>
                        <w:pStyle w:val="TextBody"/>
                        <w:bidi w:val="0"/>
                        <w:spacing w:before="0" w:after="0"/>
                        <w:ind w:left="0" w:right="0" w:hanging="0"/>
                        <w:jc w:val="center"/>
                        <w:rPr>
                          <w:rFonts w:ascii="Arial;Helvetica;Sans-Serif" w:hAnsi="Arial;Helvetica;Sans-Serif"/>
                          <w:b w:val="false"/>
                          <w:i w:val="false"/>
                          <w:caps w:val="false"/>
                          <w:smallCaps w:val="false"/>
                          <w:color w:val="7AB800"/>
                          <w:sz w:val="44"/>
                        </w:rPr>
                      </w:pPr>
                      <w:r>
                        <w:rPr>
                          <w:rFonts w:ascii="Arial;Helvetica;Sans-Serif" w:hAnsi="Arial;Helvetica;Sans-Serif"/>
                          <w:b w:val="false"/>
                          <w:i w:val="false"/>
                          <w:caps w:val="false"/>
                          <w:smallCaps w:val="false"/>
                          <w:color w:val="7AB800"/>
                          <w:sz w:val="44"/>
                        </w:rPr>
                        <w:t>WM Announces First Quarter 2024 Earnings</w:t>
                      </w:r>
                    </w:p>
                    <w:p>
                      <w:pPr>
                        <w:pStyle w:val="TextBody"/>
                        <w:bidi w:val="0"/>
                        <w:spacing w:before="0" w:after="0"/>
                        <w:ind w:left="0" w:right="0" w:hanging="0"/>
                        <w:jc w:val="center"/>
                        <w:rPr>
                          <w:caps w:val="false"/>
                          <w:smallCaps w:val="false"/>
                          <w:color w:val="7AB800"/>
                        </w:rPr>
                      </w:pPr>
                      <w:r>
                        <w:rPr>
                          <w:caps w:val="false"/>
                          <w:smallCaps w:val="false"/>
                          <w:color w:val="7AB800"/>
                        </w:rPr>
                        <w:t> </w:t>
                      </w:r>
                    </w:p>
                    <w:p>
                      <w:pPr>
                        <w:pStyle w:val="TextBody"/>
                        <w:bidi w:val="0"/>
                        <w:spacing w:before="0" w:after="0"/>
                        <w:ind w:left="0" w:right="0" w:hanging="0"/>
                        <w:jc w:val="left"/>
                        <w:rPr>
                          <w:caps w:val="false"/>
                          <w:smallCaps w:val="false"/>
                          <w:color w:val="57584F"/>
                        </w:rPr>
                      </w:pPr>
                      <w:r>
                        <w:rPr>
                          <w:caps w:val="false"/>
                          <w:smallCaps w:val="false"/>
                          <w:color w:val="57584F"/>
                        </w:rPr>
                        <w:t> </w:t>
                      </w:r>
                    </w:p>
                    <w:p>
                      <w:pPr>
                        <w:pStyle w:val="TextBody"/>
                        <w:bidi w:val="0"/>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Momentum on Cost Optimization Powers Strong Expansion of Operating EBITDA Margin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WM Increases Full-Year Financial Outlook for Earnings and Cash Flow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36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sz w:val="20"/>
                        </w:rPr>
                        <w:t xml:space="preserve">Houston </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 xml:space="preserve">Apr. 24, 2024 </w:t>
                      </w:r>
                      <w:r>
                        <w:rPr>
                          <w:rFonts w:ascii="Arial;Helvetica;Sans-Serif" w:hAnsi="Arial;Helvetica;Sans-Serif"/>
                          <w:b w:val="false"/>
                          <w:i w:val="false"/>
                          <w:caps w:val="false"/>
                          <w:smallCaps w:val="false"/>
                          <w:sz w:val="20"/>
                        </w:rPr>
                        <w:t>— WM (NYSE: WM) today announced financial results for the quarter ended March 31, 2024.</w:t>
                      </w:r>
                    </w:p>
                    <w:p>
                      <w:pPr>
                        <w:pStyle w:val="TextBody"/>
                        <w:bidi w:val="0"/>
                        <w:spacing w:before="0" w:after="0"/>
                        <w:ind w:left="0" w:right="0" w:hanging="0"/>
                        <w:jc w:val="both"/>
                        <w:rPr>
                          <w:caps w:val="false"/>
                          <w:smallCaps w:val="false"/>
                        </w:rPr>
                      </w:pPr>
                      <w:r>
                        <w:rPr>
                          <w:caps w:val="false"/>
                          <w:smallCaps w:val="false"/>
                        </w:rPr>
                        <w:t> </w:t>
                      </w:r>
                    </w:p>
                    <w:tbl>
                      <w:tblPr>
                        <w:tblW w:w="8443" w:type="dxa"/>
                        <w:jc w:val="left"/>
                        <w:tblInd w:w="0" w:type="dxa"/>
                        <w:tblLayout w:type="fixed"/>
                        <w:tblCellMar>
                          <w:top w:w="0" w:type="dxa"/>
                          <w:left w:w="0" w:type="dxa"/>
                          <w:bottom w:w="0" w:type="dxa"/>
                          <w:right w:w="0" w:type="dxa"/>
                        </w:tblCellMar>
                      </w:tblPr>
                      <w:tblGrid>
                        <w:gridCol w:w="2150"/>
                        <w:gridCol w:w="1460"/>
                        <w:gridCol w:w="1649"/>
                        <w:gridCol w:w="60"/>
                        <w:gridCol w:w="1457"/>
                        <w:gridCol w:w="1667"/>
                      </w:tblGrid>
                      <w:tr>
                        <w:trPr/>
                        <w:tc>
                          <w:tcPr>
                            <w:tcW w:w="2150" w:type="dxa"/>
                            <w:tcBorders/>
                            <w:vAlign w:val="center"/>
                          </w:tcPr>
                          <w:p>
                            <w:pPr>
                              <w:pStyle w:val="TableContents"/>
                              <w:bidi w:val="0"/>
                              <w:spacing w:before="0" w:after="283"/>
                              <w:jc w:val="both"/>
                              <w:rPr>
                                <w:caps w:val="false"/>
                                <w:smallCaps w:val="false"/>
                              </w:rPr>
                            </w:pPr>
                            <w:r>
                              <w:rPr>
                                <w:caps w:val="false"/>
                                <w:smallCaps w:val="false"/>
                              </w:rPr>
                              <w:t> </w:t>
                            </w:r>
                          </w:p>
                        </w:tc>
                        <w:tc>
                          <w:tcPr>
                            <w:tcW w:w="3109" w:type="dxa"/>
                            <w:gridSpan w:val="2"/>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Three Months Ended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24" w:type="dxa"/>
                            <w:gridSpan w:val="2"/>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Three Months Ended</w:t>
                            </w:r>
                          </w:p>
                        </w:tc>
                      </w:tr>
                      <w:tr>
                        <w:trPr/>
                        <w:tc>
                          <w:tcPr>
                            <w:tcW w:w="2150" w:type="dxa"/>
                            <w:tcBorders/>
                            <w:vAlign w:val="center"/>
                          </w:tcPr>
                          <w:p>
                            <w:pPr>
                              <w:pStyle w:val="TableContents"/>
                              <w:bidi w:val="0"/>
                              <w:spacing w:before="0" w:after="283"/>
                              <w:jc w:val="both"/>
                              <w:rPr>
                                <w:caps w:val="false"/>
                                <w:smallCaps w:val="false"/>
                              </w:rPr>
                            </w:pPr>
                            <w:r>
                              <w:rPr>
                                <w:caps w:val="false"/>
                                <w:smallCaps w:val="false"/>
                              </w:rPr>
                              <w:t> </w:t>
                            </w:r>
                          </w:p>
                        </w:tc>
                        <w:tc>
                          <w:tcPr>
                            <w:tcW w:w="3109" w:type="dxa"/>
                            <w:gridSpan w:val="2"/>
                            <w:tcBorders/>
                            <w:vAlign w:val="center"/>
                          </w:tcPr>
                          <w:p>
                            <w:pPr>
                              <w:pStyle w:val="TableContents"/>
                              <w:bidi w:val="0"/>
                              <w:jc w:val="center"/>
                              <w:rPr>
                                <w:rFonts w:ascii="Arial;Helvetica;Sans-Serif" w:hAnsi="Arial;Helvetica;Sans-Serif"/>
                                <w:b/>
                                <w:i w:val="false"/>
                                <w:caps w:val="false"/>
                                <w:smallCaps w:val="false"/>
                                <w:sz w:val="18"/>
                                <w:u w:val="single"/>
                              </w:rPr>
                            </w:pPr>
                            <w:r>
                              <w:rPr>
                                <w:rFonts w:ascii="Arial;Helvetica;Sans-Serif" w:hAnsi="Arial;Helvetica;Sans-Serif"/>
                                <w:b/>
                                <w:i w:val="false"/>
                                <w:caps w:val="false"/>
                                <w:smallCaps w:val="false"/>
                                <w:sz w:val="18"/>
                                <w:u w:val="single"/>
                              </w:rPr>
                              <w:t>March 31, 2024</w:t>
                            </w:r>
                          </w:p>
                          <w:p>
                            <w:pPr>
                              <w:pStyle w:val="TableContents"/>
                              <w:bidi w:val="0"/>
                              <w:spacing w:before="0" w:after="283"/>
                              <w:jc w:val="center"/>
                              <w:rPr>
                                <w:rFonts w:ascii="Arial;Helvetica;Sans-Serif" w:hAnsi="Arial;Helvetica;Sans-Serif"/>
                                <w:b/>
                                <w:i w:val="false"/>
                                <w:caps w:val="false"/>
                                <w:smallCaps w:val="false"/>
                                <w:sz w:val="16"/>
                                <w:u w:val="single"/>
                              </w:rPr>
                            </w:pPr>
                            <w:r>
                              <w:rPr>
                                <w:rFonts w:ascii="Arial;Helvetica;Sans-Serif" w:hAnsi="Arial;Helvetica;Sans-Serif"/>
                                <w:b/>
                                <w:i w:val="false"/>
                                <w:caps w:val="false"/>
                                <w:smallCaps w:val="false"/>
                                <w:sz w:val="16"/>
                                <w:u w:val="single"/>
                              </w:rPr>
                              <w:t>(in millions, except per share amounts)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24" w:type="dxa"/>
                            <w:gridSpan w:val="2"/>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18"/>
                                <w:u w:val="single"/>
                              </w:rPr>
                            </w:pPr>
                            <w:r>
                              <w:rPr>
                                <w:rFonts w:ascii="Arial;Helvetica;Sans-Serif" w:hAnsi="Arial;Helvetica;Sans-Serif"/>
                                <w:b/>
                                <w:i w:val="false"/>
                                <w:caps w:val="false"/>
                                <w:smallCaps w:val="false"/>
                                <w:sz w:val="18"/>
                                <w:u w:val="single"/>
                              </w:rPr>
                              <w:t>March 31, 2023</w:t>
                            </w:r>
                          </w:p>
                          <w:p>
                            <w:pPr>
                              <w:pStyle w:val="TableContents"/>
                              <w:bidi w:val="0"/>
                              <w:spacing w:before="0" w:after="0"/>
                              <w:ind w:left="0" w:right="0" w:hanging="0"/>
                              <w:jc w:val="center"/>
                              <w:rPr>
                                <w:rFonts w:ascii="Arial;Helvetica;Sans-Serif" w:hAnsi="Arial;Helvetica;Sans-Serif"/>
                                <w:b/>
                                <w:i w:val="false"/>
                                <w:caps w:val="false"/>
                                <w:smallCaps w:val="false"/>
                                <w:sz w:val="16"/>
                                <w:u w:val="single"/>
                              </w:rPr>
                            </w:pPr>
                            <w:r>
                              <w:rPr>
                                <w:rFonts w:ascii="Arial;Helvetica;Sans-Serif" w:hAnsi="Arial;Helvetica;Sans-Serif"/>
                                <w:b/>
                                <w:i w:val="false"/>
                                <w:caps w:val="false"/>
                                <w:smallCaps w:val="false"/>
                                <w:sz w:val="16"/>
                                <w:u w:val="single"/>
                              </w:rPr>
                              <w:t>(in millions, except per share amounts)</w:t>
                            </w:r>
                          </w:p>
                        </w:tc>
                      </w:tr>
                      <w:tr>
                        <w:trPr/>
                        <w:tc>
                          <w:tcPr>
                            <w:tcW w:w="2150" w:type="dxa"/>
                            <w:tcBorders/>
                            <w:vAlign w:val="center"/>
                          </w:tcPr>
                          <w:p>
                            <w:pPr>
                              <w:pStyle w:val="TableContents"/>
                              <w:bidi w:val="0"/>
                              <w:spacing w:before="0" w:after="283"/>
                              <w:jc w:val="both"/>
                              <w:rPr>
                                <w:caps w:val="false"/>
                                <w:smallCaps w:val="false"/>
                              </w:rPr>
                            </w:pPr>
                            <w:r>
                              <w:rPr>
                                <w:caps w:val="false"/>
                                <w:smallCaps w:val="false"/>
                              </w:rPr>
                              <w:t> </w:t>
                            </w:r>
                          </w:p>
                        </w:tc>
                        <w:tc>
                          <w:tcPr>
                            <w:tcW w:w="310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both"/>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Reported</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Adjusted</w:t>
                            </w:r>
                            <w:r>
                              <w:rPr>
                                <w:rFonts w:ascii="Arial;Helvetica;Sans-Serif" w:hAnsi="Arial;Helvetica;Sans-Serif"/>
                                <w:b w:val="false"/>
                                <w:i w:val="false"/>
                                <w:caps w:val="false"/>
                                <w:smallCaps w:val="false"/>
                                <w:position w:val="6"/>
                                <w:sz w:val="14"/>
                                <w:sz w:val="18"/>
                              </w:rPr>
                              <w:t>(a)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Reported</w:t>
                            </w:r>
                          </w:p>
                        </w:tc>
                        <w:tc>
                          <w:tcPr>
                            <w:tcW w:w="166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Adjusted</w:t>
                            </w:r>
                            <w:r>
                              <w:rPr>
                                <w:rFonts w:ascii="Arial;Helvetica;Sans-Serif" w:hAnsi="Arial;Helvetica;Sans-Serif"/>
                                <w:b w:val="false"/>
                                <w:i w:val="false"/>
                                <w:caps w:val="false"/>
                                <w:smallCaps w:val="false"/>
                                <w:position w:val="6"/>
                                <w:sz w:val="14"/>
                                <w:sz w:val="18"/>
                              </w:rPr>
                              <w:t>(a)</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16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Revenue</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$5,159</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$5,159</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$4,892</w:t>
                            </w:r>
                          </w:p>
                        </w:tc>
                        <w:tc>
                          <w:tcPr>
                            <w:tcW w:w="166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$4,892</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16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Income from Operations</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$1,016</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$1,014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r>
                              <w:rPr>
                                <w:rFonts w:ascii="Arial;Helvetica;Sans-Serif" w:hAnsi="Arial;Helvetica;Sans-Serif"/>
                                <w:b w:val="false"/>
                                <w:i w:val="false"/>
                                <w:caps w:val="false"/>
                                <w:smallCaps w:val="false"/>
                                <w:sz w:val="18"/>
                              </w:rPr>
                              <w:t>$825</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r>
                              <w:rPr>
                                <w:rFonts w:ascii="Arial;Helvetica;Sans-Serif" w:hAnsi="Arial;Helvetica;Sans-Serif"/>
                                <w:b w:val="false"/>
                                <w:i w:val="false"/>
                                <w:caps w:val="false"/>
                                <w:smallCaps w:val="false"/>
                                <w:sz w:val="18"/>
                              </w:rPr>
                              <w:t>$828</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16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Operating EBITDA</w:t>
                            </w:r>
                            <w:r>
                              <w:rPr>
                                <w:rFonts w:ascii="Arial;Helvetica;Sans-Serif" w:hAnsi="Arial;Helvetica;Sans-Serif"/>
                                <w:b w:val="false"/>
                                <w:i w:val="false"/>
                                <w:caps w:val="false"/>
                                <w:smallCaps w:val="false"/>
                                <w:position w:val="6"/>
                                <w:sz w:val="14"/>
                                <w:sz w:val="18"/>
                              </w:rPr>
                              <w:t>(b)</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$1,530 </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$1,528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$1,330 </w:t>
                            </w:r>
                          </w:p>
                        </w:tc>
                        <w:tc>
                          <w:tcPr>
                            <w:tcW w:w="166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$1,333</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16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Operating EBITDA Margin</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29.7%</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29.6%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27.2%</w:t>
                            </w:r>
                          </w:p>
                        </w:tc>
                        <w:tc>
                          <w:tcPr>
                            <w:tcW w:w="166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27.2%</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16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Income</w:t>
                            </w:r>
                            <w:r>
                              <w:rPr>
                                <w:rFonts w:ascii="Arial;Helvetica;Sans-Serif" w:hAnsi="Arial;Helvetica;Sans-Serif"/>
                                <w:b w:val="false"/>
                                <w:i w:val="false"/>
                                <w:caps w:val="false"/>
                                <w:smallCaps w:val="false"/>
                                <w:position w:val="6"/>
                                <w:sz w:val="14"/>
                                <w:sz w:val="18"/>
                              </w:rPr>
                              <w:t>(c) (d)</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$708</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$706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$533</w:t>
                            </w:r>
                          </w:p>
                        </w:tc>
                        <w:tc>
                          <w:tcPr>
                            <w:tcW w:w="166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$535</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16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caps w:val="false"/>
                                <w:smallCaps w:val="false"/>
                              </w:rPr>
                            </w:pPr>
                            <w:r>
                              <w:rPr>
                                <w:caps w:val="false"/>
                                <w:smallCaps w:val="false"/>
                              </w:rPr>
                              <w:t> </w:t>
                            </w:r>
                          </w:p>
                        </w:tc>
                        <w:tc>
                          <w:tcPr>
                            <w:tcW w:w="16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Diluted EPS</w:t>
                            </w:r>
                            <w:r>
                              <w:rPr>
                                <w:rFonts w:ascii="Arial;Helvetica;Sans-Serif" w:hAnsi="Arial;Helvetica;Sans-Serif"/>
                                <w:b w:val="false"/>
                                <w:i w:val="false"/>
                                <w:caps w:val="false"/>
                                <w:smallCaps w:val="false"/>
                                <w:position w:val="6"/>
                                <w:sz w:val="14"/>
                                <w:sz w:val="18"/>
                              </w:rPr>
                              <w:t>(d)</w:t>
                            </w:r>
                          </w:p>
                        </w:tc>
                        <w:tc>
                          <w:tcPr>
                            <w:tcW w:w="14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$1.75</w:t>
                            </w:r>
                          </w:p>
                        </w:tc>
                        <w:tc>
                          <w:tcPr>
                            <w:tcW w:w="164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$1.75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$1.30</w:t>
                            </w:r>
                          </w:p>
                        </w:tc>
                        <w:tc>
                          <w:tcPr>
                            <w:tcW w:w="166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We’re pleased with the strong operational and financial performance the WM team delivered in the first quarter,” said Jim Fish, WM’s President and Chief Executive Officer. “Adjusted operating EBITDA growth was 14.6% and margin expanded 240 basis points, which was powered by optimization of costs in the Collection and Disposal business and disciplined execution on price programs. Our results are a testament to the investments we have made in talent, technology, and assets over the past several years.”</w:t>
                      </w:r>
                      <w:r>
                        <w:rPr>
                          <w:rFonts w:ascii="Arial;Helvetica;Sans-Serif" w:hAnsi="Arial;Helvetica;Sans-Serif"/>
                          <w:b w:val="false"/>
                          <w:i w:val="false"/>
                          <w:caps w:val="false"/>
                          <w:smallCaps w:val="false"/>
                          <w:position w:val="7"/>
                          <w:sz w:val="16"/>
                          <w:sz w:val="20"/>
                        </w:rPr>
                        <w: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Fish continued, “We outperformed our own high expectations in the first quarter, and what really stands out in our results is our ability to convert more of each revenue dollar to earnings. Achieving 29.6% adjusted operating EBITDA margin in the first quarter of the year, which historically has been our lowest margin quarter of a year, gives us confidence that we are positioned to deliver full-year margin in the range of 29.7% to 30.2%, expanding more than 100 basis points from the prior year at the midpoint. Momentum in capturing cost efficiencies and execution on our pricing programs allows us to raise our prior outlook for both adjusted operating EBITDA and free cash flow by $100 million.”</w:t>
                      </w:r>
                      <w:r>
                        <w:rPr>
                          <w:rFonts w:ascii="Arial;Helvetica;Sans-Serif" w:hAnsi="Arial;Helvetica;Sans-Serif"/>
                          <w:b w:val="false"/>
                          <w:i w:val="false"/>
                          <w:caps w:val="false"/>
                          <w:smallCaps w:val="false"/>
                          <w:position w:val="7"/>
                          <w:sz w:val="16"/>
                          <w:sz w:val="20"/>
                        </w:rPr>
                        <w:t xml:space="preserve">(a) </w:t>
                      </w:r>
                    </w:p>
                  </w:txbxContent>
                </v:textbox>
                <w10:wrap type="square" side="right"/>
              </v:rect>
            </w:pict>
          </mc:Fallback>
        </mc:AlternateContent>
      </w:r>
    </w:p>
    <w:p>
      <w:pPr>
        <w:pStyle w:val="TextBody"/>
        <w:bidi w:val="0"/>
        <w:spacing w:before="0" w:after="0"/>
        <w:ind w:left="0" w:right="0" w:hanging="0"/>
        <w:jc w:val="left"/>
        <w:rPr>
          <w:caps/>
          <w:color w:val="00693C"/>
        </w:rPr>
      </w:pPr>
      <w:r>
        <w:rPr>
          <w:caps/>
          <w:color w:val="00693C"/>
        </w:rPr>
        <w:t> </w:t>
      </w:r>
    </w:p>
    <w:p>
      <w:pPr>
        <w:pStyle w:val="TextBody"/>
        <w:bidi w:val="0"/>
        <w:spacing w:before="0" w:after="0"/>
        <w:ind w:left="0" w:right="0" w:hanging="0"/>
        <w:jc w:val="left"/>
        <w:rPr>
          <w:caps/>
          <w:color w:val="00693C"/>
        </w:rPr>
      </w:pPr>
      <w:r>
        <w:rPr>
          <w:caps/>
          <w:color w:val="00693C"/>
        </w:rPr>
        <w:t> </w:t>
      </w:r>
    </w:p>
    <w:p>
      <w:pPr>
        <w:pStyle w:val="TextBody"/>
        <w:bidi w:val="0"/>
        <w:spacing w:before="0" w:after="0"/>
        <w:ind w:left="0" w:right="0" w:hanging="0"/>
        <w:jc w:val="left"/>
        <w:rPr>
          <w:caps/>
          <w:color w:val="00693C"/>
        </w:rPr>
      </w:pPr>
      <w:r>
        <w:rPr>
          <w:caps/>
          <w:color w:val="00693C"/>
        </w:rPr>
        <w:t> </w:t>
      </w:r>
    </w:p>
    <w:p>
      <w:pPr>
        <w:pStyle w:val="TextBody"/>
        <w:bidi w:val="0"/>
        <w:spacing w:before="0" w:after="0"/>
        <w:ind w:left="0" w:right="0" w:hanging="0"/>
        <w:jc w:val="left"/>
        <w:rPr>
          <w:caps/>
          <w:color w:val="00693C"/>
        </w:rPr>
      </w:pPr>
      <w:r>
        <w:rPr>
          <w:caps/>
          <w:color w:val="00693C"/>
        </w:rPr>
        <w:t> </w:t>
      </w:r>
    </w:p>
    <w:p>
      <w:pPr>
        <w:pStyle w:val="TextBody"/>
        <w:bidi w:val="0"/>
        <w:spacing w:before="0" w:after="0"/>
        <w:ind w:left="0" w:right="0" w:hanging="0"/>
        <w:jc w:val="left"/>
        <w:rPr>
          <w:caps/>
          <w:color w:val="00693C"/>
        </w:rPr>
      </w:pPr>
      <w:r>
        <w:rPr>
          <w:caps/>
          <w:color w:val="00693C"/>
        </w:rPr>
        <w:t> </w:t>
      </w:r>
    </w:p>
    <w:p>
      <w:pPr>
        <w:pStyle w:val="TextBody"/>
        <w:bidi w:val="0"/>
        <w:spacing w:before="0" w:after="0"/>
        <w:ind w:left="0" w:right="0" w:hanging="0"/>
        <w:jc w:val="left"/>
        <w:rPr>
          <w:caps/>
          <w:color w:val="00693C"/>
        </w:rPr>
      </w:pPr>
      <w:r>
        <w:rPr>
          <w:caps/>
          <w:color w:val="00693C"/>
        </w:rPr>
        <w:t> </w:t>
      </w:r>
    </w:p>
    <w:p>
      <w:pPr>
        <w:pStyle w:val="TextBody"/>
        <w:bidi w:val="0"/>
        <w:spacing w:before="0" w:after="0"/>
        <w:ind w:left="0" w:right="0" w:hanging="0"/>
        <w:jc w:val="left"/>
        <w:rPr>
          <w:caps/>
          <w:color w:val="00693C"/>
        </w:rPr>
      </w:pPr>
      <w:r>
        <w:rPr>
          <w:caps/>
          <w:color w:val="00693C"/>
        </w:rPr>
        <w:t> </w:t>
      </w:r>
    </w:p>
    <w:p>
      <w:pPr>
        <w:pStyle w:val="TextBody"/>
        <w:bidi w:val="0"/>
        <w:spacing w:before="0" w:after="0"/>
        <w:ind w:left="0" w:right="0" w:hanging="0"/>
        <w:jc w:val="left"/>
        <w:rPr>
          <w:caps/>
          <w:color w:val="00693C"/>
        </w:rPr>
      </w:pPr>
      <w:r>
        <w:rPr>
          <w:caps/>
          <w:color w:val="00693C"/>
        </w:rPr>
        <w:t> </w:t>
      </w:r>
    </w:p>
    <w:p>
      <w:pPr>
        <w:pStyle w:val="TextBody"/>
        <w:bidi w:val="0"/>
        <w:spacing w:before="0" w:after="0"/>
        <w:jc w:val="left"/>
        <w:rPr>
          <w:rFonts w:ascii="Arial;Helvetica;Sans-Serif" w:hAnsi="Arial;Helvetica;Sans-Serif"/>
          <w:b/>
          <w:i w:val="false"/>
          <w:caps/>
          <w:sz w:val="18"/>
        </w:rPr>
      </w:pPr>
      <w:r>
        <w:rPr>
          <w:rFonts w:ascii="Arial;Helvetica;Sans-Serif" w:hAnsi="Arial;Helvetica;Sans-Serif"/>
          <w:b/>
          <w:i w:val="false"/>
          <w:caps/>
          <w:sz w:val="18"/>
        </w:rPr>
        <w:t>FOR MORE</w:t>
      </w:r>
    </w:p>
    <w:p>
      <w:pPr>
        <w:pStyle w:val="TextBody"/>
        <w:bidi w:val="0"/>
        <w:spacing w:before="0" w:after="0"/>
        <w:jc w:val="left"/>
        <w:rPr>
          <w:rFonts w:ascii="Arial;Helvetica;Sans-Serif" w:hAnsi="Arial;Helvetica;Sans-Serif"/>
          <w:b/>
          <w:i w:val="false"/>
          <w:caps/>
          <w:sz w:val="18"/>
        </w:rPr>
      </w:pPr>
      <w:r>
        <w:rPr>
          <w:rFonts w:ascii="Arial;Helvetica;Sans-Serif" w:hAnsi="Arial;Helvetica;Sans-Serif"/>
          <w:b/>
          <w:i w:val="false"/>
          <w:caps/>
          <w:sz w:val="18"/>
        </w:rPr>
        <w:t>INFORMATION</w:t>
      </w:r>
    </w:p>
    <w:p>
      <w:pPr>
        <w:pStyle w:val="TextBody"/>
        <w:bidi w:val="0"/>
        <w:spacing w:before="0" w:after="0"/>
        <w:jc w:val="left"/>
        <w:rPr>
          <w:caps w:val="false"/>
          <w:smallCaps w:val="false"/>
          <w:color w:val="57584F"/>
        </w:rPr>
      </w:pPr>
      <w:r>
        <w:rPr>
          <w:caps w:val="false"/>
          <w:smallCaps w:val="false"/>
          <w:color w:val="57584F"/>
        </w:rPr>
        <w:t> </w:t>
      </w:r>
    </w:p>
    <w:p>
      <w:pPr>
        <w:pStyle w:val="TextBody"/>
        <w:bidi w:val="0"/>
        <w:spacing w:before="0" w:after="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Waste</w:t>
      </w:r>
    </w:p>
    <w:p>
      <w:pPr>
        <w:pStyle w:val="TextBody"/>
        <w:bidi w:val="0"/>
        <w:spacing w:before="0" w:after="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Web site</w:t>
      </w:r>
    </w:p>
    <w:p>
      <w:pPr>
        <w:pStyle w:val="TextBody"/>
        <w:bidi w:val="0"/>
        <w:spacing w:before="0" w:after="0"/>
        <w:jc w:val="left"/>
        <w:rPr>
          <w:rFonts w:ascii="Arial;Helvetica;Sans-Serif" w:hAnsi="Arial;Helvetica;Sans-Serif"/>
          <w:b/>
          <w:i w:val="false"/>
          <w:caps w:val="false"/>
          <w:smallCaps w:val="false"/>
          <w:color w:val="57584F"/>
          <w:sz w:val="18"/>
        </w:rPr>
      </w:pPr>
      <w:r>
        <w:rPr>
          <w:rFonts w:ascii="Arial;Helvetica;Sans-Serif" w:hAnsi="Arial;Helvetica;Sans-Serif"/>
          <w:b/>
          <w:i w:val="false"/>
          <w:caps w:val="false"/>
          <w:smallCaps w:val="false"/>
          <w:color w:val="57584F"/>
          <w:sz w:val="18"/>
        </w:rPr>
        <w:t>www.wm.com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Analysts </w:t>
      </w:r>
    </w:p>
    <w:p>
      <w:pPr>
        <w:pStyle w:val="TextBody"/>
        <w:bidi w:val="0"/>
        <w:spacing w:before="0" w:after="0"/>
        <w:jc w:val="left"/>
        <w:rPr>
          <w:rFonts w:ascii="Arial;Helvetica;Sans-Serif" w:hAnsi="Arial;Helvetica;Sans-Serif"/>
          <w:b w:val="false"/>
          <w:i w:val="false"/>
          <w:caps w:val="false"/>
          <w:smallCaps w:val="false"/>
          <w:color w:val="57584F"/>
          <w:sz w:val="20"/>
        </w:rPr>
      </w:pPr>
      <w:r>
        <w:rPr>
          <w:rFonts w:ascii="Arial;Helvetica;Sans-Serif" w:hAnsi="Arial;Helvetica;Sans-Serif"/>
          <w:b w:val="false"/>
          <w:i w:val="false"/>
          <w:caps w:val="false"/>
          <w:smallCaps w:val="false"/>
          <w:color w:val="57584F"/>
          <w:sz w:val="20"/>
        </w:rPr>
        <w:t>Ed Egl</w:t>
      </w:r>
    </w:p>
    <w:p>
      <w:pPr>
        <w:pStyle w:val="TextBody"/>
        <w:bidi w:val="0"/>
        <w:spacing w:before="0" w:after="0"/>
        <w:jc w:val="left"/>
        <w:rPr>
          <w:rFonts w:ascii="Arial;Helvetica;Sans-Serif" w:hAnsi="Arial;Helvetica;Sans-Serif"/>
          <w:b w:val="false"/>
          <w:i w:val="false"/>
          <w:caps w:val="false"/>
          <w:smallCaps w:val="false"/>
          <w:color w:val="57584F"/>
          <w:sz w:val="20"/>
        </w:rPr>
      </w:pPr>
      <w:r>
        <w:rPr>
          <w:rFonts w:ascii="Arial;Helvetica;Sans-Serif" w:hAnsi="Arial;Helvetica;Sans-Serif"/>
          <w:b w:val="false"/>
          <w:i w:val="false"/>
          <w:caps w:val="false"/>
          <w:smallCaps w:val="false"/>
          <w:color w:val="57584F"/>
          <w:sz w:val="20"/>
        </w:rPr>
        <w:t>713.265.1656</w:t>
      </w:r>
    </w:p>
    <w:p>
      <w:pPr>
        <w:pStyle w:val="TextBody"/>
        <w:bidi w:val="0"/>
        <w:spacing w:before="0" w:after="0"/>
        <w:jc w:val="left"/>
        <w:rPr>
          <w:rFonts w:ascii="Arial;Helvetica;Sans-Serif" w:hAnsi="Arial;Helvetica;Sans-Serif"/>
          <w:b w:val="false"/>
          <w:i w:val="false"/>
          <w:caps w:val="false"/>
          <w:smallCaps w:val="false"/>
          <w:color w:val="57584F"/>
          <w:sz w:val="20"/>
        </w:rPr>
      </w:pPr>
      <w:r>
        <w:rPr>
          <w:rFonts w:ascii="Arial;Helvetica;Sans-Serif" w:hAnsi="Arial;Helvetica;Sans-Serif"/>
          <w:b w:val="false"/>
          <w:i w:val="false"/>
          <w:caps w:val="false"/>
          <w:smallCaps w:val="false"/>
          <w:color w:val="57584F"/>
          <w:sz w:val="20"/>
        </w:rPr>
        <w:t>eegl@wm.com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Media</w:t>
      </w:r>
    </w:p>
    <w:p>
      <w:pPr>
        <w:pStyle w:val="TextBody"/>
        <w:bidi w:val="0"/>
        <w:spacing w:before="0" w:after="0"/>
        <w:jc w:val="left"/>
        <w:rPr>
          <w:rFonts w:ascii="Arial;Helvetica;Sans-Serif" w:hAnsi="Arial;Helvetica;Sans-Serif"/>
          <w:b w:val="false"/>
          <w:i w:val="false"/>
          <w:caps w:val="false"/>
          <w:smallCaps w:val="false"/>
          <w:color w:val="57584F"/>
          <w:sz w:val="20"/>
        </w:rPr>
      </w:pPr>
      <w:r>
        <w:rPr>
          <w:rFonts w:ascii="Arial;Helvetica;Sans-Serif" w:hAnsi="Arial;Helvetica;Sans-Serif"/>
          <w:b w:val="false"/>
          <w:i w:val="false"/>
          <w:caps w:val="false"/>
          <w:smallCaps w:val="false"/>
          <w:color w:val="57584F"/>
          <w:sz w:val="20"/>
        </w:rPr>
        <w:t>Toni Werner</w:t>
      </w:r>
    </w:p>
    <w:p>
      <w:pPr>
        <w:pStyle w:val="TextBody"/>
        <w:bidi w:val="0"/>
        <w:spacing w:before="0" w:after="0"/>
        <w:jc w:val="left"/>
        <w:rPr>
          <w:rFonts w:ascii="Arial;Helvetica;Sans-Serif" w:hAnsi="Arial;Helvetica;Sans-Serif"/>
          <w:b w:val="false"/>
          <w:i w:val="false"/>
          <w:caps w:val="false"/>
          <w:smallCaps w:val="false"/>
          <w:color w:val="57584F"/>
          <w:sz w:val="20"/>
        </w:rPr>
      </w:pPr>
      <w:r>
        <w:rPr>
          <w:rFonts w:ascii="Arial;Helvetica;Sans-Serif" w:hAnsi="Arial;Helvetica;Sans-Serif"/>
          <w:b w:val="false"/>
          <w:i w:val="false"/>
          <w:caps w:val="false"/>
          <w:smallCaps w:val="false"/>
          <w:color w:val="57584F"/>
          <w:sz w:val="20"/>
        </w:rPr>
        <w:t>media@wm.com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sz w:val="20"/>
        </w:rPr>
      </w:pPr>
      <w:r>
        <w:rPr>
          <w:rFonts w:ascii="Arial;Helvetica;Sans-Serif" w:hAnsi="Arial;Helvetica;Sans-Serif"/>
          <w:b/>
          <w:i w:val="false"/>
          <w:caps/>
          <w:sz w:val="20"/>
        </w:rPr>
        <w:t>KEY HIGHLIGHTS FOR THE FIRST QUARTER of 2024</w:t>
      </w:r>
    </w:p>
    <w:p>
      <w:pPr>
        <w:pStyle w:val="TextBody"/>
        <w:bidi w:val="0"/>
        <w:spacing w:before="0" w:after="0"/>
        <w:ind w:left="720" w:right="0" w:hanging="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95"/>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0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Total Company revenue grew 5.5%, driven primarily by core price of 7.2%.</w:t>
            </w:r>
            <w:r>
              <w:rPr>
                <w:rFonts w:ascii="Arial;Helvetica;Sans-Serif" w:hAnsi="Arial;Helvetica;Sans-Serif"/>
                <w:position w:val="8"/>
                <w:sz w:val="19"/>
              </w:rPr>
              <w:t>(e)</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Collection and Disposal yield was 5.1%, and Collection and Disposal volume was -0.1%, or 0.3% on a workday adjusted basis.</w:t>
            </w:r>
            <w:r>
              <w:rPr>
                <w:rFonts w:ascii="Arial;Helvetica;Sans-Serif" w:hAnsi="Arial;Helvetica;Sans-Serif"/>
                <w:position w:val="8"/>
                <w:sz w:val="19"/>
              </w:rPr>
              <w:t>(f)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Operating expenses as a percentage of revenue improved 210 basis points to 60.9%, compared to prior year adjusted results, driven by efficiencies in the Collection and Disposal business.</w:t>
            </w:r>
            <w:r>
              <w:rPr>
                <w:rFonts w:ascii="Arial;Helvetica;Sans-Serif" w:hAnsi="Arial;Helvetica;Sans-Serif"/>
                <w:position w:val="8"/>
                <w:sz w:val="19"/>
              </w:rPr>
              <w:t>(a)</w:t>
            </w:r>
            <w:r>
              <w:rPr>
                <w:rFonts w:ascii="Arial;Helvetica;Sans-Serif" w:hAnsi="Arial;Helvetica;Sans-Serif"/>
              </w:rPr>
              <w:t> The Company’s technology and automation investments continue to provide benefits, driver turnover remained at record lows and collection efficiency meaningfully improved for the second consecutive quarter.</w:t>
            </w:r>
          </w:p>
        </w:tc>
      </w:tr>
    </w:tbl>
    <w:tbl>
      <w:tblPr>
        <w:tblW w:w="10098" w:type="dxa"/>
        <w:jc w:val="left"/>
        <w:tblInd w:w="0" w:type="dxa"/>
        <w:tblLayout w:type="fixed"/>
        <w:tblCellMar>
          <w:top w:w="0" w:type="dxa"/>
          <w:left w:w="0" w:type="dxa"/>
          <w:bottom w:w="0" w:type="dxa"/>
          <w:right w:w="0" w:type="dxa"/>
        </w:tblCellMar>
      </w:tblPr>
      <w:tblGrid>
        <w:gridCol w:w="38"/>
        <w:gridCol w:w="95"/>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SG&amp;A expenses were 9.5% of revenue, an improvement of 20 basis points from the prior year.</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Total Company adjusted operating EBITDA grew 14.6% to $1.53 billion, and margin expanded 240 basis points to 29.6% on an adjusted basis.</w:t>
            </w:r>
            <w:r>
              <w:rPr>
                <w:rFonts w:ascii="Arial;Helvetica;Sans-Serif" w:hAnsi="Arial;Helvetica;Sans-Serif"/>
                <w:position w:val="8"/>
                <w:sz w:val="19"/>
              </w:rPr>
              <w:t>(a)</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Company’s Collection and Disposal business grew adjusted operating EBITDA by $212 million to $1.73 billion and margin expanded 310 basis points to 36.6%.</w:t>
            </w:r>
            <w:r>
              <w:rPr>
                <w:rFonts w:ascii="Arial;Helvetica;Sans-Serif" w:hAnsi="Arial;Helvetica;Sans-Serif"/>
                <w:position w:val="8"/>
                <w:sz w:val="19"/>
              </w:rPr>
              <w:t>(a)</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Operating EBITDA in the Recycling Processing &amp; Sales and WM Renewable Energy businesses grew 13.2%, primarily driven by higher market prices for recycled commodities partially offset by temporary shutdown costs associated with recycling facility upgrades.</w:t>
            </w:r>
            <w:r>
              <w:rPr>
                <w:rFonts w:ascii="Arial;Helvetica;Sans-Serif" w:hAnsi="Arial;Helvetica;Sans-Serif"/>
                <w:position w:val="8"/>
                <w:sz w:val="19"/>
              </w:rPr>
              <w:t>(f)(g)</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Company continues to progress growth projects in its recycling and renewable energy businesses, with two significant projects completed during the first quarter. WM began operations at its largest upgraded recycling facility, located in Germantown, Wis., and also commissioned a new renewable natural gas facility near Dallas, Texas.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Company returned $557 million to shareholders, including $250 million of share repurchases and $307 million of cash 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UPDATED 2024 OUTLOOK</w:t>
      </w:r>
    </w:p>
    <w:p>
      <w:pPr>
        <w:pStyle w:val="TextBody"/>
        <w:bidi w:val="0"/>
        <w:spacing w:before="0" w:after="0"/>
        <w:ind w:left="0" w:right="0" w:hanging="0"/>
        <w:jc w:val="both"/>
        <w:rPr>
          <w:caps w:val="false"/>
          <w:smallCaps w:val="false"/>
        </w:rPr>
      </w:pPr>
      <w:r>
        <w:rPr>
          <w:caps w:val="false"/>
          <w:smallCaps w:val="false"/>
        </w:rPr>
        <w:t> </w:t>
      </w:r>
    </w:p>
    <w:tbl>
      <w:tblPr>
        <w:tblW w:w="9270" w:type="dxa"/>
        <w:jc w:val="left"/>
        <w:tblInd w:w="0" w:type="dxa"/>
        <w:tblLayout w:type="fixed"/>
        <w:tblCellMar>
          <w:top w:w="0" w:type="dxa"/>
          <w:left w:w="0" w:type="dxa"/>
          <w:bottom w:w="0" w:type="dxa"/>
          <w:right w:w="0" w:type="dxa"/>
        </w:tblCellMar>
      </w:tblPr>
      <w:tblGrid>
        <w:gridCol w:w="3335"/>
        <w:gridCol w:w="3095"/>
        <w:gridCol w:w="2840"/>
      </w:tblGrid>
      <w:tr>
        <w:trPr/>
        <w:tc>
          <w:tcPr>
            <w:tcW w:w="3335" w:type="dxa"/>
            <w:tcBorders/>
            <w:vAlign w:val="center"/>
          </w:tcPr>
          <w:p>
            <w:pPr>
              <w:pStyle w:val="TableContents"/>
              <w:bidi w:val="0"/>
              <w:spacing w:before="0" w:after="283"/>
              <w:jc w:val="both"/>
              <w:rPr>
                <w:caps w:val="false"/>
                <w:smallCaps w:val="false"/>
              </w:rPr>
            </w:pPr>
            <w:r>
              <w:rPr>
                <w:caps w:val="false"/>
                <w:smallCaps w:val="false"/>
              </w:rPr>
              <w:t> </w:t>
            </w:r>
          </w:p>
        </w:tc>
        <w:tc>
          <w:tcPr>
            <w:tcW w:w="3095"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Current Expectations</w:t>
            </w:r>
          </w:p>
        </w:tc>
        <w:tc>
          <w:tcPr>
            <w:tcW w:w="284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Original Expectations</w:t>
            </w:r>
          </w:p>
        </w:tc>
      </w:tr>
      <w:tr>
        <w:trPr/>
        <w:tc>
          <w:tcPr>
            <w:tcW w:w="333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center"/>
              <w:rPr>
                <w:caps w:val="false"/>
                <w:smallCaps w:val="false"/>
              </w:rPr>
            </w:pPr>
            <w:r>
              <w:rPr>
                <w:caps w:val="false"/>
                <w:smallCaps w:val="false"/>
              </w:rPr>
              <w:t> </w:t>
            </w:r>
          </w:p>
        </w:tc>
        <w:tc>
          <w:tcPr>
            <w:tcW w:w="284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Revenue</w:t>
            </w:r>
          </w:p>
        </w:tc>
        <w:tc>
          <w:tcPr>
            <w:tcW w:w="30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 - 5.75% Growth from Prior Year</w:t>
            </w:r>
          </w:p>
        </w:tc>
        <w:tc>
          <w:tcPr>
            <w:tcW w:w="28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 - 7% Growth from Prior Year</w:t>
            </w:r>
          </w:p>
        </w:tc>
      </w:tr>
      <w:tr>
        <w:trPr/>
        <w:tc>
          <w:tcPr>
            <w:tcW w:w="333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center"/>
              <w:rPr>
                <w:caps w:val="false"/>
                <w:smallCaps w:val="false"/>
              </w:rPr>
            </w:pPr>
            <w:r>
              <w:rPr>
                <w:caps w:val="false"/>
                <w:smallCaps w:val="false"/>
              </w:rPr>
              <w:t> </w:t>
            </w:r>
          </w:p>
        </w:tc>
        <w:tc>
          <w:tcPr>
            <w:tcW w:w="284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Adjusted Operating EBITDA</w:t>
            </w:r>
            <w:r>
              <w:rPr>
                <w:rFonts w:ascii="Arial;Helvetica;Sans-Serif" w:hAnsi="Arial;Helvetica;Sans-Serif"/>
                <w:b w:val="false"/>
                <w:i w:val="false"/>
                <w:caps w:val="false"/>
                <w:smallCaps w:val="false"/>
                <w:position w:val="7"/>
                <w:sz w:val="16"/>
                <w:sz w:val="20"/>
              </w:rPr>
              <w:t>(a) (b)</w:t>
            </w:r>
          </w:p>
        </w:tc>
        <w:tc>
          <w:tcPr>
            <w:tcW w:w="30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$6.375 - $6.525 Billion</w:t>
            </w:r>
          </w:p>
        </w:tc>
        <w:tc>
          <w:tcPr>
            <w:tcW w:w="28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$6.275 - $6.425 Billion</w:t>
            </w:r>
          </w:p>
        </w:tc>
      </w:tr>
      <w:tr>
        <w:trPr/>
        <w:tc>
          <w:tcPr>
            <w:tcW w:w="333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center"/>
              <w:rPr>
                <w:caps w:val="false"/>
                <w:smallCaps w:val="false"/>
              </w:rPr>
            </w:pPr>
            <w:r>
              <w:rPr>
                <w:caps w:val="false"/>
                <w:smallCaps w:val="false"/>
              </w:rPr>
              <w:t> </w:t>
            </w:r>
          </w:p>
        </w:tc>
        <w:tc>
          <w:tcPr>
            <w:tcW w:w="284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Adjusted Operating EBITDA Margin</w:t>
            </w:r>
            <w:r>
              <w:rPr>
                <w:rFonts w:ascii="Arial;Helvetica;Sans-Serif" w:hAnsi="Arial;Helvetica;Sans-Serif"/>
                <w:b w:val="false"/>
                <w:i w:val="false"/>
                <w:caps w:val="false"/>
                <w:smallCaps w:val="false"/>
                <w:position w:val="7"/>
                <w:sz w:val="16"/>
                <w:sz w:val="20"/>
              </w:rPr>
              <w:t>(a)</w:t>
            </w:r>
          </w:p>
        </w:tc>
        <w:tc>
          <w:tcPr>
            <w:tcW w:w="30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29.7% - 30.2%</w:t>
            </w:r>
          </w:p>
        </w:tc>
        <w:tc>
          <w:tcPr>
            <w:tcW w:w="28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29.0% - 29.4%</w:t>
            </w:r>
          </w:p>
        </w:tc>
      </w:tr>
      <w:tr>
        <w:trPr/>
        <w:tc>
          <w:tcPr>
            <w:tcW w:w="333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center"/>
              <w:rPr>
                <w:caps w:val="false"/>
                <w:smallCaps w:val="false"/>
              </w:rPr>
            </w:pPr>
            <w:r>
              <w:rPr>
                <w:caps w:val="false"/>
                <w:smallCaps w:val="false"/>
              </w:rPr>
              <w:t> </w:t>
            </w:r>
          </w:p>
        </w:tc>
        <w:tc>
          <w:tcPr>
            <w:tcW w:w="284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Free Cash Flow</w:t>
            </w:r>
            <w:r>
              <w:rPr>
                <w:rFonts w:ascii="Arial;Helvetica;Sans-Serif" w:hAnsi="Arial;Helvetica;Sans-Serif"/>
                <w:b w:val="false"/>
                <w:i w:val="false"/>
                <w:caps w:val="false"/>
                <w:smallCaps w:val="false"/>
                <w:position w:val="7"/>
                <w:sz w:val="16"/>
                <w:sz w:val="20"/>
              </w:rPr>
              <w:t>(a)</w:t>
            </w:r>
          </w:p>
        </w:tc>
        <w:tc>
          <w:tcPr>
            <w:tcW w:w="30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$2.0 - $2.15 Billion</w:t>
            </w:r>
          </w:p>
        </w:tc>
        <w:tc>
          <w:tcPr>
            <w:tcW w:w="28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$1.9 - $2.05 Billion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Fish concluded, “We kicked off the year with great momentum, thanks to our team's dedication to executing on our strategic priorities. Our outstanding performance in the first quarter sets us up for another year of robust financial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75"/>
        <w:gridCol w:w="211"/>
        <w:gridCol w:w="9919"/>
      </w:tblGrid>
      <w:tr>
        <w:trPr/>
        <w:tc>
          <w:tcPr>
            <w:tcW w:w="75" w:type="dxa"/>
            <w:tcBorders>
              <w:top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top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w:t>
            </w:r>
          </w:p>
        </w:tc>
        <w:tc>
          <w:tcPr>
            <w:tcW w:w="9919" w:type="dxa"/>
            <w:tcBorders>
              <w:top w:val="single" w:sz="8" w:space="0" w:color="000000"/>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labeled as adjusted in this press release, as well as free cash flow, are non-GAAP measures. Please see “Non-GAAP Financial Measures” below and the reconciliations in the accompanying schedules for more information.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w:t>
            </w:r>
          </w:p>
        </w:tc>
        <w:tc>
          <w:tcPr>
            <w:tcW w:w="9914"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defines operating EBITDA as GAAP income from operations before depreciation and amortization; this measure may not be comparable to similarly titled measures reported by other companies.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w:t>
            </w:r>
          </w:p>
        </w:tc>
        <w:tc>
          <w:tcPr>
            <w:tcW w:w="990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purposes of this press release, all references to “Net income” refer to the financial statement line item “Net income attributable to Waste Management, Inc.”</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w:t>
            </w:r>
          </w:p>
        </w:tc>
        <w:tc>
          <w:tcPr>
            <w:tcW w:w="9929"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the first quarter, the Company recognized $37 million of investment tax credits (“ITC”) associated with the development of renewable natural gas projects as a reduction to its income tax expense, resulting in a $0.09 per diluted share benefit. The first quarter benefit is based on the Company’s projected full year ITC benefit of about $145 million, which is derived from its projected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completion of five new renewable natural gas facilities by the end of 2024. The amount of the projected ITC benefit for 2024 is based on a number of estimates and assumptions, including the timing of project completion and interpretation of the Inflation Reduction Act.</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(e)</w:t>
            </w:r>
          </w:p>
        </w:tc>
        <w:tc>
          <w:tcPr>
            <w:tcW w:w="988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w:t>
            </w:r>
          </w:p>
        </w:tc>
        <w:tc>
          <w:tcPr>
            <w:tcW w:w="10003"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In the fourth quarter of 2023, the Company updated its reportable segments to enhance transparency regarding its financial performance and underscore its commitment to sustainability through substantial planned and ongoing investments in its Recycling Processing and Sales and WM Renewable Energy businesses. The Company reports through four segments, referred to as (i) Collection and Disposal – East Tier; (ii) Collection and Disposal – West Tier; (iii) Recycling Processing and Sales and (iv) WM Renewable Energy. The Company’s East and West Tiers along with certain ancillary services not managed through our Tier segments form its “Collection and Disposal” businesses.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(g)</w:t>
            </w:r>
          </w:p>
        </w:tc>
        <w:tc>
          <w:tcPr>
            <w:tcW w:w="9928"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The Company’s blended average single stream recycled commodity price was about $84 per ton compared to about $54 per ton in the prior year period, and the full-year expectation for pricing has increased to approximately $80 per ton from approximately $70 per ton. The average value of Renewable Fuel Standard credits was $3.01 compared to $2.28 in the prior year period, and the average natural gas price was $2.27 per MMBtu compared to $2.37 per MMBtu in the prior year period. The average electricity price was about $62 per megawatt hour compared to about $66 per megawatt hour in the prior year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will host a conference call at 10 a.m. ET on April 25, 2024 to discuss the first quarter 2024 results. Information contained within this press release will be referenced and should be considered in conjunction with the call.</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Listeners can access a live audio webcast of the conference call by visiting investors.wm.com and selecting “Events &amp; Presentations” from the website menu. A replay of the audio webcast will be available at the same location following the conclusion of the call.</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Conference call participants should register to obtain their dial in and passcode details. This streamlined process improves security and eliminates wait times when joining the call.</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ind w:left="1440" w:right="1440" w:hanging="0"/>
        <w:jc w:val="left"/>
        <w:rPr>
          <w:rFonts w:ascii="Arial;Helvetica;Sans-Serif" w:hAnsi="Arial;Helvetica;Sans-Serif"/>
          <w:b/>
          <w:i w:val="false"/>
          <w:caps/>
          <w:sz w:val="20"/>
        </w:rPr>
      </w:pPr>
      <w:r>
        <w:rPr>
          <w:rFonts w:ascii="Arial;Helvetica;Sans-Serif" w:hAnsi="Arial;Helvetica;Sans-Serif"/>
          <w:b/>
          <w:i w:val="false"/>
          <w:caps/>
          <w:sz w:val="20"/>
        </w:rPr>
        <w:t>about wm</w:t>
      </w:r>
    </w:p>
    <w:p>
      <w:pPr>
        <w:pStyle w:val="TextBody"/>
        <w:bidi w:val="0"/>
        <w:spacing w:before="0" w:after="0"/>
        <w:ind w:left="1440" w:right="14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shd w:fill="FFFFFF" w:val="clear"/>
        </w:rPr>
        <w:t xml:space="preserve">WM (WM.com) </w:t>
      </w:r>
      <w:r>
        <w:rPr>
          <w:rFonts w:ascii="Arial;Helvetica;Sans-Serif" w:hAnsi="Arial;Helvetica;Sans-Serif"/>
          <w:b w:val="false"/>
          <w:i w:val="false"/>
          <w:caps w:val="false"/>
          <w:smallCaps w:val="false"/>
          <w:sz w:val="20"/>
        </w:rPr>
        <w:t>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use of landfill gas, with a growing network of renewable natural gas plants and the most landfill gas-to-electricity plants in North America. WM's fleet includes more than 12,000 natural gas trucks – the largest heavy-duty natural gas truck fleet of its kind in North America. To learn more about WM and the company's sustainability progress and solutions, visit </w:t>
      </w:r>
      <w:r>
        <w:rPr>
          <w:rFonts w:ascii="Arial;Helvetica;Sans-Serif" w:hAnsi="Arial;Helvetica;Sans-Serif"/>
          <w:b w:val="false"/>
          <w:i w:val="false"/>
          <w:caps w:val="false"/>
          <w:smallCaps w:val="false"/>
          <w:sz w:val="20"/>
          <w:shd w:fill="FFFFFF" w:val="clear"/>
        </w:rPr>
        <w:t>Sustainability.WM.com.</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left"/>
        <w:rPr>
          <w:rFonts w:ascii="Arial;Helvetica;Sans-Serif" w:hAnsi="Arial;Helvetica;Sans-Serif"/>
          <w:b/>
          <w:i w:val="false"/>
          <w:caps/>
          <w:sz w:val="20"/>
        </w:rPr>
      </w:pPr>
      <w:r>
        <w:rPr>
          <w:rFonts w:ascii="Arial;Helvetica;Sans-Serif" w:hAnsi="Arial;Helvetica;Sans-Serif"/>
          <w:b/>
          <w:i w:val="false"/>
          <w:caps/>
          <w:sz w:val="20"/>
        </w:rPr>
        <w:t>Forward-Looking Statements</w:t>
      </w:r>
    </w:p>
    <w:p>
      <w:pPr>
        <w:pStyle w:val="TextBody"/>
        <w:bidi w:val="0"/>
        <w:spacing w:before="0" w:after="0"/>
        <w:ind w:left="1440" w:right="14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all statements under the heading “Updated 2024 Outlook” and all statements regarding future performance or financial results of our business; achievement of financial outlook and growth; drivers of financial performance; investment tax credit benefits; and future investments and results. You should view these statements with caution. They are based on the facts and circumstances known to</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and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left"/>
        <w:rPr>
          <w:rFonts w:ascii="Arial;Helvetica;Sans-Serif" w:hAnsi="Arial;Helvetica;Sans-Serif"/>
          <w:b/>
          <w:i w:val="false"/>
          <w:caps/>
          <w:sz w:val="20"/>
        </w:rPr>
      </w:pPr>
      <w:r>
        <w:rPr>
          <w:rFonts w:ascii="Arial;Helvetica;Sans-Serif" w:hAnsi="Arial;Helvetica;Sans-Serif"/>
          <w:b/>
          <w:i w:val="false"/>
          <w:caps/>
          <w:sz w:val="20"/>
        </w:rPr>
        <w:t>Non-GAAP Financial Measures</w:t>
      </w:r>
    </w:p>
    <w:p>
      <w:pPr>
        <w:pStyle w:val="TextBody"/>
        <w:bidi w:val="0"/>
        <w:spacing w:before="0" w:after="0"/>
        <w:ind w:left="1440" w:right="14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supplement its financial information, the Company has presented, and/or may discuss on the conference call, adjusted earnings per diluted share, adjusted net income, adjusted income from operations, adjusted operating EBITDA and margin, and free cash flow.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the Company’s projected future operating EBITDA and margin is anticipated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pStyle w:val="TextBody"/>
        <w:bidi w:val="0"/>
        <w:spacing w:before="0" w:after="0"/>
        <w:ind w:left="720" w:right="1440" w:hanging="0"/>
        <w:jc w:val="both"/>
        <w:rPr>
          <w:caps w:val="false"/>
          <w:smallCaps w:val="false"/>
        </w:rPr>
      </w:pPr>
      <w:r>
        <w:rPr>
          <w:caps w:val="false"/>
          <w:smallCaps w:val="false"/>
        </w:rPr>
        <w:t> </w:t>
      </w:r>
    </w:p>
    <w:p>
      <w:pPr>
        <w:pStyle w:val="TextBody"/>
        <w:bidi w:val="0"/>
        <w:spacing w:before="0" w:after="0"/>
        <w:ind w:left="1440" w:right="14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720" w:right="1440" w:hanging="0"/>
        <w:jc w:val="both"/>
        <w:rPr>
          <w:caps w:val="false"/>
          <w:smallCaps w:val="false"/>
        </w:rPr>
      </w:pPr>
      <w:r>
        <w:rPr>
          <w:caps w:val="false"/>
          <w:smallCaps w:val="false"/>
        </w:rPr>
        <w:t> </w:t>
      </w:r>
    </w:p>
    <w:p>
      <w:pPr>
        <w:pStyle w:val="TextBody"/>
        <w:bidi w:val="0"/>
        <w:spacing w:before="0" w:after="0"/>
        <w:ind w:left="1440" w:right="14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quantitative reconciliations of non-GAAP measures to the most comparable GAAP measures are included in the accompanying schedules, with the exception of projected adjusted operating EBITDA and margin. Non-GAAP measures should not be considered a substitute for financial measures presented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647" w:type="dxa"/>
        <w:jc w:val="left"/>
        <w:tblInd w:w="0" w:type="dxa"/>
        <w:tblLayout w:type="fixed"/>
        <w:tblCellMar>
          <w:top w:w="0" w:type="dxa"/>
          <w:left w:w="0" w:type="dxa"/>
          <w:bottom w:w="0" w:type="dxa"/>
          <w:right w:w="0" w:type="dxa"/>
        </w:tblCellMar>
      </w:tblPr>
      <w:tblGrid>
        <w:gridCol w:w="5705"/>
        <w:gridCol w:w="60"/>
        <w:gridCol w:w="164"/>
        <w:gridCol w:w="638"/>
        <w:gridCol w:w="105"/>
        <w:gridCol w:w="78"/>
        <w:gridCol w:w="164"/>
        <w:gridCol w:w="638"/>
        <w:gridCol w:w="95"/>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7" w:type="dxa"/>
            <w:gridSpan w:val="6"/>
            <w:tcBorders/>
            <w:vAlign w:val="center"/>
          </w:tcPr>
          <w:p>
            <w:pPr>
              <w:pStyle w:val="TableContents"/>
              <w:bidi w:val="0"/>
              <w:spacing w:before="0" w:after="283"/>
              <w:jc w:val="center"/>
              <w:rPr>
                <w:b/>
                <w:sz w:val="20"/>
              </w:rPr>
            </w:pPr>
            <w:r>
              <w:rPr>
                <w:b/>
                <w:sz w:val="20"/>
              </w:rPr>
              <w:t>Three Months Ended</w:t>
            </w:r>
          </w:p>
        </w:tc>
        <w:tc>
          <w:tcPr>
            <w:tcW w:w="95"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w:t>
            </w:r>
          </w:p>
        </w:tc>
        <w:tc>
          <w:tcPr>
            <w:tcW w:w="95"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9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Operating revenues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5,159</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4,892</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Operating</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3,140</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3,086</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491</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476</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Depreciation, depletion and amortization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514</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505</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Restructuring</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3</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(Gain) loss from divestitures, asset impairments and unusual items, net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105" w:type="dxa"/>
            <w:tcBorders/>
            <w:shd w:fill="CCEEFF" w:val="clear"/>
            <w:vAlign w:val="center"/>
          </w:tcPr>
          <w:p>
            <w:pPr>
              <w:pStyle w:val="TableContents"/>
              <w:bidi w:val="0"/>
              <w:spacing w:before="0" w:after="283"/>
              <w:jc w:val="left"/>
              <w:rPr>
                <w:sz w:val="20"/>
              </w:rPr>
            </w:pPr>
            <w:r>
              <w:rPr>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4,143</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4,067</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1,016</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825</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(130</w:t>
            </w:r>
          </w:p>
        </w:tc>
        <w:tc>
          <w:tcPr>
            <w:tcW w:w="105" w:type="dxa"/>
            <w:tcBorders/>
            <w:shd w:fill="CCEEFF" w:val="clear"/>
            <w:vAlign w:val="center"/>
          </w:tcPr>
          <w:p>
            <w:pPr>
              <w:pStyle w:val="TableContents"/>
              <w:bidi w:val="0"/>
              <w:spacing w:before="0" w:after="283"/>
              <w:jc w:val="left"/>
              <w:rPr>
                <w:sz w:val="20"/>
              </w:rPr>
            </w:pPr>
            <w:r>
              <w:rPr>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(120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705" w:type="dxa"/>
            <w:tcBorders/>
            <w:shd w:fill="FFFFFF" w:val="clear"/>
            <w:vAlign w:val="center"/>
          </w:tcPr>
          <w:p>
            <w:pPr>
              <w:pStyle w:val="TableContents"/>
              <w:bidi w:val="0"/>
              <w:spacing w:before="0" w:after="283"/>
              <w:jc w:val="left"/>
              <w:rPr>
                <w:sz w:val="20"/>
              </w:rPr>
            </w:pPr>
            <w:r>
              <w:rPr>
                <w:sz w:val="20"/>
              </w:rPr>
              <w:t>Equity in net losses of unconsolidated entities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(19</w:t>
            </w:r>
          </w:p>
        </w:tc>
        <w:tc>
          <w:tcPr>
            <w:tcW w:w="105" w:type="dxa"/>
            <w:tcBorders/>
            <w:shd w:fill="FFFFFF" w:val="clear"/>
            <w:vAlign w:val="center"/>
          </w:tcPr>
          <w:p>
            <w:pPr>
              <w:pStyle w:val="TableContents"/>
              <w:bidi w:val="0"/>
              <w:spacing w:before="0" w:after="283"/>
              <w:jc w:val="left"/>
              <w:rPr>
                <w:sz w:val="20"/>
              </w:rPr>
            </w:pPr>
            <w:r>
              <w:rPr>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(11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705" w:type="dxa"/>
            <w:tcBorders/>
            <w:shd w:fill="CCEEFF" w:val="clear"/>
            <w:vAlign w:val="center"/>
          </w:tcPr>
          <w:p>
            <w:pPr>
              <w:pStyle w:val="TableContents"/>
              <w:bidi w:val="0"/>
              <w:spacing w:before="0" w:after="283"/>
              <w:jc w:val="left"/>
              <w:rPr>
                <w:sz w:val="20"/>
              </w:rPr>
            </w:pPr>
            <w:r>
              <w:rPr>
                <w:sz w:val="20"/>
              </w:rPr>
              <w:t>Other, net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(147</w:t>
            </w:r>
          </w:p>
        </w:tc>
        <w:tc>
          <w:tcPr>
            <w:tcW w:w="105" w:type="dxa"/>
            <w:tcBorders/>
            <w:shd w:fill="FFFFFF" w:val="clear"/>
            <w:vAlign w:val="center"/>
          </w:tcPr>
          <w:p>
            <w:pPr>
              <w:pStyle w:val="TableContents"/>
              <w:bidi w:val="0"/>
              <w:spacing w:before="0" w:after="283"/>
              <w:jc w:val="left"/>
              <w:rPr>
                <w:sz w:val="20"/>
              </w:rPr>
            </w:pPr>
            <w:r>
              <w:rPr>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(129</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705" w:type="dxa"/>
            <w:tcBorders/>
            <w:shd w:fill="CCEEFF" w:val="clear"/>
            <w:vAlign w:val="center"/>
          </w:tcPr>
          <w:p>
            <w:pPr>
              <w:pStyle w:val="TableContents"/>
              <w:bidi w:val="0"/>
              <w:spacing w:before="0" w:after="283"/>
              <w:jc w:val="left"/>
              <w:rPr>
                <w:sz w:val="20"/>
              </w:rPr>
            </w:pPr>
            <w:r>
              <w:rPr>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869</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696</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162</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164</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Consolidated net income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707</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sz w:val="20"/>
              </w:rPr>
            </w:pPr>
            <w:r>
              <w:rPr>
                <w:sz w:val="20"/>
              </w:rPr>
              <w:t>532</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Less: Net income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105" w:type="dxa"/>
            <w:tcBorders/>
            <w:shd w:fill="FFFFFF" w:val="clear"/>
            <w:vAlign w:val="center"/>
          </w:tcPr>
          <w:p>
            <w:pPr>
              <w:pStyle w:val="TableContents"/>
              <w:bidi w:val="0"/>
              <w:spacing w:before="0" w:after="283"/>
              <w:jc w:val="left"/>
              <w:rPr>
                <w:sz w:val="20"/>
              </w:rPr>
            </w:pPr>
            <w:r>
              <w:rPr>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705" w:type="dxa"/>
            <w:tcBorders/>
            <w:shd w:fill="CCEEFF" w:val="clear"/>
            <w:vAlign w:val="center"/>
          </w:tcPr>
          <w:p>
            <w:pPr>
              <w:pStyle w:val="TableContents"/>
              <w:bidi w:val="0"/>
              <w:spacing w:before="0" w:after="283"/>
              <w:jc w:val="left"/>
              <w:rPr>
                <w:sz w:val="20"/>
              </w:rPr>
            </w:pPr>
            <w:r>
              <w:rPr>
                <w:sz w:val="20"/>
              </w:rPr>
              <w:t>Net income attributable to Waste Management, Inc.</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708</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533</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Basic earnings per common share</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1.76</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1.31</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Diluted earnings per common share</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1.75</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1.30</w:t>
            </w:r>
          </w:p>
        </w:tc>
        <w:tc>
          <w:tcPr>
            <w:tcW w:w="9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sz w:val="20"/>
              </w:rPr>
            </w:pPr>
            <w:r>
              <w:rPr>
                <w:sz w:val="20"/>
              </w:rPr>
              <w:t>Weighted average basic common shares outstanding</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401.7</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407.4</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sz w:val="20"/>
              </w:rPr>
            </w:pPr>
            <w:r>
              <w:rPr>
                <w:sz w:val="20"/>
              </w:rPr>
              <w:t>Weighted average diluted common shares outstanding</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403.5</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409.0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208" w:type="dxa"/>
        <w:jc w:val="left"/>
        <w:tblInd w:w="0" w:type="dxa"/>
        <w:tblLayout w:type="fixed"/>
        <w:tblCellMar>
          <w:top w:w="0" w:type="dxa"/>
          <w:left w:w="0" w:type="dxa"/>
          <w:bottom w:w="0" w:type="dxa"/>
          <w:right w:w="0" w:type="dxa"/>
        </w:tblCellMar>
      </w:tblPr>
      <w:tblGrid>
        <w:gridCol w:w="4850"/>
        <w:gridCol w:w="60"/>
        <w:gridCol w:w="154"/>
        <w:gridCol w:w="735"/>
        <w:gridCol w:w="80"/>
        <w:gridCol w:w="60"/>
        <w:gridCol w:w="204"/>
        <w:gridCol w:w="970"/>
        <w:gridCol w:w="95"/>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sz w:val="20"/>
              </w:rPr>
            </w:pPr>
            <w:r>
              <w:rPr>
                <w:b/>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December 31,</w:t>
            </w:r>
          </w:p>
        </w:tc>
        <w:tc>
          <w:tcPr>
            <w:tcW w:w="95"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95"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center"/>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20"/>
              </w:rPr>
            </w:pPr>
            <w:r>
              <w:rPr>
                <w:sz w:val="20"/>
              </w:rPr>
              <w:t>$</w:t>
            </w:r>
          </w:p>
        </w:tc>
        <w:tc>
          <w:tcPr>
            <w:tcW w:w="735" w:type="dxa"/>
            <w:tcBorders/>
            <w:shd w:fill="CCEEFF" w:val="clear"/>
            <w:vAlign w:val="center"/>
          </w:tcPr>
          <w:p>
            <w:pPr>
              <w:pStyle w:val="TableContents"/>
              <w:bidi w:val="0"/>
              <w:spacing w:before="0" w:after="283"/>
              <w:jc w:val="right"/>
              <w:rPr>
                <w:sz w:val="20"/>
              </w:rPr>
            </w:pPr>
            <w:r>
              <w:rPr>
                <w:sz w:val="20"/>
              </w:rPr>
              <w:t>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20"/>
              </w:rPr>
            </w:pPr>
            <w:r>
              <w:rPr>
                <w:sz w:val="20"/>
              </w:rPr>
              <w:t>$</w:t>
            </w:r>
          </w:p>
        </w:tc>
        <w:tc>
          <w:tcPr>
            <w:tcW w:w="970" w:type="dxa"/>
            <w:tcBorders/>
            <w:shd w:fill="CCEEFF" w:val="clear"/>
            <w:vAlign w:val="center"/>
          </w:tcPr>
          <w:p>
            <w:pPr>
              <w:pStyle w:val="TableContents"/>
              <w:bidi w:val="0"/>
              <w:spacing w:before="0" w:after="283"/>
              <w:jc w:val="right"/>
              <w:rPr>
                <w:sz w:val="20"/>
              </w:rPr>
            </w:pPr>
            <w:r>
              <w:rPr>
                <w:sz w:val="20"/>
              </w:rPr>
              <w:t>458</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Receivables,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sz w:val="20"/>
              </w:rPr>
            </w:pPr>
            <w:r>
              <w:rPr>
                <w:sz w:val="20"/>
              </w:rPr>
              <w:t>2,685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sz w:val="20"/>
              </w:rPr>
            </w:pPr>
            <w:r>
              <w:rPr>
                <w:sz w:val="20"/>
              </w:rPr>
              <w:t>2,870</w:t>
            </w:r>
          </w:p>
        </w:tc>
        <w:tc>
          <w:tcPr>
            <w:tcW w:w="9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Other</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476</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sz w:val="20"/>
              </w:rPr>
            </w:pPr>
            <w:r>
              <w:rPr>
                <w:sz w:val="20"/>
              </w:rPr>
              <w:t>3,529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sz w:val="20"/>
              </w:rPr>
            </w:pPr>
            <w:r>
              <w:rPr>
                <w:sz w:val="20"/>
              </w:rPr>
              <w:t>3,804</w:t>
            </w:r>
          </w:p>
        </w:tc>
        <w:tc>
          <w:tcPr>
            <w:tcW w:w="9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sz w:val="20"/>
              </w:rPr>
            </w:pPr>
            <w:r>
              <w:rPr>
                <w:sz w:val="20"/>
              </w:rPr>
              <w:t>17,044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sz w:val="20"/>
              </w:rPr>
            </w:pPr>
            <w:r>
              <w:rPr>
                <w:sz w:val="20"/>
              </w:rPr>
              <w:t>16,968</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Goodwill</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sz w:val="20"/>
              </w:rPr>
            </w:pPr>
            <w:r>
              <w:rPr>
                <w:sz w:val="20"/>
              </w:rPr>
              <w:t>9,246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sz w:val="20"/>
              </w:rPr>
            </w:pPr>
            <w:r>
              <w:rPr>
                <w:sz w:val="20"/>
              </w:rPr>
              <w:t>9,254</w:t>
            </w:r>
          </w:p>
        </w:tc>
        <w:tc>
          <w:tcPr>
            <w:tcW w:w="9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Other intangible assets,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sz w:val="20"/>
              </w:rPr>
            </w:pPr>
            <w:r>
              <w:rPr>
                <w:sz w:val="20"/>
              </w:rPr>
              <w:t>728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sz w:val="20"/>
              </w:rPr>
            </w:pPr>
            <w:r>
              <w:rPr>
                <w:sz w:val="20"/>
              </w:rPr>
              <w:t>759</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2,038</w:t>
            </w:r>
          </w:p>
        </w:tc>
        <w:tc>
          <w:tcPr>
            <w:tcW w:w="9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Total assets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32,666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32,823</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center"/>
              <w:rPr>
                <w:b/>
                <w:sz w:val="20"/>
              </w:rPr>
            </w:pPr>
            <w:r>
              <w:rPr>
                <w:b/>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Accounts payable, accrued liabilities and deferred revenues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sz w:val="20"/>
              </w:rPr>
            </w:pPr>
            <w:r>
              <w:rPr>
                <w:sz w:val="20"/>
              </w:rPr>
              <w:t>$</w:t>
            </w:r>
          </w:p>
        </w:tc>
        <w:tc>
          <w:tcPr>
            <w:tcW w:w="735" w:type="dxa"/>
            <w:tcBorders/>
            <w:shd w:fill="FFFFFF" w:val="clear"/>
            <w:vAlign w:val="center"/>
          </w:tcPr>
          <w:p>
            <w:pPr>
              <w:pStyle w:val="TableContents"/>
              <w:bidi w:val="0"/>
              <w:spacing w:before="0" w:after="283"/>
              <w:jc w:val="right"/>
              <w:rPr>
                <w:sz w:val="20"/>
              </w:rPr>
            </w:pPr>
            <w:r>
              <w:rPr>
                <w:sz w:val="20"/>
              </w:rPr>
              <w:t>3,613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sz w:val="20"/>
              </w:rPr>
            </w:pPr>
            <w:r>
              <w:rPr>
                <w:sz w:val="20"/>
              </w:rPr>
              <w:t>$</w:t>
            </w:r>
          </w:p>
        </w:tc>
        <w:tc>
          <w:tcPr>
            <w:tcW w:w="970" w:type="dxa"/>
            <w:tcBorders/>
            <w:shd w:fill="FFFFFF" w:val="clear"/>
            <w:vAlign w:val="center"/>
          </w:tcPr>
          <w:p>
            <w:pPr>
              <w:pStyle w:val="TableContents"/>
              <w:bidi w:val="0"/>
              <w:spacing w:before="0" w:after="283"/>
              <w:jc w:val="right"/>
              <w:rPr>
                <w:sz w:val="20"/>
              </w:rPr>
            </w:pPr>
            <w:r>
              <w:rPr>
                <w:sz w:val="20"/>
              </w:rPr>
              <w:t>3,892</w:t>
            </w:r>
          </w:p>
        </w:tc>
        <w:tc>
          <w:tcPr>
            <w:tcW w:w="9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334</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sz w:val="20"/>
              </w:rPr>
            </w:pPr>
            <w:r>
              <w:rPr>
                <w:sz w:val="20"/>
              </w:rPr>
              <w:t>3,949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sz w:val="20"/>
              </w:rPr>
            </w:pPr>
            <w:r>
              <w:rPr>
                <w:sz w:val="20"/>
              </w:rPr>
              <w:t>4,226</w:t>
            </w:r>
          </w:p>
        </w:tc>
        <w:tc>
          <w:tcPr>
            <w:tcW w:w="9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Long-term debt, less current portion</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sz w:val="20"/>
              </w:rPr>
            </w:pPr>
            <w:r>
              <w:rPr>
                <w:sz w:val="20"/>
              </w:rPr>
              <w:t>15,762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sz w:val="20"/>
              </w:rPr>
            </w:pPr>
            <w:r>
              <w:rPr>
                <w:sz w:val="20"/>
              </w:rPr>
              <w:t>15,895</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5,877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5,806</w:t>
            </w:r>
          </w:p>
        </w:tc>
        <w:tc>
          <w:tcPr>
            <w:tcW w:w="9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25,588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25,927</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Equity: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sz w:val="20"/>
              </w:rPr>
            </w:pPr>
            <w:r>
              <w:rPr>
                <w:sz w:val="20"/>
              </w:rPr>
              <w:t>Waste Management, Inc. stockholders’ equity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sz w:val="20"/>
              </w:rPr>
            </w:pPr>
            <w:r>
              <w:rPr>
                <w:sz w:val="20"/>
              </w:rPr>
              <w:t>7,082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sz w:val="20"/>
              </w:rPr>
            </w:pPr>
            <w:r>
              <w:rPr>
                <w:sz w:val="20"/>
              </w:rPr>
              <w:t>6,903</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850" w:type="dxa"/>
            <w:tcBorders/>
            <w:shd w:fill="CCEEFF" w:val="clear"/>
            <w:vAlign w:val="center"/>
          </w:tcPr>
          <w:p>
            <w:pPr>
              <w:pStyle w:val="TableContents"/>
              <w:bidi w:val="0"/>
              <w:spacing w:before="0" w:after="283"/>
              <w:jc w:val="left"/>
              <w:rPr>
                <w:sz w:val="20"/>
              </w:rPr>
            </w:pPr>
            <w:r>
              <w:rPr>
                <w:sz w:val="20"/>
              </w:rPr>
              <w:t>Total equity</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6,896</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sz w:val="20"/>
              </w:rPr>
            </w:pPr>
            <w:r>
              <w:rPr>
                <w:sz w:val="20"/>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32,666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32,823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928" w:type="dxa"/>
        <w:jc w:val="left"/>
        <w:tblInd w:w="0" w:type="dxa"/>
        <w:tblLayout w:type="fixed"/>
        <w:tblCellMar>
          <w:top w:w="0" w:type="dxa"/>
          <w:left w:w="0" w:type="dxa"/>
          <w:bottom w:w="0" w:type="dxa"/>
          <w:right w:w="0" w:type="dxa"/>
        </w:tblCellMar>
      </w:tblPr>
      <w:tblGrid>
        <w:gridCol w:w="7985"/>
        <w:gridCol w:w="60"/>
        <w:gridCol w:w="151"/>
        <w:gridCol w:w="659"/>
        <w:gridCol w:w="96"/>
        <w:gridCol w:w="72"/>
        <w:gridCol w:w="151"/>
        <w:gridCol w:w="659"/>
        <w:gridCol w:w="95"/>
      </w:tblGrid>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vAlign w:val="center"/>
          </w:tcPr>
          <w:p>
            <w:pPr>
              <w:pStyle w:val="TableContents"/>
              <w:bidi w:val="0"/>
              <w:spacing w:before="0" w:after="283"/>
              <w:jc w:val="center"/>
              <w:rPr>
                <w:b/>
                <w:sz w:val="20"/>
              </w:rPr>
            </w:pPr>
            <w:r>
              <w:rPr>
                <w:b/>
                <w:sz w:val="20"/>
              </w:rPr>
              <w:t>Three Months Ended</w:t>
            </w:r>
          </w:p>
        </w:tc>
        <w:tc>
          <w:tcPr>
            <w:tcW w:w="95"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w:t>
            </w:r>
          </w:p>
        </w:tc>
        <w:tc>
          <w:tcPr>
            <w:tcW w:w="95"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9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95" w:type="dxa"/>
            <w:tcBorders/>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sz w:val="20"/>
              </w:rPr>
            </w:pPr>
            <w:r>
              <w:rPr>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Consolidated net income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sz w:val="20"/>
              </w:rPr>
            </w:pPr>
            <w:r>
              <w:rPr>
                <w:sz w:val="20"/>
              </w:rPr>
              <w:t>$</w:t>
            </w:r>
          </w:p>
        </w:tc>
        <w:tc>
          <w:tcPr>
            <w:tcW w:w="659" w:type="dxa"/>
            <w:tcBorders/>
            <w:shd w:fill="FFFFFF" w:val="clear"/>
            <w:vAlign w:val="center"/>
          </w:tcPr>
          <w:p>
            <w:pPr>
              <w:pStyle w:val="TableContents"/>
              <w:bidi w:val="0"/>
              <w:spacing w:before="0" w:after="283"/>
              <w:jc w:val="right"/>
              <w:rPr>
                <w:sz w:val="20"/>
              </w:rPr>
            </w:pPr>
            <w:r>
              <w:rPr>
                <w:sz w:val="20"/>
              </w:rPr>
              <w:t>707</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sz w:val="20"/>
              </w:rPr>
            </w:pPr>
            <w:r>
              <w:rPr>
                <w:sz w:val="20"/>
              </w:rPr>
              <w:t>$</w:t>
            </w:r>
          </w:p>
        </w:tc>
        <w:tc>
          <w:tcPr>
            <w:tcW w:w="659" w:type="dxa"/>
            <w:tcBorders/>
            <w:shd w:fill="FFFFFF" w:val="clear"/>
            <w:vAlign w:val="center"/>
          </w:tcPr>
          <w:p>
            <w:pPr>
              <w:pStyle w:val="TableContents"/>
              <w:bidi w:val="0"/>
              <w:spacing w:before="0" w:after="283"/>
              <w:jc w:val="right"/>
              <w:rPr>
                <w:sz w:val="20"/>
              </w:rPr>
            </w:pPr>
            <w:r>
              <w:rPr>
                <w:sz w:val="20"/>
              </w:rPr>
              <w:t>532</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sz w:val="20"/>
              </w:rPr>
            </w:pPr>
            <w:r>
              <w:rPr>
                <w:sz w:val="20"/>
              </w:rPr>
              <w:t>Adjustments to reconcile consolidated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Depreciation, depletion and amortization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514</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505</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sz w:val="20"/>
              </w:rPr>
            </w:pPr>
            <w:r>
              <w:rPr>
                <w:sz w:val="20"/>
              </w:rPr>
              <w:t>Other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137</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107</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Change in operating assets and liabilities, net of effects of acquisitions and divestitures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1,367</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1,044</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sz w:val="20"/>
              </w:rPr>
            </w:pPr>
            <w:r>
              <w:rPr>
                <w:sz w:val="20"/>
              </w:rPr>
              <w:t>Acquisitions of businesses, net of cash acquired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(11</w:t>
            </w:r>
          </w:p>
        </w:tc>
        <w:tc>
          <w:tcPr>
            <w:tcW w:w="96" w:type="dxa"/>
            <w:tcBorders/>
            <w:shd w:fill="CCEEFF" w:val="clear"/>
            <w:vAlign w:val="center"/>
          </w:tcPr>
          <w:p>
            <w:pPr>
              <w:pStyle w:val="TableContents"/>
              <w:bidi w:val="0"/>
              <w:spacing w:before="0" w:after="283"/>
              <w:jc w:val="left"/>
              <w:rPr>
                <w:sz w:val="20"/>
              </w:rPr>
            </w:pPr>
            <w:r>
              <w:rPr>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(34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985" w:type="dxa"/>
            <w:tcBorders/>
            <w:shd w:fill="FFFFFF" w:val="clear"/>
            <w:vAlign w:val="center"/>
          </w:tcPr>
          <w:p>
            <w:pPr>
              <w:pStyle w:val="TableContents"/>
              <w:bidi w:val="0"/>
              <w:spacing w:before="0" w:after="283"/>
              <w:jc w:val="left"/>
              <w:rPr>
                <w:sz w:val="20"/>
              </w:rPr>
            </w:pPr>
            <w:r>
              <w:rPr>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(668</w:t>
            </w:r>
          </w:p>
        </w:tc>
        <w:tc>
          <w:tcPr>
            <w:tcW w:w="96" w:type="dxa"/>
            <w:tcBorders/>
            <w:shd w:fill="FFFFFF" w:val="clear"/>
            <w:vAlign w:val="center"/>
          </w:tcPr>
          <w:p>
            <w:pPr>
              <w:pStyle w:val="TableContents"/>
              <w:bidi w:val="0"/>
              <w:spacing w:before="0" w:after="283"/>
              <w:jc w:val="left"/>
              <w:rPr>
                <w:sz w:val="20"/>
              </w:rPr>
            </w:pPr>
            <w:r>
              <w:rPr>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(660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Proceeds from divestitures of businesses and other assets, net of cash divested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15</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11</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Other, net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(91</w:t>
            </w:r>
          </w:p>
        </w:tc>
        <w:tc>
          <w:tcPr>
            <w:tcW w:w="96" w:type="dxa"/>
            <w:tcBorders/>
            <w:shd w:fill="FFFFFF" w:val="clear"/>
            <w:vAlign w:val="center"/>
          </w:tcPr>
          <w:p>
            <w:pPr>
              <w:pStyle w:val="TableContents"/>
              <w:bidi w:val="0"/>
              <w:spacing w:before="0" w:after="283"/>
              <w:jc w:val="left"/>
              <w:rPr>
                <w:sz w:val="20"/>
              </w:rPr>
            </w:pPr>
            <w:r>
              <w:rPr>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(95</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(755</w:t>
            </w:r>
          </w:p>
        </w:tc>
        <w:tc>
          <w:tcPr>
            <w:tcW w:w="96" w:type="dxa"/>
            <w:tcBorders/>
            <w:shd w:fill="CCEEFF" w:val="clear"/>
            <w:vAlign w:val="center"/>
          </w:tcPr>
          <w:p>
            <w:pPr>
              <w:pStyle w:val="TableContents"/>
              <w:bidi w:val="0"/>
              <w:spacing w:before="0" w:after="283"/>
              <w:jc w:val="left"/>
              <w:rPr>
                <w:sz w:val="20"/>
              </w:rPr>
            </w:pPr>
            <w:r>
              <w:rPr>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(778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985" w:type="dxa"/>
            <w:tcBorders/>
            <w:shd w:fill="FFFFFF" w:val="clear"/>
            <w:vAlign w:val="center"/>
          </w:tcPr>
          <w:p>
            <w:pPr>
              <w:pStyle w:val="TableContents"/>
              <w:bidi w:val="0"/>
              <w:spacing w:before="0" w:after="283"/>
              <w:jc w:val="left"/>
              <w:rPr>
                <w:sz w:val="20"/>
              </w:rPr>
            </w:pPr>
            <w:r>
              <w:rPr>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sz w:val="20"/>
              </w:rPr>
            </w:pPr>
            <w:r>
              <w:rPr>
                <w:sz w:val="20"/>
              </w:rPr>
              <w:t>New borrowings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4,412</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6,885</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Debt repayments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(4,570</w:t>
            </w:r>
          </w:p>
        </w:tc>
        <w:tc>
          <w:tcPr>
            <w:tcW w:w="96" w:type="dxa"/>
            <w:tcBorders/>
            <w:shd w:fill="FFFFFF" w:val="clear"/>
            <w:vAlign w:val="center"/>
          </w:tcPr>
          <w:p>
            <w:pPr>
              <w:pStyle w:val="TableContents"/>
              <w:bidi w:val="0"/>
              <w:spacing w:before="0" w:after="283"/>
              <w:jc w:val="left"/>
              <w:rPr>
                <w:sz w:val="20"/>
              </w:rPr>
            </w:pPr>
            <w:r>
              <w:rPr>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(6,548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Common stock repurchase program</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(250</w:t>
            </w:r>
          </w:p>
        </w:tc>
        <w:tc>
          <w:tcPr>
            <w:tcW w:w="96" w:type="dxa"/>
            <w:tcBorders/>
            <w:shd w:fill="CCEEFF" w:val="clear"/>
            <w:vAlign w:val="center"/>
          </w:tcPr>
          <w:p>
            <w:pPr>
              <w:pStyle w:val="TableContents"/>
              <w:bidi w:val="0"/>
              <w:spacing w:before="0" w:after="283"/>
              <w:jc w:val="left"/>
              <w:rPr>
                <w:sz w:val="20"/>
              </w:rPr>
            </w:pPr>
            <w:r>
              <w:rPr>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(350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985" w:type="dxa"/>
            <w:tcBorders/>
            <w:shd w:fill="FFFFFF" w:val="clear"/>
            <w:vAlign w:val="center"/>
          </w:tcPr>
          <w:p>
            <w:pPr>
              <w:pStyle w:val="TableContents"/>
              <w:bidi w:val="0"/>
              <w:spacing w:before="0" w:after="283"/>
              <w:jc w:val="left"/>
              <w:rPr>
                <w:sz w:val="20"/>
              </w:rPr>
            </w:pPr>
            <w:r>
              <w:rPr>
                <w:sz w:val="20"/>
              </w:rPr>
              <w:t>Cash dividends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(307</w:t>
            </w:r>
          </w:p>
        </w:tc>
        <w:tc>
          <w:tcPr>
            <w:tcW w:w="96" w:type="dxa"/>
            <w:tcBorders/>
            <w:shd w:fill="FFFFFF" w:val="clear"/>
            <w:vAlign w:val="center"/>
          </w:tcPr>
          <w:p>
            <w:pPr>
              <w:pStyle w:val="TableContents"/>
              <w:bidi w:val="0"/>
              <w:spacing w:before="0" w:after="283"/>
              <w:jc w:val="left"/>
              <w:rPr>
                <w:sz w:val="20"/>
              </w:rPr>
            </w:pPr>
            <w:r>
              <w:rPr>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(289</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Exercise of common stock options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32</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12</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Tax payments associated with equity-based compensation transactions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(48</w:t>
            </w:r>
          </w:p>
        </w:tc>
        <w:tc>
          <w:tcPr>
            <w:tcW w:w="96" w:type="dxa"/>
            <w:tcBorders/>
            <w:shd w:fill="FFFFFF" w:val="clear"/>
            <w:vAlign w:val="center"/>
          </w:tcPr>
          <w:p>
            <w:pPr>
              <w:pStyle w:val="TableContents"/>
              <w:bidi w:val="0"/>
              <w:spacing w:before="0" w:after="283"/>
              <w:jc w:val="left"/>
              <w:rPr>
                <w:sz w:val="20"/>
              </w:rPr>
            </w:pPr>
            <w:r>
              <w:rPr>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(28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Other, net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w:t>
            </w:r>
          </w:p>
        </w:tc>
        <w:tc>
          <w:tcPr>
            <w:tcW w:w="96" w:type="dxa"/>
            <w:tcBorders/>
            <w:shd w:fill="CCEEFF" w:val="clear"/>
            <w:vAlign w:val="center"/>
          </w:tcPr>
          <w:p>
            <w:pPr>
              <w:pStyle w:val="TableContents"/>
              <w:bidi w:val="0"/>
              <w:spacing w:before="0" w:after="283"/>
              <w:jc w:val="left"/>
              <w:rPr>
                <w:sz w:val="20"/>
              </w:rPr>
            </w:pPr>
            <w:r>
              <w:rPr>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985" w:type="dxa"/>
            <w:tcBorders/>
            <w:shd w:fill="FFFFFF" w:val="clear"/>
            <w:vAlign w:val="center"/>
          </w:tcPr>
          <w:p>
            <w:pPr>
              <w:pStyle w:val="TableContents"/>
              <w:bidi w:val="0"/>
              <w:spacing w:before="0" w:after="283"/>
              <w:jc w:val="left"/>
              <w:rPr>
                <w:sz w:val="20"/>
              </w:rPr>
            </w:pPr>
            <w:r>
              <w:rPr>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(737</w:t>
            </w:r>
          </w:p>
        </w:tc>
        <w:tc>
          <w:tcPr>
            <w:tcW w:w="96" w:type="dxa"/>
            <w:tcBorders/>
            <w:shd w:fill="FFFFFF" w:val="clear"/>
            <w:vAlign w:val="center"/>
          </w:tcPr>
          <w:p>
            <w:pPr>
              <w:pStyle w:val="TableContents"/>
              <w:bidi w:val="0"/>
              <w:spacing w:before="0" w:after="283"/>
              <w:jc w:val="left"/>
              <w:rPr>
                <w:sz w:val="20"/>
              </w:rPr>
            </w:pPr>
            <w:r>
              <w:rPr>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(319</w:t>
            </w:r>
          </w:p>
        </w:tc>
        <w:tc>
          <w:tcPr>
            <w:tcW w:w="95" w:type="dxa"/>
            <w:tcBorders/>
            <w:shd w:fill="FFFFFF" w:val="clear"/>
            <w:vAlign w:val="center"/>
          </w:tcPr>
          <w:p>
            <w:pPr>
              <w:pStyle w:val="TableContents"/>
              <w:bidi w:val="0"/>
              <w:spacing w:before="0" w:after="283"/>
              <w:ind w:left="0" w:right="0" w:hanging="144"/>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Effect of exchange rate changes on cash, cash equivalents and 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96" w:type="dxa"/>
            <w:tcBorders/>
            <w:shd w:fill="CCEEFF" w:val="clear"/>
            <w:vAlign w:val="center"/>
          </w:tcPr>
          <w:p>
            <w:pPr>
              <w:pStyle w:val="TableContents"/>
              <w:bidi w:val="0"/>
              <w:spacing w:before="0" w:after="283"/>
              <w:jc w:val="left"/>
              <w:rPr>
                <w:sz w:val="20"/>
              </w:rPr>
            </w:pPr>
            <w:r>
              <w:rPr>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(Decrease) increase in cash, cash equivalents and 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(127</w:t>
            </w:r>
          </w:p>
        </w:tc>
        <w:tc>
          <w:tcPr>
            <w:tcW w:w="96" w:type="dxa"/>
            <w:tcBorders/>
            <w:shd w:fill="FFFFFF" w:val="clear"/>
            <w:vAlign w:val="center"/>
          </w:tcPr>
          <w:p>
            <w:pPr>
              <w:pStyle w:val="TableContents"/>
              <w:bidi w:val="0"/>
              <w:spacing w:before="0" w:after="283"/>
              <w:jc w:val="left"/>
              <w:rPr>
                <w:sz w:val="20"/>
              </w:rPr>
            </w:pPr>
            <w:r>
              <w:rPr>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(53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985" w:type="dxa"/>
            <w:tcBorders/>
            <w:shd w:fill="CCEEFF" w:val="clear"/>
            <w:vAlign w:val="center"/>
          </w:tcPr>
          <w:p>
            <w:pPr>
              <w:pStyle w:val="TableContents"/>
              <w:bidi w:val="0"/>
              <w:spacing w:before="0" w:after="283"/>
              <w:jc w:val="left"/>
              <w:rPr>
                <w:sz w:val="20"/>
              </w:rPr>
            </w:pPr>
            <w:r>
              <w:rPr>
                <w:sz w:val="20"/>
              </w:rPr>
              <w:t>Cash, cash equivalents and restricted 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552</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445</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sz w:val="20"/>
              </w:rPr>
            </w:pPr>
            <w:r>
              <w:rPr>
                <w:sz w:val="20"/>
              </w:rPr>
              <w:t>Cash, cash equivalents and restricted 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425</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392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DATA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Revenues by Line of Business</w:t>
      </w:r>
    </w:p>
    <w:p>
      <w:pPr>
        <w:pStyle w:val="TextBody"/>
        <w:bidi w:val="0"/>
        <w:spacing w:before="0" w:after="0"/>
        <w:ind w:left="0" w:right="0" w:hanging="0"/>
        <w:jc w:val="left"/>
        <w:rPr>
          <w:caps w:val="false"/>
          <w:smallCaps w:val="false"/>
        </w:rPr>
      </w:pPr>
      <w:r>
        <w:rPr>
          <w:caps w:val="false"/>
          <w:smallCaps w:val="false"/>
        </w:rPr>
        <w:t> </w:t>
      </w:r>
    </w:p>
    <w:tbl>
      <w:tblPr>
        <w:tblW w:w="9375" w:type="dxa"/>
        <w:jc w:val="left"/>
        <w:tblInd w:w="0" w:type="dxa"/>
        <w:tblLayout w:type="fixed"/>
        <w:tblCellMar>
          <w:top w:w="0" w:type="dxa"/>
          <w:left w:w="0" w:type="dxa"/>
          <w:bottom w:w="0" w:type="dxa"/>
          <w:right w:w="0" w:type="dxa"/>
        </w:tblCellMar>
      </w:tblPr>
      <w:tblGrid>
        <w:gridCol w:w="2600"/>
        <w:gridCol w:w="60"/>
        <w:gridCol w:w="182"/>
        <w:gridCol w:w="708"/>
        <w:gridCol w:w="60"/>
        <w:gridCol w:w="60"/>
        <w:gridCol w:w="227"/>
        <w:gridCol w:w="993"/>
        <w:gridCol w:w="80"/>
        <w:gridCol w:w="60"/>
        <w:gridCol w:w="182"/>
        <w:gridCol w:w="708"/>
        <w:gridCol w:w="60"/>
        <w:gridCol w:w="60"/>
        <w:gridCol w:w="182"/>
        <w:gridCol w:w="708"/>
        <w:gridCol w:w="60"/>
        <w:gridCol w:w="60"/>
        <w:gridCol w:w="227"/>
        <w:gridCol w:w="993"/>
        <w:gridCol w:w="80"/>
        <w:gridCol w:w="60"/>
        <w:gridCol w:w="182"/>
        <w:gridCol w:w="708"/>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0" w:type="dxa"/>
            <w:gridSpan w:val="22"/>
            <w:tcBorders/>
            <w:vAlign w:val="center"/>
          </w:tcPr>
          <w:p>
            <w:pPr>
              <w:pStyle w:val="TableContents"/>
              <w:bidi w:val="0"/>
              <w:spacing w:before="0" w:after="283"/>
              <w:jc w:val="center"/>
              <w:rPr>
                <w:b/>
                <w:sz w:val="20"/>
              </w:rPr>
            </w:pPr>
            <w:r>
              <w:rPr>
                <w:b/>
                <w:sz w:val="20"/>
              </w:rPr>
              <w:t>Three Months Ended</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0" w:type="dxa"/>
            <w:gridSpan w:val="22"/>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sz w:val="20"/>
              </w:rPr>
            </w:pPr>
            <w:r>
              <w:rPr>
                <w:b/>
                <w:sz w:val="20"/>
              </w:rPr>
              <w:t>Intercompany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sz w:val="20"/>
              </w:rPr>
            </w:pPr>
            <w:r>
              <w:rPr>
                <w:b/>
                <w:sz w:val="20"/>
              </w:rPr>
              <w:t>Intercompany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Net</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Operating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sz w:val="20"/>
              </w:rPr>
            </w:pPr>
            <w:r>
              <w:rPr>
                <w:b/>
                <w:sz w:val="20"/>
              </w:rPr>
              <w:t>Operating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Operating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Operating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sz w:val="20"/>
              </w:rPr>
            </w:pPr>
            <w:r>
              <w:rPr>
                <w:b/>
                <w:sz w:val="20"/>
              </w:rPr>
              <w:t>Operating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Operating</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Commercial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20"/>
              </w:rPr>
            </w:pPr>
            <w:r>
              <w:rPr>
                <w:sz w:val="20"/>
              </w:rPr>
              <w:t>$</w:t>
            </w:r>
          </w:p>
        </w:tc>
        <w:tc>
          <w:tcPr>
            <w:tcW w:w="708" w:type="dxa"/>
            <w:tcBorders/>
            <w:shd w:fill="CCEEFF" w:val="clear"/>
            <w:vAlign w:val="center"/>
          </w:tcPr>
          <w:p>
            <w:pPr>
              <w:pStyle w:val="TableContents"/>
              <w:bidi w:val="0"/>
              <w:spacing w:before="0" w:after="283"/>
              <w:jc w:val="right"/>
              <w:rPr>
                <w:sz w:val="20"/>
              </w:rPr>
            </w:pPr>
            <w:r>
              <w:rPr>
                <w:sz w:val="20"/>
              </w:rPr>
              <w:t>1,501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20"/>
              </w:rPr>
            </w:pPr>
            <w:r>
              <w:rPr>
                <w:sz w:val="20"/>
              </w:rPr>
              <w:t>$</w:t>
            </w:r>
          </w:p>
        </w:tc>
        <w:tc>
          <w:tcPr>
            <w:tcW w:w="993" w:type="dxa"/>
            <w:tcBorders/>
            <w:shd w:fill="CCEEFF" w:val="clear"/>
            <w:vAlign w:val="center"/>
          </w:tcPr>
          <w:p>
            <w:pPr>
              <w:pStyle w:val="TableContents"/>
              <w:bidi w:val="0"/>
              <w:spacing w:before="0" w:after="283"/>
              <w:jc w:val="right"/>
              <w:rPr>
                <w:sz w:val="20"/>
              </w:rPr>
            </w:pPr>
            <w:r>
              <w:rPr>
                <w:sz w:val="20"/>
              </w:rPr>
              <w:t>(185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20"/>
              </w:rPr>
            </w:pPr>
            <w:r>
              <w:rPr>
                <w:sz w:val="20"/>
              </w:rPr>
              <w:t>$</w:t>
            </w:r>
          </w:p>
        </w:tc>
        <w:tc>
          <w:tcPr>
            <w:tcW w:w="708" w:type="dxa"/>
            <w:tcBorders/>
            <w:shd w:fill="CCEEFF" w:val="clear"/>
            <w:vAlign w:val="center"/>
          </w:tcPr>
          <w:p>
            <w:pPr>
              <w:pStyle w:val="TableContents"/>
              <w:bidi w:val="0"/>
              <w:spacing w:before="0" w:after="283"/>
              <w:jc w:val="right"/>
              <w:rPr>
                <w:sz w:val="20"/>
              </w:rPr>
            </w:pPr>
            <w:r>
              <w:rPr>
                <w:sz w:val="20"/>
              </w:rPr>
              <w:t>1,316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20"/>
              </w:rPr>
            </w:pPr>
            <w:r>
              <w:rPr>
                <w:sz w:val="20"/>
              </w:rPr>
              <w:t>$</w:t>
            </w:r>
          </w:p>
        </w:tc>
        <w:tc>
          <w:tcPr>
            <w:tcW w:w="708" w:type="dxa"/>
            <w:tcBorders/>
            <w:shd w:fill="CCEEFF" w:val="clear"/>
            <w:vAlign w:val="center"/>
          </w:tcPr>
          <w:p>
            <w:pPr>
              <w:pStyle w:val="TableContents"/>
              <w:bidi w:val="0"/>
              <w:spacing w:before="0" w:after="283"/>
              <w:jc w:val="right"/>
              <w:rPr>
                <w:sz w:val="20"/>
              </w:rPr>
            </w:pPr>
            <w:r>
              <w:rPr>
                <w:sz w:val="20"/>
              </w:rPr>
              <w:t>1,412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20"/>
              </w:rPr>
            </w:pPr>
            <w:r>
              <w:rPr>
                <w:sz w:val="20"/>
              </w:rPr>
              <w:t>$</w:t>
            </w:r>
          </w:p>
        </w:tc>
        <w:tc>
          <w:tcPr>
            <w:tcW w:w="993" w:type="dxa"/>
            <w:tcBorders/>
            <w:shd w:fill="CCEEFF" w:val="clear"/>
            <w:vAlign w:val="center"/>
          </w:tcPr>
          <w:p>
            <w:pPr>
              <w:pStyle w:val="TableContents"/>
              <w:bidi w:val="0"/>
              <w:spacing w:before="0" w:after="283"/>
              <w:jc w:val="right"/>
              <w:rPr>
                <w:sz w:val="20"/>
              </w:rPr>
            </w:pPr>
            <w:r>
              <w:rPr>
                <w:sz w:val="20"/>
              </w:rPr>
              <w:t>(161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20"/>
              </w:rPr>
            </w:pPr>
            <w:r>
              <w:rPr>
                <w:sz w:val="20"/>
              </w:rPr>
              <w:t>$</w:t>
            </w:r>
          </w:p>
        </w:tc>
        <w:tc>
          <w:tcPr>
            <w:tcW w:w="708" w:type="dxa"/>
            <w:tcBorders/>
            <w:shd w:fill="CCEEFF" w:val="clear"/>
            <w:vAlign w:val="center"/>
          </w:tcPr>
          <w:p>
            <w:pPr>
              <w:pStyle w:val="TableContents"/>
              <w:bidi w:val="0"/>
              <w:spacing w:before="0" w:after="283"/>
              <w:jc w:val="right"/>
              <w:rPr>
                <w:sz w:val="20"/>
              </w:rPr>
            </w:pPr>
            <w:r>
              <w:rPr>
                <w:sz w:val="20"/>
              </w:rPr>
              <w:t>1,251</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Industrial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(187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(177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756</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Residential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(22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(25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829</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Other collection</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639</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Total collection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4,062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(447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(413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3,475</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Landfill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1,177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(385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1,150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(391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759</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Transfer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289</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Total Collection and Disposal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20"/>
              </w:rPr>
            </w:pPr>
            <w:r>
              <w:rPr>
                <w:sz w:val="20"/>
              </w:rPr>
              <w:t>$</w:t>
            </w:r>
          </w:p>
        </w:tc>
        <w:tc>
          <w:tcPr>
            <w:tcW w:w="708" w:type="dxa"/>
            <w:tcBorders/>
            <w:shd w:fill="FFFFFF" w:val="clear"/>
            <w:vAlign w:val="center"/>
          </w:tcPr>
          <w:p>
            <w:pPr>
              <w:pStyle w:val="TableContents"/>
              <w:bidi w:val="0"/>
              <w:spacing w:before="0" w:after="283"/>
              <w:jc w:val="right"/>
              <w:rPr>
                <w:sz w:val="20"/>
              </w:rPr>
            </w:pPr>
            <w:r>
              <w:rPr>
                <w:sz w:val="20"/>
              </w:rPr>
              <w:t>5,799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sz w:val="20"/>
              </w:rPr>
            </w:pPr>
            <w:r>
              <w:rPr>
                <w:sz w:val="20"/>
              </w:rPr>
              <w:t>$</w:t>
            </w:r>
          </w:p>
        </w:tc>
        <w:tc>
          <w:tcPr>
            <w:tcW w:w="993" w:type="dxa"/>
            <w:tcBorders/>
            <w:shd w:fill="FFFFFF" w:val="clear"/>
            <w:vAlign w:val="center"/>
          </w:tcPr>
          <w:p>
            <w:pPr>
              <w:pStyle w:val="TableContents"/>
              <w:bidi w:val="0"/>
              <w:spacing w:before="0" w:after="283"/>
              <w:jc w:val="right"/>
              <w:rPr>
                <w:sz w:val="20"/>
              </w:rPr>
            </w:pPr>
            <w:r>
              <w:rPr>
                <w:sz w:val="20"/>
              </w:rPr>
              <w:t>(1,083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20"/>
              </w:rPr>
            </w:pPr>
            <w:r>
              <w:rPr>
                <w:sz w:val="20"/>
              </w:rPr>
              <w:t>$</w:t>
            </w:r>
          </w:p>
        </w:tc>
        <w:tc>
          <w:tcPr>
            <w:tcW w:w="708" w:type="dxa"/>
            <w:tcBorders/>
            <w:shd w:fill="FFFFFF" w:val="clear"/>
            <w:vAlign w:val="center"/>
          </w:tcPr>
          <w:p>
            <w:pPr>
              <w:pStyle w:val="TableContents"/>
              <w:bidi w:val="0"/>
              <w:spacing w:before="0" w:after="283"/>
              <w:jc w:val="right"/>
              <w:rPr>
                <w:sz w:val="20"/>
              </w:rPr>
            </w:pPr>
            <w:r>
              <w:rPr>
                <w:sz w:val="20"/>
              </w:rPr>
              <w:t>4,716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20"/>
              </w:rPr>
            </w:pPr>
            <w:r>
              <w:rPr>
                <w:sz w:val="20"/>
              </w:rPr>
              <w:t>$</w:t>
            </w:r>
          </w:p>
        </w:tc>
        <w:tc>
          <w:tcPr>
            <w:tcW w:w="708" w:type="dxa"/>
            <w:tcBorders/>
            <w:shd w:fill="FFFFFF" w:val="clear"/>
            <w:vAlign w:val="center"/>
          </w:tcPr>
          <w:p>
            <w:pPr>
              <w:pStyle w:val="TableContents"/>
              <w:bidi w:val="0"/>
              <w:spacing w:before="0" w:after="283"/>
              <w:jc w:val="right"/>
              <w:rPr>
                <w:sz w:val="20"/>
              </w:rPr>
            </w:pPr>
            <w:r>
              <w:rPr>
                <w:sz w:val="20"/>
              </w:rPr>
              <w:t>5,578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sz w:val="20"/>
              </w:rPr>
            </w:pPr>
            <w:r>
              <w:rPr>
                <w:sz w:val="20"/>
              </w:rPr>
              <w:t>$</w:t>
            </w:r>
          </w:p>
        </w:tc>
        <w:tc>
          <w:tcPr>
            <w:tcW w:w="993" w:type="dxa"/>
            <w:tcBorders/>
            <w:shd w:fill="FFFFFF" w:val="clear"/>
            <w:vAlign w:val="center"/>
          </w:tcPr>
          <w:p>
            <w:pPr>
              <w:pStyle w:val="TableContents"/>
              <w:bidi w:val="0"/>
              <w:spacing w:before="0" w:after="283"/>
              <w:jc w:val="right"/>
              <w:rPr>
                <w:sz w:val="20"/>
              </w:rPr>
            </w:pPr>
            <w:r>
              <w:rPr>
                <w:sz w:val="20"/>
              </w:rPr>
              <w:t>(1,055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20"/>
              </w:rPr>
            </w:pPr>
            <w:r>
              <w:rPr>
                <w:sz w:val="20"/>
              </w:rPr>
              <w:t>$</w:t>
            </w:r>
          </w:p>
        </w:tc>
        <w:tc>
          <w:tcPr>
            <w:tcW w:w="708" w:type="dxa"/>
            <w:tcBorders/>
            <w:shd w:fill="FFFFFF" w:val="clear"/>
            <w:vAlign w:val="center"/>
          </w:tcPr>
          <w:p>
            <w:pPr>
              <w:pStyle w:val="TableContents"/>
              <w:bidi w:val="0"/>
              <w:spacing w:before="0" w:after="283"/>
              <w:jc w:val="right"/>
              <w:rPr>
                <w:sz w:val="20"/>
              </w:rPr>
            </w:pPr>
            <w:r>
              <w:rPr>
                <w:sz w:val="20"/>
              </w:rPr>
              <w:t>4,523</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Recycling Processing and Sales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(68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(80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294</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WM Renewable Energy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69</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(1,158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(1,142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4,892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DATA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Revenue Growth</w:t>
      </w:r>
    </w:p>
    <w:p>
      <w:pPr>
        <w:pStyle w:val="TextBody"/>
        <w:bidi w:val="0"/>
        <w:spacing w:before="0" w:after="0"/>
        <w:ind w:left="0" w:right="0" w:hanging="0"/>
        <w:jc w:val="left"/>
        <w:rPr>
          <w:caps w:val="false"/>
          <w:smallCaps w:val="false"/>
        </w:rPr>
      </w:pPr>
      <w:r>
        <w:rPr>
          <w:caps w:val="false"/>
          <w:smallCaps w:val="false"/>
        </w:rPr>
        <w:t> </w:t>
      </w:r>
    </w:p>
    <w:tbl>
      <w:tblPr>
        <w:tblW w:w="9442" w:type="dxa"/>
        <w:jc w:val="left"/>
        <w:tblInd w:w="0" w:type="dxa"/>
        <w:tblLayout w:type="fixed"/>
        <w:tblCellMar>
          <w:top w:w="0" w:type="dxa"/>
          <w:left w:w="0" w:type="dxa"/>
          <w:bottom w:w="0" w:type="dxa"/>
          <w:right w:w="0" w:type="dxa"/>
        </w:tblCellMar>
      </w:tblPr>
      <w:tblGrid>
        <w:gridCol w:w="5165"/>
        <w:gridCol w:w="60"/>
        <w:gridCol w:w="188"/>
        <w:gridCol w:w="507"/>
        <w:gridCol w:w="95"/>
        <w:gridCol w:w="71"/>
        <w:gridCol w:w="113"/>
        <w:gridCol w:w="836"/>
        <w:gridCol w:w="221"/>
        <w:gridCol w:w="71"/>
        <w:gridCol w:w="188"/>
        <w:gridCol w:w="507"/>
        <w:gridCol w:w="95"/>
        <w:gridCol w:w="71"/>
        <w:gridCol w:w="187"/>
        <w:gridCol w:w="867"/>
        <w:gridCol w:w="20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7"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Period-to-Period Change for the</w:t>
              <w:br/>
              <w:t>Three Months Ended</w:t>
              <w:br/>
              <w:t>March 31, 2024 vs. 2023</w:t>
            </w:r>
          </w:p>
        </w:tc>
        <w:tc>
          <w:tcPr>
            <w:tcW w:w="20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sz w:val="20"/>
              </w:rPr>
            </w:pPr>
            <w:r>
              <w:rPr>
                <w:b/>
                <w:sz w:val="20"/>
              </w:rPr>
              <w:t>As a % of</w:t>
            </w:r>
          </w:p>
        </w:tc>
        <w:tc>
          <w:tcPr>
            <w:tcW w:w="22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sz w:val="20"/>
              </w:rPr>
            </w:pPr>
            <w:r>
              <w:rPr>
                <w:b/>
                <w:sz w:val="20"/>
              </w:rPr>
              <w:t>As a % of</w:t>
            </w:r>
          </w:p>
        </w:tc>
        <w:tc>
          <w:tcPr>
            <w:tcW w:w="20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sz w:val="20"/>
              </w:rPr>
            </w:pPr>
            <w:r>
              <w:rPr>
                <w:b/>
                <w:sz w:val="20"/>
              </w:rPr>
              <w:t>Related</w:t>
            </w:r>
          </w:p>
        </w:tc>
        <w:tc>
          <w:tcPr>
            <w:tcW w:w="22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sz w:val="20"/>
              </w:rPr>
            </w:pPr>
            <w:r>
              <w:rPr>
                <w:b/>
                <w:sz w:val="20"/>
              </w:rPr>
              <w:t>Total</w:t>
            </w:r>
          </w:p>
        </w:tc>
        <w:tc>
          <w:tcPr>
            <w:tcW w:w="20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Business</w:t>
            </w:r>
            <w:r>
              <w:rPr>
                <w:b/>
                <w:position w:val="7"/>
                <w:sz w:val="16"/>
                <w:sz w:val="20"/>
              </w:rPr>
              <w:t>(a)</w:t>
            </w:r>
          </w:p>
        </w:tc>
        <w:tc>
          <w:tcPr>
            <w:tcW w:w="22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Company</w:t>
            </w:r>
            <w:r>
              <w:rPr>
                <w:b/>
                <w:position w:val="7"/>
                <w:sz w:val="16"/>
                <w:sz w:val="20"/>
              </w:rPr>
              <w:t>(b)</w:t>
            </w:r>
          </w:p>
        </w:tc>
        <w:tc>
          <w:tcPr>
            <w:tcW w:w="20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sz w:val="20"/>
              </w:rPr>
            </w:pPr>
            <w:r>
              <w:rPr>
                <w:sz w:val="20"/>
              </w:rPr>
              <w:t>Collection and Disposal</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507" w:type="dxa"/>
            <w:tcBorders/>
            <w:shd w:fill="CCEEFF" w:val="clear"/>
            <w:vAlign w:val="center"/>
          </w:tcPr>
          <w:p>
            <w:pPr>
              <w:pStyle w:val="TableContents"/>
              <w:bidi w:val="0"/>
              <w:spacing w:before="0" w:after="283"/>
              <w:jc w:val="right"/>
              <w:rPr>
                <w:sz w:val="20"/>
              </w:rPr>
            </w:pPr>
            <w:r>
              <w:rPr>
                <w:sz w:val="20"/>
              </w:rPr>
              <w:t>218</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sz w:val="20"/>
              </w:rPr>
            </w:pPr>
            <w:r>
              <w:rPr>
                <w:sz w:val="20"/>
              </w:rPr>
              <w:t>5.1</w:t>
            </w:r>
          </w:p>
        </w:tc>
        <w:tc>
          <w:tcPr>
            <w:tcW w:w="221"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sz w:val="20"/>
              </w:rPr>
            </w:pPr>
            <w:r>
              <w:rPr>
                <w:sz w:val="20"/>
              </w:rPr>
              <w:t>Recycling Processing and Sales and WM Renewable Energy</w:t>
            </w:r>
            <w:r>
              <w:rPr>
                <w:position w:val="7"/>
                <w:sz w:val="16"/>
                <w:sz w:val="20"/>
              </w:rPr>
              <w:t>(c)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sz w:val="20"/>
              </w:rPr>
            </w:pPr>
            <w:r>
              <w:rPr>
                <w:sz w:val="20"/>
              </w:rPr>
              <w:t>60</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sz w:val="20"/>
              </w:rPr>
            </w:pPr>
            <w:r>
              <w:rPr>
                <w:sz w:val="20"/>
              </w:rPr>
              <w:t>15.7</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sz w:val="20"/>
              </w:rPr>
            </w:pPr>
            <w:r>
              <w:rPr>
                <w:sz w:val="20"/>
              </w:rPr>
              <w:t>Energy surcharges and mandated fees</w:t>
            </w:r>
            <w:r>
              <w:rPr>
                <w:position w:val="7"/>
                <w:sz w:val="16"/>
                <w:sz w:val="20"/>
              </w:rPr>
              <w:t>(d)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w:t>
            </w:r>
          </w:p>
        </w:tc>
        <w:tc>
          <w:tcPr>
            <w:tcW w:w="95"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sz w:val="20"/>
              </w:rPr>
            </w:pPr>
            <w:r>
              <w:rPr>
                <w:sz w:val="20"/>
              </w:rPr>
              <w:t>(11.3</w:t>
            </w:r>
          </w:p>
        </w:tc>
        <w:tc>
          <w:tcPr>
            <w:tcW w:w="221"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sz w:val="20"/>
              </w:rPr>
            </w:pPr>
            <w:r>
              <w:rPr>
                <w:sz w:val="20"/>
              </w:rPr>
              <w:t>Total average yield</w:t>
            </w:r>
            <w:r>
              <w:rPr>
                <w:position w:val="7"/>
                <w:sz w:val="16"/>
                <w:sz w:val="20"/>
              </w:rPr>
              <w:t>(e)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sz w:val="20"/>
              </w:rPr>
            </w:pPr>
            <w:r>
              <w:rPr>
                <w:sz w:val="20"/>
              </w:rPr>
              <w:t>$</w:t>
            </w:r>
          </w:p>
        </w:tc>
        <w:tc>
          <w:tcPr>
            <w:tcW w:w="507" w:type="dxa"/>
            <w:tcBorders/>
            <w:shd w:fill="FFFFFF" w:val="clear"/>
            <w:vAlign w:val="center"/>
          </w:tcPr>
          <w:p>
            <w:pPr>
              <w:pStyle w:val="TableContents"/>
              <w:bidi w:val="0"/>
              <w:spacing w:before="0" w:after="283"/>
              <w:jc w:val="right"/>
              <w:rPr>
                <w:sz w:val="20"/>
              </w:rPr>
            </w:pPr>
            <w:r>
              <w:rPr>
                <w:sz w:val="20"/>
              </w:rPr>
              <w:t>250</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5.1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5165" w:type="dxa"/>
            <w:tcBorders/>
            <w:shd w:fill="CCEEFF" w:val="clear"/>
            <w:vAlign w:val="center"/>
          </w:tcPr>
          <w:p>
            <w:pPr>
              <w:pStyle w:val="TableContents"/>
              <w:bidi w:val="0"/>
              <w:spacing w:before="0" w:after="283"/>
              <w:jc w:val="left"/>
              <w:rPr>
                <w:sz w:val="20"/>
              </w:rPr>
            </w:pPr>
            <w:r>
              <w:rPr>
                <w:sz w:val="20"/>
              </w:rPr>
              <w:t>Volume</w:t>
            </w:r>
            <w:r>
              <w:rPr>
                <w:position w:val="7"/>
                <w:sz w:val="16"/>
                <w:sz w:val="20"/>
              </w:rPr>
              <w:t>(f)</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95"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sz w:val="20"/>
              </w:rPr>
            </w:pPr>
            <w:r>
              <w:rPr>
                <w:sz w:val="20"/>
              </w:rPr>
              <w:t>Internal revenue growth</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sz w:val="20"/>
              </w:rPr>
            </w:pPr>
            <w:r>
              <w:rPr>
                <w:sz w:val="20"/>
              </w:rPr>
              <w:t>249</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5.1</w:t>
            </w:r>
          </w:p>
        </w:tc>
        <w:tc>
          <w:tcPr>
            <w:tcW w:w="20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sz w:val="20"/>
              </w:rPr>
            </w:pPr>
            <w:r>
              <w:rPr>
                <w:sz w:val="20"/>
              </w:rPr>
              <w:t>Acquisitions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sz w:val="20"/>
              </w:rPr>
            </w:pPr>
            <w:r>
              <w:rPr>
                <w:sz w:val="20"/>
              </w:rPr>
              <w:t>19</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0.4</w:t>
            </w:r>
          </w:p>
        </w:tc>
        <w:tc>
          <w:tcPr>
            <w:tcW w:w="20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sz w:val="20"/>
              </w:rPr>
            </w:pPr>
            <w:r>
              <w:rPr>
                <w:sz w:val="20"/>
              </w:rPr>
              <w:t>Divestitures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sz w:val="20"/>
              </w:rPr>
            </w:pPr>
            <w:r>
              <w:rPr>
                <w:sz w:val="20"/>
              </w:rPr>
              <w:t>(1</w:t>
            </w:r>
          </w:p>
        </w:tc>
        <w:tc>
          <w:tcPr>
            <w:tcW w:w="95" w:type="dxa"/>
            <w:tcBorders/>
            <w:shd w:fill="FFFFFF" w:val="clear"/>
            <w:vAlign w:val="center"/>
          </w:tcPr>
          <w:p>
            <w:pPr>
              <w:pStyle w:val="TableContents"/>
              <w:bidi w:val="0"/>
              <w:spacing w:before="0" w:after="283"/>
              <w:jc w:val="left"/>
              <w:rPr>
                <w:sz w:val="20"/>
              </w:rPr>
            </w:pPr>
            <w:r>
              <w:rPr>
                <w:sz w:val="20"/>
              </w:rPr>
              <w:t>)</w:t>
            </w:r>
          </w:p>
        </w:tc>
        <w:tc>
          <w:tcPr>
            <w:tcW w:w="71"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w:t>
            </w:r>
          </w:p>
        </w:tc>
        <w:tc>
          <w:tcPr>
            <w:tcW w:w="20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sz w:val="20"/>
              </w:rPr>
            </w:pPr>
            <w:r>
              <w:rPr>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0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267</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5.5</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397" w:type="dxa"/>
        <w:jc w:val="left"/>
        <w:tblInd w:w="0" w:type="dxa"/>
        <w:tblLayout w:type="fixed"/>
        <w:tblCellMar>
          <w:top w:w="0" w:type="dxa"/>
          <w:left w:w="0" w:type="dxa"/>
          <w:bottom w:w="0" w:type="dxa"/>
          <w:right w:w="0" w:type="dxa"/>
        </w:tblCellMar>
      </w:tblPr>
      <w:tblGrid>
        <w:gridCol w:w="2405"/>
        <w:gridCol w:w="60"/>
        <w:gridCol w:w="166"/>
        <w:gridCol w:w="770"/>
        <w:gridCol w:w="518"/>
        <w:gridCol w:w="166"/>
        <w:gridCol w:w="166"/>
        <w:gridCol w:w="946"/>
        <w:gridCol w:w="200"/>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vAlign w:val="center"/>
          </w:tcPr>
          <w:p>
            <w:pPr>
              <w:pStyle w:val="TableContents"/>
              <w:bidi w:val="0"/>
              <w:spacing w:before="0" w:after="283"/>
              <w:jc w:val="center"/>
              <w:rPr>
                <w:b/>
                <w:sz w:val="20"/>
              </w:rPr>
            </w:pPr>
            <w:r>
              <w:rPr>
                <w:b/>
                <w:sz w:val="20"/>
              </w:rPr>
              <w:t>Period-to-Period Change for the</w:t>
            </w:r>
          </w:p>
        </w:tc>
        <w:tc>
          <w:tcPr>
            <w:tcW w:w="20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vAlign w:val="center"/>
          </w:tcPr>
          <w:p>
            <w:pPr>
              <w:pStyle w:val="TableContents"/>
              <w:bidi w:val="0"/>
              <w:spacing w:before="0" w:after="283"/>
              <w:jc w:val="center"/>
              <w:rPr>
                <w:b/>
                <w:sz w:val="20"/>
              </w:rPr>
            </w:pPr>
            <w:r>
              <w:rPr>
                <w:b/>
                <w:sz w:val="20"/>
              </w:rPr>
              <w:t>Three Months Ended</w:t>
            </w:r>
          </w:p>
        </w:tc>
        <w:tc>
          <w:tcPr>
            <w:tcW w:w="20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 2024 vs. 2023</w:t>
            </w:r>
          </w:p>
        </w:tc>
        <w:tc>
          <w:tcPr>
            <w:tcW w:w="20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a % of Related Business</w:t>
            </w:r>
            <w:r>
              <w:rPr>
                <w:b/>
                <w:position w:val="7"/>
                <w:sz w:val="16"/>
                <w:sz w:val="20"/>
              </w:rPr>
              <w:t>(a)</w:t>
            </w:r>
          </w:p>
        </w:tc>
        <w:tc>
          <w:tcPr>
            <w:tcW w:w="20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Yield</w:t>
            </w:r>
          </w:p>
        </w:tc>
        <w:tc>
          <w:tcPr>
            <w:tcW w:w="51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1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Volume</w:t>
            </w:r>
            <w:r>
              <w:rPr>
                <w:b/>
                <w:position w:val="7"/>
                <w:sz w:val="16"/>
                <w:sz w:val="20"/>
              </w:rPr>
              <w:t>(g)</w:t>
            </w:r>
          </w:p>
        </w:tc>
        <w:tc>
          <w:tcPr>
            <w:tcW w:w="20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sz w:val="20"/>
              </w:rPr>
            </w:pPr>
            <w:r>
              <w:rPr>
                <w:sz w:val="20"/>
              </w:rPr>
              <w:t>Commercial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20"/>
              </w:rPr>
            </w:pPr>
            <w:r>
              <w:rPr>
                <w:sz w:val="20"/>
              </w:rPr>
              <w:t>6.8</w:t>
            </w:r>
          </w:p>
        </w:tc>
        <w:tc>
          <w:tcPr>
            <w:tcW w:w="518" w:type="dxa"/>
            <w:tcBorders/>
            <w:shd w:fill="CCEEFF" w:val="clear"/>
            <w:vAlign w:val="center"/>
          </w:tcPr>
          <w:p>
            <w:pPr>
              <w:pStyle w:val="TableContents"/>
              <w:bidi w:val="0"/>
              <w:spacing w:before="0" w:after="283"/>
              <w:jc w:val="left"/>
              <w:rPr>
                <w:sz w:val="20"/>
              </w:rPr>
            </w:pPr>
            <w:r>
              <w:rPr>
                <w:sz w:val="20"/>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sz w:val="20"/>
              </w:rPr>
            </w:pPr>
            <w:r>
              <w:rPr>
                <w:sz w:val="20"/>
              </w:rPr>
              <w:t>0.7</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405" w:type="dxa"/>
            <w:tcBorders/>
            <w:shd w:fill="FFFFFF" w:val="clear"/>
            <w:vAlign w:val="center"/>
          </w:tcPr>
          <w:p>
            <w:pPr>
              <w:pStyle w:val="TableContents"/>
              <w:bidi w:val="0"/>
              <w:spacing w:before="0" w:after="283"/>
              <w:jc w:val="left"/>
              <w:rPr>
                <w:sz w:val="20"/>
              </w:rPr>
            </w:pPr>
            <w:r>
              <w:rPr>
                <w:sz w:val="20"/>
              </w:rPr>
              <w:t>Industrial</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20"/>
              </w:rPr>
            </w:pPr>
            <w:r>
              <w:rPr>
                <w:sz w:val="20"/>
              </w:rPr>
              <w:t>5.8</w:t>
            </w:r>
          </w:p>
        </w:tc>
        <w:tc>
          <w:tcPr>
            <w:tcW w:w="518"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sz w:val="20"/>
              </w:rPr>
            </w:pPr>
            <w:r>
              <w:rPr>
                <w:sz w:val="20"/>
              </w:rPr>
              <w:t>(3.9</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405" w:type="dxa"/>
            <w:tcBorders/>
            <w:shd w:fill="CCEEFF" w:val="clear"/>
            <w:vAlign w:val="center"/>
          </w:tcPr>
          <w:p>
            <w:pPr>
              <w:pStyle w:val="TableContents"/>
              <w:bidi w:val="0"/>
              <w:spacing w:before="0" w:after="283"/>
              <w:jc w:val="left"/>
              <w:rPr>
                <w:sz w:val="20"/>
              </w:rPr>
            </w:pPr>
            <w:r>
              <w:rPr>
                <w:sz w:val="20"/>
              </w:rPr>
              <w:t>Residential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20"/>
              </w:rPr>
            </w:pPr>
            <w:r>
              <w:rPr>
                <w:sz w:val="20"/>
              </w:rPr>
              <w:t>6.4</w:t>
            </w:r>
          </w:p>
        </w:tc>
        <w:tc>
          <w:tcPr>
            <w:tcW w:w="518"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sz w:val="20"/>
              </w:rPr>
            </w:pPr>
            <w:r>
              <w:rPr>
                <w:sz w:val="20"/>
              </w:rPr>
              <w:t>(2.9</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405" w:type="dxa"/>
            <w:tcBorders/>
            <w:shd w:fill="FFFFFF" w:val="clear"/>
            <w:vAlign w:val="center"/>
          </w:tcPr>
          <w:p>
            <w:pPr>
              <w:pStyle w:val="TableContents"/>
              <w:bidi w:val="0"/>
              <w:spacing w:before="0" w:after="283"/>
              <w:jc w:val="left"/>
              <w:rPr>
                <w:sz w:val="20"/>
              </w:rPr>
            </w:pPr>
            <w:r>
              <w:rPr>
                <w:sz w:val="20"/>
              </w:rPr>
              <w:t>Total collection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20"/>
              </w:rPr>
            </w:pPr>
            <w:r>
              <w:rPr>
                <w:sz w:val="20"/>
              </w:rPr>
              <w:t>6.1</w:t>
            </w:r>
          </w:p>
        </w:tc>
        <w:tc>
          <w:tcPr>
            <w:tcW w:w="518"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sz w:val="20"/>
              </w:rPr>
            </w:pPr>
            <w:r>
              <w:rPr>
                <w:sz w:val="20"/>
              </w:rPr>
              <w:t>(1.6</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405" w:type="dxa"/>
            <w:tcBorders/>
            <w:shd w:fill="CCEEFF" w:val="clear"/>
            <w:vAlign w:val="center"/>
          </w:tcPr>
          <w:p>
            <w:pPr>
              <w:pStyle w:val="TableContents"/>
              <w:bidi w:val="0"/>
              <w:spacing w:before="0" w:after="283"/>
              <w:jc w:val="left"/>
              <w:rPr>
                <w:sz w:val="20"/>
              </w:rPr>
            </w:pPr>
            <w:r>
              <w:rPr>
                <w:sz w:val="20"/>
              </w:rPr>
              <w:t>MSW</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20"/>
              </w:rPr>
            </w:pPr>
            <w:r>
              <w:rPr>
                <w:sz w:val="20"/>
              </w:rPr>
              <w:t>4.6</w:t>
            </w:r>
          </w:p>
        </w:tc>
        <w:tc>
          <w:tcPr>
            <w:tcW w:w="518"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sz w:val="20"/>
              </w:rPr>
            </w:pPr>
            <w:r>
              <w:rPr>
                <w:sz w:val="20"/>
              </w:rPr>
              <w:t>3.4</w:t>
            </w:r>
          </w:p>
        </w:tc>
        <w:tc>
          <w:tcPr>
            <w:tcW w:w="20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sz w:val="20"/>
              </w:rPr>
            </w:pPr>
            <w:r>
              <w:rPr>
                <w:sz w:val="20"/>
              </w:rPr>
              <w:t>Transfer</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20"/>
              </w:rPr>
            </w:pPr>
            <w:r>
              <w:rPr>
                <w:sz w:val="20"/>
              </w:rPr>
              <w:t>5.5</w:t>
            </w:r>
          </w:p>
        </w:tc>
        <w:tc>
          <w:tcPr>
            <w:tcW w:w="518"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sz w:val="20"/>
              </w:rPr>
            </w:pPr>
            <w:r>
              <w:rPr>
                <w:sz w:val="20"/>
              </w:rPr>
              <w:t>2.8</w:t>
            </w:r>
          </w:p>
        </w:tc>
        <w:tc>
          <w:tcPr>
            <w:tcW w:w="20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sz w:val="20"/>
              </w:rPr>
            </w:pPr>
            <w:r>
              <w:rPr>
                <w:sz w:val="20"/>
              </w:rPr>
              <w:t>Total collection and disposal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20"/>
              </w:rPr>
            </w:pPr>
            <w:r>
              <w:rPr>
                <w:sz w:val="20"/>
              </w:rPr>
              <w:t>5.1</w:t>
            </w:r>
          </w:p>
        </w:tc>
        <w:tc>
          <w:tcPr>
            <w:tcW w:w="518" w:type="dxa"/>
            <w:tcBorders/>
            <w:shd w:fill="CCEEFF" w:val="clear"/>
            <w:vAlign w:val="center"/>
          </w:tcPr>
          <w:p>
            <w:pPr>
              <w:pStyle w:val="TableContents"/>
              <w:bidi w:val="0"/>
              <w:spacing w:before="0" w:after="283"/>
              <w:jc w:val="left"/>
              <w:rPr>
                <w:sz w:val="20"/>
              </w:rPr>
            </w:pPr>
            <w:r>
              <w:rPr>
                <w:sz w:val="20"/>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sz w:val="20"/>
              </w:rPr>
            </w:pPr>
            <w:r>
              <w:rPr>
                <w:sz w:val="20"/>
              </w:rPr>
              <w:t>0.3</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283"/>
              <w:jc w:val="both"/>
              <w:rPr/>
            </w:pPr>
            <w:r>
              <w:rPr/>
              <w:t>Calculated by dividing the increase or decrease for the current year by the prior year’s related business revenue adjusted to exclude the impacts of divestitures for the current year.</w:t>
            </w:r>
          </w:p>
        </w:tc>
      </w:tr>
    </w:tbl>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Calculated by dividing the increase or decrease for the current year by the prior year’s total Company revenue adjusted to exclude the impacts of divestitures for the current year.</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both"/>
              <w:rPr/>
            </w:pPr>
            <w:r>
              <w:rPr/>
              <w:t>Includes combined impact of commodity price variability in both our Recycling Processing and Sales and WM Renewable Energy segments, as well as changes in certain recycling fees charged by our collection and disposal operations.</w:t>
            </w:r>
          </w:p>
        </w:tc>
      </w:tr>
    </w:tbl>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(d)</w:t>
            </w:r>
          </w:p>
        </w:tc>
        <w:tc>
          <w:tcPr>
            <w:tcW w:w="9902" w:type="dxa"/>
            <w:tcBorders/>
            <w:vAlign w:val="center"/>
          </w:tcPr>
          <w:p>
            <w:pPr>
              <w:pStyle w:val="TableContents"/>
              <w:bidi w:val="0"/>
              <w:spacing w:before="0" w:after="283"/>
              <w:jc w:val="both"/>
              <w:rPr/>
            </w:pPr>
            <w:r>
              <w:rPr/>
              <w:t>Our energy surcharge was revised in the second quarter of 2023 to incorporate market prices for both diesel and compressed natural gas (“CNG”).</w:t>
            </w:r>
          </w:p>
        </w:tc>
      </w:tr>
    </w:tbl>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(e)</w:t>
            </w:r>
          </w:p>
        </w:tc>
        <w:tc>
          <w:tcPr>
            <w:tcW w:w="9903" w:type="dxa"/>
            <w:tcBorders/>
            <w:vAlign w:val="center"/>
          </w:tcPr>
          <w:p>
            <w:pPr>
              <w:pStyle w:val="TableContents"/>
              <w:bidi w:val="0"/>
              <w:spacing w:before="0" w:after="283"/>
              <w:jc w:val="both"/>
              <w:rPr/>
            </w:pPr>
            <w:r>
              <w:rPr/>
              <w:t>The amounts reported herein represent the changes in our revenue attributable to average yield for the total Company.</w:t>
            </w:r>
          </w:p>
        </w:tc>
      </w:tr>
    </w:tbl>
    <w:tbl>
      <w:tblPr>
        <w:tblW w:w="5000" w:type="pct"/>
        <w:jc w:val="left"/>
        <w:tblInd w:w="0" w:type="dxa"/>
        <w:tblLayout w:type="fixed"/>
        <w:tblCellMar>
          <w:top w:w="0" w:type="dxa"/>
          <w:left w:w="0" w:type="dxa"/>
          <w:bottom w:w="0" w:type="dxa"/>
          <w:right w:w="0" w:type="dxa"/>
        </w:tblCellMar>
      </w:tblPr>
      <w:tblGrid>
        <w:gridCol w:w="64"/>
        <w:gridCol w:w="416"/>
        <w:gridCol w:w="9725"/>
      </w:tblGrid>
      <w:tr>
        <w:trPr/>
        <w:tc>
          <w:tcPr>
            <w:tcW w:w="6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(f)</w:t>
            </w:r>
          </w:p>
        </w:tc>
        <w:tc>
          <w:tcPr>
            <w:tcW w:w="9725" w:type="dxa"/>
            <w:tcBorders/>
            <w:vAlign w:val="center"/>
          </w:tcPr>
          <w:p>
            <w:pPr>
              <w:pStyle w:val="TableContents"/>
              <w:bidi w:val="0"/>
              <w:spacing w:before="0" w:after="283"/>
              <w:jc w:val="both"/>
              <w:rPr/>
            </w:pPr>
            <w:r>
              <w:rPr/>
              <w:t>Includes activities from our Corporate and Other businesses.</w:t>
            </w:r>
          </w:p>
        </w:tc>
      </w:tr>
    </w:tbl>
    <w:tbl>
      <w:tblPr>
        <w:tblW w:w="3603" w:type="dxa"/>
        <w:jc w:val="left"/>
        <w:tblInd w:w="0" w:type="dxa"/>
        <w:tblLayout w:type="fixed"/>
        <w:tblCellMar>
          <w:top w:w="0" w:type="dxa"/>
          <w:left w:w="0" w:type="dxa"/>
          <w:bottom w:w="0" w:type="dxa"/>
          <w:right w:w="0" w:type="dxa"/>
        </w:tblCellMar>
      </w:tblPr>
      <w:tblGrid>
        <w:gridCol w:w="38"/>
        <w:gridCol w:w="290"/>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3275" w:type="dxa"/>
            <w:tcBorders/>
            <w:vAlign w:val="center"/>
          </w:tcPr>
          <w:p>
            <w:pPr>
              <w:pStyle w:val="TableContents"/>
              <w:bidi w:val="0"/>
              <w:spacing w:before="0" w:after="283"/>
              <w:jc w:val="both"/>
              <w:rPr/>
            </w:pPr>
            <w:r>
              <w:rPr/>
              <w:t>Workday adjusted volume impact.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DATA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232" w:type="dxa"/>
        <w:jc w:val="left"/>
        <w:tblInd w:w="0" w:type="dxa"/>
        <w:tblLayout w:type="fixed"/>
        <w:tblCellMar>
          <w:top w:w="0" w:type="dxa"/>
          <w:left w:w="0" w:type="dxa"/>
          <w:bottom w:w="0" w:type="dxa"/>
          <w:right w:w="0" w:type="dxa"/>
        </w:tblCellMar>
      </w:tblPr>
      <w:tblGrid>
        <w:gridCol w:w="6290"/>
        <w:gridCol w:w="60"/>
        <w:gridCol w:w="164"/>
        <w:gridCol w:w="638"/>
        <w:gridCol w:w="105"/>
        <w:gridCol w:w="78"/>
        <w:gridCol w:w="164"/>
        <w:gridCol w:w="638"/>
        <w:gridCol w:w="95"/>
      </w:tblGrid>
      <w:tr>
        <w:trPr/>
        <w:tc>
          <w:tcPr>
            <w:tcW w:w="6290" w:type="dxa"/>
            <w:tcBorders/>
            <w:vAlign w:val="center"/>
          </w:tcPr>
          <w:p>
            <w:pPr>
              <w:pStyle w:val="TableContents"/>
              <w:bidi w:val="0"/>
              <w:spacing w:before="0" w:after="283"/>
              <w:jc w:val="left"/>
              <w:rPr>
                <w:b/>
                <w:sz w:val="20"/>
              </w:rPr>
            </w:pPr>
            <w:r>
              <w:rPr>
                <w:b/>
                <w:sz w:val="20"/>
              </w:rPr>
              <w:t>Free Cash Flow</w:t>
            </w:r>
            <w:r>
              <w:rPr>
                <w:b/>
                <w:position w:val="7"/>
                <w:sz w:val="16"/>
                <w:sz w:val="20"/>
              </w:rPr>
              <w:t>(a)</w:t>
            </w:r>
          </w:p>
        </w:tc>
        <w:tc>
          <w:tcPr>
            <w:tcW w:w="60" w:type="dxa"/>
            <w:tcBorders/>
            <w:vAlign w:val="center"/>
          </w:tcPr>
          <w:p>
            <w:pPr>
              <w:pStyle w:val="TableContents"/>
              <w:bidi w:val="0"/>
              <w:spacing w:before="0" w:after="283"/>
              <w:jc w:val="left"/>
              <w:rPr/>
            </w:pPr>
            <w:r>
              <w:rPr/>
              <w:t> </w:t>
            </w:r>
          </w:p>
        </w:tc>
        <w:tc>
          <w:tcPr>
            <w:tcW w:w="1787" w:type="dxa"/>
            <w:gridSpan w:val="6"/>
            <w:tcBorders/>
            <w:vAlign w:val="center"/>
          </w:tcPr>
          <w:p>
            <w:pPr>
              <w:pStyle w:val="TableContents"/>
              <w:bidi w:val="0"/>
              <w:spacing w:before="0" w:after="283"/>
              <w:jc w:val="center"/>
              <w:rPr>
                <w:b/>
                <w:sz w:val="20"/>
              </w:rPr>
            </w:pPr>
            <w:r>
              <w:rPr>
                <w:b/>
                <w:sz w:val="20"/>
              </w:rPr>
              <w:t>Three Months Ended</w:t>
            </w:r>
          </w:p>
        </w:tc>
        <w:tc>
          <w:tcPr>
            <w:tcW w:w="95"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w:t>
            </w:r>
          </w:p>
        </w:tc>
        <w:tc>
          <w:tcPr>
            <w:tcW w:w="95"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95"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20"/>
              </w:rPr>
            </w:pPr>
            <w:r>
              <w:rPr>
                <w:sz w:val="20"/>
              </w:rPr>
              <w:t>$</w:t>
            </w:r>
          </w:p>
        </w:tc>
        <w:tc>
          <w:tcPr>
            <w:tcW w:w="638" w:type="dxa"/>
            <w:tcBorders/>
            <w:shd w:fill="CCEEFF" w:val="clear"/>
            <w:vAlign w:val="center"/>
          </w:tcPr>
          <w:p>
            <w:pPr>
              <w:pStyle w:val="TableContents"/>
              <w:bidi w:val="0"/>
              <w:spacing w:before="0" w:after="283"/>
              <w:jc w:val="right"/>
              <w:rPr>
                <w:sz w:val="20"/>
              </w:rPr>
            </w:pPr>
            <w:r>
              <w:rPr>
                <w:sz w:val="20"/>
              </w:rPr>
              <w:t>1,367</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20"/>
              </w:rPr>
            </w:pPr>
            <w:r>
              <w:rPr>
                <w:sz w:val="20"/>
              </w:rPr>
              <w:t>$</w:t>
            </w:r>
          </w:p>
        </w:tc>
        <w:tc>
          <w:tcPr>
            <w:tcW w:w="638" w:type="dxa"/>
            <w:tcBorders/>
            <w:shd w:fill="CCEEFF" w:val="clear"/>
            <w:vAlign w:val="center"/>
          </w:tcPr>
          <w:p>
            <w:pPr>
              <w:pStyle w:val="TableContents"/>
              <w:bidi w:val="0"/>
              <w:spacing w:before="0" w:after="283"/>
              <w:jc w:val="right"/>
              <w:rPr>
                <w:sz w:val="20"/>
              </w:rPr>
            </w:pPr>
            <w:r>
              <w:rPr>
                <w:sz w:val="20"/>
              </w:rPr>
              <w:t>1,044</w:t>
            </w:r>
          </w:p>
        </w:tc>
        <w:tc>
          <w:tcPr>
            <w:tcW w:w="95"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Capital expenditures to support the business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(502</w:t>
            </w:r>
          </w:p>
        </w:tc>
        <w:tc>
          <w:tcPr>
            <w:tcW w:w="105" w:type="dxa"/>
            <w:tcBorders/>
            <w:shd w:fill="FFFFFF" w:val="clear"/>
            <w:vAlign w:val="center"/>
          </w:tcPr>
          <w:p>
            <w:pPr>
              <w:pStyle w:val="TableContents"/>
              <w:bidi w:val="0"/>
              <w:spacing w:before="0" w:after="283"/>
              <w:jc w:val="left"/>
              <w:rPr>
                <w:sz w:val="20"/>
              </w:rPr>
            </w:pPr>
            <w:r>
              <w:rPr>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(504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90" w:type="dxa"/>
            <w:tcBorders/>
            <w:shd w:fill="CCEEFF" w:val="clear"/>
            <w:vAlign w:val="center"/>
          </w:tcPr>
          <w:p>
            <w:pPr>
              <w:pStyle w:val="TableContents"/>
              <w:bidi w:val="0"/>
              <w:spacing w:before="0" w:after="283"/>
              <w:jc w:val="left"/>
              <w:rPr>
                <w:sz w:val="20"/>
              </w:rPr>
            </w:pPr>
            <w:r>
              <w:rPr>
                <w:sz w:val="20"/>
              </w:rPr>
              <w:t>Proceeds from divestitures of businesses and other assets, net of cash divested</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w:t>
            </w:r>
          </w:p>
        </w:tc>
        <w:tc>
          <w:tcPr>
            <w:tcW w:w="95"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Free cash flow before sustainability growth investments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880</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sz w:val="20"/>
              </w:rPr>
            </w:pPr>
            <w:r>
              <w:rPr>
                <w:sz w:val="20"/>
              </w:rPr>
              <w:t>551</w:t>
            </w:r>
          </w:p>
        </w:tc>
        <w:tc>
          <w:tcPr>
            <w:tcW w:w="95"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Capital expenditures - sustainability growth investments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(166</w:t>
            </w:r>
          </w:p>
        </w:tc>
        <w:tc>
          <w:tcPr>
            <w:tcW w:w="105" w:type="dxa"/>
            <w:tcBorders/>
            <w:shd w:fill="CCEEFF" w:val="clear"/>
            <w:vAlign w:val="center"/>
          </w:tcPr>
          <w:p>
            <w:pPr>
              <w:pStyle w:val="TableContents"/>
              <w:bidi w:val="0"/>
              <w:spacing w:before="0" w:after="283"/>
              <w:jc w:val="left"/>
              <w:rPr>
                <w:sz w:val="20"/>
              </w:rPr>
            </w:pPr>
            <w:r>
              <w:rPr>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90" w:type="dxa"/>
            <w:tcBorders/>
            <w:shd w:fill="FFFFFF" w:val="clear"/>
            <w:vAlign w:val="center"/>
          </w:tcPr>
          <w:p>
            <w:pPr>
              <w:pStyle w:val="TableContents"/>
              <w:bidi w:val="0"/>
              <w:spacing w:before="0" w:after="283"/>
              <w:jc w:val="left"/>
              <w:rPr>
                <w:sz w:val="20"/>
              </w:rPr>
            </w:pPr>
            <w:r>
              <w:rPr>
                <w:sz w:val="20"/>
              </w:rPr>
              <w:t>Free cash flow</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714</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395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43"/>
        <w:gridCol w:w="60"/>
        <w:gridCol w:w="169"/>
        <w:gridCol w:w="515"/>
        <w:gridCol w:w="250"/>
        <w:gridCol w:w="81"/>
        <w:gridCol w:w="169"/>
        <w:gridCol w:w="515"/>
        <w:gridCol w:w="203"/>
      </w:tblGrid>
      <w:tr>
        <w:trPr/>
        <w:tc>
          <w:tcPr>
            <w:tcW w:w="8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9" w:type="dxa"/>
            <w:gridSpan w:val="6"/>
            <w:tcBorders/>
            <w:vAlign w:val="center"/>
          </w:tcPr>
          <w:p>
            <w:pPr>
              <w:pStyle w:val="TableContents"/>
              <w:bidi w:val="0"/>
              <w:spacing w:before="0" w:after="283"/>
              <w:jc w:val="center"/>
              <w:rPr>
                <w:b/>
                <w:sz w:val="20"/>
              </w:rPr>
            </w:pPr>
            <w:r>
              <w:rPr>
                <w:b/>
                <w:sz w:val="20"/>
              </w:rPr>
              <w:t>Three Months Ended</w:t>
            </w:r>
          </w:p>
        </w:tc>
        <w:tc>
          <w:tcPr>
            <w:tcW w:w="203" w:type="dxa"/>
            <w:tcBorders/>
            <w:vAlign w:val="center"/>
          </w:tcPr>
          <w:p>
            <w:pPr>
              <w:pStyle w:val="TableContents"/>
              <w:bidi w:val="0"/>
              <w:spacing w:before="0" w:after="283"/>
              <w:jc w:val="left"/>
              <w:rPr/>
            </w:pPr>
            <w:r>
              <w:rPr/>
              <w:t> </w:t>
            </w:r>
          </w:p>
        </w:tc>
      </w:tr>
      <w:tr>
        <w:trPr/>
        <w:tc>
          <w:tcPr>
            <w:tcW w:w="8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w:t>
            </w:r>
          </w:p>
        </w:tc>
        <w:tc>
          <w:tcPr>
            <w:tcW w:w="203" w:type="dxa"/>
            <w:tcBorders/>
            <w:vAlign w:val="center"/>
          </w:tcPr>
          <w:p>
            <w:pPr>
              <w:pStyle w:val="TableContents"/>
              <w:bidi w:val="0"/>
              <w:spacing w:before="0" w:after="283"/>
              <w:jc w:val="left"/>
              <w:rPr/>
            </w:pPr>
            <w:r>
              <w:rPr/>
              <w:t> </w:t>
            </w:r>
          </w:p>
        </w:tc>
      </w:tr>
      <w:tr>
        <w:trPr/>
        <w:tc>
          <w:tcPr>
            <w:tcW w:w="8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25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203" w:type="dxa"/>
            <w:tcBorders/>
            <w:vAlign w:val="center"/>
          </w:tcPr>
          <w:p>
            <w:pPr>
              <w:pStyle w:val="TableContents"/>
              <w:bidi w:val="0"/>
              <w:spacing w:before="0" w:after="283"/>
              <w:jc w:val="left"/>
              <w:rPr/>
            </w:pPr>
            <w:r>
              <w:rPr/>
              <w:t> </w:t>
            </w:r>
          </w:p>
        </w:tc>
      </w:tr>
      <w:tr>
        <w:trPr/>
        <w:tc>
          <w:tcPr>
            <w:tcW w:w="8243" w:type="dxa"/>
            <w:tcBorders/>
            <w:shd w:fill="CCEEFF" w:val="clear"/>
            <w:vAlign w:val="center"/>
          </w:tcPr>
          <w:p>
            <w:pPr>
              <w:pStyle w:val="TableContents"/>
              <w:bidi w:val="0"/>
              <w:spacing w:before="0" w:after="283"/>
              <w:jc w:val="left"/>
              <w:rPr>
                <w:b/>
                <w:sz w:val="20"/>
              </w:rPr>
            </w:pPr>
            <w:r>
              <w:rPr>
                <w:b/>
                <w:sz w:val="20"/>
              </w:rPr>
              <w:t>Supplemental Data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03" w:type="dxa"/>
            <w:tcBorders/>
            <w:shd w:fill="CCEEFF" w:val="clear"/>
            <w:vAlign w:val="center"/>
          </w:tcPr>
          <w:p>
            <w:pPr>
              <w:pStyle w:val="TableContents"/>
              <w:bidi w:val="0"/>
              <w:spacing w:before="0" w:after="283"/>
              <w:jc w:val="left"/>
              <w:rPr/>
            </w:pPr>
            <w:r>
              <w:rPr/>
              <w:t> </w:t>
            </w:r>
          </w:p>
        </w:tc>
      </w:tr>
      <w:tr>
        <w:trPr/>
        <w:tc>
          <w:tcPr>
            <w:tcW w:w="8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r>
      <w:tr>
        <w:trPr/>
        <w:tc>
          <w:tcPr>
            <w:tcW w:w="8243" w:type="dxa"/>
            <w:tcBorders/>
            <w:shd w:fill="CCEEFF" w:val="clear"/>
            <w:vAlign w:val="center"/>
          </w:tcPr>
          <w:p>
            <w:pPr>
              <w:pStyle w:val="TableContents"/>
              <w:bidi w:val="0"/>
              <w:spacing w:before="0" w:after="283"/>
              <w:jc w:val="left"/>
              <w:rPr>
                <w:sz w:val="20"/>
              </w:rPr>
            </w:pPr>
            <w:r>
              <w:rPr>
                <w:sz w:val="20"/>
              </w:rPr>
              <w:t>Internalization of waste, based on disposal costs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68.3</w:t>
            </w:r>
          </w:p>
        </w:tc>
        <w:tc>
          <w:tcPr>
            <w:tcW w:w="250" w:type="dxa"/>
            <w:tcBorders/>
            <w:shd w:fill="CCEEFF" w:val="clear"/>
            <w:vAlign w:val="center"/>
          </w:tcPr>
          <w:p>
            <w:pPr>
              <w:pStyle w:val="TableContents"/>
              <w:bidi w:val="0"/>
              <w:spacing w:before="0" w:after="283"/>
              <w:jc w:val="left"/>
              <w:rPr>
                <w:sz w:val="20"/>
              </w:rPr>
            </w:pPr>
            <w:r>
              <w:rPr>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68.5</w:t>
            </w:r>
          </w:p>
        </w:tc>
        <w:tc>
          <w:tcPr>
            <w:tcW w:w="203" w:type="dxa"/>
            <w:tcBorders/>
            <w:shd w:fill="CCEEFF" w:val="clear"/>
            <w:vAlign w:val="center"/>
          </w:tcPr>
          <w:p>
            <w:pPr>
              <w:pStyle w:val="TableContents"/>
              <w:bidi w:val="0"/>
              <w:spacing w:before="0" w:after="283"/>
              <w:jc w:val="left"/>
              <w:rPr>
                <w:sz w:val="20"/>
              </w:rPr>
            </w:pPr>
            <w:r>
              <w:rPr>
                <w:sz w:val="20"/>
              </w:rPr>
              <w:t>%</w:t>
            </w:r>
          </w:p>
        </w:tc>
      </w:tr>
      <w:tr>
        <w:trPr/>
        <w:tc>
          <w:tcPr>
            <w:tcW w:w="8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r>
      <w:tr>
        <w:trPr/>
        <w:tc>
          <w:tcPr>
            <w:tcW w:w="8243" w:type="dxa"/>
            <w:tcBorders/>
            <w:shd w:fill="CCEEFF" w:val="clear"/>
            <w:vAlign w:val="center"/>
          </w:tcPr>
          <w:p>
            <w:pPr>
              <w:pStyle w:val="TableContents"/>
              <w:bidi w:val="0"/>
              <w:spacing w:before="0" w:after="283"/>
              <w:jc w:val="left"/>
              <w:rPr>
                <w:sz w:val="20"/>
              </w:rPr>
            </w:pPr>
            <w:r>
              <w:rPr>
                <w:sz w:val="20"/>
              </w:rPr>
              <w:t>Landfill depletable tons (in millions)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29.0</w:t>
            </w:r>
          </w:p>
        </w:tc>
        <w:tc>
          <w:tcPr>
            <w:tcW w:w="25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29.3</w:t>
            </w:r>
          </w:p>
        </w:tc>
        <w:tc>
          <w:tcPr>
            <w:tcW w:w="203" w:type="dxa"/>
            <w:tcBorders/>
            <w:shd w:fill="CCEEFF" w:val="clear"/>
            <w:vAlign w:val="center"/>
          </w:tcPr>
          <w:p>
            <w:pPr>
              <w:pStyle w:val="TableContents"/>
              <w:bidi w:val="0"/>
              <w:spacing w:before="0" w:after="283"/>
              <w:jc w:val="left"/>
              <w:rPr/>
            </w:pPr>
            <w:r>
              <w:rPr/>
              <w:t> </w:t>
            </w:r>
          </w:p>
        </w:tc>
      </w:tr>
      <w:tr>
        <w:trPr/>
        <w:tc>
          <w:tcPr>
            <w:tcW w:w="8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r>
      <w:tr>
        <w:trPr/>
        <w:tc>
          <w:tcPr>
            <w:tcW w:w="8243" w:type="dxa"/>
            <w:tcBorders/>
            <w:shd w:fill="CCEEFF" w:val="clear"/>
            <w:vAlign w:val="center"/>
          </w:tcPr>
          <w:p>
            <w:pPr>
              <w:pStyle w:val="TableContents"/>
              <w:bidi w:val="0"/>
              <w:spacing w:before="0" w:after="283"/>
              <w:jc w:val="left"/>
              <w:rPr>
                <w:b/>
                <w:sz w:val="20"/>
              </w:rPr>
            </w:pPr>
            <w:r>
              <w:rPr>
                <w:b/>
                <w:sz w:val="20"/>
              </w:rPr>
              <w:t>Acquisition Summary</w:t>
            </w:r>
            <w:r>
              <w:rPr>
                <w:b/>
                <w:position w:val="7"/>
                <w:sz w:val="16"/>
                <w:sz w:val="20"/>
              </w:rPr>
              <w:t>(b)</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03" w:type="dxa"/>
            <w:tcBorders/>
            <w:shd w:fill="CCEEFF" w:val="clear"/>
            <w:vAlign w:val="center"/>
          </w:tcPr>
          <w:p>
            <w:pPr>
              <w:pStyle w:val="TableContents"/>
              <w:bidi w:val="0"/>
              <w:spacing w:before="0" w:after="283"/>
              <w:jc w:val="left"/>
              <w:rPr/>
            </w:pPr>
            <w:r>
              <w:rPr/>
              <w:t> </w:t>
            </w:r>
          </w:p>
        </w:tc>
      </w:tr>
      <w:tr>
        <w:trPr/>
        <w:tc>
          <w:tcPr>
            <w:tcW w:w="8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r>
      <w:tr>
        <w:trPr/>
        <w:tc>
          <w:tcPr>
            <w:tcW w:w="8243" w:type="dxa"/>
            <w:tcBorders/>
            <w:shd w:fill="CCEEFF" w:val="clear"/>
            <w:vAlign w:val="center"/>
          </w:tcPr>
          <w:p>
            <w:pPr>
              <w:pStyle w:val="TableContents"/>
              <w:bidi w:val="0"/>
              <w:spacing w:before="0" w:after="283"/>
              <w:jc w:val="left"/>
              <w:rPr>
                <w:sz w:val="20"/>
              </w:rPr>
            </w:pPr>
            <w:r>
              <w:rPr>
                <w:sz w:val="20"/>
              </w:rPr>
              <w:t>Gross annualized revenue acquired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sz w:val="20"/>
              </w:rPr>
            </w:pPr>
            <w:r>
              <w:rPr>
                <w:sz w:val="20"/>
              </w:rPr>
              <w:t>$</w:t>
            </w:r>
          </w:p>
        </w:tc>
        <w:tc>
          <w:tcPr>
            <w:tcW w:w="515" w:type="dxa"/>
            <w:tcBorders/>
            <w:shd w:fill="CCEEFF" w:val="clear"/>
            <w:vAlign w:val="center"/>
          </w:tcPr>
          <w:p>
            <w:pPr>
              <w:pStyle w:val="TableContents"/>
              <w:bidi w:val="0"/>
              <w:spacing w:before="0" w:after="283"/>
              <w:jc w:val="right"/>
              <w:rPr>
                <w:sz w:val="20"/>
              </w:rPr>
            </w:pPr>
            <w:r>
              <w:rPr>
                <w:sz w:val="20"/>
              </w:rPr>
              <w:t>1</w:t>
            </w:r>
          </w:p>
        </w:tc>
        <w:tc>
          <w:tcPr>
            <w:tcW w:w="25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sz w:val="20"/>
              </w:rPr>
            </w:pPr>
            <w:r>
              <w:rPr>
                <w:sz w:val="20"/>
              </w:rPr>
              <w:t>$</w:t>
            </w:r>
          </w:p>
        </w:tc>
        <w:tc>
          <w:tcPr>
            <w:tcW w:w="515" w:type="dxa"/>
            <w:tcBorders/>
            <w:shd w:fill="CCEEFF" w:val="clear"/>
            <w:vAlign w:val="center"/>
          </w:tcPr>
          <w:p>
            <w:pPr>
              <w:pStyle w:val="TableContents"/>
              <w:bidi w:val="0"/>
              <w:spacing w:before="0" w:after="283"/>
              <w:jc w:val="right"/>
              <w:rPr>
                <w:sz w:val="20"/>
              </w:rPr>
            </w:pPr>
            <w:r>
              <w:rPr>
                <w:sz w:val="20"/>
              </w:rPr>
              <w:t>18</w:t>
            </w:r>
          </w:p>
        </w:tc>
        <w:tc>
          <w:tcPr>
            <w:tcW w:w="203" w:type="dxa"/>
            <w:tcBorders/>
            <w:shd w:fill="CCEEFF" w:val="clear"/>
            <w:vAlign w:val="center"/>
          </w:tcPr>
          <w:p>
            <w:pPr>
              <w:pStyle w:val="TableContents"/>
              <w:bidi w:val="0"/>
              <w:spacing w:before="0" w:after="283"/>
              <w:jc w:val="left"/>
              <w:rPr/>
            </w:pPr>
            <w:r>
              <w:rPr/>
              <w:t> </w:t>
            </w:r>
          </w:p>
        </w:tc>
      </w:tr>
      <w:tr>
        <w:trPr/>
        <w:tc>
          <w:tcPr>
            <w:tcW w:w="8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r>
      <w:tr>
        <w:trPr/>
        <w:tc>
          <w:tcPr>
            <w:tcW w:w="8243" w:type="dxa"/>
            <w:tcBorders/>
            <w:shd w:fill="CCEEFF" w:val="clear"/>
            <w:vAlign w:val="center"/>
          </w:tcPr>
          <w:p>
            <w:pPr>
              <w:pStyle w:val="TableContents"/>
              <w:bidi w:val="0"/>
              <w:spacing w:before="0" w:after="283"/>
              <w:jc w:val="left"/>
              <w:rPr>
                <w:sz w:val="20"/>
              </w:rPr>
            </w:pPr>
            <w:r>
              <w:rPr>
                <w:sz w:val="20"/>
              </w:rPr>
              <w:t>Total consideration, net of cash acquired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3</w:t>
            </w:r>
          </w:p>
        </w:tc>
        <w:tc>
          <w:tcPr>
            <w:tcW w:w="25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34</w:t>
            </w:r>
          </w:p>
        </w:tc>
        <w:tc>
          <w:tcPr>
            <w:tcW w:w="203" w:type="dxa"/>
            <w:tcBorders/>
            <w:shd w:fill="CCEEFF" w:val="clear"/>
            <w:vAlign w:val="center"/>
          </w:tcPr>
          <w:p>
            <w:pPr>
              <w:pStyle w:val="TableContents"/>
              <w:bidi w:val="0"/>
              <w:spacing w:before="0" w:after="283"/>
              <w:jc w:val="left"/>
              <w:rPr/>
            </w:pPr>
            <w:r>
              <w:rPr/>
              <w:t> </w:t>
            </w:r>
          </w:p>
        </w:tc>
      </w:tr>
      <w:tr>
        <w:trPr/>
        <w:tc>
          <w:tcPr>
            <w:tcW w:w="8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r>
      <w:tr>
        <w:trPr/>
        <w:tc>
          <w:tcPr>
            <w:tcW w:w="8243" w:type="dxa"/>
            <w:tcBorders/>
            <w:shd w:fill="CCEEFF" w:val="clear"/>
            <w:vAlign w:val="center"/>
          </w:tcPr>
          <w:p>
            <w:pPr>
              <w:pStyle w:val="TableContents"/>
              <w:bidi w:val="0"/>
              <w:spacing w:before="0" w:after="283"/>
              <w:jc w:val="left"/>
              <w:rPr>
                <w:sz w:val="20"/>
              </w:rPr>
            </w:pPr>
            <w:r>
              <w:rPr>
                <w:sz w:val="20"/>
              </w:rPr>
              <w:t>Cash paid for acquisitions consummated during the period, net of cash acquired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2</w:t>
            </w:r>
          </w:p>
        </w:tc>
        <w:tc>
          <w:tcPr>
            <w:tcW w:w="25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31</w:t>
            </w:r>
          </w:p>
        </w:tc>
        <w:tc>
          <w:tcPr>
            <w:tcW w:w="203" w:type="dxa"/>
            <w:tcBorders/>
            <w:shd w:fill="CCEEFF" w:val="clear"/>
            <w:vAlign w:val="center"/>
          </w:tcPr>
          <w:p>
            <w:pPr>
              <w:pStyle w:val="TableContents"/>
              <w:bidi w:val="0"/>
              <w:spacing w:before="0" w:after="283"/>
              <w:jc w:val="left"/>
              <w:rPr/>
            </w:pPr>
            <w:r>
              <w:rPr/>
              <w:t> </w:t>
            </w:r>
          </w:p>
        </w:tc>
      </w:tr>
      <w:tr>
        <w:trPr/>
        <w:tc>
          <w:tcPr>
            <w:tcW w:w="8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ind w:left="0" w:right="0" w:hanging="144"/>
              <w:jc w:val="left"/>
              <w:rPr/>
            </w:pPr>
            <w:r>
              <w:rPr/>
              <w:t> </w:t>
            </w:r>
          </w:p>
        </w:tc>
      </w:tr>
      <w:tr>
        <w:trPr/>
        <w:tc>
          <w:tcPr>
            <w:tcW w:w="8243" w:type="dxa"/>
            <w:tcBorders/>
            <w:shd w:fill="CCEEFF" w:val="clear"/>
            <w:vAlign w:val="center"/>
          </w:tcPr>
          <w:p>
            <w:pPr>
              <w:pStyle w:val="TableContents"/>
              <w:bidi w:val="0"/>
              <w:spacing w:before="0" w:after="283"/>
              <w:jc w:val="left"/>
              <w:rPr>
                <w:sz w:val="20"/>
              </w:rPr>
            </w:pPr>
            <w:r>
              <w:rPr>
                <w:sz w:val="20"/>
              </w:rPr>
              <w:t>Cash paid for acquisitions including contingent consideration and other items from prior periods, net of cash acquired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18</w:t>
            </w:r>
          </w:p>
        </w:tc>
        <w:tc>
          <w:tcPr>
            <w:tcW w:w="25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34</w:t>
            </w:r>
          </w:p>
        </w:tc>
        <w:tc>
          <w:tcPr>
            <w:tcW w:w="20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Landfill Amortization and Accretion Expenses:</w:t>
      </w:r>
    </w:p>
    <w:p>
      <w:pPr>
        <w:pStyle w:val="TextBody"/>
        <w:bidi w:val="0"/>
        <w:spacing w:before="0" w:after="0"/>
        <w:ind w:left="0" w:right="0" w:hanging="0"/>
        <w:jc w:val="left"/>
        <w:rPr>
          <w:caps w:val="false"/>
          <w:smallCaps w:val="false"/>
        </w:rPr>
      </w:pPr>
      <w:r>
        <w:rPr>
          <w:caps w:val="false"/>
          <w:smallCaps w:val="false"/>
        </w:rPr>
        <w:t> </w:t>
      </w:r>
    </w:p>
    <w:tbl>
      <w:tblPr>
        <w:tblW w:w="5288" w:type="dxa"/>
        <w:jc w:val="left"/>
        <w:tblInd w:w="0" w:type="dxa"/>
        <w:tblLayout w:type="fixed"/>
        <w:tblCellMar>
          <w:top w:w="0" w:type="dxa"/>
          <w:left w:w="0" w:type="dxa"/>
          <w:bottom w:w="0" w:type="dxa"/>
          <w:right w:w="0" w:type="dxa"/>
        </w:tblCellMar>
      </w:tblPr>
      <w:tblGrid>
        <w:gridCol w:w="3365"/>
        <w:gridCol w:w="60"/>
        <w:gridCol w:w="215"/>
        <w:gridCol w:w="576"/>
        <w:gridCol w:w="103"/>
        <w:gridCol w:w="103"/>
        <w:gridCol w:w="215"/>
        <w:gridCol w:w="576"/>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vAlign w:val="center"/>
          </w:tcPr>
          <w:p>
            <w:pPr>
              <w:pStyle w:val="TableContents"/>
              <w:bidi w:val="0"/>
              <w:spacing w:before="0" w:after="283"/>
              <w:jc w:val="center"/>
              <w:rPr>
                <w:b/>
                <w:sz w:val="20"/>
              </w:rPr>
            </w:pPr>
            <w:r>
              <w:rPr>
                <w:b/>
                <w:sz w:val="20"/>
              </w:rPr>
              <w:t>Three Months Ended</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sz w:val="20"/>
              </w:rPr>
            </w:pPr>
            <w:r>
              <w:rPr>
                <w:sz w:val="20"/>
              </w:rPr>
              <w:t>Landfill depletion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sz w:val="20"/>
              </w:rPr>
            </w:pPr>
            <w:r>
              <w:rPr>
                <w:sz w:val="20"/>
              </w:rPr>
              <w:t>Cost basis of landfill assets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sz w:val="20"/>
              </w:rPr>
            </w:pPr>
            <w:r>
              <w:rPr>
                <w:sz w:val="20"/>
              </w:rPr>
              <w:t>$</w:t>
            </w:r>
          </w:p>
        </w:tc>
        <w:tc>
          <w:tcPr>
            <w:tcW w:w="576" w:type="dxa"/>
            <w:tcBorders/>
            <w:shd w:fill="FFFFFF" w:val="clear"/>
            <w:vAlign w:val="center"/>
          </w:tcPr>
          <w:p>
            <w:pPr>
              <w:pStyle w:val="TableContents"/>
              <w:bidi w:val="0"/>
              <w:spacing w:before="0" w:after="283"/>
              <w:jc w:val="right"/>
              <w:rPr>
                <w:sz w:val="20"/>
              </w:rPr>
            </w:pPr>
            <w:r>
              <w:rPr>
                <w:sz w:val="20"/>
              </w:rPr>
              <w:t>146</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sz w:val="20"/>
              </w:rPr>
            </w:pPr>
            <w:r>
              <w:rPr>
                <w:sz w:val="20"/>
              </w:rPr>
              <w:t>$</w:t>
            </w:r>
          </w:p>
        </w:tc>
        <w:tc>
          <w:tcPr>
            <w:tcW w:w="576" w:type="dxa"/>
            <w:tcBorders/>
            <w:shd w:fill="FFFFFF" w:val="clear"/>
            <w:vAlign w:val="center"/>
          </w:tcPr>
          <w:p>
            <w:pPr>
              <w:pStyle w:val="TableContents"/>
              <w:bidi w:val="0"/>
              <w:spacing w:before="0" w:after="283"/>
              <w:jc w:val="right"/>
              <w:rPr>
                <w:sz w:val="20"/>
              </w:rPr>
            </w:pPr>
            <w:r>
              <w:rPr>
                <w:sz w:val="20"/>
              </w:rPr>
              <w:t>142</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sz w:val="20"/>
              </w:rPr>
            </w:pPr>
            <w:r>
              <w:rPr>
                <w:sz w:val="20"/>
              </w:rPr>
              <w:t>Asset retirement costs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sz w:val="20"/>
              </w:rPr>
            </w:pPr>
            <w:r>
              <w:rPr>
                <w:sz w:val="20"/>
              </w:rPr>
              <w:t>Total landfill depletion expense</w:t>
            </w:r>
            <w:r>
              <w:rPr>
                <w:position w:val="7"/>
                <w:sz w:val="16"/>
                <w:sz w:val="20"/>
              </w:rPr>
              <w:t>(c)</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sz w:val="20"/>
              </w:rPr>
            </w:pPr>
            <w:r>
              <w:rPr>
                <w:sz w:val="20"/>
              </w:rPr>
              <w:t>176</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sz w:val="20"/>
              </w:rPr>
            </w:pPr>
            <w:r>
              <w:rPr>
                <w:sz w:val="20"/>
              </w:rPr>
              <w:t>178</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sz w:val="20"/>
              </w:rPr>
            </w:pPr>
            <w:r>
              <w:rPr>
                <w:sz w:val="20"/>
              </w:rPr>
              <w:t>Accretion expense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sz w:val="20"/>
              </w:rPr>
            </w:pPr>
            <w:r>
              <w:rPr>
                <w:sz w:val="20"/>
              </w:rPr>
              <w:t>Landfill depletion and accretion expense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209</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tc>
      </w:tr>
    </w:tbl>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Represents amounts associated with business acquisitions consummated during the applicable period except where noted.</w:t>
            </w:r>
          </w:p>
        </w:tc>
      </w:tr>
    </w:tbl>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The decrease in landfill depletion for the three months ended March 31, 2024 as compared to the quarter ended March 31, 2023 was primarily driven by the closure of a landfill in our East Tier partially offset by increases due to changes in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CERTAIN NON-GAAP MEASURES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752" w:type="dxa"/>
        <w:jc w:val="left"/>
        <w:tblInd w:w="0" w:type="dxa"/>
        <w:tblLayout w:type="fixed"/>
        <w:tblCellMar>
          <w:top w:w="0" w:type="dxa"/>
          <w:left w:w="0" w:type="dxa"/>
          <w:bottom w:w="0" w:type="dxa"/>
          <w:right w:w="0" w:type="dxa"/>
        </w:tblCellMar>
      </w:tblPr>
      <w:tblGrid>
        <w:gridCol w:w="4190"/>
        <w:gridCol w:w="60"/>
        <w:gridCol w:w="228"/>
        <w:gridCol w:w="886"/>
        <w:gridCol w:w="215"/>
        <w:gridCol w:w="60"/>
        <w:gridCol w:w="176"/>
        <w:gridCol w:w="474"/>
        <w:gridCol w:w="80"/>
        <w:gridCol w:w="60"/>
        <w:gridCol w:w="197"/>
        <w:gridCol w:w="528"/>
        <w:gridCol w:w="230"/>
        <w:gridCol w:w="60"/>
        <w:gridCol w:w="232"/>
        <w:gridCol w:w="627"/>
        <w:gridCol w:w="80"/>
        <w:gridCol w:w="60"/>
        <w:gridCol w:w="305"/>
        <w:gridCol w:w="929"/>
        <w:gridCol w:w="75"/>
      </w:tblGrid>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7" w:type="dxa"/>
            <w:gridSpan w:val="18"/>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March 31, 2024</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sz w:val="20"/>
              </w:rPr>
            </w:pPr>
            <w:r>
              <w:rPr>
                <w:b/>
                <w:sz w:val="20"/>
              </w:rPr>
              <w:t>Income from</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b/>
                <w:sz w:val="20"/>
              </w:rPr>
            </w:pPr>
            <w:r>
              <w:rPr>
                <w:b/>
                <w:sz w:val="20"/>
              </w:rPr>
              <w:t>Pre-tax</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b/>
                <w:sz w:val="20"/>
              </w:rPr>
            </w:pPr>
            <w:r>
              <w:rPr>
                <w:b/>
                <w:sz w:val="20"/>
              </w:rPr>
              <w:t>Tax</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283"/>
              <w:jc w:val="center"/>
              <w:rPr>
                <w:b/>
                <w:sz w:val="20"/>
              </w:rPr>
            </w:pPr>
            <w:r>
              <w:rPr>
                <w:b/>
                <w:sz w:val="20"/>
              </w:rPr>
              <w:t>Net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sz w:val="20"/>
              </w:rPr>
            </w:pPr>
            <w:r>
              <w:rPr>
                <w:b/>
                <w:sz w:val="20"/>
              </w:rPr>
              <w:t>Diluted Per</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Operations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Expense</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Income</w:t>
            </w:r>
            <w:r>
              <w:rPr>
                <w:b/>
                <w:position w:val="7"/>
                <w:sz w:val="16"/>
                <w:sz w:val="20"/>
              </w:rPr>
              <w:t>(a)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Share Amount</w:t>
            </w:r>
          </w:p>
        </w:tc>
        <w:tc>
          <w:tcPr>
            <w:tcW w:w="7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b/>
                <w:sz w:val="20"/>
              </w:rPr>
            </w:pPr>
            <w:r>
              <w:rPr>
                <w:b/>
                <w:sz w:val="20"/>
              </w:rPr>
              <w:t>As reported amounts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b/>
                <w:sz w:val="20"/>
              </w:rPr>
            </w:pPr>
            <w:r>
              <w:rPr>
                <w:b/>
                <w:sz w:val="20"/>
              </w:rPr>
              <w:t>$</w:t>
            </w:r>
          </w:p>
        </w:tc>
        <w:tc>
          <w:tcPr>
            <w:tcW w:w="886" w:type="dxa"/>
            <w:tcBorders/>
            <w:shd w:fill="CCEEFF" w:val="clear"/>
            <w:vAlign w:val="center"/>
          </w:tcPr>
          <w:p>
            <w:pPr>
              <w:pStyle w:val="TableContents"/>
              <w:bidi w:val="0"/>
              <w:spacing w:before="0" w:after="283"/>
              <w:jc w:val="right"/>
              <w:rPr>
                <w:b/>
                <w:sz w:val="20"/>
              </w:rPr>
            </w:pPr>
            <w:r>
              <w:rPr>
                <w:b/>
                <w:sz w:val="20"/>
              </w:rPr>
              <w:t>1,016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b/>
                <w:sz w:val="20"/>
              </w:rPr>
            </w:pPr>
            <w:r>
              <w:rPr>
                <w:b/>
                <w:sz w:val="20"/>
              </w:rPr>
              <w:t>$</w:t>
            </w:r>
          </w:p>
        </w:tc>
        <w:tc>
          <w:tcPr>
            <w:tcW w:w="474" w:type="dxa"/>
            <w:tcBorders/>
            <w:shd w:fill="CCEEFF" w:val="clear"/>
            <w:vAlign w:val="center"/>
          </w:tcPr>
          <w:p>
            <w:pPr>
              <w:pStyle w:val="TableContents"/>
              <w:bidi w:val="0"/>
              <w:spacing w:before="0" w:after="283"/>
              <w:jc w:val="right"/>
              <w:rPr>
                <w:b/>
                <w:sz w:val="20"/>
              </w:rPr>
            </w:pPr>
            <w:r>
              <w:rPr>
                <w:b/>
                <w:sz w:val="20"/>
              </w:rPr>
              <w:t>869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b/>
                <w:sz w:val="20"/>
              </w:rPr>
            </w:pPr>
            <w:r>
              <w:rPr>
                <w:b/>
                <w:sz w:val="20"/>
              </w:rPr>
              <w:t>$</w:t>
            </w:r>
          </w:p>
        </w:tc>
        <w:tc>
          <w:tcPr>
            <w:tcW w:w="528" w:type="dxa"/>
            <w:tcBorders/>
            <w:shd w:fill="CCEEFF" w:val="clear"/>
            <w:vAlign w:val="center"/>
          </w:tcPr>
          <w:p>
            <w:pPr>
              <w:pStyle w:val="TableContents"/>
              <w:bidi w:val="0"/>
              <w:spacing w:before="0" w:after="283"/>
              <w:jc w:val="right"/>
              <w:rPr>
                <w:b/>
                <w:sz w:val="20"/>
              </w:rPr>
            </w:pPr>
            <w:r>
              <w:rPr>
                <w:b/>
                <w:sz w:val="20"/>
              </w:rPr>
              <w:t>162</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b/>
                <w:sz w:val="20"/>
              </w:rPr>
            </w:pPr>
            <w:r>
              <w:rPr>
                <w:b/>
                <w:sz w:val="20"/>
              </w:rPr>
              <w:t>$</w:t>
            </w:r>
          </w:p>
        </w:tc>
        <w:tc>
          <w:tcPr>
            <w:tcW w:w="627" w:type="dxa"/>
            <w:tcBorders/>
            <w:shd w:fill="CCEEFF" w:val="clear"/>
            <w:vAlign w:val="center"/>
          </w:tcPr>
          <w:p>
            <w:pPr>
              <w:pStyle w:val="TableContents"/>
              <w:bidi w:val="0"/>
              <w:spacing w:before="0" w:after="283"/>
              <w:jc w:val="right"/>
              <w:rPr>
                <w:b/>
                <w:sz w:val="20"/>
              </w:rPr>
            </w:pPr>
            <w:r>
              <w:rPr>
                <w:b/>
                <w:sz w:val="20"/>
              </w:rPr>
              <w:t>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b/>
                <w:sz w:val="20"/>
              </w:rPr>
            </w:pPr>
            <w:r>
              <w:rPr>
                <w:b/>
                <w:sz w:val="20"/>
              </w:rPr>
              <w:t>$</w:t>
            </w:r>
          </w:p>
        </w:tc>
        <w:tc>
          <w:tcPr>
            <w:tcW w:w="929" w:type="dxa"/>
            <w:tcBorders/>
            <w:shd w:fill="CCEEFF" w:val="clear"/>
            <w:vAlign w:val="center"/>
          </w:tcPr>
          <w:p>
            <w:pPr>
              <w:pStyle w:val="TableContents"/>
              <w:bidi w:val="0"/>
              <w:spacing w:before="0" w:after="283"/>
              <w:jc w:val="right"/>
              <w:rPr>
                <w:b/>
                <w:sz w:val="20"/>
              </w:rPr>
            </w:pPr>
            <w:r>
              <w:rPr>
                <w:b/>
                <w:sz w:val="20"/>
              </w:rPr>
              <w:t>1.75</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b/>
                <w:sz w:val="20"/>
              </w:rPr>
            </w:pPr>
            <w:r>
              <w:rPr>
                <w:b/>
                <w:sz w:val="20"/>
              </w:rPr>
              <w:t>Adjustment: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sz w:val="20"/>
              </w:rPr>
            </w:pPr>
            <w:r>
              <w:rPr>
                <w:sz w:val="20"/>
              </w:rPr>
              <w:t>Gain from asset impairments and unusual items, net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b/>
                <w:sz w:val="20"/>
              </w:rPr>
            </w:pPr>
            <w:r>
              <w:rPr>
                <w:b/>
                <w:sz w:val="20"/>
              </w:rPr>
              <w:t>As adjusted amounts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b/>
                <w:sz w:val="20"/>
              </w:rPr>
            </w:pPr>
            <w:r>
              <w:rPr>
                <w:b/>
                <w:sz w:val="20"/>
              </w:rPr>
              <w:t>$</w:t>
            </w:r>
          </w:p>
        </w:tc>
        <w:tc>
          <w:tcPr>
            <w:tcW w:w="886" w:type="dxa"/>
            <w:tcBorders/>
            <w:shd w:fill="FFFFFF" w:val="clear"/>
            <w:vAlign w:val="center"/>
          </w:tcPr>
          <w:p>
            <w:pPr>
              <w:pStyle w:val="TableContents"/>
              <w:bidi w:val="0"/>
              <w:spacing w:before="0" w:after="283"/>
              <w:jc w:val="right"/>
              <w:rPr>
                <w:b/>
                <w:sz w:val="20"/>
              </w:rPr>
            </w:pPr>
            <w:r>
              <w:rPr>
                <w:b/>
                <w:sz w:val="20"/>
              </w:rPr>
              <w:t>1,014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474"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162</w:t>
            </w:r>
          </w:p>
        </w:tc>
        <w:tc>
          <w:tcPr>
            <w:tcW w:w="230" w:type="dxa"/>
            <w:tcBorders/>
            <w:shd w:fill="FFFFFF" w:val="clear"/>
            <w:vAlign w:val="center"/>
          </w:tcPr>
          <w:p>
            <w:pPr>
              <w:pStyle w:val="TableContents"/>
              <w:bidi w:val="0"/>
              <w:spacing w:before="0" w:after="283"/>
              <w:jc w:val="left"/>
              <w:rPr>
                <w:b/>
                <w:position w:val="7"/>
                <w:sz w:val="16"/>
                <w:sz w:val="20"/>
              </w:rPr>
            </w:pPr>
            <w:r>
              <w:rPr>
                <w:b/>
                <w:position w:val="7"/>
                <w:sz w:val="16"/>
                <w:sz w:val="20"/>
              </w:rPr>
              <w:t>(b)</w:t>
            </w:r>
          </w:p>
        </w:tc>
        <w:tc>
          <w:tcPr>
            <w:tcW w:w="60"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706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1.75</w:t>
            </w:r>
          </w:p>
        </w:tc>
        <w:tc>
          <w:tcPr>
            <w:tcW w:w="7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sz w:val="20"/>
              </w:rPr>
            </w:pPr>
            <w:r>
              <w:rPr>
                <w:sz w:val="20"/>
              </w:rPr>
              <w:t>Depreciation, depletion and amortization</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b/>
                <w:sz w:val="20"/>
              </w:rPr>
            </w:pPr>
            <w:r>
              <w:rPr>
                <w:b/>
                <w:sz w:val="20"/>
              </w:rPr>
              <w:t>As adjusted operating EBITDA</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1,528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b/>
                <w:sz w:val="20"/>
              </w:rPr>
            </w:pPr>
            <w:r>
              <w:rPr>
                <w:b/>
                <w:sz w:val="20"/>
              </w:rPr>
              <w:t>Adjusted operating EBITDA margin</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b/>
                <w:sz w:val="20"/>
              </w:rPr>
            </w:pPr>
            <w:r>
              <w:rPr>
                <w:b/>
                <w:sz w:val="20"/>
              </w:rPr>
              <w:t>29.6</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752" w:type="dxa"/>
        <w:jc w:val="left"/>
        <w:tblInd w:w="0" w:type="dxa"/>
        <w:tblLayout w:type="fixed"/>
        <w:tblCellMar>
          <w:top w:w="0" w:type="dxa"/>
          <w:left w:w="0" w:type="dxa"/>
          <w:bottom w:w="0" w:type="dxa"/>
          <w:right w:w="0" w:type="dxa"/>
        </w:tblCellMar>
      </w:tblPr>
      <w:tblGrid>
        <w:gridCol w:w="4190"/>
        <w:gridCol w:w="60"/>
        <w:gridCol w:w="228"/>
        <w:gridCol w:w="886"/>
        <w:gridCol w:w="215"/>
        <w:gridCol w:w="60"/>
        <w:gridCol w:w="176"/>
        <w:gridCol w:w="474"/>
        <w:gridCol w:w="80"/>
        <w:gridCol w:w="60"/>
        <w:gridCol w:w="197"/>
        <w:gridCol w:w="528"/>
        <w:gridCol w:w="230"/>
        <w:gridCol w:w="60"/>
        <w:gridCol w:w="232"/>
        <w:gridCol w:w="627"/>
        <w:gridCol w:w="80"/>
        <w:gridCol w:w="60"/>
        <w:gridCol w:w="305"/>
        <w:gridCol w:w="929"/>
        <w:gridCol w:w="75"/>
      </w:tblGrid>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7" w:type="dxa"/>
            <w:gridSpan w:val="18"/>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March 31, 2023</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sz w:val="20"/>
              </w:rPr>
            </w:pPr>
            <w:r>
              <w:rPr>
                <w:b/>
                <w:sz w:val="20"/>
              </w:rPr>
              <w:t>Income from</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b/>
                <w:sz w:val="20"/>
              </w:rPr>
            </w:pPr>
            <w:r>
              <w:rPr>
                <w:b/>
                <w:sz w:val="20"/>
              </w:rPr>
              <w:t>Pre-tax</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b/>
                <w:sz w:val="20"/>
              </w:rPr>
            </w:pPr>
            <w:r>
              <w:rPr>
                <w:b/>
                <w:sz w:val="20"/>
              </w:rPr>
              <w:t>Tax</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283"/>
              <w:jc w:val="center"/>
              <w:rPr>
                <w:b/>
                <w:sz w:val="20"/>
              </w:rPr>
            </w:pPr>
            <w:r>
              <w:rPr>
                <w:b/>
                <w:sz w:val="20"/>
              </w:rPr>
              <w:t>Net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sz w:val="20"/>
              </w:rPr>
            </w:pPr>
            <w:r>
              <w:rPr>
                <w:b/>
                <w:sz w:val="20"/>
              </w:rPr>
              <w:t>Diluted Per</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Operations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Expense</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Income</w:t>
            </w:r>
            <w:r>
              <w:rPr>
                <w:b/>
                <w:position w:val="7"/>
                <w:sz w:val="16"/>
                <w:sz w:val="20"/>
              </w:rPr>
              <w:t>(a)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Share Amount</w:t>
            </w:r>
          </w:p>
        </w:tc>
        <w:tc>
          <w:tcPr>
            <w:tcW w:w="7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b/>
                <w:sz w:val="20"/>
              </w:rPr>
            </w:pPr>
            <w:r>
              <w:rPr>
                <w:b/>
                <w:sz w:val="20"/>
              </w:rPr>
              <w:t>As reported amounts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b/>
                <w:sz w:val="20"/>
              </w:rPr>
            </w:pPr>
            <w:r>
              <w:rPr>
                <w:b/>
                <w:sz w:val="20"/>
              </w:rPr>
              <w:t>$</w:t>
            </w:r>
          </w:p>
        </w:tc>
        <w:tc>
          <w:tcPr>
            <w:tcW w:w="886" w:type="dxa"/>
            <w:tcBorders/>
            <w:shd w:fill="CCEEFF" w:val="clear"/>
            <w:vAlign w:val="center"/>
          </w:tcPr>
          <w:p>
            <w:pPr>
              <w:pStyle w:val="TableContents"/>
              <w:bidi w:val="0"/>
              <w:spacing w:before="0" w:after="283"/>
              <w:jc w:val="right"/>
              <w:rPr>
                <w:b/>
                <w:sz w:val="20"/>
              </w:rPr>
            </w:pPr>
            <w:r>
              <w:rPr>
                <w:b/>
                <w:sz w:val="20"/>
              </w:rPr>
              <w:t>825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b/>
                <w:sz w:val="20"/>
              </w:rPr>
            </w:pPr>
            <w:r>
              <w:rPr>
                <w:b/>
                <w:sz w:val="20"/>
              </w:rPr>
              <w:t>$</w:t>
            </w:r>
          </w:p>
        </w:tc>
        <w:tc>
          <w:tcPr>
            <w:tcW w:w="474" w:type="dxa"/>
            <w:tcBorders/>
            <w:shd w:fill="CCEEFF" w:val="clear"/>
            <w:vAlign w:val="center"/>
          </w:tcPr>
          <w:p>
            <w:pPr>
              <w:pStyle w:val="TableContents"/>
              <w:bidi w:val="0"/>
              <w:spacing w:before="0" w:after="283"/>
              <w:jc w:val="right"/>
              <w:rPr>
                <w:b/>
                <w:sz w:val="20"/>
              </w:rPr>
            </w:pPr>
            <w:r>
              <w:rPr>
                <w:b/>
                <w:sz w:val="20"/>
              </w:rPr>
              <w:t>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b/>
                <w:sz w:val="20"/>
              </w:rPr>
            </w:pPr>
            <w:r>
              <w:rPr>
                <w:b/>
                <w:sz w:val="20"/>
              </w:rPr>
              <w:t>$</w:t>
            </w:r>
          </w:p>
        </w:tc>
        <w:tc>
          <w:tcPr>
            <w:tcW w:w="528" w:type="dxa"/>
            <w:tcBorders/>
            <w:shd w:fill="CCEEFF" w:val="clear"/>
            <w:vAlign w:val="center"/>
          </w:tcPr>
          <w:p>
            <w:pPr>
              <w:pStyle w:val="TableContents"/>
              <w:bidi w:val="0"/>
              <w:spacing w:before="0" w:after="283"/>
              <w:jc w:val="right"/>
              <w:rPr>
                <w:b/>
                <w:sz w:val="20"/>
              </w:rPr>
            </w:pPr>
            <w:r>
              <w:rPr>
                <w:b/>
                <w:sz w:val="20"/>
              </w:rPr>
              <w:t>164</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b/>
                <w:sz w:val="20"/>
              </w:rPr>
            </w:pPr>
            <w:r>
              <w:rPr>
                <w:b/>
                <w:sz w:val="20"/>
              </w:rPr>
              <w:t>$</w:t>
            </w:r>
          </w:p>
        </w:tc>
        <w:tc>
          <w:tcPr>
            <w:tcW w:w="627" w:type="dxa"/>
            <w:tcBorders/>
            <w:shd w:fill="CCEEFF" w:val="clear"/>
            <w:vAlign w:val="center"/>
          </w:tcPr>
          <w:p>
            <w:pPr>
              <w:pStyle w:val="TableContents"/>
              <w:bidi w:val="0"/>
              <w:spacing w:before="0" w:after="283"/>
              <w:jc w:val="right"/>
              <w:rPr>
                <w:b/>
                <w:sz w:val="20"/>
              </w:rPr>
            </w:pPr>
            <w:r>
              <w:rPr>
                <w:b/>
                <w:sz w:val="20"/>
              </w:rPr>
              <w:t>533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b/>
                <w:sz w:val="20"/>
              </w:rPr>
            </w:pPr>
            <w:r>
              <w:rPr>
                <w:b/>
                <w:sz w:val="20"/>
              </w:rPr>
              <w:t>$</w:t>
            </w:r>
          </w:p>
        </w:tc>
        <w:tc>
          <w:tcPr>
            <w:tcW w:w="929" w:type="dxa"/>
            <w:tcBorders/>
            <w:shd w:fill="CCEEFF" w:val="clear"/>
            <w:vAlign w:val="center"/>
          </w:tcPr>
          <w:p>
            <w:pPr>
              <w:pStyle w:val="TableContents"/>
              <w:bidi w:val="0"/>
              <w:spacing w:before="0" w:after="283"/>
              <w:jc w:val="right"/>
              <w:rPr>
                <w:b/>
                <w:sz w:val="20"/>
              </w:rPr>
            </w:pPr>
            <w:r>
              <w:rPr>
                <w:b/>
                <w:sz w:val="20"/>
              </w:rPr>
              <w:t>1.30</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b/>
                <w:sz w:val="20"/>
              </w:rPr>
            </w:pPr>
            <w:r>
              <w:rPr>
                <w:b/>
                <w:sz w:val="20"/>
              </w:rPr>
              <w:t>Adjustments: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sz w:val="20"/>
              </w:rPr>
            </w:pPr>
            <w:r>
              <w:rPr>
                <w:sz w:val="20"/>
              </w:rPr>
              <w:t>Collective bargaining agreement costs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sz w:val="20"/>
              </w:rPr>
            </w:pPr>
            <w:r>
              <w:rPr>
                <w:sz w:val="20"/>
              </w:rPr>
              <w:t>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sz w:val="20"/>
              </w:rPr>
            </w:pPr>
            <w:r>
              <w:rPr>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sz w:val="20"/>
              </w:rPr>
            </w:pPr>
            <w:r>
              <w:rPr>
                <w:sz w:val="20"/>
              </w:rPr>
              <w:t>2</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sz w:val="20"/>
              </w:rPr>
            </w:pPr>
            <w:r>
              <w:rPr>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sz w:val="20"/>
              </w:rPr>
            </w:pPr>
            <w:r>
              <w:rPr>
                <w:sz w:val="20"/>
              </w:rPr>
              <w:t>Reversal of legacy loss contingency reserve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(3</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sz w:val="20"/>
              </w:rPr>
            </w:pPr>
            <w:r>
              <w:rPr>
                <w:sz w:val="20"/>
              </w:rPr>
              <w:t>(3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sz w:val="20"/>
              </w:rPr>
            </w:pPr>
            <w:r>
              <w:rPr>
                <w:sz w:val="20"/>
              </w:rPr>
              <w:t>(1</w:t>
            </w:r>
          </w:p>
        </w:tc>
        <w:tc>
          <w:tcPr>
            <w:tcW w:w="23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sz w:val="20"/>
              </w:rPr>
            </w:pPr>
            <w:r>
              <w:rPr>
                <w:sz w:val="20"/>
              </w:rPr>
              <w:t>(2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sz w:val="20"/>
              </w:rPr>
            </w:pPr>
            <w:r>
              <w:rPr>
                <w:sz w:val="20"/>
              </w:rPr>
              <w:t>Restructuring</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sz w:val="20"/>
              </w:rPr>
            </w:pPr>
            <w:r>
              <w:rPr>
                <w:sz w:val="20"/>
              </w:rPr>
              <w:t>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sz w:val="20"/>
              </w:rPr>
            </w:pPr>
            <w:r>
              <w:rPr>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sz w:val="20"/>
              </w:rPr>
            </w:pPr>
            <w:r>
              <w:rPr>
                <w:sz w:val="20"/>
              </w:rPr>
              <w:t>1</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sz w:val="20"/>
              </w:rPr>
            </w:pPr>
            <w:r>
              <w:rPr>
                <w:sz w:val="20"/>
              </w:rPr>
              <w:t>Gain from asset impairments and unusual items, net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23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0.01</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b/>
                <w:sz w:val="20"/>
              </w:rPr>
            </w:pPr>
            <w:r>
              <w:rPr>
                <w:b/>
                <w:sz w:val="20"/>
              </w:rPr>
              <w:t>As adjusted amounts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b/>
                <w:sz w:val="20"/>
              </w:rPr>
            </w:pPr>
            <w:r>
              <w:rPr>
                <w:b/>
                <w:sz w:val="20"/>
              </w:rPr>
              <w:t>$</w:t>
            </w:r>
          </w:p>
        </w:tc>
        <w:tc>
          <w:tcPr>
            <w:tcW w:w="886" w:type="dxa"/>
            <w:tcBorders/>
            <w:shd w:fill="FFFFFF" w:val="clear"/>
            <w:vAlign w:val="center"/>
          </w:tcPr>
          <w:p>
            <w:pPr>
              <w:pStyle w:val="TableContents"/>
              <w:bidi w:val="0"/>
              <w:spacing w:before="0" w:after="283"/>
              <w:jc w:val="right"/>
              <w:rPr>
                <w:b/>
                <w:sz w:val="20"/>
              </w:rPr>
            </w:pPr>
            <w:r>
              <w:rPr>
                <w:b/>
                <w:sz w:val="20"/>
              </w:rPr>
              <w:t>828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474"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165</w:t>
            </w:r>
          </w:p>
        </w:tc>
        <w:tc>
          <w:tcPr>
            <w:tcW w:w="230" w:type="dxa"/>
            <w:tcBorders/>
            <w:shd w:fill="FFFFFF" w:val="clear"/>
            <w:vAlign w:val="center"/>
          </w:tcPr>
          <w:p>
            <w:pPr>
              <w:pStyle w:val="TableContents"/>
              <w:bidi w:val="0"/>
              <w:spacing w:before="0" w:after="283"/>
              <w:jc w:val="left"/>
              <w:rPr>
                <w:b/>
                <w:position w:val="7"/>
                <w:sz w:val="16"/>
                <w:sz w:val="20"/>
              </w:rPr>
            </w:pPr>
            <w:r>
              <w:rPr>
                <w:b/>
                <w:position w:val="7"/>
                <w:sz w:val="16"/>
                <w:sz w:val="20"/>
              </w:rPr>
              <w:t>(b)</w:t>
            </w:r>
          </w:p>
        </w:tc>
        <w:tc>
          <w:tcPr>
            <w:tcW w:w="60"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1.31</w:t>
            </w:r>
          </w:p>
        </w:tc>
        <w:tc>
          <w:tcPr>
            <w:tcW w:w="7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sz w:val="20"/>
              </w:rPr>
            </w:pPr>
            <w:r>
              <w:rPr>
                <w:sz w:val="20"/>
              </w:rPr>
              <w:t>Depreciation, depletion and amortization</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b/>
                <w:sz w:val="20"/>
              </w:rPr>
            </w:pPr>
            <w:r>
              <w:rPr>
                <w:b/>
                <w:sz w:val="20"/>
              </w:rPr>
              <w:t>As adjusted operating EBITDA</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1,333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b/>
                <w:sz w:val="20"/>
              </w:rPr>
            </w:pPr>
            <w:r>
              <w:rPr>
                <w:b/>
                <w:sz w:val="20"/>
              </w:rPr>
              <w:t>Adjusted operating EBITDA margin</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b/>
                <w:sz w:val="20"/>
              </w:rPr>
            </w:pPr>
            <w:r>
              <w:rPr>
                <w:b/>
                <w:sz w:val="20"/>
              </w:rPr>
              <w:t>27.2</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283"/>
              <w:jc w:val="both"/>
              <w:rPr/>
            </w:pPr>
            <w:r>
              <w:rPr/>
              <w:t>For purposes of this press release table, all references to "Net income" refer to the financial statement line item "Net income attributable to Waste Management, Inc."</w:t>
            </w:r>
          </w:p>
        </w:tc>
      </w:tr>
    </w:tbl>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first quarter 2024 and 2023 adjusted effective tax rates were 18.6% and 23.6%,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CERTAIN NON-GAAP MEASURES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929" w:type="dxa"/>
        <w:jc w:val="left"/>
        <w:tblInd w:w="0" w:type="dxa"/>
        <w:tblLayout w:type="fixed"/>
        <w:tblCellMar>
          <w:top w:w="0" w:type="dxa"/>
          <w:left w:w="0" w:type="dxa"/>
          <w:bottom w:w="0" w:type="dxa"/>
          <w:right w:w="0" w:type="dxa"/>
        </w:tblCellMar>
      </w:tblPr>
      <w:tblGrid>
        <w:gridCol w:w="4190"/>
        <w:gridCol w:w="60"/>
        <w:gridCol w:w="224"/>
        <w:gridCol w:w="875"/>
        <w:gridCol w:w="215"/>
        <w:gridCol w:w="60"/>
        <w:gridCol w:w="230"/>
        <w:gridCol w:w="705"/>
        <w:gridCol w:w="215"/>
        <w:gridCol w:w="60"/>
        <w:gridCol w:w="231"/>
        <w:gridCol w:w="704"/>
        <w:gridCol w:w="215"/>
        <w:gridCol w:w="60"/>
        <w:gridCol w:w="217"/>
        <w:gridCol w:w="688"/>
        <w:gridCol w:w="80"/>
        <w:gridCol w:w="60"/>
        <w:gridCol w:w="125"/>
        <w:gridCol w:w="485"/>
        <w:gridCol w:w="230"/>
      </w:tblGrid>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9" w:type="dxa"/>
            <w:gridSpan w:val="18"/>
            <w:tcBorders>
              <w:bottom w:val="single" w:sz="8" w:space="0" w:color="000000"/>
            </w:tcBorders>
            <w:tcMar>
              <w:bottom w:w="28" w:type="dxa"/>
            </w:tcMar>
            <w:vAlign w:val="center"/>
          </w:tcPr>
          <w:p>
            <w:pPr>
              <w:pStyle w:val="TableContents"/>
              <w:bidi w:val="0"/>
              <w:spacing w:before="0" w:after="283"/>
              <w:jc w:val="center"/>
              <w:rPr>
                <w:b/>
                <w:sz w:val="20"/>
              </w:rPr>
            </w:pPr>
            <w:r>
              <w:rPr>
                <w:b/>
                <w:sz w:val="20"/>
              </w:rPr>
              <w:t>Quarter Ended March 31, 2024</w:t>
            </w:r>
          </w:p>
        </w:tc>
        <w:tc>
          <w:tcPr>
            <w:tcW w:w="230"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Recycling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WM</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sz w:val="20"/>
              </w:rPr>
            </w:pPr>
            <w:r>
              <w:rPr>
                <w:b/>
                <w:sz w:val="20"/>
              </w:rPr>
              <w:t>Collection</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Processing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Renewable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Disposal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Sales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Energy</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230"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b/>
                <w:sz w:val="20"/>
              </w:rPr>
            </w:pPr>
            <w:r>
              <w:rPr>
                <w:b/>
                <w:sz w:val="20"/>
              </w:rPr>
              <w:t>Operating revenues,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4,716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368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69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5,159</w:t>
            </w:r>
          </w:p>
        </w:tc>
        <w:tc>
          <w:tcPr>
            <w:tcW w:w="23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b/>
                <w:sz w:val="20"/>
              </w:rPr>
            </w:pPr>
            <w:r>
              <w:rPr>
                <w:b/>
                <w:sz w:val="20"/>
              </w:rPr>
              <w:t>Income from Operations,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1,279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(303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1,016</w:t>
            </w:r>
          </w:p>
        </w:tc>
        <w:tc>
          <w:tcPr>
            <w:tcW w:w="23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sz w:val="20"/>
              </w:rPr>
            </w:pPr>
            <w:r>
              <w:rPr>
                <w:sz w:val="20"/>
              </w:rPr>
              <w:t>Depreciation, depletion and amortization</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514</w:t>
            </w:r>
          </w:p>
        </w:tc>
        <w:tc>
          <w:tcPr>
            <w:tcW w:w="23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b/>
                <w:sz w:val="20"/>
              </w:rPr>
            </w:pPr>
            <w:r>
              <w:rPr>
                <w:b/>
                <w:sz w:val="20"/>
              </w:rPr>
              <w:t>Operating EBITDA,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1,729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48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29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(276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1,530</w:t>
            </w:r>
          </w:p>
        </w:tc>
        <w:tc>
          <w:tcPr>
            <w:tcW w:w="23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b/>
                <w:sz w:val="20"/>
              </w:rPr>
            </w:pPr>
            <w:r>
              <w:rPr>
                <w:b/>
                <w:sz w:val="20"/>
              </w:rPr>
              <w:t>Adjustment: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44"/>
              <w:jc w:val="left"/>
              <w:rPr/>
            </w:pPr>
            <w:r>
              <w:rPr/>
              <w:t> </w:t>
            </w:r>
          </w:p>
        </w:tc>
      </w:tr>
      <w:tr>
        <w:trPr/>
        <w:tc>
          <w:tcPr>
            <w:tcW w:w="4190" w:type="dxa"/>
            <w:tcBorders/>
            <w:shd w:fill="FFFFFF" w:val="clear"/>
            <w:vAlign w:val="center"/>
          </w:tcPr>
          <w:p>
            <w:pPr>
              <w:pStyle w:val="TableContents"/>
              <w:bidi w:val="0"/>
              <w:spacing w:before="0" w:after="283"/>
              <w:jc w:val="left"/>
              <w:rPr>
                <w:sz w:val="20"/>
              </w:rPr>
            </w:pPr>
            <w:r>
              <w:rPr>
                <w:sz w:val="20"/>
              </w:rPr>
              <w:t>Gain from asset impairments and unusual items, net</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4190" w:type="dxa"/>
            <w:tcBorders/>
            <w:shd w:fill="CCEEFF" w:val="clear"/>
            <w:vAlign w:val="center"/>
          </w:tcPr>
          <w:p>
            <w:pPr>
              <w:pStyle w:val="TableContents"/>
              <w:bidi w:val="0"/>
              <w:spacing w:before="0" w:after="283"/>
              <w:jc w:val="left"/>
              <w:rPr>
                <w:b/>
                <w:sz w:val="20"/>
              </w:rPr>
            </w:pPr>
            <w:r>
              <w:rPr>
                <w:b/>
                <w:sz w:val="20"/>
              </w:rPr>
              <w:t>Adjusted operating EBITDA</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1,727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(276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1,528</w:t>
            </w:r>
          </w:p>
        </w:tc>
        <w:tc>
          <w:tcPr>
            <w:tcW w:w="23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b/>
                <w:sz w:val="20"/>
              </w:rPr>
            </w:pPr>
            <w:r>
              <w:rPr>
                <w:b/>
                <w:sz w:val="20"/>
              </w:rPr>
              <w:t>Operating EBITDA margin,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sz w:val="20"/>
              </w:rPr>
            </w:pPr>
            <w:r>
              <w:rPr>
                <w:b/>
                <w:sz w:val="20"/>
              </w:rPr>
              <w:t>36.7</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b/>
                <w:sz w:val="20"/>
              </w:rPr>
            </w:pPr>
            <w:r>
              <w:rPr>
                <w:b/>
                <w:sz w:val="20"/>
              </w:rPr>
              <w:t>13.0</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b/>
                <w:sz w:val="20"/>
              </w:rPr>
            </w:pPr>
            <w:r>
              <w:rPr>
                <w:b/>
                <w:sz w:val="20"/>
              </w:rPr>
              <w:t>42.0</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b/>
                <w:sz w:val="20"/>
              </w:rPr>
            </w:pPr>
            <w:r>
              <w:rPr>
                <w:b/>
                <w:sz w:val="20"/>
              </w:rPr>
              <w:t>N/A</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b/>
                <w:sz w:val="20"/>
              </w:rPr>
            </w:pPr>
            <w:r>
              <w:rPr>
                <w:b/>
                <w:sz w:val="20"/>
              </w:rPr>
              <w:t>29.7</w:t>
            </w:r>
          </w:p>
        </w:tc>
        <w:tc>
          <w:tcPr>
            <w:tcW w:w="230" w:type="dxa"/>
            <w:tcBorders/>
            <w:shd w:fill="CCEEFF" w:val="clear"/>
            <w:vAlign w:val="center"/>
          </w:tcPr>
          <w:p>
            <w:pPr>
              <w:pStyle w:val="TableContents"/>
              <w:bidi w:val="0"/>
              <w:spacing w:before="0" w:after="283"/>
              <w:jc w:val="left"/>
              <w:rPr>
                <w:b/>
                <w:sz w:val="20"/>
              </w:rPr>
            </w:pPr>
            <w:r>
              <w:rPr>
                <w:b/>
                <w:sz w:val="20"/>
              </w:rPr>
              <w:t>%</w:t>
            </w:r>
          </w:p>
        </w:tc>
      </w:tr>
      <w:tr>
        <w:trPr/>
        <w:tc>
          <w:tcPr>
            <w:tcW w:w="4190" w:type="dxa"/>
            <w:tcBorders/>
            <w:shd w:fill="FFFFFF" w:val="clear"/>
            <w:vAlign w:val="center"/>
          </w:tcPr>
          <w:p>
            <w:pPr>
              <w:pStyle w:val="TableContents"/>
              <w:bidi w:val="0"/>
              <w:spacing w:before="0" w:after="283"/>
              <w:jc w:val="left"/>
              <w:rPr>
                <w:b/>
                <w:sz w:val="20"/>
              </w:rPr>
            </w:pPr>
            <w:r>
              <w:rPr>
                <w:b/>
                <w:sz w:val="20"/>
              </w:rPr>
              <w:t>Adjusted operating EBITDA margin</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sz w:val="20"/>
              </w:rPr>
            </w:pPr>
            <w:r>
              <w:rPr>
                <w:b/>
                <w:sz w:val="20"/>
              </w:rPr>
              <w:t>36.6</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b/>
                <w:sz w:val="20"/>
              </w:rPr>
            </w:pPr>
            <w:r>
              <w:rPr>
                <w:b/>
                <w:sz w:val="20"/>
              </w:rPr>
              <w:t>13.0</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b/>
                <w:sz w:val="20"/>
              </w:rPr>
            </w:pPr>
            <w:r>
              <w:rPr>
                <w:b/>
                <w:sz w:val="20"/>
              </w:rPr>
              <w:t>42.0</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b/>
                <w:sz w:val="20"/>
              </w:rPr>
            </w:pPr>
            <w:r>
              <w:rPr>
                <w:b/>
                <w:sz w:val="20"/>
              </w:rPr>
              <w:t>N/A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b/>
                <w:sz w:val="20"/>
              </w:rPr>
            </w:pPr>
            <w:r>
              <w:rPr>
                <w:b/>
                <w:sz w:val="20"/>
              </w:rPr>
              <w:t>29.6</w:t>
            </w:r>
          </w:p>
        </w:tc>
        <w:tc>
          <w:tcPr>
            <w:tcW w:w="230"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283"/>
        <w:jc w:val="left"/>
        <w:rPr/>
      </w:pPr>
      <w:r>
        <w:rPr/>
        <w:t> </w:t>
      </w:r>
    </w:p>
    <w:tbl>
      <w:tblPr>
        <w:tblW w:w="9224" w:type="dxa"/>
        <w:jc w:val="left"/>
        <w:tblInd w:w="0" w:type="dxa"/>
        <w:tblLayout w:type="fixed"/>
        <w:tblCellMar>
          <w:top w:w="0" w:type="dxa"/>
          <w:left w:w="0" w:type="dxa"/>
          <w:bottom w:w="0" w:type="dxa"/>
          <w:right w:w="0" w:type="dxa"/>
        </w:tblCellMar>
      </w:tblPr>
      <w:tblGrid>
        <w:gridCol w:w="3485"/>
        <w:gridCol w:w="60"/>
        <w:gridCol w:w="224"/>
        <w:gridCol w:w="875"/>
        <w:gridCol w:w="215"/>
        <w:gridCol w:w="60"/>
        <w:gridCol w:w="230"/>
        <w:gridCol w:w="705"/>
        <w:gridCol w:w="215"/>
        <w:gridCol w:w="60"/>
        <w:gridCol w:w="231"/>
        <w:gridCol w:w="704"/>
        <w:gridCol w:w="215"/>
        <w:gridCol w:w="60"/>
        <w:gridCol w:w="217"/>
        <w:gridCol w:w="688"/>
        <w:gridCol w:w="80"/>
        <w:gridCol w:w="60"/>
        <w:gridCol w:w="125"/>
        <w:gridCol w:w="485"/>
        <w:gridCol w:w="230"/>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9" w:type="dxa"/>
            <w:gridSpan w:val="18"/>
            <w:tcBorders>
              <w:bottom w:val="single" w:sz="8" w:space="0" w:color="000000"/>
            </w:tcBorders>
            <w:tcMar>
              <w:bottom w:w="28" w:type="dxa"/>
            </w:tcMar>
            <w:vAlign w:val="center"/>
          </w:tcPr>
          <w:p>
            <w:pPr>
              <w:pStyle w:val="TableContents"/>
              <w:bidi w:val="0"/>
              <w:spacing w:before="0" w:after="283"/>
              <w:jc w:val="center"/>
              <w:rPr>
                <w:b/>
                <w:sz w:val="20"/>
              </w:rPr>
            </w:pPr>
            <w:r>
              <w:rPr>
                <w:b/>
                <w:sz w:val="20"/>
              </w:rPr>
              <w:t>Quarter Ended March 31, 2023</w:t>
            </w:r>
          </w:p>
        </w:tc>
        <w:tc>
          <w:tcPr>
            <w:tcW w:w="230"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Recycling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WM</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sz w:val="20"/>
              </w:rPr>
            </w:pPr>
            <w:r>
              <w:rPr>
                <w:b/>
                <w:sz w:val="20"/>
              </w:rPr>
              <w:t>Collection</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Processing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Renewable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Disposal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Sales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Energy</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230"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b/>
                <w:sz w:val="20"/>
              </w:rPr>
            </w:pPr>
            <w:r>
              <w:rPr>
                <w:b/>
                <w:sz w:val="20"/>
              </w:rPr>
              <w:t>Operating revenues,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4,523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294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69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4,892</w:t>
            </w:r>
          </w:p>
        </w:tc>
        <w:tc>
          <w:tcPr>
            <w:tcW w:w="23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b/>
                <w:sz w:val="20"/>
              </w:rPr>
            </w:pPr>
            <w:r>
              <w:rPr>
                <w:b/>
                <w:sz w:val="20"/>
              </w:rPr>
              <w:t>Income from Operations,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1,064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(272</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825</w:t>
            </w:r>
          </w:p>
        </w:tc>
        <w:tc>
          <w:tcPr>
            <w:tcW w:w="23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sz w:val="20"/>
              </w:rPr>
            </w:pPr>
            <w:r>
              <w:rPr>
                <w:sz w:val="20"/>
              </w:rPr>
              <w:t>Depreciation, depletion and amortization</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505</w:t>
            </w:r>
          </w:p>
        </w:tc>
        <w:tc>
          <w:tcPr>
            <w:tcW w:w="23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b/>
                <w:sz w:val="20"/>
              </w:rPr>
            </w:pPr>
            <w:r>
              <w:rPr>
                <w:b/>
                <w:sz w:val="20"/>
              </w:rPr>
              <w:t>Operating EBITDA,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1,509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(247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1,330</w:t>
            </w:r>
          </w:p>
        </w:tc>
        <w:tc>
          <w:tcPr>
            <w:tcW w:w="23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b/>
                <w:sz w:val="20"/>
              </w:rPr>
            </w:pPr>
            <w:r>
              <w:rPr>
                <w:b/>
                <w:sz w:val="20"/>
              </w:rPr>
              <w:t>Adjustments: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sz w:val="20"/>
              </w:rPr>
            </w:pPr>
            <w:r>
              <w:rPr>
                <w:sz w:val="20"/>
              </w:rPr>
              <w:t>Collective bargaining agreement costs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sz w:val="20"/>
              </w:rPr>
            </w:pPr>
            <w:r>
              <w:rPr>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6</w:t>
            </w:r>
          </w:p>
        </w:tc>
        <w:tc>
          <w:tcPr>
            <w:tcW w:w="23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sz w:val="20"/>
              </w:rPr>
            </w:pPr>
            <w:r>
              <w:rPr>
                <w:sz w:val="20"/>
              </w:rPr>
              <w:t>Gain from asset impairments and other, net</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w:t>
            </w:r>
          </w:p>
        </w:tc>
        <w:tc>
          <w:tcPr>
            <w:tcW w:w="23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b/>
                <w:sz w:val="20"/>
              </w:rPr>
            </w:pPr>
            <w:r>
              <w:rPr>
                <w:b/>
                <w:sz w:val="20"/>
              </w:rPr>
              <w:t>Adjusted operating EBITDA</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1,515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(250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1,333</w:t>
            </w:r>
          </w:p>
        </w:tc>
        <w:tc>
          <w:tcPr>
            <w:tcW w:w="23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b/>
                <w:sz w:val="20"/>
              </w:rPr>
            </w:pPr>
            <w:r>
              <w:rPr>
                <w:b/>
                <w:sz w:val="20"/>
              </w:rPr>
              <w:t>Operating EBITDA margin,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sz w:val="20"/>
              </w:rPr>
            </w:pPr>
            <w:r>
              <w:rPr>
                <w:b/>
                <w:sz w:val="20"/>
              </w:rPr>
              <w:t>33.4</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b/>
                <w:sz w:val="20"/>
              </w:rPr>
            </w:pPr>
            <w:r>
              <w:rPr>
                <w:b/>
                <w:sz w:val="20"/>
              </w:rPr>
              <w:t>13.6</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b/>
                <w:sz w:val="20"/>
              </w:rPr>
            </w:pPr>
            <w:r>
              <w:rPr>
                <w:b/>
                <w:sz w:val="20"/>
              </w:rPr>
              <w:t>40.6</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b/>
                <w:sz w:val="20"/>
              </w:rPr>
            </w:pPr>
            <w:r>
              <w:rPr>
                <w:b/>
                <w:sz w:val="20"/>
              </w:rPr>
              <w:t>N/A</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b/>
                <w:sz w:val="20"/>
              </w:rPr>
            </w:pPr>
            <w:r>
              <w:rPr>
                <w:b/>
                <w:sz w:val="20"/>
              </w:rPr>
              <w:t>27.2</w:t>
            </w:r>
          </w:p>
        </w:tc>
        <w:tc>
          <w:tcPr>
            <w:tcW w:w="230" w:type="dxa"/>
            <w:tcBorders/>
            <w:shd w:fill="CCEEFF" w:val="clear"/>
            <w:vAlign w:val="center"/>
          </w:tcPr>
          <w:p>
            <w:pPr>
              <w:pStyle w:val="TableContents"/>
              <w:bidi w:val="0"/>
              <w:spacing w:before="0" w:after="283"/>
              <w:jc w:val="left"/>
              <w:rPr>
                <w:b/>
                <w:sz w:val="20"/>
              </w:rPr>
            </w:pPr>
            <w:r>
              <w:rPr>
                <w:b/>
                <w:sz w:val="20"/>
              </w:rPr>
              <w:t>%</w:t>
            </w:r>
          </w:p>
        </w:tc>
      </w:tr>
      <w:tr>
        <w:trPr/>
        <w:tc>
          <w:tcPr>
            <w:tcW w:w="3485" w:type="dxa"/>
            <w:tcBorders/>
            <w:shd w:fill="FFFFFF" w:val="clear"/>
            <w:vAlign w:val="center"/>
          </w:tcPr>
          <w:p>
            <w:pPr>
              <w:pStyle w:val="TableContents"/>
              <w:bidi w:val="0"/>
              <w:spacing w:before="0" w:after="283"/>
              <w:jc w:val="left"/>
              <w:rPr>
                <w:b/>
                <w:sz w:val="20"/>
              </w:rPr>
            </w:pPr>
            <w:r>
              <w:rPr>
                <w:b/>
                <w:sz w:val="20"/>
              </w:rPr>
              <w:t>Adjusted operating EBITDA margin</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sz w:val="20"/>
              </w:rPr>
            </w:pPr>
            <w:r>
              <w:rPr>
                <w:b/>
                <w:sz w:val="20"/>
              </w:rPr>
              <w:t>33.5</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b/>
                <w:sz w:val="20"/>
              </w:rPr>
            </w:pPr>
            <w:r>
              <w:rPr>
                <w:b/>
                <w:sz w:val="20"/>
              </w:rPr>
              <w:t>13.6</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b/>
                <w:sz w:val="20"/>
              </w:rPr>
            </w:pPr>
            <w:r>
              <w:rPr>
                <w:b/>
                <w:sz w:val="20"/>
              </w:rPr>
              <w:t>40.6</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b/>
                <w:sz w:val="20"/>
              </w:rPr>
            </w:pPr>
            <w:r>
              <w:rPr>
                <w:b/>
                <w:sz w:val="20"/>
              </w:rPr>
              <w:t>N/A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b/>
                <w:sz w:val="20"/>
              </w:rPr>
            </w:pPr>
            <w:r>
              <w:rPr>
                <w:b/>
                <w:sz w:val="20"/>
              </w:rPr>
              <w:t>27.2</w:t>
            </w:r>
          </w:p>
        </w:tc>
        <w:tc>
          <w:tcPr>
            <w:tcW w:w="230"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CERTAIN NON-GAAP MEASURES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6005"/>
        <w:gridCol w:w="60"/>
        <w:gridCol w:w="144"/>
        <w:gridCol w:w="561"/>
        <w:gridCol w:w="69"/>
        <w:gridCol w:w="69"/>
        <w:gridCol w:w="112"/>
        <w:gridCol w:w="717"/>
        <w:gridCol w:w="215"/>
        <w:gridCol w:w="60"/>
        <w:gridCol w:w="142"/>
        <w:gridCol w:w="553"/>
        <w:gridCol w:w="91"/>
        <w:gridCol w:w="68"/>
        <w:gridCol w:w="112"/>
        <w:gridCol w:w="717"/>
        <w:gridCol w:w="230"/>
      </w:tblGrid>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0"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r>
          </w:p>
        </w:tc>
        <w:tc>
          <w:tcPr>
            <w:tcW w:w="23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 2023</w:t>
            </w:r>
          </w:p>
        </w:tc>
        <w:tc>
          <w:tcPr>
            <w:tcW w:w="23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gridSpan w:val="2"/>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center"/>
              <w:rPr>
                <w:b/>
                <w:sz w:val="20"/>
              </w:rPr>
            </w:pPr>
            <w:r>
              <w:rPr>
                <w:b/>
                <w:sz w:val="20"/>
              </w:rPr>
              <w:t>As a % of</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center"/>
              <w:rPr>
                <w:b/>
                <w:sz w:val="20"/>
              </w:rPr>
            </w:pPr>
            <w:r>
              <w:rPr>
                <w:b/>
                <w:sz w:val="20"/>
              </w:rPr>
              <w:t>As a % of</w:t>
            </w:r>
          </w:p>
        </w:tc>
        <w:tc>
          <w:tcPr>
            <w:tcW w:w="23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23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i/>
                <w:sz w:val="20"/>
              </w:rPr>
            </w:pPr>
            <w:r>
              <w:rPr>
                <w:b/>
                <w:i/>
                <w:sz w:val="20"/>
              </w:rPr>
              <w:t>Adjusted Operating Expenses and Adjusted Operating Expenses Margin</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sz w:val="20"/>
              </w:rPr>
            </w:pPr>
            <w:r>
              <w:rPr>
                <w:b/>
                <w:sz w:val="20"/>
              </w:rPr>
              <w:t>Operating revenues, as reported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b/>
                <w:sz w:val="20"/>
              </w:rPr>
            </w:pPr>
            <w:r>
              <w:rPr>
                <w:b/>
                <w:sz w:val="20"/>
              </w:rPr>
              <w:t>$</w:t>
            </w:r>
          </w:p>
        </w:tc>
        <w:tc>
          <w:tcPr>
            <w:tcW w:w="561" w:type="dxa"/>
            <w:tcBorders/>
            <w:shd w:fill="CCEEFF" w:val="clear"/>
            <w:vAlign w:val="center"/>
          </w:tcPr>
          <w:p>
            <w:pPr>
              <w:pStyle w:val="TableContents"/>
              <w:bidi w:val="0"/>
              <w:spacing w:before="0" w:after="283"/>
              <w:jc w:val="right"/>
              <w:rPr>
                <w:b/>
                <w:sz w:val="20"/>
              </w:rPr>
            </w:pPr>
            <w:r>
              <w:rPr>
                <w:b/>
                <w:sz w:val="20"/>
              </w:rPr>
              <w:t>5,159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b/>
                <w:sz w:val="20"/>
              </w:rPr>
            </w:pPr>
            <w:r>
              <w:rPr>
                <w:b/>
                <w:sz w:val="20"/>
              </w:rPr>
              <w:t>$</w:t>
            </w:r>
          </w:p>
        </w:tc>
        <w:tc>
          <w:tcPr>
            <w:tcW w:w="553" w:type="dxa"/>
            <w:tcBorders/>
            <w:shd w:fill="CCEEFF" w:val="clear"/>
            <w:vAlign w:val="center"/>
          </w:tcPr>
          <w:p>
            <w:pPr>
              <w:pStyle w:val="TableContents"/>
              <w:bidi w:val="0"/>
              <w:spacing w:before="0" w:after="283"/>
              <w:jc w:val="right"/>
              <w:rPr>
                <w:b/>
                <w:sz w:val="20"/>
              </w:rPr>
            </w:pPr>
            <w:r>
              <w:rPr>
                <w:b/>
                <w:sz w:val="20"/>
              </w:rPr>
              <w:t>4,892</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sz w:val="20"/>
              </w:rPr>
            </w:pPr>
            <w:r>
              <w:rPr>
                <w:b/>
                <w:sz w:val="20"/>
              </w:rPr>
              <w:t>Operating expenses, as reported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b/>
                <w:sz w:val="20"/>
              </w:rPr>
            </w:pPr>
            <w:r>
              <w:rPr>
                <w:b/>
                <w:sz w:val="20"/>
              </w:rPr>
              <w:t>$</w:t>
            </w:r>
          </w:p>
        </w:tc>
        <w:tc>
          <w:tcPr>
            <w:tcW w:w="561" w:type="dxa"/>
            <w:tcBorders/>
            <w:shd w:fill="CCEEFF" w:val="clear"/>
            <w:vAlign w:val="center"/>
          </w:tcPr>
          <w:p>
            <w:pPr>
              <w:pStyle w:val="TableContents"/>
              <w:bidi w:val="0"/>
              <w:spacing w:before="0" w:after="283"/>
              <w:jc w:val="right"/>
              <w:rPr>
                <w:b/>
                <w:sz w:val="20"/>
              </w:rPr>
            </w:pPr>
            <w:r>
              <w:rPr>
                <w:b/>
                <w:sz w:val="20"/>
              </w:rPr>
              <w:t>3,140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b/>
                <w:sz w:val="20"/>
              </w:rPr>
            </w:pPr>
            <w:r>
              <w:rPr>
                <w:b/>
                <w:sz w:val="20"/>
              </w:rPr>
              <w:t>60.9</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b/>
                <w:sz w:val="20"/>
              </w:rPr>
            </w:pPr>
            <w:r>
              <w:rPr>
                <w:b/>
                <w:sz w:val="20"/>
              </w:rPr>
              <w:t>$</w:t>
            </w:r>
          </w:p>
        </w:tc>
        <w:tc>
          <w:tcPr>
            <w:tcW w:w="553" w:type="dxa"/>
            <w:tcBorders/>
            <w:shd w:fill="CCEEFF" w:val="clear"/>
            <w:vAlign w:val="center"/>
          </w:tcPr>
          <w:p>
            <w:pPr>
              <w:pStyle w:val="TableContents"/>
              <w:bidi w:val="0"/>
              <w:spacing w:before="0" w:after="283"/>
              <w:jc w:val="right"/>
              <w:rPr>
                <w:b/>
                <w:sz w:val="20"/>
              </w:rPr>
            </w:pPr>
            <w:r>
              <w:rPr>
                <w:b/>
                <w:sz w:val="20"/>
              </w:rPr>
              <w:t>3,086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b/>
                <w:sz w:val="20"/>
              </w:rPr>
            </w:pPr>
            <w:r>
              <w:rPr>
                <w:b/>
                <w:sz w:val="20"/>
              </w:rPr>
              <w:t>63.1</w:t>
            </w:r>
          </w:p>
        </w:tc>
        <w:tc>
          <w:tcPr>
            <w:tcW w:w="230" w:type="dxa"/>
            <w:tcBorders/>
            <w:shd w:fill="CCEEFF" w:val="clear"/>
            <w:vAlign w:val="center"/>
          </w:tcPr>
          <w:p>
            <w:pPr>
              <w:pStyle w:val="TableContents"/>
              <w:bidi w:val="0"/>
              <w:spacing w:before="0" w:after="283"/>
              <w:jc w:val="left"/>
              <w:rPr>
                <w:b/>
                <w:sz w:val="20"/>
              </w:rPr>
            </w:pPr>
            <w:r>
              <w:rPr>
                <w:b/>
                <w:sz w:val="20"/>
              </w:rPr>
              <w:t>%</w:t>
            </w:r>
          </w:p>
        </w:tc>
      </w:tr>
      <w:tr>
        <w:trPr/>
        <w:tc>
          <w:tcPr>
            <w:tcW w:w="6005" w:type="dxa"/>
            <w:tcBorders/>
            <w:shd w:fill="FFFFFF" w:val="clear"/>
            <w:vAlign w:val="center"/>
          </w:tcPr>
          <w:p>
            <w:pPr>
              <w:pStyle w:val="TableContents"/>
              <w:bidi w:val="0"/>
              <w:spacing w:before="0" w:after="283"/>
              <w:jc w:val="left"/>
              <w:rPr>
                <w:b/>
                <w:sz w:val="20"/>
              </w:rPr>
            </w:pPr>
            <w:r>
              <w:rPr>
                <w:b/>
                <w:sz w:val="20"/>
              </w:rPr>
              <w:t>Adjustments: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sz w:val="20"/>
              </w:rPr>
            </w:pPr>
            <w:r>
              <w:rPr>
                <w:sz w:val="20"/>
              </w:rPr>
              <w:t>Collective bargaining agreement costs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sz w:val="20"/>
              </w:rPr>
            </w:pPr>
            <w:r>
              <w:rPr>
                <w:sz w:val="20"/>
              </w:rPr>
              <w:t>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sz w:val="20"/>
              </w:rPr>
            </w:pPr>
            <w:r>
              <w:rPr>
                <w:sz w:val="20"/>
              </w:rPr>
              <w:t>(6</w:t>
            </w:r>
          </w:p>
        </w:tc>
        <w:tc>
          <w:tcPr>
            <w:tcW w:w="91" w:type="dxa"/>
            <w:tcBorders/>
            <w:shd w:fill="CCEEFF" w:val="clear"/>
            <w:vAlign w:val="center"/>
          </w:tcPr>
          <w:p>
            <w:pPr>
              <w:pStyle w:val="TableContents"/>
              <w:bidi w:val="0"/>
              <w:spacing w:before="0" w:after="283"/>
              <w:jc w:val="left"/>
              <w:rPr>
                <w:sz w:val="20"/>
              </w:rPr>
            </w:pPr>
            <w:r>
              <w:rPr>
                <w:sz w:val="20"/>
              </w:rPr>
              <w:t>)</w:t>
            </w:r>
          </w:p>
        </w:tc>
        <w:tc>
          <w:tcPr>
            <w:tcW w:w="6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sz w:val="20"/>
              </w:rPr>
            </w:pPr>
            <w:r>
              <w:rPr>
                <w:sz w:val="20"/>
              </w:rPr>
              <w:t>Reversal of legacy loss contingency reserve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sz w:val="20"/>
              </w:rPr>
            </w:pPr>
            <w:r>
              <w:rPr>
                <w:sz w:val="20"/>
              </w:rPr>
              <w:t>3</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sz w:val="20"/>
              </w:rPr>
            </w:pPr>
            <w:r>
              <w:rPr>
                <w:b/>
                <w:sz w:val="20"/>
              </w:rPr>
              <w:t>Operating expenses, as adjusted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3,140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b/>
                <w:sz w:val="20"/>
              </w:rPr>
            </w:pPr>
            <w:r>
              <w:rPr>
                <w:b/>
                <w:sz w:val="20"/>
              </w:rPr>
              <w:t>60.9</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3,083</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b/>
                <w:sz w:val="20"/>
              </w:rPr>
            </w:pPr>
            <w:r>
              <w:rPr>
                <w:b/>
                <w:sz w:val="20"/>
              </w:rPr>
              <w:t>63.0</w:t>
            </w:r>
          </w:p>
        </w:tc>
        <w:tc>
          <w:tcPr>
            <w:tcW w:w="230"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283"/>
        <w:jc w:val="left"/>
        <w:rPr/>
      </w:pPr>
      <w:r>
        <w:rPr/>
        <w:t> </w:t>
      </w:r>
    </w:p>
    <w:tbl>
      <w:tblPr>
        <w:tblW w:w="8423" w:type="dxa"/>
        <w:jc w:val="left"/>
        <w:tblInd w:w="0" w:type="dxa"/>
        <w:tblLayout w:type="fixed"/>
        <w:tblCellMar>
          <w:top w:w="0" w:type="dxa"/>
          <w:left w:w="0" w:type="dxa"/>
          <w:bottom w:w="0" w:type="dxa"/>
          <w:right w:w="0" w:type="dxa"/>
        </w:tblCellMar>
      </w:tblPr>
      <w:tblGrid>
        <w:gridCol w:w="6290"/>
        <w:gridCol w:w="60"/>
        <w:gridCol w:w="170"/>
        <w:gridCol w:w="749"/>
        <w:gridCol w:w="80"/>
        <w:gridCol w:w="60"/>
        <w:gridCol w:w="170"/>
        <w:gridCol w:w="749"/>
        <w:gridCol w:w="95"/>
      </w:tblGrid>
      <w:tr>
        <w:trPr/>
        <w:tc>
          <w:tcPr>
            <w:tcW w:w="6290" w:type="dxa"/>
            <w:tcBorders/>
            <w:vAlign w:val="center"/>
          </w:tcPr>
          <w:p>
            <w:pPr>
              <w:pStyle w:val="TableContents"/>
              <w:bidi w:val="0"/>
              <w:spacing w:before="0" w:after="283"/>
              <w:jc w:val="left"/>
              <w:rPr>
                <w:b/>
                <w:i/>
                <w:sz w:val="20"/>
              </w:rPr>
            </w:pPr>
            <w:r>
              <w:rPr>
                <w:b/>
                <w:i/>
                <w:sz w:val="20"/>
              </w:rPr>
              <w:t>2024 Projected Free Cash Flow Reconciliation</w:t>
            </w:r>
            <w:r>
              <w:rPr>
                <w:b/>
                <w:i/>
                <w:position w:val="7"/>
                <w:sz w:val="16"/>
                <w:sz w:val="20"/>
              </w:rPr>
              <w:t>(a)</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Scenario 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Scenario 2</w:t>
            </w:r>
          </w:p>
        </w:tc>
        <w:tc>
          <w:tcPr>
            <w:tcW w:w="95"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0"/>
              </w:rPr>
            </w:pPr>
            <w:r>
              <w:rPr>
                <w:sz w:val="20"/>
              </w:rPr>
              <w:t>$</w:t>
            </w:r>
          </w:p>
        </w:tc>
        <w:tc>
          <w:tcPr>
            <w:tcW w:w="749" w:type="dxa"/>
            <w:tcBorders/>
            <w:shd w:fill="CCEEFF" w:val="clear"/>
            <w:vAlign w:val="center"/>
          </w:tcPr>
          <w:p>
            <w:pPr>
              <w:pStyle w:val="TableContents"/>
              <w:bidi w:val="0"/>
              <w:spacing w:before="0" w:after="283"/>
              <w:jc w:val="right"/>
              <w:rPr>
                <w:sz w:val="20"/>
              </w:rPr>
            </w:pPr>
            <w:r>
              <w:rPr>
                <w:sz w:val="20"/>
              </w:rPr>
              <w:t>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20"/>
              </w:rPr>
            </w:pPr>
            <w:r>
              <w:rPr>
                <w:sz w:val="20"/>
              </w:rPr>
              <w:t>$</w:t>
            </w:r>
          </w:p>
        </w:tc>
        <w:tc>
          <w:tcPr>
            <w:tcW w:w="749" w:type="dxa"/>
            <w:tcBorders/>
            <w:shd w:fill="CCEEFF" w:val="clear"/>
            <w:vAlign w:val="center"/>
          </w:tcPr>
          <w:p>
            <w:pPr>
              <w:pStyle w:val="TableContents"/>
              <w:bidi w:val="0"/>
              <w:spacing w:before="0" w:after="283"/>
              <w:jc w:val="right"/>
              <w:rPr>
                <w:sz w:val="20"/>
              </w:rPr>
            </w:pPr>
            <w:r>
              <w:rPr>
                <w:sz w:val="20"/>
              </w:rPr>
              <w:t>5,250</w:t>
            </w:r>
          </w:p>
        </w:tc>
        <w:tc>
          <w:tcPr>
            <w:tcW w:w="95"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sz w:val="20"/>
              </w:rPr>
            </w:pPr>
            <w:r>
              <w:rPr>
                <w:sz w:val="20"/>
              </w:rPr>
              <w:t>Capital expenditures to support the business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sz w:val="20"/>
              </w:rPr>
            </w:pPr>
            <w:r>
              <w:rPr>
                <w:sz w:val="20"/>
              </w:rPr>
              <w:t>(2,200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sz w:val="20"/>
              </w:rPr>
            </w:pPr>
            <w:r>
              <w:rPr>
                <w:sz w:val="20"/>
              </w:rPr>
              <w:t>(2,300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90" w:type="dxa"/>
            <w:tcBorders/>
            <w:shd w:fill="CCEEFF" w:val="clear"/>
            <w:vAlign w:val="center"/>
          </w:tcPr>
          <w:p>
            <w:pPr>
              <w:pStyle w:val="TableContents"/>
              <w:bidi w:val="0"/>
              <w:spacing w:before="0" w:after="283"/>
              <w:jc w:val="left"/>
              <w:rPr>
                <w:sz w:val="20"/>
              </w:rPr>
            </w:pPr>
            <w:r>
              <w:rPr>
                <w:sz w:val="20"/>
              </w:rPr>
              <w:t>Proceeds from divestitures of businesses and other assets, net of cash divested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100</w:t>
            </w:r>
          </w:p>
        </w:tc>
        <w:tc>
          <w:tcPr>
            <w:tcW w:w="95"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b/>
                <w:sz w:val="20"/>
              </w:rPr>
            </w:pPr>
            <w:r>
              <w:rPr>
                <w:b/>
                <w:sz w:val="20"/>
              </w:rPr>
              <w:t>Free cash flow before sustainability growth investments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b/>
                <w:sz w:val="20"/>
              </w:rPr>
            </w:pPr>
            <w:r>
              <w:rPr>
                <w:b/>
                <w:sz w:val="20"/>
              </w:rPr>
              <w:t>$</w:t>
            </w:r>
          </w:p>
        </w:tc>
        <w:tc>
          <w:tcPr>
            <w:tcW w:w="749" w:type="dxa"/>
            <w:tcBorders/>
            <w:shd w:fill="FFFFFF" w:val="clear"/>
            <w:vAlign w:val="center"/>
          </w:tcPr>
          <w:p>
            <w:pPr>
              <w:pStyle w:val="TableContents"/>
              <w:bidi w:val="0"/>
              <w:spacing w:before="0" w:after="283"/>
              <w:jc w:val="right"/>
              <w:rPr>
                <w:b/>
                <w:sz w:val="20"/>
              </w:rPr>
            </w:pPr>
            <w:r>
              <w:rPr>
                <w:b/>
                <w:sz w:val="20"/>
              </w:rPr>
              <w:t>2,850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b/>
                <w:sz w:val="20"/>
              </w:rPr>
            </w:pPr>
            <w:r>
              <w:rPr>
                <w:b/>
                <w:sz w:val="20"/>
              </w:rPr>
              <w:t>$</w:t>
            </w:r>
          </w:p>
        </w:tc>
        <w:tc>
          <w:tcPr>
            <w:tcW w:w="749" w:type="dxa"/>
            <w:tcBorders/>
            <w:shd w:fill="FFFFFF" w:val="clear"/>
            <w:vAlign w:val="center"/>
          </w:tcPr>
          <w:p>
            <w:pPr>
              <w:pStyle w:val="TableContents"/>
              <w:bidi w:val="0"/>
              <w:spacing w:before="0" w:after="283"/>
              <w:jc w:val="right"/>
              <w:rPr>
                <w:b/>
                <w:sz w:val="20"/>
              </w:rPr>
            </w:pPr>
            <w:r>
              <w:rPr>
                <w:b/>
                <w:sz w:val="20"/>
              </w:rPr>
              <w:t>3,050</w:t>
            </w:r>
          </w:p>
        </w:tc>
        <w:tc>
          <w:tcPr>
            <w:tcW w:w="95"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sz w:val="20"/>
              </w:rPr>
            </w:pPr>
            <w:r>
              <w:rPr>
                <w:sz w:val="20"/>
              </w:rPr>
              <w:t>Capital expenditures - sustainability growth investments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(850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(900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90" w:type="dxa"/>
            <w:tcBorders/>
            <w:shd w:fill="FFFFFF" w:val="clear"/>
            <w:vAlign w:val="center"/>
          </w:tcPr>
          <w:p>
            <w:pPr>
              <w:pStyle w:val="TableContents"/>
              <w:bidi w:val="0"/>
              <w:spacing w:before="0" w:after="283"/>
              <w:jc w:val="left"/>
              <w:rPr>
                <w:b/>
                <w:sz w:val="20"/>
              </w:rPr>
            </w:pPr>
            <w:r>
              <w:rPr>
                <w:b/>
                <w:sz w:val="20"/>
              </w:rPr>
              <w:t>Free cash flow</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49"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49"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2,150</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reconciliation includes two scenarios that illustrate our projected free cash flow range for 2024. The amounts used in the reconciliation are subject to many variables, some of which are not under our control and, therefore, are not necessarily indicative of actual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INFORMATION PROVIDED FOR ILLUSTRATIVE PURPOSES ONLY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pStyle w:val="TextBody"/>
        <w:bidi w:val="0"/>
        <w:spacing w:before="0" w:after="0"/>
        <w:ind w:left="0" w:right="0" w:hanging="0"/>
        <w:jc w:val="left"/>
        <w:rPr>
          <w:caps w:val="false"/>
          <w:smallCaps w:val="false"/>
        </w:rPr>
      </w:pPr>
      <w:r>
        <w:rPr>
          <w:caps w:val="false"/>
          <w:smallCaps w:val="false"/>
        </w:rPr>
        <w:t> </w:t>
      </w:r>
    </w:p>
    <w:tbl>
      <w:tblPr>
        <w:tblW w:w="7664" w:type="dxa"/>
        <w:jc w:val="left"/>
        <w:tblInd w:w="0" w:type="dxa"/>
        <w:tblLayout w:type="fixed"/>
        <w:tblCellMar>
          <w:top w:w="0" w:type="dxa"/>
          <w:left w:w="0" w:type="dxa"/>
          <w:bottom w:w="0" w:type="dxa"/>
          <w:right w:w="0" w:type="dxa"/>
        </w:tblCellMar>
      </w:tblPr>
      <w:tblGrid>
        <w:gridCol w:w="2465"/>
        <w:gridCol w:w="60"/>
        <w:gridCol w:w="188"/>
        <w:gridCol w:w="507"/>
        <w:gridCol w:w="78"/>
        <w:gridCol w:w="78"/>
        <w:gridCol w:w="260"/>
        <w:gridCol w:w="1199"/>
        <w:gridCol w:w="241"/>
        <w:gridCol w:w="78"/>
        <w:gridCol w:w="188"/>
        <w:gridCol w:w="507"/>
        <w:gridCol w:w="78"/>
        <w:gridCol w:w="78"/>
        <w:gridCol w:w="260"/>
        <w:gridCol w:w="1199"/>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39"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March 31,</w:t>
            </w:r>
          </w:p>
        </w:tc>
        <w:tc>
          <w:tcPr>
            <w:tcW w:w="20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241"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20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Change in</w:t>
              <w:br/>
              <w:t>Adjusted</w:t>
              <w:br/>
              <w:t>Operating</w:t>
              <w:br/>
              <w:t>EBITDA Margin</w:t>
            </w:r>
          </w:p>
        </w:tc>
        <w:tc>
          <w:tcPr>
            <w:tcW w:w="241"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Change in</w:t>
              <w:br/>
              <w:t>Adjusted</w:t>
              <w:br/>
              <w:t>Operating</w:t>
              <w:br/>
              <w:t>EBITDA Margin</w:t>
            </w:r>
          </w:p>
        </w:tc>
        <w:tc>
          <w:tcPr>
            <w:tcW w:w="200"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sz w:val="20"/>
              </w:rPr>
            </w:pPr>
            <w:r>
              <w:rPr>
                <w:sz w:val="20"/>
              </w:rPr>
              <w:t>Recycling commodity rebates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507" w:type="dxa"/>
            <w:tcBorders/>
            <w:shd w:fill="CCEEFF" w:val="clear"/>
            <w:vAlign w:val="center"/>
          </w:tcPr>
          <w:p>
            <w:pPr>
              <w:pStyle w:val="TableContents"/>
              <w:bidi w:val="0"/>
              <w:spacing w:before="0" w:after="283"/>
              <w:jc w:val="right"/>
              <w:rPr>
                <w:sz w:val="20"/>
              </w:rPr>
            </w:pPr>
            <w:r>
              <w:rPr>
                <w:sz w:val="20"/>
              </w:rPr>
              <w:t>191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sz w:val="20"/>
              </w:rPr>
            </w:pPr>
            <w:r>
              <w:rPr>
                <w:sz w:val="20"/>
              </w:rPr>
              <w:t>1.2</w:t>
            </w:r>
          </w:p>
        </w:tc>
        <w:tc>
          <w:tcPr>
            <w:tcW w:w="241" w:type="dxa"/>
            <w:tcBorders/>
            <w:shd w:fill="CCEEFF" w:val="clear"/>
            <w:vAlign w:val="center"/>
          </w:tcPr>
          <w:p>
            <w:pPr>
              <w:pStyle w:val="TableContents"/>
              <w:bidi w:val="0"/>
              <w:spacing w:before="0" w:after="283"/>
              <w:jc w:val="left"/>
              <w:rPr>
                <w:sz w:val="20"/>
              </w:rPr>
            </w:pPr>
            <w:r>
              <w:rPr>
                <w:sz w:val="20"/>
              </w:rPr>
              <w:t>%</w:t>
            </w:r>
          </w:p>
        </w:tc>
        <w:tc>
          <w:tcPr>
            <w:tcW w:w="78"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507" w:type="dxa"/>
            <w:tcBorders/>
            <w:shd w:fill="CCEEFF" w:val="clear"/>
            <w:vAlign w:val="center"/>
          </w:tcPr>
          <w:p>
            <w:pPr>
              <w:pStyle w:val="TableContents"/>
              <w:bidi w:val="0"/>
              <w:spacing w:before="0" w:after="283"/>
              <w:jc w:val="right"/>
              <w:rPr>
                <w:sz w:val="20"/>
              </w:rPr>
            </w:pPr>
            <w:r>
              <w:rPr>
                <w:sz w:val="20"/>
              </w:rPr>
              <w:t>141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sz w:val="20"/>
              </w:rPr>
            </w:pPr>
            <w:r>
              <w:rPr>
                <w:sz w:val="20"/>
              </w:rPr>
              <w:t>0.9</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465" w:type="dxa"/>
            <w:tcBorders/>
            <w:shd w:fill="FFFFFF" w:val="clear"/>
            <w:vAlign w:val="center"/>
          </w:tcPr>
          <w:p>
            <w:pPr>
              <w:pStyle w:val="TableContents"/>
              <w:bidi w:val="0"/>
              <w:spacing w:before="0" w:after="283"/>
              <w:jc w:val="left"/>
              <w:rPr>
                <w:sz w:val="20"/>
              </w:rPr>
            </w:pPr>
            <w:r>
              <w:rPr>
                <w:sz w:val="20"/>
              </w:rPr>
              <w:t>Accretion expense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sz w:val="20"/>
              </w:rPr>
            </w:pPr>
            <w:r>
              <w:rPr>
                <w:sz w:val="20"/>
              </w:rPr>
              <w:t>$</w:t>
            </w:r>
          </w:p>
        </w:tc>
        <w:tc>
          <w:tcPr>
            <w:tcW w:w="507" w:type="dxa"/>
            <w:tcBorders/>
            <w:shd w:fill="FFFFFF" w:val="clear"/>
            <w:vAlign w:val="center"/>
          </w:tcPr>
          <w:p>
            <w:pPr>
              <w:pStyle w:val="TableContents"/>
              <w:bidi w:val="0"/>
              <w:spacing w:before="0" w:after="283"/>
              <w:jc w:val="right"/>
              <w:rPr>
                <w:sz w:val="20"/>
              </w:rPr>
            </w:pPr>
            <w:r>
              <w:rPr>
                <w:sz w:val="20"/>
              </w:rPr>
              <w:t>33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sz w:val="20"/>
              </w:rPr>
            </w:pPr>
            <w:r>
              <w:rPr>
                <w:sz w:val="20"/>
              </w:rPr>
              <w:t>0.6</w:t>
            </w:r>
          </w:p>
        </w:tc>
        <w:tc>
          <w:tcPr>
            <w:tcW w:w="241" w:type="dxa"/>
            <w:tcBorders/>
            <w:shd w:fill="FFFFFF" w:val="clear"/>
            <w:vAlign w:val="center"/>
          </w:tcPr>
          <w:p>
            <w:pPr>
              <w:pStyle w:val="TableContents"/>
              <w:bidi w:val="0"/>
              <w:spacing w:before="0" w:after="283"/>
              <w:jc w:val="left"/>
              <w:rPr>
                <w:sz w:val="20"/>
              </w:rPr>
            </w:pPr>
            <w:r>
              <w:rPr>
                <w:sz w:val="20"/>
              </w:rPr>
              <w:t>%</w:t>
            </w:r>
          </w:p>
        </w:tc>
        <w:tc>
          <w:tcPr>
            <w:tcW w:w="78"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sz w:val="20"/>
              </w:rPr>
            </w:pPr>
            <w:r>
              <w:rPr>
                <w:sz w:val="20"/>
              </w:rPr>
              <w:t>$</w:t>
            </w:r>
          </w:p>
        </w:tc>
        <w:tc>
          <w:tcPr>
            <w:tcW w:w="507" w:type="dxa"/>
            <w:tcBorders/>
            <w:shd w:fill="FFFFFF" w:val="clear"/>
            <w:vAlign w:val="center"/>
          </w:tcPr>
          <w:p>
            <w:pPr>
              <w:pStyle w:val="TableContents"/>
              <w:bidi w:val="0"/>
              <w:spacing w:before="0" w:after="283"/>
              <w:jc w:val="right"/>
              <w:rPr>
                <w:sz w:val="20"/>
              </w:rPr>
            </w:pPr>
            <w:r>
              <w:rPr>
                <w:sz w:val="20"/>
              </w:rPr>
              <w:t>32</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sz w:val="20"/>
              </w:rPr>
            </w:pPr>
            <w:r>
              <w:rPr>
                <w:sz w:val="20"/>
              </w:rPr>
              <w:t>0.6</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DATA – 2023 OPERATING REVENUES BY LINE OF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DATA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038" w:type="dxa"/>
        <w:jc w:val="left"/>
        <w:tblInd w:w="0" w:type="dxa"/>
        <w:tblLayout w:type="fixed"/>
        <w:tblCellMar>
          <w:top w:w="0" w:type="dxa"/>
          <w:left w:w="0" w:type="dxa"/>
          <w:bottom w:w="0" w:type="dxa"/>
          <w:right w:w="0" w:type="dxa"/>
        </w:tblCellMar>
      </w:tblPr>
      <w:tblGrid>
        <w:gridCol w:w="2600"/>
        <w:gridCol w:w="60"/>
        <w:gridCol w:w="182"/>
        <w:gridCol w:w="708"/>
        <w:gridCol w:w="70"/>
        <w:gridCol w:w="70"/>
        <w:gridCol w:w="227"/>
        <w:gridCol w:w="993"/>
        <w:gridCol w:w="93"/>
        <w:gridCol w:w="70"/>
        <w:gridCol w:w="182"/>
        <w:gridCol w:w="708"/>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3"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Quarter Ended June 30, 2023</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Gross</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sz w:val="20"/>
              </w:rPr>
            </w:pPr>
            <w:r>
              <w:rPr>
                <w:b/>
                <w:sz w:val="20"/>
              </w:rPr>
              <w:t>Intercompany</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Net</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Operating</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sz w:val="20"/>
              </w:rPr>
            </w:pPr>
            <w:r>
              <w:rPr>
                <w:b/>
                <w:sz w:val="20"/>
              </w:rPr>
              <w:t>Operating</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Operating</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Commercial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20"/>
              </w:rPr>
            </w:pPr>
            <w:r>
              <w:rPr>
                <w:sz w:val="20"/>
              </w:rPr>
              <w:t>$</w:t>
            </w:r>
          </w:p>
        </w:tc>
        <w:tc>
          <w:tcPr>
            <w:tcW w:w="708" w:type="dxa"/>
            <w:tcBorders/>
            <w:shd w:fill="CCEEFF" w:val="clear"/>
            <w:vAlign w:val="center"/>
          </w:tcPr>
          <w:p>
            <w:pPr>
              <w:pStyle w:val="TableContents"/>
              <w:bidi w:val="0"/>
              <w:spacing w:before="0" w:after="283"/>
              <w:jc w:val="right"/>
              <w:rPr>
                <w:sz w:val="20"/>
              </w:rPr>
            </w:pPr>
            <w:r>
              <w:rPr>
                <w:sz w:val="20"/>
              </w:rPr>
              <w:t>1,424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20"/>
              </w:rPr>
            </w:pPr>
            <w:r>
              <w:rPr>
                <w:sz w:val="20"/>
              </w:rPr>
              <w:t>$</w:t>
            </w:r>
          </w:p>
        </w:tc>
        <w:tc>
          <w:tcPr>
            <w:tcW w:w="993" w:type="dxa"/>
            <w:tcBorders/>
            <w:shd w:fill="CCEEFF" w:val="clear"/>
            <w:vAlign w:val="center"/>
          </w:tcPr>
          <w:p>
            <w:pPr>
              <w:pStyle w:val="TableContents"/>
              <w:bidi w:val="0"/>
              <w:spacing w:before="0" w:after="283"/>
              <w:jc w:val="right"/>
              <w:rPr>
                <w:sz w:val="20"/>
              </w:rPr>
            </w:pPr>
            <w:r>
              <w:rPr>
                <w:sz w:val="20"/>
              </w:rPr>
              <w:t>(168</w:t>
            </w:r>
          </w:p>
        </w:tc>
        <w:tc>
          <w:tcPr>
            <w:tcW w:w="93"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20"/>
              </w:rPr>
            </w:pPr>
            <w:r>
              <w:rPr>
                <w:sz w:val="20"/>
              </w:rPr>
              <w:t>$</w:t>
            </w:r>
          </w:p>
        </w:tc>
        <w:tc>
          <w:tcPr>
            <w:tcW w:w="708" w:type="dxa"/>
            <w:tcBorders/>
            <w:shd w:fill="CCEEFF" w:val="clear"/>
            <w:vAlign w:val="center"/>
          </w:tcPr>
          <w:p>
            <w:pPr>
              <w:pStyle w:val="TableContents"/>
              <w:bidi w:val="0"/>
              <w:spacing w:before="0" w:after="283"/>
              <w:jc w:val="right"/>
              <w:rPr>
                <w:sz w:val="20"/>
              </w:rPr>
            </w:pPr>
            <w:r>
              <w:rPr>
                <w:sz w:val="20"/>
              </w:rPr>
              <w:t>1,256</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Industrial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974</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(192</w:t>
            </w:r>
          </w:p>
        </w:tc>
        <w:tc>
          <w:tcPr>
            <w:tcW w:w="93"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782</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Residential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866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(25</w:t>
            </w:r>
          </w:p>
        </w:tc>
        <w:tc>
          <w:tcPr>
            <w:tcW w:w="93"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841</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Other collection</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745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(56</w:t>
            </w:r>
          </w:p>
        </w:tc>
        <w:tc>
          <w:tcPr>
            <w:tcW w:w="93"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689</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Total collection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4,009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(441</w:t>
            </w:r>
          </w:p>
        </w:tc>
        <w:tc>
          <w:tcPr>
            <w:tcW w:w="93"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3,568</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Landfill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1,263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(417</w:t>
            </w:r>
          </w:p>
        </w:tc>
        <w:tc>
          <w:tcPr>
            <w:tcW w:w="93"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846</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Transfer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585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(265</w:t>
            </w:r>
          </w:p>
        </w:tc>
        <w:tc>
          <w:tcPr>
            <w:tcW w:w="93"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320</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Total Collection and Disposal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20"/>
              </w:rPr>
            </w:pPr>
            <w:r>
              <w:rPr>
                <w:sz w:val="20"/>
              </w:rPr>
              <w:t>$</w:t>
            </w:r>
          </w:p>
        </w:tc>
        <w:tc>
          <w:tcPr>
            <w:tcW w:w="708" w:type="dxa"/>
            <w:tcBorders/>
            <w:shd w:fill="FFFFFF" w:val="clear"/>
            <w:vAlign w:val="center"/>
          </w:tcPr>
          <w:p>
            <w:pPr>
              <w:pStyle w:val="TableContents"/>
              <w:bidi w:val="0"/>
              <w:spacing w:before="0" w:after="283"/>
              <w:jc w:val="right"/>
              <w:rPr>
                <w:sz w:val="20"/>
              </w:rPr>
            </w:pPr>
            <w:r>
              <w:rPr>
                <w:sz w:val="20"/>
              </w:rPr>
              <w:t>5,857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sz w:val="20"/>
              </w:rPr>
            </w:pPr>
            <w:r>
              <w:rPr>
                <w:sz w:val="20"/>
              </w:rPr>
              <w:t>$</w:t>
            </w:r>
          </w:p>
        </w:tc>
        <w:tc>
          <w:tcPr>
            <w:tcW w:w="993" w:type="dxa"/>
            <w:tcBorders/>
            <w:shd w:fill="FFFFFF" w:val="clear"/>
            <w:vAlign w:val="center"/>
          </w:tcPr>
          <w:p>
            <w:pPr>
              <w:pStyle w:val="TableContents"/>
              <w:bidi w:val="0"/>
              <w:spacing w:before="0" w:after="283"/>
              <w:jc w:val="right"/>
              <w:rPr>
                <w:sz w:val="20"/>
              </w:rPr>
            </w:pPr>
            <w:r>
              <w:rPr>
                <w:sz w:val="20"/>
              </w:rPr>
              <w:t>(1,123</w:t>
            </w:r>
          </w:p>
        </w:tc>
        <w:tc>
          <w:tcPr>
            <w:tcW w:w="93"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20"/>
              </w:rPr>
            </w:pPr>
            <w:r>
              <w:rPr>
                <w:sz w:val="20"/>
              </w:rPr>
              <w:t>$</w:t>
            </w:r>
          </w:p>
        </w:tc>
        <w:tc>
          <w:tcPr>
            <w:tcW w:w="708" w:type="dxa"/>
            <w:tcBorders/>
            <w:shd w:fill="FFFFFF" w:val="clear"/>
            <w:vAlign w:val="center"/>
          </w:tcPr>
          <w:p>
            <w:pPr>
              <w:pStyle w:val="TableContents"/>
              <w:bidi w:val="0"/>
              <w:spacing w:before="0" w:after="283"/>
              <w:jc w:val="right"/>
              <w:rPr>
                <w:sz w:val="20"/>
              </w:rPr>
            </w:pPr>
            <w:r>
              <w:rPr>
                <w:sz w:val="20"/>
              </w:rPr>
              <w:t>4,734</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Recycling Processing and Sales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394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(78</w:t>
            </w:r>
          </w:p>
        </w:tc>
        <w:tc>
          <w:tcPr>
            <w:tcW w:w="93"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316</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WM Renewable Energy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63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(1</w:t>
            </w:r>
          </w:p>
        </w:tc>
        <w:tc>
          <w:tcPr>
            <w:tcW w:w="93"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62</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w:t>
            </w:r>
          </w:p>
        </w:tc>
        <w:tc>
          <w:tcPr>
            <w:tcW w:w="93"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6,328</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(1,209</w:t>
            </w:r>
          </w:p>
        </w:tc>
        <w:tc>
          <w:tcPr>
            <w:tcW w:w="93"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5,119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095" w:type="dxa"/>
        <w:jc w:val="left"/>
        <w:tblInd w:w="0" w:type="dxa"/>
        <w:tblLayout w:type="fixed"/>
        <w:tblCellMar>
          <w:top w:w="0" w:type="dxa"/>
          <w:left w:w="0" w:type="dxa"/>
          <w:bottom w:w="0" w:type="dxa"/>
          <w:right w:w="0" w:type="dxa"/>
        </w:tblCellMar>
      </w:tblPr>
      <w:tblGrid>
        <w:gridCol w:w="2600"/>
        <w:gridCol w:w="60"/>
        <w:gridCol w:w="182"/>
        <w:gridCol w:w="708"/>
        <w:gridCol w:w="83"/>
        <w:gridCol w:w="83"/>
        <w:gridCol w:w="227"/>
        <w:gridCol w:w="993"/>
        <w:gridCol w:w="111"/>
        <w:gridCol w:w="83"/>
        <w:gridCol w:w="182"/>
        <w:gridCol w:w="708"/>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Quarter Ended September 30, 2023</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Gross</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sz w:val="20"/>
              </w:rPr>
            </w:pPr>
            <w:r>
              <w:rPr>
                <w:b/>
                <w:sz w:val="20"/>
              </w:rPr>
              <w:t>Intercompany</w:t>
            </w:r>
          </w:p>
        </w:tc>
        <w:tc>
          <w:tcPr>
            <w:tcW w:w="11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Net</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Operating</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sz w:val="20"/>
              </w:rPr>
            </w:pPr>
            <w:r>
              <w:rPr>
                <w:b/>
                <w:sz w:val="20"/>
              </w:rPr>
              <w:t>Operating</w:t>
            </w:r>
          </w:p>
        </w:tc>
        <w:tc>
          <w:tcPr>
            <w:tcW w:w="11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Operating</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11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Commercial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20"/>
              </w:rPr>
            </w:pPr>
            <w:r>
              <w:rPr>
                <w:sz w:val="20"/>
              </w:rPr>
              <w:t>$</w:t>
            </w:r>
          </w:p>
        </w:tc>
        <w:tc>
          <w:tcPr>
            <w:tcW w:w="708" w:type="dxa"/>
            <w:tcBorders/>
            <w:shd w:fill="CCEEFF" w:val="clear"/>
            <w:vAlign w:val="center"/>
          </w:tcPr>
          <w:p>
            <w:pPr>
              <w:pStyle w:val="TableContents"/>
              <w:bidi w:val="0"/>
              <w:spacing w:before="0" w:after="283"/>
              <w:jc w:val="right"/>
              <w:rPr>
                <w:sz w:val="20"/>
              </w:rPr>
            </w:pPr>
            <w:r>
              <w:rPr>
                <w:sz w:val="20"/>
              </w:rPr>
              <w:t>1,464</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20"/>
              </w:rPr>
            </w:pPr>
            <w:r>
              <w:rPr>
                <w:sz w:val="20"/>
              </w:rPr>
              <w:t>$</w:t>
            </w:r>
          </w:p>
        </w:tc>
        <w:tc>
          <w:tcPr>
            <w:tcW w:w="993" w:type="dxa"/>
            <w:tcBorders/>
            <w:shd w:fill="CCEEFF" w:val="clear"/>
            <w:vAlign w:val="center"/>
          </w:tcPr>
          <w:p>
            <w:pPr>
              <w:pStyle w:val="TableContents"/>
              <w:bidi w:val="0"/>
              <w:spacing w:before="0" w:after="283"/>
              <w:jc w:val="right"/>
              <w:rPr>
                <w:sz w:val="20"/>
              </w:rPr>
            </w:pPr>
            <w:r>
              <w:rPr>
                <w:sz w:val="20"/>
              </w:rPr>
              <w:t>(179</w:t>
            </w:r>
          </w:p>
        </w:tc>
        <w:tc>
          <w:tcPr>
            <w:tcW w:w="111" w:type="dxa"/>
            <w:tcBorders/>
            <w:shd w:fill="CCEEFF" w:val="clear"/>
            <w:vAlign w:val="center"/>
          </w:tcPr>
          <w:p>
            <w:pPr>
              <w:pStyle w:val="TableContents"/>
              <w:bidi w:val="0"/>
              <w:spacing w:before="0" w:after="283"/>
              <w:jc w:val="left"/>
              <w:rPr>
                <w:sz w:val="20"/>
              </w:rPr>
            </w:pPr>
            <w:r>
              <w:rPr>
                <w:sz w:val="20"/>
              </w:rPr>
              <w:t>)</w:t>
            </w:r>
          </w:p>
        </w:tc>
        <w:tc>
          <w:tcPr>
            <w:tcW w:w="83"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20"/>
              </w:rPr>
            </w:pPr>
            <w:r>
              <w:rPr>
                <w:sz w:val="20"/>
              </w:rPr>
              <w:t>$</w:t>
            </w:r>
          </w:p>
        </w:tc>
        <w:tc>
          <w:tcPr>
            <w:tcW w:w="708" w:type="dxa"/>
            <w:tcBorders/>
            <w:shd w:fill="CCEEFF" w:val="clear"/>
            <w:vAlign w:val="center"/>
          </w:tcPr>
          <w:p>
            <w:pPr>
              <w:pStyle w:val="TableContents"/>
              <w:bidi w:val="0"/>
              <w:spacing w:before="0" w:after="283"/>
              <w:jc w:val="right"/>
              <w:rPr>
                <w:sz w:val="20"/>
              </w:rPr>
            </w:pPr>
            <w:r>
              <w:rPr>
                <w:sz w:val="20"/>
              </w:rPr>
              <w:t>1,285</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Industrial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982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(194</w:t>
            </w:r>
          </w:p>
        </w:tc>
        <w:tc>
          <w:tcPr>
            <w:tcW w:w="111" w:type="dxa"/>
            <w:tcBorders/>
            <w:shd w:fill="FFFFFF" w:val="clear"/>
            <w:vAlign w:val="center"/>
          </w:tcPr>
          <w:p>
            <w:pPr>
              <w:pStyle w:val="TableContents"/>
              <w:bidi w:val="0"/>
              <w:spacing w:before="0" w:after="283"/>
              <w:jc w:val="left"/>
              <w:rPr>
                <w:sz w:val="20"/>
              </w:rPr>
            </w:pPr>
            <w:r>
              <w:rPr>
                <w:sz w:val="20"/>
              </w:rPr>
              <w:t>)</w:t>
            </w:r>
          </w:p>
        </w:tc>
        <w:tc>
          <w:tcPr>
            <w:tcW w:w="83"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788</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Residential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875</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(23</w:t>
            </w:r>
          </w:p>
        </w:tc>
        <w:tc>
          <w:tcPr>
            <w:tcW w:w="111" w:type="dxa"/>
            <w:tcBorders/>
            <w:shd w:fill="CCEEFF" w:val="clear"/>
            <w:vAlign w:val="center"/>
          </w:tcPr>
          <w:p>
            <w:pPr>
              <w:pStyle w:val="TableContents"/>
              <w:bidi w:val="0"/>
              <w:spacing w:before="0" w:after="283"/>
              <w:jc w:val="left"/>
              <w:rPr>
                <w:sz w:val="20"/>
              </w:rPr>
            </w:pPr>
            <w:r>
              <w:rPr>
                <w:sz w:val="20"/>
              </w:rPr>
              <w:t>)</w:t>
            </w:r>
          </w:p>
        </w:tc>
        <w:tc>
          <w:tcPr>
            <w:tcW w:w="83"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852</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Other collection</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773</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w:t>
            </w:r>
          </w:p>
        </w:tc>
        <w:tc>
          <w:tcPr>
            <w:tcW w:w="111" w:type="dxa"/>
            <w:tcBorders/>
            <w:shd w:fill="FFFFFF" w:val="clear"/>
            <w:vAlign w:val="center"/>
          </w:tcPr>
          <w:p>
            <w:pPr>
              <w:pStyle w:val="TableContents"/>
              <w:bidi w:val="0"/>
              <w:spacing w:before="0" w:after="283"/>
              <w:jc w:val="left"/>
              <w:rPr>
                <w:sz w:val="20"/>
              </w:rPr>
            </w:pPr>
            <w:r>
              <w:rPr>
                <w:sz w:val="20"/>
              </w:rPr>
              <w:t>)</w:t>
            </w:r>
          </w:p>
        </w:tc>
        <w:tc>
          <w:tcPr>
            <w:tcW w:w="83"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718</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Total collection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4,094</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(451</w:t>
            </w:r>
          </w:p>
        </w:tc>
        <w:tc>
          <w:tcPr>
            <w:tcW w:w="111" w:type="dxa"/>
            <w:tcBorders/>
            <w:shd w:fill="CCEEFF" w:val="clear"/>
            <w:vAlign w:val="center"/>
          </w:tcPr>
          <w:p>
            <w:pPr>
              <w:pStyle w:val="TableContents"/>
              <w:bidi w:val="0"/>
              <w:spacing w:before="0" w:after="283"/>
              <w:jc w:val="left"/>
              <w:rPr>
                <w:sz w:val="20"/>
              </w:rPr>
            </w:pPr>
            <w:r>
              <w:rPr>
                <w:sz w:val="20"/>
              </w:rPr>
              <w:t>)</w:t>
            </w:r>
          </w:p>
        </w:tc>
        <w:tc>
          <w:tcPr>
            <w:tcW w:w="83"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3,643</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Landfill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1,259</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(412</w:t>
            </w:r>
          </w:p>
        </w:tc>
        <w:tc>
          <w:tcPr>
            <w:tcW w:w="111" w:type="dxa"/>
            <w:tcBorders/>
            <w:shd w:fill="FFFFFF" w:val="clear"/>
            <w:vAlign w:val="center"/>
          </w:tcPr>
          <w:p>
            <w:pPr>
              <w:pStyle w:val="TableContents"/>
              <w:bidi w:val="0"/>
              <w:spacing w:before="0" w:after="283"/>
              <w:jc w:val="left"/>
              <w:rPr>
                <w:sz w:val="20"/>
              </w:rPr>
            </w:pPr>
            <w:r>
              <w:rPr>
                <w:sz w:val="20"/>
              </w:rPr>
              <w:t>)</w:t>
            </w:r>
          </w:p>
        </w:tc>
        <w:tc>
          <w:tcPr>
            <w:tcW w:w="83"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847</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Transfer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594</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(263</w:t>
            </w:r>
          </w:p>
        </w:tc>
        <w:tc>
          <w:tcPr>
            <w:tcW w:w="111" w:type="dxa"/>
            <w:tcBorders/>
            <w:shd w:fill="CCEEFF" w:val="clear"/>
            <w:vAlign w:val="center"/>
          </w:tcPr>
          <w:p>
            <w:pPr>
              <w:pStyle w:val="TableContents"/>
              <w:bidi w:val="0"/>
              <w:spacing w:before="0" w:after="283"/>
              <w:jc w:val="left"/>
              <w:rPr>
                <w:sz w:val="20"/>
              </w:rPr>
            </w:pPr>
            <w:r>
              <w:rPr>
                <w:sz w:val="20"/>
              </w:rPr>
              <w:t>)</w:t>
            </w:r>
          </w:p>
        </w:tc>
        <w:tc>
          <w:tcPr>
            <w:tcW w:w="83"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331</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Total Collection and Disposal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20"/>
              </w:rPr>
            </w:pPr>
            <w:r>
              <w:rPr>
                <w:sz w:val="20"/>
              </w:rPr>
              <w:t>$</w:t>
            </w:r>
          </w:p>
        </w:tc>
        <w:tc>
          <w:tcPr>
            <w:tcW w:w="708" w:type="dxa"/>
            <w:tcBorders/>
            <w:shd w:fill="FFFFFF" w:val="clear"/>
            <w:vAlign w:val="center"/>
          </w:tcPr>
          <w:p>
            <w:pPr>
              <w:pStyle w:val="TableContents"/>
              <w:bidi w:val="0"/>
              <w:spacing w:before="0" w:after="283"/>
              <w:jc w:val="right"/>
              <w:rPr>
                <w:sz w:val="20"/>
              </w:rPr>
            </w:pPr>
            <w:r>
              <w:rPr>
                <w:sz w:val="20"/>
              </w:rPr>
              <w:t>5,947</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sz w:val="20"/>
              </w:rPr>
            </w:pPr>
            <w:r>
              <w:rPr>
                <w:sz w:val="20"/>
              </w:rPr>
              <w:t>$</w:t>
            </w:r>
          </w:p>
        </w:tc>
        <w:tc>
          <w:tcPr>
            <w:tcW w:w="993" w:type="dxa"/>
            <w:tcBorders/>
            <w:shd w:fill="FFFFFF" w:val="clear"/>
            <w:vAlign w:val="center"/>
          </w:tcPr>
          <w:p>
            <w:pPr>
              <w:pStyle w:val="TableContents"/>
              <w:bidi w:val="0"/>
              <w:spacing w:before="0" w:after="283"/>
              <w:jc w:val="right"/>
              <w:rPr>
                <w:sz w:val="20"/>
              </w:rPr>
            </w:pPr>
            <w:r>
              <w:rPr>
                <w:sz w:val="20"/>
              </w:rPr>
              <w:t>(1,126</w:t>
            </w:r>
          </w:p>
        </w:tc>
        <w:tc>
          <w:tcPr>
            <w:tcW w:w="111" w:type="dxa"/>
            <w:tcBorders/>
            <w:shd w:fill="FFFFFF" w:val="clear"/>
            <w:vAlign w:val="center"/>
          </w:tcPr>
          <w:p>
            <w:pPr>
              <w:pStyle w:val="TableContents"/>
              <w:bidi w:val="0"/>
              <w:spacing w:before="0" w:after="283"/>
              <w:jc w:val="left"/>
              <w:rPr>
                <w:sz w:val="20"/>
              </w:rPr>
            </w:pPr>
            <w:r>
              <w:rPr>
                <w:sz w:val="20"/>
              </w:rPr>
              <w:t>)</w:t>
            </w:r>
          </w:p>
        </w:tc>
        <w:tc>
          <w:tcPr>
            <w:tcW w:w="83"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20"/>
              </w:rPr>
            </w:pPr>
            <w:r>
              <w:rPr>
                <w:sz w:val="20"/>
              </w:rPr>
              <w:t>$</w:t>
            </w:r>
          </w:p>
        </w:tc>
        <w:tc>
          <w:tcPr>
            <w:tcW w:w="708" w:type="dxa"/>
            <w:tcBorders/>
            <w:shd w:fill="FFFFFF" w:val="clear"/>
            <w:vAlign w:val="center"/>
          </w:tcPr>
          <w:p>
            <w:pPr>
              <w:pStyle w:val="TableContents"/>
              <w:bidi w:val="0"/>
              <w:spacing w:before="0" w:after="283"/>
              <w:jc w:val="right"/>
              <w:rPr>
                <w:sz w:val="20"/>
              </w:rPr>
            </w:pPr>
            <w:r>
              <w:rPr>
                <w:sz w:val="20"/>
              </w:rPr>
              <w:t>4,821</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Recycling Processing and Sales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386</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(81</w:t>
            </w:r>
          </w:p>
        </w:tc>
        <w:tc>
          <w:tcPr>
            <w:tcW w:w="111" w:type="dxa"/>
            <w:tcBorders/>
            <w:shd w:fill="CCEEFF" w:val="clear"/>
            <w:vAlign w:val="center"/>
          </w:tcPr>
          <w:p>
            <w:pPr>
              <w:pStyle w:val="TableContents"/>
              <w:bidi w:val="0"/>
              <w:spacing w:before="0" w:after="283"/>
              <w:jc w:val="left"/>
              <w:rPr>
                <w:sz w:val="20"/>
              </w:rPr>
            </w:pPr>
            <w:r>
              <w:rPr>
                <w:sz w:val="20"/>
              </w:rPr>
              <w:t>)</w:t>
            </w:r>
          </w:p>
        </w:tc>
        <w:tc>
          <w:tcPr>
            <w:tcW w:w="83"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305</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WM Renewable Energy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68</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(1</w:t>
            </w:r>
          </w:p>
        </w:tc>
        <w:tc>
          <w:tcPr>
            <w:tcW w:w="111" w:type="dxa"/>
            <w:tcBorders/>
            <w:shd w:fill="FFFFFF" w:val="clear"/>
            <w:vAlign w:val="center"/>
          </w:tcPr>
          <w:p>
            <w:pPr>
              <w:pStyle w:val="TableContents"/>
              <w:bidi w:val="0"/>
              <w:spacing w:before="0" w:after="283"/>
              <w:jc w:val="left"/>
              <w:rPr>
                <w:sz w:val="20"/>
              </w:rPr>
            </w:pPr>
            <w:r>
              <w:rPr>
                <w:sz w:val="20"/>
              </w:rPr>
              <w:t>)</w:t>
            </w:r>
          </w:p>
        </w:tc>
        <w:tc>
          <w:tcPr>
            <w:tcW w:w="83"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67</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w:t>
            </w:r>
          </w:p>
        </w:tc>
        <w:tc>
          <w:tcPr>
            <w:tcW w:w="111" w:type="dxa"/>
            <w:tcBorders/>
            <w:shd w:fill="CCEEFF" w:val="clear"/>
            <w:vAlign w:val="center"/>
          </w:tcPr>
          <w:p>
            <w:pPr>
              <w:pStyle w:val="TableContents"/>
              <w:bidi w:val="0"/>
              <w:spacing w:before="0" w:after="283"/>
              <w:jc w:val="left"/>
              <w:rPr>
                <w:sz w:val="20"/>
              </w:rPr>
            </w:pPr>
            <w:r>
              <w:rPr>
                <w:sz w:val="20"/>
              </w:rPr>
              <w:t>)</w:t>
            </w:r>
          </w:p>
        </w:tc>
        <w:tc>
          <w:tcPr>
            <w:tcW w:w="83"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6,413</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(1,215</w:t>
            </w:r>
          </w:p>
        </w:tc>
        <w:tc>
          <w:tcPr>
            <w:tcW w:w="111" w:type="dxa"/>
            <w:tcBorders/>
            <w:shd w:fill="FFFFFF" w:val="clear"/>
            <w:vAlign w:val="center"/>
          </w:tcPr>
          <w:p>
            <w:pPr>
              <w:pStyle w:val="TableContents"/>
              <w:bidi w:val="0"/>
              <w:spacing w:before="0" w:after="283"/>
              <w:jc w:val="left"/>
              <w:rPr>
                <w:sz w:val="20"/>
              </w:rPr>
            </w:pPr>
            <w:r>
              <w:rPr>
                <w:sz w:val="20"/>
              </w:rPr>
              <w:t>)</w:t>
            </w:r>
          </w:p>
        </w:tc>
        <w:tc>
          <w:tcPr>
            <w:tcW w:w="83"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5,198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DATA – 2023 OPERATING REVENUES BY LINE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DATA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091" w:type="dxa"/>
        <w:jc w:val="left"/>
        <w:tblInd w:w="0" w:type="dxa"/>
        <w:tblLayout w:type="fixed"/>
        <w:tblCellMar>
          <w:top w:w="0" w:type="dxa"/>
          <w:left w:w="0" w:type="dxa"/>
          <w:bottom w:w="0" w:type="dxa"/>
          <w:right w:w="0" w:type="dxa"/>
        </w:tblCellMar>
      </w:tblPr>
      <w:tblGrid>
        <w:gridCol w:w="2600"/>
        <w:gridCol w:w="60"/>
        <w:gridCol w:w="182"/>
        <w:gridCol w:w="708"/>
        <w:gridCol w:w="82"/>
        <w:gridCol w:w="82"/>
        <w:gridCol w:w="227"/>
        <w:gridCol w:w="993"/>
        <w:gridCol w:w="110"/>
        <w:gridCol w:w="82"/>
        <w:gridCol w:w="182"/>
        <w:gridCol w:w="708"/>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6"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Quarter Ended December 31, 2023</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Gross</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sz w:val="20"/>
              </w:rPr>
            </w:pPr>
            <w:r>
              <w:rPr>
                <w:b/>
                <w:sz w:val="20"/>
              </w:rPr>
              <w:t>Intercompany</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Net</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Operating</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sz w:val="20"/>
              </w:rPr>
            </w:pPr>
            <w:r>
              <w:rPr>
                <w:b/>
                <w:sz w:val="20"/>
              </w:rPr>
              <w:t>Operating</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20"/>
              </w:rPr>
            </w:pPr>
            <w:r>
              <w:rPr>
                <w:b/>
                <w:sz w:val="20"/>
              </w:rPr>
              <w:t>Operating</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Revenues</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Commercial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20"/>
              </w:rPr>
            </w:pPr>
            <w:r>
              <w:rPr>
                <w:sz w:val="20"/>
              </w:rPr>
              <w:t>$</w:t>
            </w:r>
          </w:p>
        </w:tc>
        <w:tc>
          <w:tcPr>
            <w:tcW w:w="708" w:type="dxa"/>
            <w:tcBorders/>
            <w:shd w:fill="CCEEFF" w:val="clear"/>
            <w:vAlign w:val="center"/>
          </w:tcPr>
          <w:p>
            <w:pPr>
              <w:pStyle w:val="TableContents"/>
              <w:bidi w:val="0"/>
              <w:spacing w:before="0" w:after="283"/>
              <w:jc w:val="right"/>
              <w:rPr>
                <w:sz w:val="20"/>
              </w:rPr>
            </w:pPr>
            <w:r>
              <w:rPr>
                <w:sz w:val="20"/>
              </w:rPr>
              <w:t>1,501</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20"/>
              </w:rPr>
            </w:pPr>
            <w:r>
              <w:rPr>
                <w:sz w:val="20"/>
              </w:rPr>
              <w:t>$</w:t>
            </w:r>
          </w:p>
        </w:tc>
        <w:tc>
          <w:tcPr>
            <w:tcW w:w="993" w:type="dxa"/>
            <w:tcBorders/>
            <w:shd w:fill="CCEEFF" w:val="clear"/>
            <w:vAlign w:val="center"/>
          </w:tcPr>
          <w:p>
            <w:pPr>
              <w:pStyle w:val="TableContents"/>
              <w:bidi w:val="0"/>
              <w:spacing w:before="0" w:after="283"/>
              <w:jc w:val="right"/>
              <w:rPr>
                <w:sz w:val="20"/>
              </w:rPr>
            </w:pPr>
            <w:r>
              <w:rPr>
                <w:sz w:val="20"/>
              </w:rPr>
              <w:t>(184</w:t>
            </w:r>
          </w:p>
        </w:tc>
        <w:tc>
          <w:tcPr>
            <w:tcW w:w="110" w:type="dxa"/>
            <w:tcBorders/>
            <w:shd w:fill="CCEEFF" w:val="clear"/>
            <w:vAlign w:val="center"/>
          </w:tcPr>
          <w:p>
            <w:pPr>
              <w:pStyle w:val="TableContents"/>
              <w:bidi w:val="0"/>
              <w:spacing w:before="0" w:after="283"/>
              <w:jc w:val="left"/>
              <w:rPr>
                <w:sz w:val="20"/>
              </w:rPr>
            </w:pPr>
            <w:r>
              <w:rPr>
                <w:sz w:val="20"/>
              </w:rPr>
              <w:t>)</w:t>
            </w:r>
          </w:p>
        </w:tc>
        <w:tc>
          <w:tcPr>
            <w:tcW w:w="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20"/>
              </w:rPr>
            </w:pPr>
            <w:r>
              <w:rPr>
                <w:sz w:val="20"/>
              </w:rPr>
              <w:t>$</w:t>
            </w:r>
          </w:p>
        </w:tc>
        <w:tc>
          <w:tcPr>
            <w:tcW w:w="708" w:type="dxa"/>
            <w:tcBorders/>
            <w:shd w:fill="CCEEFF" w:val="clear"/>
            <w:vAlign w:val="center"/>
          </w:tcPr>
          <w:p>
            <w:pPr>
              <w:pStyle w:val="TableContents"/>
              <w:bidi w:val="0"/>
              <w:spacing w:before="0" w:after="283"/>
              <w:jc w:val="right"/>
              <w:rPr>
                <w:sz w:val="20"/>
              </w:rPr>
            </w:pPr>
            <w:r>
              <w:rPr>
                <w:sz w:val="20"/>
              </w:rPr>
              <w:t>1,317</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Industrial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947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(190</w:t>
            </w:r>
          </w:p>
        </w:tc>
        <w:tc>
          <w:tcPr>
            <w:tcW w:w="110" w:type="dxa"/>
            <w:tcBorders/>
            <w:shd w:fill="FFFFFF" w:val="clear"/>
            <w:vAlign w:val="center"/>
          </w:tcPr>
          <w:p>
            <w:pPr>
              <w:pStyle w:val="TableContents"/>
              <w:bidi w:val="0"/>
              <w:spacing w:before="0" w:after="283"/>
              <w:jc w:val="left"/>
              <w:rPr>
                <w:sz w:val="20"/>
              </w:rPr>
            </w:pPr>
            <w:r>
              <w:rPr>
                <w:sz w:val="20"/>
              </w:rPr>
              <w:t>)</w:t>
            </w:r>
          </w:p>
        </w:tc>
        <w:tc>
          <w:tcPr>
            <w:tcW w:w="82"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757</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Residential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879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(23</w:t>
            </w:r>
          </w:p>
        </w:tc>
        <w:tc>
          <w:tcPr>
            <w:tcW w:w="110" w:type="dxa"/>
            <w:tcBorders/>
            <w:shd w:fill="CCEEFF" w:val="clear"/>
            <w:vAlign w:val="center"/>
          </w:tcPr>
          <w:p>
            <w:pPr>
              <w:pStyle w:val="TableContents"/>
              <w:bidi w:val="0"/>
              <w:spacing w:before="0" w:after="283"/>
              <w:jc w:val="left"/>
              <w:rPr>
                <w:sz w:val="20"/>
              </w:rPr>
            </w:pPr>
            <w:r>
              <w:rPr>
                <w:sz w:val="20"/>
              </w:rPr>
              <w:t>)</w:t>
            </w:r>
          </w:p>
        </w:tc>
        <w:tc>
          <w:tcPr>
            <w:tcW w:w="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856</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Other collection</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799</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(59</w:t>
            </w:r>
          </w:p>
        </w:tc>
        <w:tc>
          <w:tcPr>
            <w:tcW w:w="110" w:type="dxa"/>
            <w:tcBorders/>
            <w:shd w:fill="FFFFFF" w:val="clear"/>
            <w:vAlign w:val="center"/>
          </w:tcPr>
          <w:p>
            <w:pPr>
              <w:pStyle w:val="TableContents"/>
              <w:bidi w:val="0"/>
              <w:spacing w:before="0" w:after="283"/>
              <w:jc w:val="left"/>
              <w:rPr>
                <w:sz w:val="20"/>
              </w:rPr>
            </w:pPr>
            <w:r>
              <w:rPr>
                <w:sz w:val="20"/>
              </w:rPr>
              <w:t>)</w:t>
            </w:r>
          </w:p>
        </w:tc>
        <w:tc>
          <w:tcPr>
            <w:tcW w:w="82"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740</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Total collection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4,126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(456</w:t>
            </w:r>
          </w:p>
        </w:tc>
        <w:tc>
          <w:tcPr>
            <w:tcW w:w="110" w:type="dxa"/>
            <w:tcBorders/>
            <w:shd w:fill="CCEEFF" w:val="clear"/>
            <w:vAlign w:val="center"/>
          </w:tcPr>
          <w:p>
            <w:pPr>
              <w:pStyle w:val="TableContents"/>
              <w:bidi w:val="0"/>
              <w:spacing w:before="0" w:after="283"/>
              <w:jc w:val="left"/>
              <w:rPr>
                <w:sz w:val="20"/>
              </w:rPr>
            </w:pPr>
            <w:r>
              <w:rPr>
                <w:sz w:val="20"/>
              </w:rPr>
              <w:t>)</w:t>
            </w:r>
          </w:p>
        </w:tc>
        <w:tc>
          <w:tcPr>
            <w:tcW w:w="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3,670</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Landfill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1,191</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sz w:val="20"/>
              </w:rPr>
            </w:pPr>
            <w:r>
              <w:rPr>
                <w:sz w:val="20"/>
              </w:rPr>
              <w:t>(391</w:t>
            </w:r>
          </w:p>
        </w:tc>
        <w:tc>
          <w:tcPr>
            <w:tcW w:w="110" w:type="dxa"/>
            <w:tcBorders/>
            <w:shd w:fill="FFFFFF" w:val="clear"/>
            <w:vAlign w:val="center"/>
          </w:tcPr>
          <w:p>
            <w:pPr>
              <w:pStyle w:val="TableContents"/>
              <w:bidi w:val="0"/>
              <w:spacing w:before="0" w:after="283"/>
              <w:jc w:val="left"/>
              <w:rPr>
                <w:sz w:val="20"/>
              </w:rPr>
            </w:pPr>
            <w:r>
              <w:rPr>
                <w:sz w:val="20"/>
              </w:rPr>
              <w:t>)</w:t>
            </w:r>
          </w:p>
        </w:tc>
        <w:tc>
          <w:tcPr>
            <w:tcW w:w="82"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800</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Transfer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574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(257</w:t>
            </w:r>
          </w:p>
        </w:tc>
        <w:tc>
          <w:tcPr>
            <w:tcW w:w="110" w:type="dxa"/>
            <w:tcBorders/>
            <w:shd w:fill="CCEEFF" w:val="clear"/>
            <w:vAlign w:val="center"/>
          </w:tcPr>
          <w:p>
            <w:pPr>
              <w:pStyle w:val="TableContents"/>
              <w:bidi w:val="0"/>
              <w:spacing w:before="0" w:after="283"/>
              <w:jc w:val="left"/>
              <w:rPr>
                <w:sz w:val="20"/>
              </w:rPr>
            </w:pPr>
            <w:r>
              <w:rPr>
                <w:sz w:val="20"/>
              </w:rPr>
              <w:t>)</w:t>
            </w:r>
          </w:p>
        </w:tc>
        <w:tc>
          <w:tcPr>
            <w:tcW w:w="82"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317</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Total Collection and Disposal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20"/>
              </w:rPr>
            </w:pPr>
            <w:r>
              <w:rPr>
                <w:sz w:val="20"/>
              </w:rPr>
              <w:t>$</w:t>
            </w:r>
          </w:p>
        </w:tc>
        <w:tc>
          <w:tcPr>
            <w:tcW w:w="708" w:type="dxa"/>
            <w:tcBorders/>
            <w:shd w:fill="FFFFFF" w:val="clear"/>
            <w:vAlign w:val="center"/>
          </w:tcPr>
          <w:p>
            <w:pPr>
              <w:pStyle w:val="TableContents"/>
              <w:bidi w:val="0"/>
              <w:spacing w:before="0" w:after="283"/>
              <w:jc w:val="right"/>
              <w:rPr>
                <w:sz w:val="20"/>
              </w:rPr>
            </w:pPr>
            <w:r>
              <w:rPr>
                <w:sz w:val="20"/>
              </w:rPr>
              <w:t>5,891</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sz w:val="20"/>
              </w:rPr>
            </w:pPr>
            <w:r>
              <w:rPr>
                <w:sz w:val="20"/>
              </w:rPr>
              <w:t>$</w:t>
            </w:r>
          </w:p>
        </w:tc>
        <w:tc>
          <w:tcPr>
            <w:tcW w:w="993" w:type="dxa"/>
            <w:tcBorders/>
            <w:shd w:fill="FFFFFF" w:val="clear"/>
            <w:vAlign w:val="center"/>
          </w:tcPr>
          <w:p>
            <w:pPr>
              <w:pStyle w:val="TableContents"/>
              <w:bidi w:val="0"/>
              <w:spacing w:before="0" w:after="283"/>
              <w:jc w:val="right"/>
              <w:rPr>
                <w:sz w:val="20"/>
              </w:rPr>
            </w:pPr>
            <w:r>
              <w:rPr>
                <w:sz w:val="20"/>
              </w:rPr>
              <w:t>(1,104</w:t>
            </w:r>
          </w:p>
        </w:tc>
        <w:tc>
          <w:tcPr>
            <w:tcW w:w="110" w:type="dxa"/>
            <w:tcBorders/>
            <w:shd w:fill="FFFFFF" w:val="clear"/>
            <w:vAlign w:val="center"/>
          </w:tcPr>
          <w:p>
            <w:pPr>
              <w:pStyle w:val="TableContents"/>
              <w:bidi w:val="0"/>
              <w:spacing w:before="0" w:after="283"/>
              <w:jc w:val="left"/>
              <w:rPr>
                <w:sz w:val="20"/>
              </w:rPr>
            </w:pPr>
            <w:r>
              <w:rPr>
                <w:sz w:val="20"/>
              </w:rPr>
              <w:t>)</w:t>
            </w:r>
          </w:p>
        </w:tc>
        <w:tc>
          <w:tcPr>
            <w:tcW w:w="82"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20"/>
              </w:rPr>
            </w:pPr>
            <w:r>
              <w:rPr>
                <w:sz w:val="20"/>
              </w:rPr>
              <w:t>$</w:t>
            </w:r>
          </w:p>
        </w:tc>
        <w:tc>
          <w:tcPr>
            <w:tcW w:w="708" w:type="dxa"/>
            <w:tcBorders/>
            <w:shd w:fill="FFFFFF" w:val="clear"/>
            <w:vAlign w:val="center"/>
          </w:tcPr>
          <w:p>
            <w:pPr>
              <w:pStyle w:val="TableContents"/>
              <w:bidi w:val="0"/>
              <w:spacing w:before="0" w:after="283"/>
              <w:jc w:val="right"/>
              <w:rPr>
                <w:sz w:val="20"/>
              </w:rPr>
            </w:pPr>
            <w:r>
              <w:rPr>
                <w:sz w:val="20"/>
              </w:rPr>
              <w:t>4,787</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Recycling Processing and Sales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422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(73</w:t>
            </w:r>
          </w:p>
        </w:tc>
        <w:tc>
          <w:tcPr>
            <w:tcW w:w="110" w:type="dxa"/>
            <w:tcBorders/>
            <w:shd w:fill="CCEEFF" w:val="clear"/>
            <w:vAlign w:val="center"/>
          </w:tcPr>
          <w:p>
            <w:pPr>
              <w:pStyle w:val="TableContents"/>
              <w:bidi w:val="0"/>
              <w:spacing w:before="0" w:after="283"/>
              <w:jc w:val="left"/>
              <w:rPr>
                <w:sz w:val="20"/>
              </w:rPr>
            </w:pPr>
            <w:r>
              <w:rPr>
                <w:sz w:val="20"/>
              </w:rPr>
              <w:t>)</w:t>
            </w:r>
          </w:p>
        </w:tc>
        <w:tc>
          <w:tcPr>
            <w:tcW w:w="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349</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WM Renewable Energy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75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75</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w:t>
            </w:r>
          </w:p>
        </w:tc>
        <w:tc>
          <w:tcPr>
            <w:tcW w:w="110" w:type="dxa"/>
            <w:tcBorders/>
            <w:shd w:fill="CCEEFF" w:val="clear"/>
            <w:vAlign w:val="center"/>
          </w:tcPr>
          <w:p>
            <w:pPr>
              <w:pStyle w:val="TableContents"/>
              <w:bidi w:val="0"/>
              <w:spacing w:before="0" w:after="283"/>
              <w:jc w:val="left"/>
              <w:rPr>
                <w:sz w:val="20"/>
              </w:rPr>
            </w:pPr>
            <w:r>
              <w:rPr>
                <w:sz w:val="20"/>
              </w:rPr>
              <w:t>)</w:t>
            </w:r>
          </w:p>
        </w:tc>
        <w:tc>
          <w:tcPr>
            <w:tcW w:w="82"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6,401</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(1,184</w:t>
            </w:r>
          </w:p>
        </w:tc>
        <w:tc>
          <w:tcPr>
            <w:tcW w:w="110" w:type="dxa"/>
            <w:tcBorders/>
            <w:shd w:fill="FFFFFF" w:val="clear"/>
            <w:vAlign w:val="center"/>
          </w:tcPr>
          <w:p>
            <w:pPr>
              <w:pStyle w:val="TableContents"/>
              <w:bidi w:val="0"/>
              <w:spacing w:before="0" w:after="283"/>
              <w:jc w:val="left"/>
              <w:rPr>
                <w:sz w:val="20"/>
              </w:rPr>
            </w:pPr>
            <w:r>
              <w:rPr>
                <w:sz w:val="20"/>
              </w:rPr>
              <w:t>)</w:t>
            </w:r>
          </w:p>
        </w:tc>
        <w:tc>
          <w:tcPr>
            <w:tcW w:w="82"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5,217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DATA - 2023 SEGMENT REPORTING BY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CERTAIN NON-GAAP MEASURES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164" w:type="dxa"/>
        <w:jc w:val="left"/>
        <w:tblInd w:w="0" w:type="dxa"/>
        <w:tblLayout w:type="fixed"/>
        <w:tblCellMar>
          <w:top w:w="0" w:type="dxa"/>
          <w:left w:w="0" w:type="dxa"/>
          <w:bottom w:w="0" w:type="dxa"/>
          <w:right w:w="0" w:type="dxa"/>
        </w:tblCellMar>
      </w:tblPr>
      <w:tblGrid>
        <w:gridCol w:w="3425"/>
        <w:gridCol w:w="60"/>
        <w:gridCol w:w="224"/>
        <w:gridCol w:w="875"/>
        <w:gridCol w:w="215"/>
        <w:gridCol w:w="60"/>
        <w:gridCol w:w="230"/>
        <w:gridCol w:w="705"/>
        <w:gridCol w:w="215"/>
        <w:gridCol w:w="60"/>
        <w:gridCol w:w="231"/>
        <w:gridCol w:w="704"/>
        <w:gridCol w:w="215"/>
        <w:gridCol w:w="60"/>
        <w:gridCol w:w="217"/>
        <w:gridCol w:w="688"/>
        <w:gridCol w:w="80"/>
        <w:gridCol w:w="60"/>
        <w:gridCol w:w="125"/>
        <w:gridCol w:w="485"/>
        <w:gridCol w:w="23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9" w:type="dxa"/>
            <w:gridSpan w:val="18"/>
            <w:tcBorders>
              <w:bottom w:val="single" w:sz="8" w:space="0" w:color="000000"/>
            </w:tcBorders>
            <w:tcMar>
              <w:bottom w:w="28" w:type="dxa"/>
            </w:tcMar>
            <w:vAlign w:val="center"/>
          </w:tcPr>
          <w:p>
            <w:pPr>
              <w:pStyle w:val="TableContents"/>
              <w:bidi w:val="0"/>
              <w:spacing w:before="0" w:after="283"/>
              <w:jc w:val="center"/>
              <w:rPr>
                <w:b/>
                <w:sz w:val="20"/>
              </w:rPr>
            </w:pPr>
            <w:r>
              <w:rPr>
                <w:b/>
                <w:sz w:val="20"/>
              </w:rPr>
              <w:t>Quarter Ended June 30, 2023</w:t>
            </w:r>
          </w:p>
        </w:tc>
        <w:tc>
          <w:tcPr>
            <w:tcW w:w="23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Recycling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WM</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sz w:val="20"/>
              </w:rPr>
            </w:pPr>
            <w:r>
              <w:rPr>
                <w:b/>
                <w:sz w:val="20"/>
              </w:rPr>
              <w:t>Collection</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Processing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Renewable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Disposal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Sales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Energy</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23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sz w:val="20"/>
              </w:rPr>
            </w:pPr>
            <w:r>
              <w:rPr>
                <w:b/>
                <w:sz w:val="20"/>
              </w:rPr>
              <w:t>Operating revenues,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4,734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316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62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5,119</w:t>
            </w:r>
          </w:p>
        </w:tc>
        <w:tc>
          <w:tcPr>
            <w:tcW w:w="23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sz w:val="20"/>
              </w:rPr>
            </w:pPr>
            <w:r>
              <w:rPr>
                <w:b/>
                <w:sz w:val="20"/>
              </w:rPr>
              <w:t>Income from Operations,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1,173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(267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944</w:t>
            </w:r>
          </w:p>
        </w:tc>
        <w:tc>
          <w:tcPr>
            <w:tcW w:w="23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sz w:val="20"/>
              </w:rPr>
            </w:pPr>
            <w:r>
              <w:rPr>
                <w:sz w:val="20"/>
              </w:rPr>
              <w:t>Depreciation, depletion and amortization</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521</w:t>
            </w:r>
          </w:p>
        </w:tc>
        <w:tc>
          <w:tcPr>
            <w:tcW w:w="23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sz w:val="20"/>
              </w:rPr>
            </w:pPr>
            <w:r>
              <w:rPr>
                <w:b/>
                <w:sz w:val="20"/>
              </w:rPr>
              <w:t>Operating EBITDA,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1,634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49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(241</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1,465</w:t>
            </w:r>
          </w:p>
        </w:tc>
        <w:tc>
          <w:tcPr>
            <w:tcW w:w="23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sz w:val="20"/>
              </w:rPr>
            </w:pPr>
            <w:r>
              <w:rPr>
                <w:b/>
                <w:sz w:val="20"/>
              </w:rPr>
              <w:t>Adjustments: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sz w:val="20"/>
              </w:rPr>
            </w:pPr>
            <w:r>
              <w:rPr>
                <w:sz w:val="20"/>
              </w:rPr>
              <w:t>Collective bargaining agreement costs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sz w:val="20"/>
              </w:rPr>
            </w:pPr>
            <w:r>
              <w:rPr>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w:t>
            </w:r>
          </w:p>
        </w:tc>
        <w:tc>
          <w:tcPr>
            <w:tcW w:w="23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sz w:val="20"/>
              </w:rPr>
            </w:pPr>
            <w:r>
              <w:rPr>
                <w:sz w:val="20"/>
              </w:rPr>
              <w:t>Restructuring</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23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w:t>
            </w:r>
          </w:p>
        </w:tc>
        <w:tc>
          <w:tcPr>
            <w:tcW w:w="23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sz w:val="20"/>
              </w:rPr>
            </w:pPr>
            <w:r>
              <w:rPr>
                <w:b/>
                <w:sz w:val="20"/>
              </w:rPr>
              <w:t>Adjusted operating EBITDA</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1,635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(240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1,467</w:t>
            </w:r>
          </w:p>
        </w:tc>
        <w:tc>
          <w:tcPr>
            <w:tcW w:w="23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sz w:val="20"/>
              </w:rPr>
            </w:pPr>
            <w:r>
              <w:rPr>
                <w:b/>
                <w:sz w:val="20"/>
              </w:rPr>
              <w:t>Operating EBITDA margin,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sz w:val="20"/>
              </w:rPr>
            </w:pPr>
            <w:r>
              <w:rPr>
                <w:b/>
                <w:sz w:val="20"/>
              </w:rPr>
              <w:t>34.5</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b/>
                <w:sz w:val="20"/>
              </w:rPr>
            </w:pPr>
            <w:r>
              <w:rPr>
                <w:b/>
                <w:sz w:val="20"/>
              </w:rPr>
              <w:t>15.5</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b/>
                <w:sz w:val="20"/>
              </w:rPr>
            </w:pPr>
            <w:r>
              <w:rPr>
                <w:b/>
                <w:sz w:val="20"/>
              </w:rPr>
              <w:t>37.1</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b/>
                <w:sz w:val="20"/>
              </w:rPr>
            </w:pPr>
            <w:r>
              <w:rPr>
                <w:b/>
                <w:sz w:val="20"/>
              </w:rPr>
              <w:t>N/A</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b/>
                <w:sz w:val="20"/>
              </w:rPr>
            </w:pPr>
            <w:r>
              <w:rPr>
                <w:b/>
                <w:sz w:val="20"/>
              </w:rPr>
              <w:t>28.6</w:t>
            </w:r>
          </w:p>
        </w:tc>
        <w:tc>
          <w:tcPr>
            <w:tcW w:w="230" w:type="dxa"/>
            <w:tcBorders/>
            <w:shd w:fill="CCEEFF" w:val="clear"/>
            <w:vAlign w:val="center"/>
          </w:tcPr>
          <w:p>
            <w:pPr>
              <w:pStyle w:val="TableContents"/>
              <w:bidi w:val="0"/>
              <w:spacing w:before="0" w:after="283"/>
              <w:jc w:val="left"/>
              <w:rPr>
                <w:b/>
                <w:sz w:val="20"/>
              </w:rPr>
            </w:pPr>
            <w:r>
              <w:rPr>
                <w:b/>
                <w:sz w:val="20"/>
              </w:rPr>
              <w:t>%</w:t>
            </w:r>
          </w:p>
        </w:tc>
      </w:tr>
      <w:tr>
        <w:trPr/>
        <w:tc>
          <w:tcPr>
            <w:tcW w:w="3425" w:type="dxa"/>
            <w:tcBorders/>
            <w:shd w:fill="FFFFFF" w:val="clear"/>
            <w:vAlign w:val="center"/>
          </w:tcPr>
          <w:p>
            <w:pPr>
              <w:pStyle w:val="TableContents"/>
              <w:bidi w:val="0"/>
              <w:spacing w:before="0" w:after="283"/>
              <w:jc w:val="left"/>
              <w:rPr>
                <w:b/>
                <w:sz w:val="20"/>
              </w:rPr>
            </w:pPr>
            <w:r>
              <w:rPr>
                <w:b/>
                <w:sz w:val="20"/>
              </w:rPr>
              <w:t>Adjusted operating EBITDA margin</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sz w:val="20"/>
              </w:rPr>
            </w:pPr>
            <w:r>
              <w:rPr>
                <w:b/>
                <w:sz w:val="20"/>
              </w:rPr>
              <w:t>34.5</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b/>
                <w:sz w:val="20"/>
              </w:rPr>
            </w:pPr>
            <w:r>
              <w:rPr>
                <w:b/>
                <w:sz w:val="20"/>
              </w:rPr>
              <w:t>15.5</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b/>
                <w:sz w:val="20"/>
              </w:rPr>
            </w:pPr>
            <w:r>
              <w:rPr>
                <w:b/>
                <w:sz w:val="20"/>
              </w:rPr>
              <w:t>37.1</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b/>
                <w:sz w:val="20"/>
              </w:rPr>
            </w:pPr>
            <w:r>
              <w:rPr>
                <w:b/>
                <w:sz w:val="20"/>
              </w:rPr>
              <w:t>N/A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b/>
                <w:sz w:val="20"/>
              </w:rPr>
            </w:pPr>
            <w:r>
              <w:rPr>
                <w:b/>
                <w:sz w:val="20"/>
              </w:rPr>
              <w:t>28.7</w:t>
            </w:r>
          </w:p>
        </w:tc>
        <w:tc>
          <w:tcPr>
            <w:tcW w:w="230"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283"/>
        <w:jc w:val="left"/>
        <w:rPr/>
      </w:pPr>
      <w:r>
        <w:rPr/>
        <w:t> </w:t>
      </w:r>
    </w:p>
    <w:tbl>
      <w:tblPr>
        <w:tblW w:w="9164" w:type="dxa"/>
        <w:jc w:val="left"/>
        <w:tblInd w:w="0" w:type="dxa"/>
        <w:tblLayout w:type="fixed"/>
        <w:tblCellMar>
          <w:top w:w="0" w:type="dxa"/>
          <w:left w:w="0" w:type="dxa"/>
          <w:bottom w:w="0" w:type="dxa"/>
          <w:right w:w="0" w:type="dxa"/>
        </w:tblCellMar>
      </w:tblPr>
      <w:tblGrid>
        <w:gridCol w:w="3425"/>
        <w:gridCol w:w="60"/>
        <w:gridCol w:w="224"/>
        <w:gridCol w:w="875"/>
        <w:gridCol w:w="215"/>
        <w:gridCol w:w="60"/>
        <w:gridCol w:w="230"/>
        <w:gridCol w:w="705"/>
        <w:gridCol w:w="215"/>
        <w:gridCol w:w="60"/>
        <w:gridCol w:w="231"/>
        <w:gridCol w:w="704"/>
        <w:gridCol w:w="215"/>
        <w:gridCol w:w="60"/>
        <w:gridCol w:w="217"/>
        <w:gridCol w:w="688"/>
        <w:gridCol w:w="80"/>
        <w:gridCol w:w="60"/>
        <w:gridCol w:w="125"/>
        <w:gridCol w:w="485"/>
        <w:gridCol w:w="23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9" w:type="dxa"/>
            <w:gridSpan w:val="18"/>
            <w:tcBorders>
              <w:bottom w:val="single" w:sz="8" w:space="0" w:color="000000"/>
            </w:tcBorders>
            <w:tcMar>
              <w:bottom w:w="28" w:type="dxa"/>
            </w:tcMar>
            <w:vAlign w:val="center"/>
          </w:tcPr>
          <w:p>
            <w:pPr>
              <w:pStyle w:val="TableContents"/>
              <w:bidi w:val="0"/>
              <w:spacing w:before="0" w:after="283"/>
              <w:jc w:val="center"/>
              <w:rPr>
                <w:b/>
                <w:sz w:val="20"/>
              </w:rPr>
            </w:pPr>
            <w:r>
              <w:rPr>
                <w:b/>
                <w:sz w:val="20"/>
              </w:rPr>
              <w:t>Quarter Ended September 30, 2023</w:t>
            </w:r>
          </w:p>
        </w:tc>
        <w:tc>
          <w:tcPr>
            <w:tcW w:w="23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Recycling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WM</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sz w:val="20"/>
              </w:rPr>
            </w:pPr>
            <w:r>
              <w:rPr>
                <w:b/>
                <w:sz w:val="20"/>
              </w:rPr>
              <w:t>Collection</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Processing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Renewable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Disposal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Sales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Energy</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23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sz w:val="20"/>
              </w:rPr>
            </w:pPr>
            <w:r>
              <w:rPr>
                <w:b/>
                <w:sz w:val="20"/>
              </w:rPr>
              <w:t>Operating revenues,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4,821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305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67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5,198</w:t>
            </w:r>
          </w:p>
        </w:tc>
        <w:tc>
          <w:tcPr>
            <w:tcW w:w="23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sz w:val="20"/>
              </w:rPr>
            </w:pPr>
            <w:r>
              <w:rPr>
                <w:b/>
                <w:sz w:val="20"/>
              </w:rPr>
              <w:t>Income from Operations,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1,259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17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(273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1,021</w:t>
            </w:r>
          </w:p>
        </w:tc>
        <w:tc>
          <w:tcPr>
            <w:tcW w:w="23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sz w:val="20"/>
              </w:rPr>
            </w:pPr>
            <w:r>
              <w:rPr>
                <w:sz w:val="20"/>
              </w:rPr>
              <w:t>Depreciation, depletion and amortization</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519</w:t>
            </w:r>
          </w:p>
        </w:tc>
        <w:tc>
          <w:tcPr>
            <w:tcW w:w="23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sz w:val="20"/>
              </w:rPr>
            </w:pPr>
            <w:r>
              <w:rPr>
                <w:b/>
                <w:sz w:val="20"/>
              </w:rPr>
              <w:t>Operating EBITDA,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1,717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46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(248</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1,540</w:t>
            </w:r>
          </w:p>
        </w:tc>
        <w:tc>
          <w:tcPr>
            <w:tcW w:w="23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sz w:val="20"/>
              </w:rPr>
            </w:pPr>
            <w:r>
              <w:rPr>
                <w:b/>
                <w:sz w:val="20"/>
              </w:rPr>
              <w:t>Adjustment: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sz w:val="20"/>
              </w:rPr>
            </w:pPr>
            <w:r>
              <w:rPr>
                <w:sz w:val="20"/>
              </w:rPr>
              <w:t>Collective bargaining agreement costs</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23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sz w:val="20"/>
              </w:rPr>
            </w:pPr>
            <w:r>
              <w:rPr>
                <w:b/>
                <w:sz w:val="20"/>
              </w:rPr>
              <w:t>Adjusted operating EBITDA</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1,718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(248</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1,541</w:t>
            </w:r>
          </w:p>
        </w:tc>
        <w:tc>
          <w:tcPr>
            <w:tcW w:w="23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sz w:val="20"/>
              </w:rPr>
            </w:pPr>
            <w:r>
              <w:rPr>
                <w:b/>
                <w:sz w:val="20"/>
              </w:rPr>
              <w:t>Operating EBITDA margin,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sz w:val="20"/>
              </w:rPr>
            </w:pPr>
            <w:r>
              <w:rPr>
                <w:b/>
                <w:sz w:val="20"/>
              </w:rPr>
              <w:t>35.6</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b/>
                <w:sz w:val="20"/>
              </w:rPr>
            </w:pPr>
            <w:r>
              <w:rPr>
                <w:b/>
                <w:sz w:val="20"/>
              </w:rPr>
              <w:t>15.1</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b/>
                <w:sz w:val="20"/>
              </w:rPr>
            </w:pPr>
            <w:r>
              <w:rPr>
                <w:b/>
                <w:sz w:val="20"/>
              </w:rPr>
              <w:t>37.3</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b/>
                <w:sz w:val="20"/>
              </w:rPr>
            </w:pPr>
            <w:r>
              <w:rPr>
                <w:b/>
                <w:sz w:val="20"/>
              </w:rPr>
              <w:t>N/A</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b/>
                <w:sz w:val="20"/>
              </w:rPr>
            </w:pPr>
            <w:r>
              <w:rPr>
                <w:b/>
                <w:sz w:val="20"/>
              </w:rPr>
              <w:t>29.6</w:t>
            </w:r>
          </w:p>
        </w:tc>
        <w:tc>
          <w:tcPr>
            <w:tcW w:w="230" w:type="dxa"/>
            <w:tcBorders/>
            <w:shd w:fill="CCEEFF" w:val="clear"/>
            <w:vAlign w:val="center"/>
          </w:tcPr>
          <w:p>
            <w:pPr>
              <w:pStyle w:val="TableContents"/>
              <w:bidi w:val="0"/>
              <w:spacing w:before="0" w:after="283"/>
              <w:jc w:val="left"/>
              <w:rPr>
                <w:b/>
                <w:sz w:val="20"/>
              </w:rPr>
            </w:pPr>
            <w:r>
              <w:rPr>
                <w:b/>
                <w:sz w:val="20"/>
              </w:rPr>
              <w:t>%</w:t>
            </w:r>
          </w:p>
        </w:tc>
      </w:tr>
      <w:tr>
        <w:trPr/>
        <w:tc>
          <w:tcPr>
            <w:tcW w:w="3425" w:type="dxa"/>
            <w:tcBorders/>
            <w:shd w:fill="FFFFFF" w:val="clear"/>
            <w:vAlign w:val="center"/>
          </w:tcPr>
          <w:p>
            <w:pPr>
              <w:pStyle w:val="TableContents"/>
              <w:bidi w:val="0"/>
              <w:spacing w:before="0" w:after="283"/>
              <w:jc w:val="left"/>
              <w:rPr>
                <w:b/>
                <w:sz w:val="20"/>
              </w:rPr>
            </w:pPr>
            <w:r>
              <w:rPr>
                <w:b/>
                <w:sz w:val="20"/>
              </w:rPr>
              <w:t>Adjusted operating EBITDA margin</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sz w:val="20"/>
              </w:rPr>
            </w:pPr>
            <w:r>
              <w:rPr>
                <w:b/>
                <w:sz w:val="20"/>
              </w:rPr>
              <w:t>35.6</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b/>
                <w:sz w:val="20"/>
              </w:rPr>
            </w:pPr>
            <w:r>
              <w:rPr>
                <w:b/>
                <w:sz w:val="20"/>
              </w:rPr>
              <w:t>15.1</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b/>
                <w:sz w:val="20"/>
              </w:rPr>
            </w:pPr>
            <w:r>
              <w:rPr>
                <w:b/>
                <w:sz w:val="20"/>
              </w:rPr>
              <w:t>37.3</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b/>
                <w:sz w:val="20"/>
              </w:rPr>
            </w:pPr>
            <w:r>
              <w:rPr>
                <w:b/>
                <w:sz w:val="20"/>
              </w:rPr>
              <w:t>N/A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b/>
                <w:sz w:val="20"/>
              </w:rPr>
            </w:pPr>
            <w:r>
              <w:rPr>
                <w:b/>
                <w:sz w:val="20"/>
              </w:rPr>
              <w:t>29.6</w:t>
            </w:r>
          </w:p>
        </w:tc>
        <w:tc>
          <w:tcPr>
            <w:tcW w:w="230"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DATA - 2023 SEGMENT REPORTING BY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CERTAIN NON-GAAP MEASURES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704" w:type="dxa"/>
        <w:jc w:val="left"/>
        <w:tblInd w:w="0" w:type="dxa"/>
        <w:tblLayout w:type="fixed"/>
        <w:tblCellMar>
          <w:top w:w="0" w:type="dxa"/>
          <w:left w:w="0" w:type="dxa"/>
          <w:bottom w:w="0" w:type="dxa"/>
          <w:right w:w="0" w:type="dxa"/>
        </w:tblCellMar>
      </w:tblPr>
      <w:tblGrid>
        <w:gridCol w:w="3965"/>
        <w:gridCol w:w="60"/>
        <w:gridCol w:w="224"/>
        <w:gridCol w:w="875"/>
        <w:gridCol w:w="215"/>
        <w:gridCol w:w="60"/>
        <w:gridCol w:w="230"/>
        <w:gridCol w:w="705"/>
        <w:gridCol w:w="215"/>
        <w:gridCol w:w="60"/>
        <w:gridCol w:w="231"/>
        <w:gridCol w:w="704"/>
        <w:gridCol w:w="215"/>
        <w:gridCol w:w="60"/>
        <w:gridCol w:w="217"/>
        <w:gridCol w:w="688"/>
        <w:gridCol w:w="80"/>
        <w:gridCol w:w="60"/>
        <w:gridCol w:w="125"/>
        <w:gridCol w:w="485"/>
        <w:gridCol w:w="230"/>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9" w:type="dxa"/>
            <w:gridSpan w:val="18"/>
            <w:tcBorders>
              <w:bottom w:val="single" w:sz="8" w:space="0" w:color="000000"/>
            </w:tcBorders>
            <w:tcMar>
              <w:bottom w:w="28" w:type="dxa"/>
            </w:tcMar>
            <w:vAlign w:val="center"/>
          </w:tcPr>
          <w:p>
            <w:pPr>
              <w:pStyle w:val="TableContents"/>
              <w:bidi w:val="0"/>
              <w:spacing w:before="0" w:after="283"/>
              <w:jc w:val="center"/>
              <w:rPr>
                <w:b/>
                <w:sz w:val="20"/>
              </w:rPr>
            </w:pPr>
            <w:r>
              <w:rPr>
                <w:b/>
                <w:sz w:val="20"/>
              </w:rPr>
              <w:t>Quarter Ended December 31, 2023</w:t>
            </w:r>
          </w:p>
        </w:tc>
        <w:tc>
          <w:tcPr>
            <w:tcW w:w="23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Recycling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WM</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sz w:val="20"/>
              </w:rPr>
            </w:pPr>
            <w:r>
              <w:rPr>
                <w:b/>
                <w:sz w:val="20"/>
              </w:rPr>
              <w:t>Collection</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Processing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20"/>
              </w:rPr>
            </w:pPr>
            <w:r>
              <w:rPr>
                <w:b/>
                <w:sz w:val="20"/>
              </w:rPr>
              <w:t>Renewable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Disposal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Sales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Energy</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b/>
                <w:sz w:val="20"/>
              </w:rPr>
            </w:pPr>
            <w:r>
              <w:rPr>
                <w:b/>
                <w:sz w:val="20"/>
              </w:rPr>
              <w:t>Operating revenues,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4,787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349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75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5,217</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b/>
                <w:sz w:val="20"/>
              </w:rPr>
            </w:pPr>
            <w:r>
              <w:rPr>
                <w:b/>
                <w:sz w:val="20"/>
              </w:rPr>
              <w:t>Income from Operations,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1,325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(99</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(469</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785</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sz w:val="20"/>
              </w:rPr>
            </w:pPr>
            <w:r>
              <w:rPr>
                <w:sz w:val="20"/>
              </w:rPr>
              <w:t>Depreciation, depletion and amortization</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526</w:t>
            </w:r>
          </w:p>
        </w:tc>
        <w:tc>
          <w:tcPr>
            <w:tcW w:w="23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b/>
                <w:sz w:val="20"/>
              </w:rPr>
            </w:pPr>
            <w:r>
              <w:rPr>
                <w:b/>
                <w:sz w:val="20"/>
              </w:rPr>
              <w:t>Operating EBITDA,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sz w:val="20"/>
              </w:rPr>
            </w:pPr>
            <w:r>
              <w:rPr>
                <w:b/>
                <w:sz w:val="20"/>
              </w:rPr>
              <w:t>$</w:t>
            </w:r>
          </w:p>
        </w:tc>
        <w:tc>
          <w:tcPr>
            <w:tcW w:w="875" w:type="dxa"/>
            <w:tcBorders/>
            <w:shd w:fill="CCEEFF" w:val="clear"/>
            <w:vAlign w:val="center"/>
          </w:tcPr>
          <w:p>
            <w:pPr>
              <w:pStyle w:val="TableContents"/>
              <w:bidi w:val="0"/>
              <w:spacing w:before="0" w:after="283"/>
              <w:jc w:val="right"/>
              <w:rPr>
                <w:b/>
                <w:sz w:val="20"/>
              </w:rPr>
            </w:pPr>
            <w:r>
              <w:rPr>
                <w:b/>
                <w:sz w:val="20"/>
              </w:rPr>
              <w:t>1,773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sz w:val="20"/>
              </w:rPr>
            </w:pPr>
            <w:r>
              <w:rPr>
                <w:b/>
                <w:sz w:val="20"/>
              </w:rPr>
              <w:t>$</w:t>
            </w:r>
          </w:p>
        </w:tc>
        <w:tc>
          <w:tcPr>
            <w:tcW w:w="705" w:type="dxa"/>
            <w:tcBorders/>
            <w:shd w:fill="CCEEFF" w:val="clear"/>
            <w:vAlign w:val="center"/>
          </w:tcPr>
          <w:p>
            <w:pPr>
              <w:pStyle w:val="TableContents"/>
              <w:bidi w:val="0"/>
              <w:spacing w:before="0" w:after="283"/>
              <w:jc w:val="right"/>
              <w:rPr>
                <w:b/>
                <w:sz w:val="20"/>
              </w:rPr>
            </w:pPr>
            <w:r>
              <w:rPr>
                <w:b/>
                <w:sz w:val="20"/>
              </w:rPr>
              <w:t>(69</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sz w:val="20"/>
              </w:rPr>
            </w:pPr>
            <w:r>
              <w:rPr>
                <w:b/>
                <w:sz w:val="20"/>
              </w:rPr>
              <w:t>$</w:t>
            </w:r>
          </w:p>
        </w:tc>
        <w:tc>
          <w:tcPr>
            <w:tcW w:w="704" w:type="dxa"/>
            <w:tcBorders/>
            <w:shd w:fill="CCEEFF" w:val="clear"/>
            <w:vAlign w:val="center"/>
          </w:tcPr>
          <w:p>
            <w:pPr>
              <w:pStyle w:val="TableContents"/>
              <w:bidi w:val="0"/>
              <w:spacing w:before="0" w:after="283"/>
              <w:jc w:val="right"/>
              <w:rPr>
                <w:b/>
                <w:sz w:val="20"/>
              </w:rPr>
            </w:pPr>
            <w:r>
              <w:rPr>
                <w:b/>
                <w:sz w:val="20"/>
              </w:rPr>
              <w:t>36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sz w:val="20"/>
              </w:rPr>
            </w:pPr>
            <w:r>
              <w:rPr>
                <w:b/>
                <w:sz w:val="20"/>
              </w:rPr>
              <w:t>$</w:t>
            </w:r>
          </w:p>
        </w:tc>
        <w:tc>
          <w:tcPr>
            <w:tcW w:w="688" w:type="dxa"/>
            <w:tcBorders/>
            <w:shd w:fill="CCEEFF" w:val="clear"/>
            <w:vAlign w:val="center"/>
          </w:tcPr>
          <w:p>
            <w:pPr>
              <w:pStyle w:val="TableContents"/>
              <w:bidi w:val="0"/>
              <w:spacing w:before="0" w:after="283"/>
              <w:jc w:val="right"/>
              <w:rPr>
                <w:b/>
                <w:sz w:val="20"/>
              </w:rPr>
            </w:pPr>
            <w:r>
              <w:rPr>
                <w:b/>
                <w:sz w:val="20"/>
              </w:rPr>
              <w:t>(429</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485" w:type="dxa"/>
            <w:tcBorders/>
            <w:shd w:fill="CCEEFF" w:val="clear"/>
            <w:vAlign w:val="center"/>
          </w:tcPr>
          <w:p>
            <w:pPr>
              <w:pStyle w:val="TableContents"/>
              <w:bidi w:val="0"/>
              <w:spacing w:before="0" w:after="283"/>
              <w:jc w:val="right"/>
              <w:rPr>
                <w:b/>
                <w:sz w:val="20"/>
              </w:rPr>
            </w:pPr>
            <w:r>
              <w:rPr>
                <w:b/>
                <w:sz w:val="20"/>
              </w:rPr>
              <w:t>1,311</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b/>
                <w:sz w:val="20"/>
              </w:rPr>
            </w:pPr>
            <w:r>
              <w:rPr>
                <w:b/>
                <w:sz w:val="20"/>
              </w:rPr>
              <w:t>Adjustment: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sz w:val="20"/>
              </w:rPr>
            </w:pPr>
            <w:r>
              <w:rPr>
                <w:sz w:val="20"/>
              </w:rPr>
              <w:t>(Gain) loss from asset impairments and other, net</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247</w:t>
            </w:r>
          </w:p>
        </w:tc>
        <w:tc>
          <w:tcPr>
            <w:tcW w:w="23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b/>
                <w:sz w:val="20"/>
              </w:rPr>
            </w:pPr>
            <w:r>
              <w:rPr>
                <w:b/>
                <w:sz w:val="20"/>
              </w:rPr>
              <w:t>Adjusted operating EBITDA</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1,773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53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(304</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1,558</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b/>
                <w:sz w:val="20"/>
              </w:rPr>
            </w:pPr>
            <w:r>
              <w:rPr>
                <w:b/>
                <w:sz w:val="20"/>
              </w:rPr>
              <w:t>Operating EBITDA margin, as reported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sz w:val="20"/>
              </w:rPr>
            </w:pPr>
            <w:r>
              <w:rPr>
                <w:b/>
                <w:sz w:val="20"/>
              </w:rPr>
              <w:t>37.0</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b/>
                <w:sz w:val="20"/>
              </w:rPr>
            </w:pPr>
            <w:r>
              <w:rPr>
                <w:b/>
                <w:sz w:val="20"/>
              </w:rPr>
              <w:t>N/A</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b/>
                <w:sz w:val="20"/>
              </w:rPr>
            </w:pPr>
            <w:r>
              <w:rPr>
                <w:b/>
                <w:sz w:val="20"/>
              </w:rPr>
              <w:t>48.0</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b/>
                <w:sz w:val="20"/>
              </w:rPr>
            </w:pPr>
            <w:r>
              <w:rPr>
                <w:b/>
                <w:sz w:val="20"/>
              </w:rPr>
              <w:t>N/A</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b/>
                <w:sz w:val="20"/>
              </w:rPr>
            </w:pPr>
            <w:r>
              <w:rPr>
                <w:b/>
                <w:sz w:val="20"/>
              </w:rPr>
              <w:t>25.1</w:t>
            </w:r>
          </w:p>
        </w:tc>
        <w:tc>
          <w:tcPr>
            <w:tcW w:w="230" w:type="dxa"/>
            <w:tcBorders/>
            <w:shd w:fill="CCEEFF" w:val="clear"/>
            <w:vAlign w:val="center"/>
          </w:tcPr>
          <w:p>
            <w:pPr>
              <w:pStyle w:val="TableContents"/>
              <w:bidi w:val="0"/>
              <w:spacing w:before="0" w:after="283"/>
              <w:jc w:val="left"/>
              <w:rPr>
                <w:b/>
                <w:sz w:val="20"/>
              </w:rPr>
            </w:pPr>
            <w:r>
              <w:rPr>
                <w:b/>
                <w:sz w:val="20"/>
              </w:rPr>
              <w:t>%</w:t>
            </w:r>
          </w:p>
        </w:tc>
      </w:tr>
      <w:tr>
        <w:trPr/>
        <w:tc>
          <w:tcPr>
            <w:tcW w:w="3965" w:type="dxa"/>
            <w:tcBorders/>
            <w:shd w:fill="FFFFFF" w:val="clear"/>
            <w:vAlign w:val="center"/>
          </w:tcPr>
          <w:p>
            <w:pPr>
              <w:pStyle w:val="TableContents"/>
              <w:bidi w:val="0"/>
              <w:spacing w:before="0" w:after="283"/>
              <w:jc w:val="left"/>
              <w:rPr>
                <w:b/>
                <w:sz w:val="20"/>
              </w:rPr>
            </w:pPr>
            <w:r>
              <w:rPr>
                <w:b/>
                <w:sz w:val="20"/>
              </w:rPr>
              <w:t>Adjusted operating EBITDA margin</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sz w:val="20"/>
              </w:rPr>
            </w:pPr>
            <w:r>
              <w:rPr>
                <w:b/>
                <w:sz w:val="20"/>
              </w:rPr>
              <w:t>37.0</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b/>
                <w:sz w:val="20"/>
              </w:rPr>
            </w:pPr>
            <w:r>
              <w:rPr>
                <w:b/>
                <w:sz w:val="20"/>
              </w:rPr>
              <w:t>15.2</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b/>
                <w:sz w:val="20"/>
              </w:rPr>
            </w:pPr>
            <w:r>
              <w:rPr>
                <w:b/>
                <w:sz w:val="20"/>
              </w:rPr>
              <w:t>48.0</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b/>
                <w:sz w:val="20"/>
              </w:rPr>
            </w:pPr>
            <w:r>
              <w:rPr>
                <w:b/>
                <w:sz w:val="20"/>
              </w:rPr>
              <w:t>N/A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b/>
                <w:sz w:val="20"/>
              </w:rPr>
            </w:pPr>
            <w:r>
              <w:rPr>
                <w:b/>
                <w:sz w:val="20"/>
              </w:rPr>
              <w:t>29.9</w:t>
            </w:r>
          </w:p>
        </w:tc>
        <w:tc>
          <w:tcPr>
            <w:tcW w:w="230"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6042</Words>
  <Characters>31928</Characters>
  <CharactersWithSpaces>39670</CharactersWithSpaces>
  <Paragraphs>5223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