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ectPr>
          <w:pgSz w:w="11900" w:h="16838" w:orient="portrait"/>
          <w:cols w:equalWidth="0" w:num="1">
            <w:col w:w="11520"/>
          </w:cols>
          <w:pgMar w:left="240" w:top="221" w:right="139" w:bottom="1440" w:gutter="0" w:footer="0" w:header="0"/>
        </w:sectPr>
      </w:pPr>
    </w:p>
    <w:p>
      <w:pPr>
        <w:spacing w:after="0" w:line="65"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2"/>
        </w:trPr>
        <w:tc>
          <w:tcPr>
            <w:tcW w:w="6400" w:type="dxa"/>
            <w:vAlign w:val="bottom"/>
            <w:vMerge w:val="restart"/>
          </w:tcPr>
          <w:p>
            <w:pPr>
              <w:jc w:val="center"/>
              <w:ind w:right="32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64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9"/>
        </w:trPr>
        <w:tc>
          <w:tcPr>
            <w:tcW w:w="6400" w:type="dxa"/>
            <w:vAlign w:val="bottom"/>
          </w:tcPr>
          <w:p>
            <w:pPr>
              <w:jc w:val="center"/>
              <w:ind w:right="321"/>
              <w:spacing w:after="0" w:line="129"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400" w:type="dxa"/>
            <w:vAlign w:val="bottom"/>
            <w:vMerge w:val="restart"/>
          </w:tcPr>
          <w:p>
            <w:pPr>
              <w:jc w:val="center"/>
              <w:ind w:right="321"/>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rPr>
                <w:sz w:val="15"/>
                <w:szCs w:val="15"/>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80" w:type="dxa"/>
            <w:vAlign w:val="bottom"/>
            <w:gridSpan w:val="2"/>
          </w:tcPr>
          <w:p>
            <w:pPr>
              <w:ind w:left="24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38"/>
        </w:trPr>
        <w:tc>
          <w:tcPr>
            <w:tcW w:w="6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0" w:type="dxa"/>
            <w:vAlign w:val="bottom"/>
            <w:vMerge w:val="restart"/>
          </w:tcPr>
          <w:p>
            <w:pPr>
              <w:jc w:val="center"/>
              <w:ind w:right="321"/>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2"/>
                <w:szCs w:val="12"/>
                <w:color w:val="auto"/>
              </w:rPr>
            </w:pPr>
          </w:p>
        </w:tc>
        <w:tc>
          <w:tcPr>
            <w:tcW w:w="214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19"/>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40" w:type="dxa"/>
            <w:vAlign w:val="bottom"/>
            <w:vMerge w:val="restart"/>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6400" w:type="dxa"/>
            <w:vAlign w:val="bottom"/>
            <w:vMerge w:val="restart"/>
          </w:tcPr>
          <w:p>
            <w:pPr>
              <w:jc w:val="center"/>
              <w:ind w:right="321"/>
              <w:spacing w:after="0"/>
              <w:rPr>
                <w:sz w:val="20"/>
                <w:szCs w:val="20"/>
                <w:color w:val="auto"/>
              </w:rPr>
            </w:pPr>
            <w:r>
              <w:rPr>
                <w:rFonts w:ascii="Arial" w:cs="Arial" w:eastAsia="Arial" w:hAnsi="Arial"/>
                <w:sz w:val="13"/>
                <w:szCs w:val="13"/>
                <w:color w:val="auto"/>
                <w:w w:val="98"/>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response:</w:t>
            </w: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6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-899160</wp:posOffset>
            </wp:positionV>
            <wp:extent cx="7325995" cy="4755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5995" cy="475551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240" w:space="560"/>
            <w:col w:w="8720"/>
          </w:cols>
          <w:pgMar w:left="240" w:top="221" w:right="1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4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20" w:type="dxa"/>
            <w:vAlign w:val="bottom"/>
            <w:gridSpan w:val="5"/>
            <w:vMerge w:val="restart"/>
          </w:tcPr>
          <w:p>
            <w:pPr>
              <w:spacing w:after="0"/>
              <w:rPr>
                <w:rFonts w:ascii="Arial" w:cs="Arial" w:eastAsia="Arial" w:hAnsi="Arial"/>
                <w:sz w:val="21"/>
                <w:szCs w:val="21"/>
                <w:color w:val="0000EE"/>
              </w:rPr>
            </w:pPr>
            <w:hyperlink r:id="rId10">
              <w:r>
                <w:rPr>
                  <w:rFonts w:ascii="Arial" w:cs="Arial" w:eastAsia="Arial" w:hAnsi="Arial"/>
                  <w:sz w:val="21"/>
                  <w:szCs w:val="21"/>
                  <w:color w:val="0000EE"/>
                </w:rPr>
                <w:t>CAFFERTY PASTORA SAN JUAN</w:t>
              </w:r>
            </w:hyperlink>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8"/>
          </w:tcPr>
          <w:p>
            <w:pPr>
              <w:spacing w:after="0" w:line="103" w:lineRule="exact"/>
              <w:rPr>
                <w:rFonts w:ascii="Arial" w:cs="Arial" w:eastAsia="Arial" w:hAnsi="Arial"/>
                <w:sz w:val="11"/>
                <w:szCs w:val="11"/>
                <w:color w:val="0000EE"/>
              </w:rPr>
            </w:pPr>
            <w:hyperlink r:id="rId11">
              <w:r>
                <w:rPr>
                  <w:rFonts w:ascii="Arial" w:cs="Arial" w:eastAsia="Arial" w:hAnsi="Arial"/>
                  <w:sz w:val="11"/>
                  <w:szCs w:val="11"/>
                  <w:color w:val="0000EE"/>
                </w:rPr>
                <w:t xml:space="preserve">WASTE MANAGEMENT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WMI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gridSpan w:val="5"/>
            <w:vMerge w:val="continue"/>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106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2"/>
                <w:szCs w:val="2"/>
                <w:color w:val="auto"/>
              </w:rPr>
            </w:pPr>
          </w:p>
        </w:tc>
        <w:tc>
          <w:tcPr>
            <w:tcW w:w="146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gridSpan w:val="7"/>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40" w:type="dxa"/>
            <w:vAlign w:val="bottom"/>
            <w:gridSpan w:val="2"/>
            <w:vMerge w:val="restart"/>
          </w:tcPr>
          <w:p>
            <w:pPr>
              <w:ind w:left="680"/>
              <w:spacing w:after="0"/>
              <w:rPr>
                <w:sz w:val="20"/>
                <w:szCs w:val="20"/>
                <w:color w:val="auto"/>
              </w:rPr>
            </w:pPr>
            <w:r>
              <w:rPr>
                <w:rFonts w:ascii="Arial" w:cs="Arial" w:eastAsia="Arial" w:hAnsi="Arial"/>
                <w:sz w:val="13"/>
                <w:szCs w:val="13"/>
                <w:color w:val="auto"/>
              </w:rPr>
              <w:t>(First)</w:t>
            </w:r>
          </w:p>
        </w:tc>
        <w:tc>
          <w:tcPr>
            <w:tcW w:w="1100" w:type="dxa"/>
            <w:vAlign w:val="bottom"/>
            <w:gridSpan w:val="2"/>
            <w:vMerge w:val="restart"/>
          </w:tcPr>
          <w:p>
            <w:pPr>
              <w:ind w:left="120"/>
              <w:spacing w:after="0"/>
              <w:rPr>
                <w:sz w:val="20"/>
                <w:szCs w:val="20"/>
                <w:color w:val="auto"/>
              </w:rPr>
            </w:pPr>
            <w:r>
              <w:rPr>
                <w:rFonts w:ascii="Arial" w:cs="Arial" w:eastAsia="Arial" w:hAnsi="Arial"/>
                <w:sz w:val="13"/>
                <w:szCs w:val="13"/>
                <w:color w:val="auto"/>
              </w:rPr>
              <w:t>(Middle)</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7"/>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560" w:type="dxa"/>
            <w:vAlign w:val="bottom"/>
            <w:gridSpan w:val="5"/>
            <w:vMerge w:val="restart"/>
          </w:tcPr>
          <w:p>
            <w:pPr>
              <w:ind w:left="420"/>
              <w:spacing w:after="0"/>
              <w:rPr>
                <w:sz w:val="20"/>
                <w:szCs w:val="20"/>
                <w:color w:val="auto"/>
              </w:rPr>
            </w:pPr>
            <w:r>
              <w:rPr>
                <w:rFonts w:ascii="Arial" w:cs="Arial" w:eastAsia="Arial" w:hAnsi="Arial"/>
                <w:sz w:val="17"/>
                <w:szCs w:val="17"/>
                <w:color w:val="0000FF"/>
              </w:rPr>
              <w:t>07/15/2003</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580" w:type="dxa"/>
            <w:vAlign w:val="bottom"/>
            <w:tcBorders>
              <w:bottom w:val="single" w:sz="8" w:color="2C2C2C"/>
            </w:tcBorders>
            <w:gridSpan w:val="4"/>
          </w:tcPr>
          <w:p>
            <w:pPr>
              <w:spacing w:after="0"/>
              <w:rPr>
                <w:sz w:val="16"/>
                <w:szCs w:val="16"/>
                <w:color w:val="auto"/>
              </w:rPr>
            </w:pPr>
          </w:p>
        </w:tc>
        <w:tc>
          <w:tcPr>
            <w:tcW w:w="1040" w:type="dxa"/>
            <w:vAlign w:val="bottom"/>
            <w:tcBorders>
              <w:bottom w:val="single" w:sz="8" w:color="2C2C2C"/>
            </w:tcBorders>
            <w:gridSpan w:val="2"/>
          </w:tcPr>
          <w:p>
            <w:pPr>
              <w:spacing w:after="0"/>
              <w:rPr>
                <w:sz w:val="16"/>
                <w:szCs w:val="16"/>
                <w:color w:val="auto"/>
              </w:rPr>
            </w:pPr>
          </w:p>
        </w:tc>
        <w:tc>
          <w:tcPr>
            <w:tcW w:w="880" w:type="dxa"/>
            <w:vAlign w:val="bottom"/>
            <w:tcBorders>
              <w:bottom w:val="single" w:sz="8" w:color="2C2C2C"/>
            </w:tcBorders>
            <w:gridSpan w:val="2"/>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3440" w:type="dxa"/>
            <w:vAlign w:val="bottom"/>
            <w:tcBorders>
              <w:bottom w:val="single" w:sz="8" w:color="2C2C2C"/>
            </w:tcBorders>
            <w:gridSpan w:val="6"/>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78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48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00" w:type="dxa"/>
            <w:vAlign w:val="bottom"/>
            <w:gridSpan w:val="8"/>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700" w:type="dxa"/>
            <w:vAlign w:val="bottom"/>
            <w:gridSpan w:val="5"/>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5"/>
            <w:vMerge w:val="continue"/>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00" w:type="dxa"/>
            <w:vAlign w:val="bottom"/>
            <w:gridSpan w:val="2"/>
            <w:vMerge w:val="restart"/>
          </w:tcPr>
          <w:p>
            <w:pPr>
              <w:ind w:left="12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658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2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20" w:type="dxa"/>
            <w:vAlign w:val="bottom"/>
          </w:tcPr>
          <w:p>
            <w:pPr>
              <w:spacing w:after="0"/>
              <w:rPr>
                <w:sz w:val="14"/>
                <w:szCs w:val="14"/>
                <w:color w:val="auto"/>
              </w:rPr>
            </w:pPr>
          </w:p>
        </w:tc>
        <w:tc>
          <w:tcPr>
            <w:tcW w:w="1340" w:type="dxa"/>
            <w:vAlign w:val="bottom"/>
            <w:gridSpan w:val="5"/>
          </w:tcPr>
          <w:p>
            <w:pPr>
              <w:ind w:left="3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40" w:type="dxa"/>
            <w:vAlign w:val="bottom"/>
            <w:gridSpan w:val="5"/>
          </w:tcPr>
          <w:p>
            <w:pPr>
              <w:ind w:left="380"/>
              <w:spacing w:after="0" w:line="12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1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2800" w:type="dxa"/>
            <w:vAlign w:val="bottom"/>
            <w:gridSpan w:val="7"/>
          </w:tcPr>
          <w:p>
            <w:pPr>
              <w:ind w:left="60"/>
              <w:spacing w:after="0" w:line="125" w:lineRule="exact"/>
              <w:rPr>
                <w:sz w:val="20"/>
                <w:szCs w:val="20"/>
                <w:color w:val="auto"/>
              </w:rPr>
            </w:pPr>
            <w:r>
              <w:rPr>
                <w:rFonts w:ascii="Arial" w:cs="Arial" w:eastAsia="Arial" w:hAnsi="Arial"/>
                <w:sz w:val="12"/>
                <w:szCs w:val="12"/>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gridSpan w:val="5"/>
          </w:tcPr>
          <w:p>
            <w:pPr>
              <w:ind w:left="38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(Month/Day/Year)  8)</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tcPr>
          <w:p>
            <w:pPr>
              <w:ind w:left="38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2440" w:type="dxa"/>
            <w:vAlign w:val="bottom"/>
            <w:tcBorders>
              <w:bottom w:val="single" w:sz="8" w:color="2C2C2C"/>
            </w:tcBorders>
            <w:gridSpan w:val="6"/>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7"/>
          </w:tcPr>
          <w:p>
            <w:pPr>
              <w:jc w:val="center"/>
              <w:ind w:right="78"/>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80" w:type="dxa"/>
            <w:vAlign w:val="bottom"/>
            <w:gridSpan w:val="15"/>
          </w:tcPr>
          <w:p>
            <w:pPr>
              <w:jc w:val="center"/>
              <w:ind w:right="8"/>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w w:val="92"/>
              </w:rPr>
              <w:t>5. Number of</w:t>
            </w:r>
          </w:p>
        </w:tc>
        <w:tc>
          <w:tcPr>
            <w:tcW w:w="30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Acquired (A)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Disposed 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3, 4 and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14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gridSpan w:val="2"/>
            <w:vMerge w:val="restart"/>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(Instr. 4)</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220"/>
              <w:spacing w:after="0"/>
              <w:rPr>
                <w:sz w:val="20"/>
                <w:szCs w:val="20"/>
                <w:color w:val="auto"/>
              </w:rPr>
            </w:pPr>
            <w:r>
              <w:rPr>
                <w:rFonts w:ascii="Arial" w:cs="Arial" w:eastAsia="Arial" w:hAnsi="Arial"/>
                <w:sz w:val="13"/>
                <w:szCs w:val="13"/>
                <w:color w:val="0000FF"/>
              </w:rPr>
              <w:t>0.0000</w:t>
            </w:r>
          </w:p>
        </w:tc>
        <w:tc>
          <w:tcPr>
            <w:tcW w:w="1060" w:type="dxa"/>
            <w:vAlign w:val="bottom"/>
            <w:vMerge w:val="restart"/>
          </w:tcPr>
          <w:p>
            <w:pPr>
              <w:jc w:val="right"/>
              <w:ind w:right="181"/>
              <w:spacing w:after="0"/>
              <w:rPr>
                <w:sz w:val="20"/>
                <w:szCs w:val="20"/>
                <w:color w:val="auto"/>
              </w:rPr>
            </w:pPr>
            <w:r>
              <w:rPr>
                <w:rFonts w:ascii="Arial" w:cs="Arial" w:eastAsia="Arial" w:hAnsi="Arial"/>
                <w:sz w:val="13"/>
                <w:szCs w:val="13"/>
                <w:color w:val="0000FF"/>
              </w:rPr>
              <w:t>07/15/2003</w:t>
            </w: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gridSpan w:val="4"/>
            <w:vMerge w:val="restart"/>
          </w:tcPr>
          <w:p>
            <w:pPr>
              <w:ind w:left="16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spacing w:after="0"/>
              <w:rPr>
                <w:sz w:val="20"/>
                <w:szCs w:val="20"/>
                <w:color w:val="auto"/>
              </w:rPr>
            </w:pPr>
            <w:r>
              <w:rPr>
                <w:rFonts w:ascii="Arial" w:cs="Arial" w:eastAsia="Arial" w:hAnsi="Arial"/>
                <w:sz w:val="13"/>
                <w:szCs w:val="13"/>
                <w:color w:val="0000FF"/>
              </w:rPr>
              <w:t>1,435.0144</w:t>
            </w:r>
          </w:p>
        </w:tc>
        <w:tc>
          <w:tcPr>
            <w:tcW w:w="300" w:type="dxa"/>
            <w:vAlign w:val="bottom"/>
          </w:tcPr>
          <w:p>
            <w:pPr>
              <w:spacing w:after="0"/>
              <w:rPr>
                <w:sz w:val="15"/>
                <w:szCs w:val="15"/>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08/08/1988</w:t>
            </w: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color w:val="0000FF"/>
              </w:rPr>
              <w:t>08/08/1988</w:t>
            </w:r>
          </w:p>
        </w:tc>
        <w:tc>
          <w:tcPr>
            <w:tcW w:w="600" w:type="dxa"/>
            <w:vAlign w:val="bottom"/>
          </w:tcPr>
          <w:p>
            <w:pPr>
              <w:ind w:left="40"/>
              <w:spacing w:after="0"/>
              <w:rPr>
                <w:sz w:val="20"/>
                <w:szCs w:val="20"/>
                <w:color w:val="auto"/>
              </w:rPr>
            </w:pPr>
            <w:r>
              <w:rPr>
                <w:rFonts w:ascii="Arial" w:cs="Arial" w:eastAsia="Arial" w:hAnsi="Arial"/>
                <w:sz w:val="13"/>
                <w:szCs w:val="13"/>
                <w:color w:val="0000FF"/>
              </w:rPr>
              <w:t>Common</w:t>
            </w:r>
          </w:p>
        </w:tc>
        <w:tc>
          <w:tcPr>
            <w:tcW w:w="8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3"/>
              </w:rPr>
              <w:t>1,435.0144</w:t>
            </w:r>
          </w:p>
        </w:tc>
        <w:tc>
          <w:tcPr>
            <w:tcW w:w="680" w:type="dxa"/>
            <w:vAlign w:val="bottom"/>
            <w:vMerge w:val="restart"/>
          </w:tcPr>
          <w:p>
            <w:pPr>
              <w:ind w:left="260"/>
              <w:spacing w:after="0"/>
              <w:rPr>
                <w:sz w:val="20"/>
                <w:szCs w:val="20"/>
                <w:color w:val="auto"/>
              </w:rPr>
            </w:pPr>
            <w:r>
              <w:rPr>
                <w:rFonts w:ascii="Arial" w:cs="Arial" w:eastAsia="Arial" w:hAnsi="Arial"/>
                <w:sz w:val="21"/>
                <w:szCs w:val="21"/>
                <w:color w:val="auto"/>
              </w:rPr>
              <w:t>$</w:t>
            </w:r>
            <w:r>
              <w:rPr>
                <w:rFonts w:ascii="Arial" w:cs="Arial" w:eastAsia="Arial" w:hAnsi="Arial"/>
                <w:sz w:val="12"/>
                <w:szCs w:val="12"/>
                <w:color w:val="0000FF"/>
              </w:rPr>
              <w:t>0</w:t>
            </w:r>
          </w:p>
        </w:tc>
        <w:tc>
          <w:tcPr>
            <w:tcW w:w="9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3,159.1523</w:t>
            </w:r>
          </w:p>
        </w:tc>
        <w:tc>
          <w:tcPr>
            <w:tcW w:w="6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7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tcPr>
          <w:p>
            <w:pPr>
              <w:ind w:left="140"/>
              <w:spacing w:after="0" w:line="65" w:lineRule="exact"/>
              <w:rPr>
                <w:sz w:val="20"/>
                <w:szCs w:val="20"/>
                <w:color w:val="auto"/>
              </w:rPr>
            </w:pPr>
            <w:r>
              <w:rPr>
                <w:rFonts w:ascii="Arial" w:cs="Arial" w:eastAsia="Arial" w:hAnsi="Arial"/>
                <w:sz w:val="7"/>
                <w:szCs w:val="7"/>
                <w:color w:val="0000FF"/>
              </w:rPr>
              <w:t>Stock</w:t>
            </w:r>
          </w:p>
        </w:tc>
        <w:tc>
          <w:tcPr>
            <w:tcW w:w="88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Stock units accrued under the 2003 Waste Management, Inc. Directors' Deferred Compensation Plan. The stock units will be paid ou t in shares of common stock following termination of Board service.</w:t>
      </w:r>
    </w:p>
    <w:p>
      <w:pPr>
        <w:spacing w:after="0" w:line="6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7"/>
                <w:szCs w:val="17"/>
                <w:color w:val="0000FF"/>
              </w:rPr>
              <w:t>Pastora San Juan Cafferty</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07/16/2003</w:t>
            </w:r>
          </w:p>
        </w:tc>
      </w:tr>
      <w:tr>
        <w:trPr>
          <w:trHeight w:val="20"/>
        </w:trPr>
        <w:tc>
          <w:tcPr>
            <w:tcW w:w="1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6"/>
        </w:trPr>
        <w:tc>
          <w:tcPr>
            <w:tcW w:w="1980" w:type="dxa"/>
            <w:vAlign w:val="bottom"/>
            <w:gridSpan w:val="2"/>
          </w:tcPr>
          <w:p>
            <w:pPr>
              <w:spacing w:after="0"/>
              <w:rPr>
                <w:sz w:val="20"/>
                <w:szCs w:val="20"/>
                <w:color w:val="auto"/>
              </w:rPr>
            </w:pPr>
            <w:r>
              <w:rPr>
                <w:rFonts w:ascii="Arial" w:cs="Arial" w:eastAsia="Arial" w:hAnsi="Arial"/>
                <w:sz w:val="17"/>
                <w:szCs w:val="17"/>
                <w:color w:val="0000FF"/>
                <w:w w:val="90"/>
              </w:rPr>
              <w:t>Linda J. Smith, attorney-in-fa</w:t>
            </w:r>
          </w:p>
        </w:tc>
        <w:tc>
          <w:tcPr>
            <w:tcW w:w="160" w:type="dxa"/>
            <w:vAlign w:val="bottom"/>
          </w:tcPr>
          <w:p>
            <w:pPr>
              <w:spacing w:after="0"/>
              <w:rPr>
                <w:sz w:val="20"/>
                <w:szCs w:val="20"/>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07/16/2003</w:t>
            </w:r>
          </w:p>
        </w:tc>
      </w:tr>
      <w:tr>
        <w:trPr>
          <w:trHeight w:val="20"/>
        </w:trPr>
        <w:tc>
          <w:tcPr>
            <w:tcW w:w="19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60" w:type="dxa"/>
            <w:vAlign w:val="bottom"/>
          </w:tcPr>
          <w:p>
            <w:pPr>
              <w:spacing w:after="0"/>
              <w:rPr>
                <w:sz w:val="19"/>
                <w:szCs w:val="19"/>
                <w:color w:val="auto"/>
              </w:rPr>
            </w:pP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4080" w:firstLine="1"/>
        <w:spacing w:after="0" w:line="330" w:lineRule="auto"/>
        <w:tabs>
          <w:tab w:leader="none" w:pos="175"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1" w:right="1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POWER OF</w:t>
            </w:r>
          </w:p>
        </w:tc>
        <w:tc>
          <w:tcPr>
            <w:tcW w:w="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ATTORNEY</w:t>
            </w:r>
          </w:p>
        </w:tc>
        <w:tc>
          <w:tcPr>
            <w:tcW w:w="9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5"/>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Know all</w:t>
            </w:r>
          </w:p>
        </w:tc>
        <w:tc>
          <w:tcPr>
            <w:tcW w:w="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by these</w:t>
            </w:r>
          </w:p>
        </w:tc>
        <w:tc>
          <w:tcPr>
            <w:tcW w:w="56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presents, that the undersigned hereby constitutes</w:t>
            </w:r>
          </w:p>
        </w:tc>
      </w:tr>
      <w:tr>
        <w:trPr>
          <w:trHeight w:val="192"/>
        </w:trPr>
        <w:tc>
          <w:tcPr>
            <w:tcW w:w="1260" w:type="dxa"/>
            <w:vAlign w:val="bottom"/>
            <w:gridSpan w:val="3"/>
          </w:tcPr>
          <w:p>
            <w:pPr>
              <w:spacing w:after="0"/>
              <w:rPr>
                <w:sz w:val="20"/>
                <w:szCs w:val="20"/>
                <w:color w:val="auto"/>
              </w:rPr>
            </w:pPr>
            <w:r>
              <w:rPr>
                <w:rFonts w:ascii="Courier New" w:cs="Courier New" w:eastAsia="Courier New" w:hAnsi="Courier New"/>
                <w:sz w:val="17"/>
                <w:szCs w:val="17"/>
                <w:color w:val="auto"/>
              </w:rPr>
              <w:t>and appoints</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each</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of David</w:t>
            </w:r>
          </w:p>
        </w:tc>
        <w:tc>
          <w:tcPr>
            <w:tcW w:w="3500" w:type="dxa"/>
            <w:vAlign w:val="bottom"/>
          </w:tcPr>
          <w:p>
            <w:pPr>
              <w:ind w:left="40"/>
              <w:spacing w:after="0"/>
              <w:rPr>
                <w:sz w:val="20"/>
                <w:szCs w:val="20"/>
                <w:color w:val="auto"/>
              </w:rPr>
            </w:pPr>
            <w:r>
              <w:rPr>
                <w:rFonts w:ascii="Courier New" w:cs="Courier New" w:eastAsia="Courier New" w:hAnsi="Courier New"/>
                <w:sz w:val="17"/>
                <w:szCs w:val="17"/>
                <w:color w:val="auto"/>
                <w:w w:val="99"/>
              </w:rPr>
              <w:t>P. Steiner, John Tsai, Amanda Maki</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w w:val="96"/>
              </w:rPr>
              <w:t>and Linda J.</w:t>
            </w:r>
          </w:p>
        </w:tc>
      </w:tr>
      <w:tr>
        <w:trPr>
          <w:trHeight w:val="192"/>
        </w:trPr>
        <w:tc>
          <w:tcPr>
            <w:tcW w:w="560" w:type="dxa"/>
            <w:vAlign w:val="bottom"/>
          </w:tcPr>
          <w:p>
            <w:pPr>
              <w:spacing w:after="0"/>
              <w:rPr>
                <w:sz w:val="20"/>
                <w:szCs w:val="20"/>
                <w:color w:val="auto"/>
              </w:rPr>
            </w:pPr>
            <w:r>
              <w:rPr>
                <w:rFonts w:ascii="Courier New" w:cs="Courier New" w:eastAsia="Courier New" w:hAnsi="Courier New"/>
                <w:sz w:val="17"/>
                <w:szCs w:val="17"/>
                <w:color w:val="auto"/>
              </w:rPr>
              <w:t>Smith</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as</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undersigned's</w:t>
            </w:r>
          </w:p>
        </w:tc>
        <w:tc>
          <w:tcPr>
            <w:tcW w:w="3500" w:type="dxa"/>
            <w:vAlign w:val="bottom"/>
          </w:tcPr>
          <w:p>
            <w:pPr>
              <w:ind w:left="40"/>
              <w:spacing w:after="0"/>
              <w:rPr>
                <w:sz w:val="20"/>
                <w:szCs w:val="20"/>
                <w:color w:val="auto"/>
              </w:rPr>
            </w:pPr>
            <w:r>
              <w:rPr>
                <w:rFonts w:ascii="Courier New" w:cs="Courier New" w:eastAsia="Courier New" w:hAnsi="Courier New"/>
                <w:sz w:val="17"/>
                <w:szCs w:val="17"/>
                <w:color w:val="auto"/>
                <w:w w:val="99"/>
              </w:rPr>
              <w:t>true and lawful attorneys-in-fact,</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with full</w:t>
            </w:r>
          </w:p>
        </w:tc>
      </w:tr>
      <w:tr>
        <w:trPr>
          <w:trHeight w:val="192"/>
        </w:trPr>
        <w:tc>
          <w:tcPr>
            <w:tcW w:w="560" w:type="dxa"/>
            <w:vAlign w:val="bottom"/>
          </w:tcPr>
          <w:p>
            <w:pPr>
              <w:spacing w:after="0"/>
              <w:rPr>
                <w:sz w:val="20"/>
                <w:szCs w:val="20"/>
                <w:color w:val="auto"/>
              </w:rPr>
            </w:pPr>
            <w:r>
              <w:rPr>
                <w:rFonts w:ascii="Courier New" w:cs="Courier New" w:eastAsia="Courier New" w:hAnsi="Courier New"/>
                <w:sz w:val="17"/>
                <w:szCs w:val="17"/>
                <w:color w:val="auto"/>
              </w:rPr>
              <w:t>power</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18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substitution, to:</w:t>
            </w:r>
          </w:p>
        </w:tc>
        <w:tc>
          <w:tcPr>
            <w:tcW w:w="350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198" w:lineRule="exact"/>
        <w:rPr>
          <w:sz w:val="20"/>
          <w:szCs w:val="20"/>
          <w:color w:val="auto"/>
        </w:rPr>
      </w:pPr>
    </w:p>
    <w:p>
      <w:pPr>
        <w:ind w:right="2919" w:firstLine="3"/>
        <w:spacing w:after="0" w:line="254"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spacing w:after="0" w:line="1" w:lineRule="exact"/>
        <w:rPr>
          <w:rFonts w:ascii="Courier New" w:cs="Courier New" w:eastAsia="Courier New" w:hAnsi="Courier New"/>
          <w:sz w:val="16"/>
          <w:szCs w:val="16"/>
          <w:color w:val="auto"/>
        </w:rPr>
      </w:pPr>
    </w:p>
    <w:p>
      <w:pPr>
        <w:ind w:right="261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and 5 in accordance with Section 16(a) of the Exchange Act and any Form 144, Form 8-K or other form required to be filed relating to the transaction covered by such report (collectively, the "Required Forms");</w:t>
      </w:r>
    </w:p>
    <w:p>
      <w:pPr>
        <w:spacing w:after="0" w:line="198" w:lineRule="exact"/>
        <w:rPr>
          <w:rFonts w:ascii="Courier New" w:cs="Courier New" w:eastAsia="Courier New" w:hAnsi="Courier New"/>
          <w:sz w:val="16"/>
          <w:szCs w:val="16"/>
          <w:color w:val="auto"/>
        </w:rPr>
      </w:pPr>
    </w:p>
    <w:p>
      <w:pPr>
        <w:ind w:right="2519" w:firstLine="3"/>
        <w:spacing w:after="0" w:line="257"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85" w:lineRule="exact"/>
        <w:rPr>
          <w:rFonts w:ascii="Courier New" w:cs="Courier New" w:eastAsia="Courier New" w:hAnsi="Courier New"/>
          <w:sz w:val="16"/>
          <w:szCs w:val="16"/>
          <w:color w:val="auto"/>
        </w:rPr>
      </w:pPr>
    </w:p>
    <w:p>
      <w:pPr>
        <w:ind w:right="2619" w:firstLine="3"/>
        <w:spacing w:after="0" w:line="255"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90"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88" w:lineRule="exact"/>
        <w:rPr>
          <w:sz w:val="20"/>
          <w:szCs w:val="20"/>
          <w:color w:val="auto"/>
        </w:rPr>
      </w:pPr>
    </w:p>
    <w:p>
      <w:pPr>
        <w:ind w:right="3219"/>
        <w:spacing w:after="0" w:line="25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8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29th day of August, 2002.</w:t>
      </w:r>
    </w:p>
    <w:p>
      <w:pPr>
        <w:sectPr>
          <w:pgSz w:w="11900" w:h="16838" w:orient="portrait"/>
          <w:cols w:equalWidth="0" w:num="1">
            <w:col w:w="10219"/>
          </w:cols>
          <w:pgMar w:left="240" w:top="136" w:right="1440" w:bottom="1440" w:gutter="0" w:footer="0" w:header="0"/>
        </w:sect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Pastora San Juan Cafferty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Pastora San Juan Cafferty</w:t>
      </w:r>
    </w:p>
    <w:sectPr>
      <w:pgSz w:w="11900" w:h="16838" w:orient="portrait"/>
      <w:cols w:equalWidth="0" w:num="2">
        <w:col w:w="1000" w:space="600"/>
        <w:col w:w="86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sec.gov/cgi-bin/browse-edgar?action=getcompany&amp;CIK=0001197025"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2019-12-16T05:37:42Z</dcterms:created>
  <dcterms:modified xsi:type="dcterms:W3CDTF">2019-12-16T05:37:42Z</dcterms:modified>
</cp:coreProperties>
</file>