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27,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September 30, 2011,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96225430.</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7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addition to the non-GAAP measures presented in the press release, management is also expected to discuss adjusted operating revenues, adjusted operating expenses as a percent of revenues and adjusted interest expense. Management believes these non-GAAP measures provide investors with information to better enable them to evaluate the Company’s performance by excluding items that management believes are not indicative of our results of operations.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these additional non-GAAP measures to the most directly comparable GAAP measures are shown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Quarters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Revenues and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rPr>
              <w:t>Adjusted Operating Expense as a Percent of Revenues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reported: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80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3,522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3,235</w:t>
            </w:r>
          </w:p>
        </w:tc>
      </w:tr>
      <w:tr>
        <w:trPr>
          <w:trHeight w:val="216"/>
        </w:trPr>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2,006</w:t>
            </w:r>
          </w:p>
        </w:tc>
      </w:tr>
      <w:tr>
        <w:trPr>
          <w:trHeight w:val="234"/>
        </w:trPr>
        <w:tc>
          <w:tcPr>
            <w:tcW w:w="7800" w:type="dxa"/>
            <w:vAlign w:val="bottom"/>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62.0%</w:t>
            </w:r>
          </w:p>
        </w:tc>
      </w:tr>
      <w:tr>
        <w:trPr>
          <w:trHeight w:val="198"/>
        </w:trPr>
        <w:tc>
          <w:tcPr>
            <w:tcW w:w="7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800" w:type="dxa"/>
            <w:vAlign w:val="bottom"/>
          </w:tcPr>
          <w:p>
            <w:pPr>
              <w:ind w:left="420"/>
              <w:spacing w:after="0"/>
              <w:rPr>
                <w:sz w:val="20"/>
                <w:szCs w:val="20"/>
                <w:color w:val="auto"/>
              </w:rPr>
            </w:pPr>
            <w:r>
              <w:rPr>
                <w:rFonts w:ascii="Arial" w:cs="Arial" w:eastAsia="Arial" w:hAnsi="Arial"/>
                <w:sz w:val="18"/>
                <w:szCs w:val="18"/>
                <w:color w:val="auto"/>
              </w:rPr>
              <w:t>Operating revenues — Oakleaf acquisition</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 — Oakleaf acquisition and related integration activities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420"/>
              <w:spacing w:after="0"/>
              <w:rPr>
                <w:sz w:val="20"/>
                <w:szCs w:val="20"/>
                <w:color w:val="auto"/>
              </w:rPr>
            </w:pPr>
            <w:r>
              <w:rPr>
                <w:rFonts w:ascii="Arial" w:cs="Arial" w:eastAsia="Arial" w:hAnsi="Arial"/>
                <w:sz w:val="18"/>
                <w:szCs w:val="18"/>
                <w:color w:val="auto"/>
              </w:rPr>
              <w:t>Operating expenses — Closed site adjustments and changes in risk-free interest rate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02"/>
        </w:trPr>
        <w:tc>
          <w:tcPr>
            <w:tcW w:w="7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800" w:type="dxa"/>
            <w:vAlign w:val="bottom"/>
          </w:tcPr>
          <w:p>
            <w:pPr>
              <w:ind w:left="420"/>
              <w:spacing w:after="0"/>
              <w:rPr>
                <w:sz w:val="20"/>
                <w:szCs w:val="20"/>
                <w:color w:val="auto"/>
              </w:rPr>
            </w:pPr>
            <w:r>
              <w:rPr>
                <w:rFonts w:ascii="Arial" w:cs="Arial" w:eastAsia="Arial" w:hAnsi="Arial"/>
                <w:sz w:val="18"/>
                <w:szCs w:val="18"/>
                <w:color w:val="auto"/>
              </w:rPr>
              <w:t xml:space="preserve">Operating revenues </w:t>
            </w:r>
            <w:r>
              <w:rPr>
                <w:rFonts w:ascii="Arial" w:cs="Arial" w:eastAsia="Arial" w:hAnsi="Arial"/>
                <w:sz w:val="18"/>
                <w:szCs w:val="18"/>
                <w:b w:val="1"/>
                <w:bCs w:val="1"/>
                <w:color w:val="auto"/>
              </w:rPr>
              <w:t>(a)</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3,416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3,235</w:t>
            </w:r>
          </w:p>
        </w:tc>
      </w:tr>
      <w:tr>
        <w:trPr>
          <w:trHeight w:val="216"/>
        </w:trPr>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w:t>
            </w:r>
          </w:p>
        </w:tc>
      </w:tr>
      <w:tr>
        <w:trPr>
          <w:trHeight w:val="234"/>
        </w:trPr>
        <w:tc>
          <w:tcPr>
            <w:tcW w:w="7800" w:type="dxa"/>
            <w:vAlign w:val="bottom"/>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61.4%</w:t>
            </w:r>
          </w:p>
        </w:tc>
      </w:tr>
      <w:tr>
        <w:trPr>
          <w:trHeight w:val="387"/>
        </w:trPr>
        <w:tc>
          <w:tcPr>
            <w:tcW w:w="7800" w:type="dxa"/>
            <w:vAlign w:val="bottom"/>
          </w:tcPr>
          <w:p>
            <w:pPr>
              <w:ind w:left="566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6"/>
        </w:trPr>
        <w:tc>
          <w:tcPr>
            <w:tcW w:w="78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Quarters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gridSpan w:val="3"/>
          </w:tcPr>
          <w:p>
            <w:pPr>
              <w:ind w:left="220"/>
              <w:spacing w:after="0"/>
              <w:rPr>
                <w:sz w:val="20"/>
                <w:szCs w:val="20"/>
                <w:color w:val="auto"/>
              </w:rPr>
            </w:pPr>
            <w:r>
              <w:rPr>
                <w:rFonts w:ascii="Arial" w:cs="Arial" w:eastAsia="Arial" w:hAnsi="Arial"/>
                <w:sz w:val="18"/>
                <w:szCs w:val="18"/>
                <w:b w:val="1"/>
                <w:bCs w:val="1"/>
                <w:color w:val="auto"/>
              </w:rPr>
              <w:t>Interest Expense, as reported</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w:t>
            </w:r>
          </w:p>
        </w:tc>
      </w:tr>
      <w:tr>
        <w:trPr>
          <w:trHeight w:val="216"/>
        </w:trPr>
        <w:tc>
          <w:tcPr>
            <w:tcW w:w="556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gridSpan w:val="3"/>
          </w:tcPr>
          <w:p>
            <w:pPr>
              <w:ind w:left="420"/>
              <w:spacing w:after="0"/>
              <w:rPr>
                <w:sz w:val="20"/>
                <w:szCs w:val="20"/>
                <w:color w:val="auto"/>
              </w:rPr>
            </w:pPr>
            <w:r>
              <w:rPr>
                <w:rFonts w:ascii="Arial" w:cs="Arial" w:eastAsia="Arial" w:hAnsi="Arial"/>
                <w:sz w:val="18"/>
                <w:szCs w:val="18"/>
                <w:color w:val="auto"/>
              </w:rPr>
              <w:t>Oakleaf acquisition</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Adjusted Interest Expense (b)</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w:t>
            </w:r>
          </w:p>
        </w:tc>
      </w:tr>
      <w:tr>
        <w:trPr>
          <w:trHeight w:val="20"/>
        </w:trPr>
        <w:tc>
          <w:tcPr>
            <w:tcW w:w="206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60" w:type="dxa"/>
            <w:vAlign w:val="bottom"/>
            <w:tcBorders>
              <w:bottom w:val="single" w:sz="8" w:color="auto"/>
            </w:tcBorders>
            <w:gridSpan w:val="2"/>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(a)   </w:t>
            </w:r>
            <w:r>
              <w:rPr>
                <w:rFonts w:ascii="Arial" w:cs="Arial" w:eastAsia="Arial" w:hAnsi="Arial"/>
                <w:sz w:val="18"/>
                <w:szCs w:val="18"/>
                <w:color w:val="auto"/>
                <w:w w:val="94"/>
              </w:rPr>
              <w:t>Increase of $181 million, or 5.6%, in operating revenues, as adjusted.</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Decrease of $9 million in interest expenses, as adjusted.</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(d) Exhibits</w:t>
            </w:r>
          </w:p>
        </w:tc>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Exhibit 99.1:</w:t>
            </w: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Press Release dated October 27, 2011</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right"/>
              <w:ind w:right="34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1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27, 2011</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405"/>
        </w:trPr>
        <w:tc>
          <w:tcPr>
            <w:tcW w:w="3520" w:type="dxa"/>
            <w:vAlign w:val="bottom"/>
          </w:tcPr>
          <w:p>
            <w:pPr>
              <w:spacing w:after="0"/>
              <w:rPr>
                <w:sz w:val="24"/>
                <w:szCs w:val="24"/>
                <w:color w:val="auto"/>
              </w:rPr>
            </w:pPr>
          </w:p>
        </w:tc>
        <w:tc>
          <w:tcPr>
            <w:tcW w:w="622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27, 2011</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19" w:right="1440" w:bottom="1440" w:gutter="0" w:footer="0" w:header="0"/>
        </w:sectPr>
      </w:pPr>
    </w:p>
    <w:bookmarkStart w:id="7" w:name="page8"/>
    <w:bookmarkEnd w:id="7"/>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Third Quarter 2011 Earnings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Revenue Grows Nearly 9% and Net Income Increases More Than 11%</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HOUSTON — October 27, 2011 — </w:t>
      </w:r>
      <w:r>
        <w:rPr>
          <w:rFonts w:ascii="Arial" w:cs="Arial" w:eastAsia="Arial" w:hAnsi="Arial"/>
          <w:sz w:val="18"/>
          <w:szCs w:val="18"/>
          <w:color w:val="auto"/>
        </w:rPr>
        <w:t>Waste Management, Inc. (NYSE: WM) today announced financial results for its third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ended September 30, 2011. Net income </w:t>
      </w:r>
      <w:r>
        <w:rPr>
          <w:rFonts w:ascii="Arial" w:cs="Arial" w:eastAsia="Arial" w:hAnsi="Arial"/>
          <w:sz w:val="15"/>
          <w:szCs w:val="15"/>
          <w:color w:val="auto"/>
        </w:rPr>
        <w:t>(a)</w:t>
      </w:r>
      <w:r>
        <w:rPr>
          <w:rFonts w:ascii="Arial" w:cs="Arial" w:eastAsia="Arial" w:hAnsi="Arial"/>
          <w:sz w:val="18"/>
          <w:szCs w:val="18"/>
          <w:color w:val="auto"/>
        </w:rPr>
        <w:t xml:space="preserve"> for the quarter was $272 million, or $0.58 per diluted share, compared with $244 million, or $0.51 per diluted share, for the third quarter of 2010. Revenues for the third quarter of 2011 were $3.52 billion compared with $3.24 billion for the same 2010 period, an increase of 8.9%.</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noted certain items that impacted the third quarter results for 2011 and 2010. Adjusting for these items, net income would have been $295 million, or $0.63 per diluted share, in the third quarter of 2011 compared with $264 million, or $0.55 per diluted share, in the third quarter of 2010.</w:t>
      </w:r>
      <w:r>
        <w:rPr>
          <w:rFonts w:ascii="Arial" w:cs="Arial" w:eastAsia="Arial" w:hAnsi="Arial"/>
          <w:sz w:val="15"/>
          <w:szCs w:val="15"/>
          <w:color w:val="auto"/>
        </w:rPr>
        <w:t>(b)</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third quarter of 2011 included a net decrease of $0.05 per diluted share from the following:</w:t>
      </w:r>
    </w:p>
    <w:p>
      <w:pPr>
        <w:spacing w:after="0" w:line="117" w:lineRule="exact"/>
        <w:rPr>
          <w:sz w:val="20"/>
          <w:szCs w:val="20"/>
          <w:color w:val="auto"/>
        </w:rPr>
      </w:pPr>
    </w:p>
    <w:p>
      <w:pPr>
        <w:ind w:left="540" w:right="280" w:hanging="262"/>
        <w:spacing w:after="0" w:line="277" w:lineRule="auto"/>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$14 million, or $0.03 per diluted share, after-tax charge primarily for asset impairments and restructuring charges related to our cost savings programs;</w:t>
      </w:r>
    </w:p>
    <w:p>
      <w:pPr>
        <w:spacing w:after="0" w:line="62" w:lineRule="exact"/>
        <w:rPr>
          <w:rFonts w:ascii="Arial" w:cs="Arial" w:eastAsia="Arial" w:hAnsi="Arial"/>
          <w:sz w:val="18"/>
          <w:szCs w:val="18"/>
          <w:b w:val="1"/>
          <w:bCs w:val="1"/>
          <w:color w:val="auto"/>
        </w:rPr>
      </w:pPr>
    </w:p>
    <w:p>
      <w:pPr>
        <w:ind w:left="540" w:right="160" w:hanging="262"/>
        <w:spacing w:after="0" w:line="286" w:lineRule="auto"/>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After-tax net charges of approximately $5 million, or $0.01 per diluted share, due to the negative accounting effect of lower ten-year Treasury rates, which are used to discount environmental remediation reserves, offset in part by the favorable impact from a reduction in remediation and closure costs at a closed landfill; and</w:t>
      </w:r>
    </w:p>
    <w:p>
      <w:pPr>
        <w:spacing w:after="0" w:line="57" w:lineRule="exact"/>
        <w:rPr>
          <w:rFonts w:ascii="Arial" w:cs="Arial" w:eastAsia="Arial" w:hAnsi="Arial"/>
          <w:sz w:val="17"/>
          <w:szCs w:val="17"/>
          <w:b w:val="1"/>
          <w:bCs w:val="1"/>
          <w:color w:val="auto"/>
        </w:rPr>
      </w:pPr>
    </w:p>
    <w:p>
      <w:pPr>
        <w:ind w:left="540" w:right="400" w:hanging="262"/>
        <w:spacing w:after="0" w:line="277" w:lineRule="auto"/>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After-tax costs aggregating $4 million, or $0.01 per diluted share, related to the Company’s previously announced Oakleaf acquisition and related integration costs.</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Results in the 2010 third quarter were adjusted for a net decrease of $0.04 per diluted share from the combined effects of charges related to remediation and closure costs at three closed landfills, the accounting effect of lower ten-year Treasury rates, and unfavorable income tax adjustments.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David P. Steiner, Chief Executive Officer of Waste Management, commented, “We are happy with our progress in the quarter, which resulted in expansion of both our revenue and net income year-over-year. Our revenue grew for the seventh consecutive quarter and our net income grew more than 11% year-over-year, primarily driven by our pricing programs, higher commodity prices and recycling volumes, acquisitions and fuel surcharges. In addition, we saw a $28 million benefit from our cost reduction initiatives.”</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generated solid cash from operations, with $659 million of cash from operations in the quarter and $372 million in free cash flow.</w:t>
      </w:r>
      <w:r>
        <w:rPr>
          <w:rFonts w:ascii="Arial" w:cs="Arial" w:eastAsia="Arial" w:hAnsi="Arial"/>
          <w:sz w:val="15"/>
          <w:szCs w:val="15"/>
          <w:color w:val="auto"/>
        </w:rPr>
        <w:t>(b)</w:t>
      </w:r>
      <w:r>
        <w:rPr>
          <w:rFonts w:ascii="Arial" w:cs="Arial" w:eastAsia="Arial" w:hAnsi="Arial"/>
          <w:sz w:val="18"/>
          <w:szCs w:val="18"/>
          <w:color w:val="auto"/>
        </w:rPr>
        <w:t xml:space="preserve"> During the third quarter the Company returned $518 million to its shareholders in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525145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FOR MORE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9140" w:space="220"/>
            <w:col w:w="2060"/>
          </w:cols>
          <w:pgMar w:left="240" w:top="121" w:right="239" w:bottom="1440" w:gutter="0" w:footer="0" w:header="0"/>
        </w:sectPr>
      </w:pPr>
    </w:p>
    <w:bookmarkStart w:id="8" w:name="page9"/>
    <w:bookmarkEnd w:id="8"/>
    <w:p>
      <w:pPr>
        <w:ind w:right="540"/>
        <w:spacing w:after="0" w:line="277" w:lineRule="auto"/>
        <w:rPr>
          <w:sz w:val="20"/>
          <w:szCs w:val="20"/>
          <w:color w:val="auto"/>
        </w:rPr>
      </w:pPr>
      <w:r>
        <w:rPr>
          <w:rFonts w:ascii="Arial" w:cs="Arial" w:eastAsia="Arial" w:hAnsi="Arial"/>
          <w:sz w:val="18"/>
          <w:szCs w:val="18"/>
          <w:color w:val="auto"/>
        </w:rPr>
        <w:t>Steiner continued, “The integration of Oakleaf into our company is progressing as expected. We are working with customers and the third-party hauler network to ensure a smooth transition that benefits customers, haulers, and Waste Management.</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internal revenue growth from yield for our collection and disposal operations was 1.6%, consistent with the results from the second quarter of 2011. Internal revenue growth from volume declined by 2.0% in the third quarter of 2011 from the prior year period. Excluding the volumes associated with the Gulf Coast clean-up efforts in 2010, internal revenue growth from volume only declined 0.3% in the quarter, which is the best performance we have seen in several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2011</w:t>
      </w:r>
    </w:p>
    <w:p>
      <w:pPr>
        <w:spacing w:after="0" w:line="121"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 increased by 8.9%, or $287 million, with $106 million of the growth coming from the acquisition of Oakleaf.</w:t>
      </w:r>
    </w:p>
    <w:p>
      <w:pPr>
        <w:spacing w:after="0" w:line="130"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collection and disposal operations was 1.6%, consistent with the second quarter of 2011. For the nine months ended September 30, internal revenue growth from yield for collection and disposal operations was 2.0%.</w:t>
      </w:r>
    </w:p>
    <w:p>
      <w:pPr>
        <w:spacing w:after="0" w:line="75" w:lineRule="exact"/>
        <w:rPr>
          <w:rFonts w:ascii="Arial" w:cs="Arial" w:eastAsia="Arial" w:hAnsi="Arial"/>
          <w:sz w:val="18"/>
          <w:szCs w:val="18"/>
          <w:b w:val="1"/>
          <w:bCs w:val="1"/>
          <w:color w:val="auto"/>
        </w:rPr>
      </w:pPr>
    </w:p>
    <w:p>
      <w:pPr>
        <w:ind w:left="660" w:right="30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2.0%. Adjusting for the Gulf Coast clean-up work in 2010, internal growth from volume was negative 0.3%.</w:t>
      </w:r>
    </w:p>
    <w:p>
      <w:pPr>
        <w:spacing w:after="0" w:line="75" w:lineRule="exact"/>
        <w:rPr>
          <w:rFonts w:ascii="Arial" w:cs="Arial" w:eastAsia="Arial" w:hAnsi="Arial"/>
          <w:sz w:val="18"/>
          <w:szCs w:val="18"/>
          <w:b w:val="1"/>
          <w:bCs w:val="1"/>
          <w:color w:val="auto"/>
        </w:rPr>
      </w:pPr>
    </w:p>
    <w:p>
      <w:pPr>
        <w:ind w:left="660" w:right="140" w:hanging="314"/>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increased by 12.7% or $255 million. Adjusting for the items excluded in calculating the Company’s as-adjusted earnings, operating expenses increased by $172 million in the third quarter.</w:t>
      </w:r>
      <w:r>
        <w:rPr>
          <w:rFonts w:ascii="Arial" w:cs="Arial" w:eastAsia="Arial" w:hAnsi="Arial"/>
          <w:sz w:val="15"/>
          <w:szCs w:val="15"/>
          <w:color w:val="auto"/>
        </w:rPr>
        <w:t>(b)</w:t>
      </w:r>
      <w:r>
        <w:rPr>
          <w:rFonts w:ascii="Arial" w:cs="Arial" w:eastAsia="Arial" w:hAnsi="Arial"/>
          <w:sz w:val="18"/>
          <w:szCs w:val="18"/>
          <w:color w:val="auto"/>
        </w:rPr>
        <w:t xml:space="preserve"> The adjusted increase resulted mainly from $92 million of increased cost of goods sold from recycling commodity rebates and a $39 million increase in fuel costs. During the third quarter of 2011, the fuel surcharge program worked as expected to offset increased fuel costs. Labor costs increased $21 million.</w:t>
      </w:r>
    </w:p>
    <w:p>
      <w:pPr>
        <w:spacing w:after="0" w:line="92" w:lineRule="exact"/>
        <w:rPr>
          <w:rFonts w:ascii="Arial" w:cs="Arial" w:eastAsia="Arial" w:hAnsi="Arial"/>
          <w:sz w:val="18"/>
          <w:szCs w:val="18"/>
          <w:b w:val="1"/>
          <w:bCs w:val="1"/>
          <w:color w:val="auto"/>
        </w:rPr>
      </w:pPr>
    </w:p>
    <w:p>
      <w:pPr>
        <w:ind w:left="660" w:right="280" w:hanging="314"/>
        <w:spacing w:after="0" w:line="31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As adjusted, SG&amp;A expenses improved to 10.8% of revenue from 11.4% in the prior year period.</w:t>
      </w:r>
      <w:r>
        <w:rPr>
          <w:rFonts w:ascii="Arial" w:cs="Arial" w:eastAsia="Arial" w:hAnsi="Arial"/>
          <w:sz w:val="13"/>
          <w:szCs w:val="13"/>
          <w:color w:val="auto"/>
        </w:rPr>
        <w:t>(b)</w:t>
      </w:r>
      <w:r>
        <w:rPr>
          <w:rFonts w:ascii="Arial" w:cs="Arial" w:eastAsia="Arial" w:hAnsi="Arial"/>
          <w:sz w:val="16"/>
          <w:szCs w:val="16"/>
          <w:color w:val="auto"/>
        </w:rPr>
        <w:t xml:space="preserve"> Selling, general and administrative expenses increased by $11 million compared with the third quarter of 2010. Adjusted for the items excluded in calculating the Company’s as-adjusted earnings, the selling, general, and administrative expenses were flat in the third quarter when compared with the third quarter 2010.</w:t>
      </w:r>
      <w:r>
        <w:rPr>
          <w:rFonts w:ascii="Arial" w:cs="Arial" w:eastAsia="Arial" w:hAnsi="Arial"/>
          <w:sz w:val="13"/>
          <w:szCs w:val="13"/>
          <w:color w:val="auto"/>
        </w:rPr>
        <w:t>(b)</w:t>
      </w:r>
    </w:p>
    <w:p>
      <w:pPr>
        <w:spacing w:after="0" w:line="52" w:lineRule="exact"/>
        <w:rPr>
          <w:rFonts w:ascii="Arial" w:cs="Arial" w:eastAsia="Arial" w:hAnsi="Arial"/>
          <w:sz w:val="16"/>
          <w:szCs w:val="16"/>
          <w:b w:val="1"/>
          <w:bCs w:val="1"/>
          <w:color w:val="auto"/>
        </w:rPr>
      </w:pPr>
    </w:p>
    <w:p>
      <w:pPr>
        <w:ind w:left="660" w:hanging="314"/>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increased approximately 29%, and recycling volumes increased 8% organically and 14% including acquisitions in the third quarter of 2011 compared with the prior year period. This led to $0.05 earnings per diluted share benefit in the third quarter of 2011, compared with the prior year period.</w:t>
      </w:r>
    </w:p>
    <w:p>
      <w:pPr>
        <w:spacing w:after="0" w:line="86" w:lineRule="exact"/>
        <w:rPr>
          <w:rFonts w:ascii="Arial" w:cs="Arial" w:eastAsia="Arial" w:hAnsi="Arial"/>
          <w:sz w:val="18"/>
          <w:szCs w:val="18"/>
          <w:b w:val="1"/>
          <w:bCs w:val="1"/>
          <w:color w:val="auto"/>
        </w:rPr>
      </w:pPr>
    </w:p>
    <w:p>
      <w:pPr>
        <w:ind w:left="660" w:right="206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$659 million. Capital expenditures were $313 million. Free cash flow was $372 million.</w:t>
      </w:r>
      <w:r>
        <w:rPr>
          <w:rFonts w:ascii="Arial" w:cs="Arial" w:eastAsia="Arial" w:hAnsi="Arial"/>
          <w:sz w:val="15"/>
          <w:szCs w:val="15"/>
          <w:color w:val="auto"/>
        </w:rPr>
        <w:t>(b)</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Company returned $518 million to shareholders, consisting of $158 million in dividends and $360 million in common stock repurchases.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effective tax rate was approximately 32.3%.</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recorded a net tax benefit of $10 million, or $0.02 per diluted share, primarily relating to audit settlements and adjustments from prior years from filing our 2010 income tax returns.</w:t>
      </w:r>
    </w:p>
    <w:p>
      <w:pPr>
        <w:spacing w:after="0" w:line="75"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Hurricane Irene on the East Coast had a net negative $0.01 diluted earnings per share impact, which is not excluded in determining the Company’s as-adjusted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00"/>
        <w:spacing w:after="0" w:line="264" w:lineRule="auto"/>
        <w:rPr>
          <w:sz w:val="20"/>
          <w:szCs w:val="20"/>
          <w:color w:val="auto"/>
        </w:rPr>
      </w:pPr>
      <w:r>
        <w:rPr>
          <w:rFonts w:ascii="Arial" w:cs="Arial" w:eastAsia="Arial" w:hAnsi="Arial"/>
          <w:sz w:val="18"/>
          <w:szCs w:val="18"/>
          <w:color w:val="auto"/>
        </w:rPr>
        <w:t>Steiner concluded, “We achieved our targets in the third quarter through cost controls and our continued pricing discipline, and we will remain focused on these priorities. We continue to expect full year adjusted earnings of between $2.14 and $2.18 per diluted share, and we expect our free cash flow to be about $1.25 billion for the year”.</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right="86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21" w:lineRule="exact"/>
        <w:rPr>
          <w:rFonts w:ascii="Arial" w:cs="Arial" w:eastAsia="Arial" w:hAnsi="Arial"/>
          <w:sz w:val="15"/>
          <w:szCs w:val="15"/>
          <w:color w:val="auto"/>
        </w:rPr>
      </w:pPr>
    </w:p>
    <w:p>
      <w:pPr>
        <w:ind w:left="460" w:right="220" w:hanging="452"/>
        <w:spacing w:after="0" w:line="29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40"/>
        <w:spacing w:after="0" w:line="253" w:lineRule="auto"/>
        <w:rPr>
          <w:rFonts w:ascii="Arial" w:cs="Arial" w:eastAsia="Arial" w:hAnsi="Arial"/>
          <w:sz w:val="14"/>
          <w:szCs w:val="14"/>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our revenue, net income, earnings per diluted share, operating expenses, SG&amp;A expenses, and SG&amp;A expenses as a percentage of revenue have been presented in certain instances excluding special items noted in this press release including acquisition of the Oakleaf operations.</w:t>
      </w:r>
    </w:p>
    <w:p>
      <w:pPr>
        <w:spacing w:after="0" w:line="43"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Company’s projected full year 2011 earnings of $2.14 to $2.18 per diluted share are not GAAP net earnings per diluted share and are anticipated to be adjusted to exclude the effects of events or circumstances in 2011 that are not representative or indicative of our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resolution of income tax items or other items. Due to the uncertainty of the likelihood, amount and timing of any such items, we do not have information available to provide a quantitative reconciliation of adjusted projected full year earnings per diluted share to a GAAP earnings per diluted share projection.</w:t>
      </w:r>
    </w:p>
    <w:p>
      <w:pPr>
        <w:spacing w:after="0" w:line="16" w:lineRule="exact"/>
        <w:rPr>
          <w:sz w:val="20"/>
          <w:szCs w:val="20"/>
          <w:color w:val="auto"/>
        </w:rPr>
      </w:pPr>
    </w:p>
    <w:p>
      <w:pPr>
        <w:ind w:left="460" w:right="220"/>
        <w:spacing w:after="0" w:line="293" w:lineRule="auto"/>
        <w:rPr>
          <w:sz w:val="20"/>
          <w:szCs w:val="20"/>
          <w:color w:val="auto"/>
        </w:rPr>
      </w:pPr>
      <w:r>
        <w:rPr>
          <w:rFonts w:ascii="Arial" w:cs="Arial" w:eastAsia="Arial" w:hAnsi="Arial"/>
          <w:sz w:val="16"/>
          <w:szCs w:val="16"/>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 The Company defines free cash flow as:</w:t>
      </w:r>
    </w:p>
    <w:p>
      <w:pPr>
        <w:spacing w:after="0" w:line="70" w:lineRule="exact"/>
        <w:rPr>
          <w:sz w:val="20"/>
          <w:szCs w:val="20"/>
          <w:color w:val="auto"/>
        </w:rPr>
      </w:pPr>
    </w:p>
    <w:p>
      <w:pPr>
        <w:ind w:left="800" w:hanging="33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800" w:hanging="33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800" w:hanging="33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62"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host a conference call at 10:00 AM (Eastern) today to discuss the third quarter 2011 results. Information contained within this press release will be referenced and should be considered in conjunction with the call.</w:t>
      </w:r>
    </w:p>
    <w:p>
      <w:pPr>
        <w:spacing w:after="0" w:line="6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96225430 when prompted by the conference call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 xml:space="preserve">A replay of the conference call will be available on our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Thursday,</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October 27, 2011 through 5:00 PM (Eastern) on Thursday, November 10, 2011. To access the replay telephonically, please dial 800-642-1687, or from outside of the United States or Canada dial 706-645-9291, and use the replay conference ID number 96225430.</w:t>
      </w:r>
    </w:p>
    <w:p>
      <w:pPr>
        <w:spacing w:after="0" w:line="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business goals and investments and cost reduction programs, strategic growth initiatives and their future performance, future volume and pricing and related trends, 2011 earnings per diluted share, 2011 free cash flow, and general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statements. We assume no obligation to update any forward-looking statement, including financial estimates and forecasts, whether as a result of future events, circumstances or developments or otherwise.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17" w:lineRule="exact"/>
        <w:rPr>
          <w:sz w:val="20"/>
          <w:szCs w:val="20"/>
          <w:color w:val="auto"/>
        </w:rPr>
      </w:pPr>
    </w:p>
    <w:p>
      <w:pPr>
        <w:ind w:left="660" w:right="32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60" w:hanging="314"/>
        <w:spacing w:after="0" w:line="34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right="16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we may fail in implementing our optimization initiatives and business strategy, which could adversely impact our financial performance and growth;</w:t>
      </w:r>
    </w:p>
    <w:p>
      <w:pPr>
        <w:spacing w:after="0" w:line="153" w:lineRule="exact"/>
        <w:rPr>
          <w:rFonts w:ascii="Arial" w:cs="Arial" w:eastAsia="Arial" w:hAnsi="Arial"/>
          <w:sz w:val="16"/>
          <w:szCs w:val="16"/>
          <w:b w:val="1"/>
          <w:bCs w:val="1"/>
          <w:color w:val="auto"/>
        </w:rPr>
      </w:pPr>
    </w:p>
    <w:p>
      <w:pPr>
        <w:ind w:left="660" w:right="8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and one-time special projects cause our results to fluctuate, and harsh weather or natural disasters may cause us to temporarily suspend operations;</w:t>
      </w:r>
    </w:p>
    <w:p>
      <w:pPr>
        <w:spacing w:after="0" w:line="75"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such legislation;</w:t>
      </w:r>
    </w:p>
    <w:p>
      <w:pPr>
        <w:spacing w:after="0" w:line="86"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right="1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8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20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could face significant liability for withdrawal from multiemployer pension plans;</w:t>
      </w:r>
    </w:p>
    <w:p>
      <w:pPr>
        <w:spacing w:after="0" w:line="130"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660" w:right="1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5"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75"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1A of the Company’s most recent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b w:val="1"/>
          <w:bCs w:val="1"/>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www.thinkgreen.com</w:t>
      </w:r>
      <w:r>
        <w:rPr>
          <w:rFonts w:ascii="Arial" w:cs="Arial" w:eastAsia="Arial" w:hAnsi="Arial"/>
          <w:sz w:val="16"/>
          <w:szCs w:val="16"/>
          <w:color w:val="auto"/>
        </w:rPr>
        <w: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469.7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0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474.5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vMerge w:val="restart"/>
          </w:tcPr>
          <w:p>
            <w:pPr>
              <w:jc w:val="right"/>
              <w:ind w:right="329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695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6,104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4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8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40" w:type="dxa"/>
            <w:vAlign w:val="bottom"/>
            <w:vMerge w:val="restart"/>
          </w:tcPr>
          <w:p>
            <w:pPr>
              <w:jc w:val="right"/>
              <w:ind w:right="30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(1,535)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5"/>
              </w:rPr>
              <w:t>Quarters Ended</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1100" w:type="dxa"/>
            <w:vAlign w:val="bottom"/>
            <w:gridSpan w:val="5"/>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24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ind w:left="300"/>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jc w:val="center"/>
              <w:ind w:left="21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2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2,116</w:t>
            </w:r>
          </w:p>
        </w:tc>
        <w:tc>
          <w:tcPr>
            <w:tcW w:w="28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c>
          <w:tcPr>
            <w:tcW w:w="2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Quarters Ended</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ind w:left="180"/>
              <w:spacing w:after="0" w:line="142" w:lineRule="exact"/>
              <w:rPr>
                <w:sz w:val="20"/>
                <w:szCs w:val="20"/>
                <w:color w:val="auto"/>
              </w:rPr>
            </w:pPr>
            <w:r>
              <w:rPr>
                <w:rFonts w:ascii="Arial" w:cs="Arial" w:eastAsia="Arial" w:hAnsi="Arial"/>
                <w:sz w:val="14"/>
                <w:szCs w:val="14"/>
                <w:b w:val="1"/>
                <w:bCs w:val="1"/>
                <w:color w:val="auto"/>
                <w:w w:val="94"/>
              </w:rPr>
              <w:t>September 30, 2011</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8"/>
          </w:tcPr>
          <w:p>
            <w:pPr>
              <w:jc w:val="right"/>
              <w:ind w:right="392"/>
              <w:spacing w:after="0" w:line="142" w:lineRule="exact"/>
              <w:rPr>
                <w:sz w:val="20"/>
                <w:szCs w:val="20"/>
                <w:color w:val="auto"/>
              </w:rPr>
            </w:pPr>
            <w:r>
              <w:rPr>
                <w:rFonts w:ascii="Arial" w:cs="Arial" w:eastAsia="Arial" w:hAnsi="Arial"/>
                <w:sz w:val="14"/>
                <w:szCs w:val="14"/>
                <w:b w:val="1"/>
                <w:bCs w:val="1"/>
                <w:color w:val="auto"/>
              </w:rPr>
              <w:t>September 30, 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As a % of</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4"/>
          </w:tcPr>
          <w:p>
            <w:pPr>
              <w:jc w:val="right"/>
              <w:ind w:right="52"/>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24"/>
              <w:spacing w:after="0"/>
              <w:rPr>
                <w:sz w:val="20"/>
                <w:szCs w:val="20"/>
                <w:color w:val="auto"/>
              </w:rPr>
            </w:pPr>
            <w:r>
              <w:rPr>
                <w:rFonts w:ascii="Arial" w:cs="Arial" w:eastAsia="Arial" w:hAnsi="Arial"/>
                <w:sz w:val="14"/>
                <w:szCs w:val="14"/>
                <w:color w:val="auto"/>
                <w:w w:val="95"/>
              </w:rPr>
              <w:t>Amount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6"/>
          </w:tcPr>
          <w:p>
            <w:pPr>
              <w:jc w:val="right"/>
              <w:ind w:right="400"/>
              <w:spacing w:after="0"/>
              <w:rPr>
                <w:sz w:val="20"/>
                <w:szCs w:val="20"/>
                <w:color w:val="auto"/>
              </w:rPr>
            </w:pPr>
            <w:r>
              <w:rPr>
                <w:rFonts w:ascii="Arial" w:cs="Arial" w:eastAsia="Arial" w:hAnsi="Arial"/>
                <w:sz w:val="14"/>
                <w:szCs w:val="14"/>
                <w:color w:val="auto"/>
                <w:w w:val="86"/>
              </w:rPr>
              <w:t>Total Company</w:t>
            </w:r>
          </w:p>
        </w:tc>
        <w:tc>
          <w:tcPr>
            <w:tcW w:w="300" w:type="dxa"/>
            <w:vAlign w:val="bottom"/>
          </w:tcPr>
          <w:p>
            <w:pPr>
              <w:spacing w:after="0"/>
              <w:rPr>
                <w:sz w:val="14"/>
                <w:szCs w:val="14"/>
                <w:color w:val="auto"/>
              </w:rPr>
            </w:pPr>
          </w:p>
        </w:tc>
        <w:tc>
          <w:tcPr>
            <w:tcW w:w="1100" w:type="dxa"/>
            <w:vAlign w:val="bottom"/>
            <w:gridSpan w:val="5"/>
          </w:tcPr>
          <w:p>
            <w:pPr>
              <w:ind w:left="100"/>
              <w:spacing w:after="0"/>
              <w:rPr>
                <w:sz w:val="20"/>
                <w:szCs w:val="20"/>
                <w:color w:val="auto"/>
              </w:rPr>
            </w:pPr>
            <w:r>
              <w:rPr>
                <w:rFonts w:ascii="Arial" w:cs="Arial" w:eastAsia="Arial" w:hAnsi="Arial"/>
                <w:sz w:val="14"/>
                <w:szCs w:val="14"/>
                <w:color w:val="auto"/>
              </w:rPr>
              <w:t>Amount</w:t>
            </w:r>
          </w:p>
        </w:tc>
        <w:tc>
          <w:tcPr>
            <w:tcW w:w="1240" w:type="dxa"/>
            <w:vAlign w:val="bottom"/>
            <w:gridSpan w:val="6"/>
          </w:tcPr>
          <w:p>
            <w:pPr>
              <w:ind w:left="220"/>
              <w:spacing w:after="0"/>
              <w:rPr>
                <w:sz w:val="20"/>
                <w:szCs w:val="20"/>
                <w:color w:val="auto"/>
              </w:rPr>
            </w:pPr>
            <w:r>
              <w:rPr>
                <w:rFonts w:ascii="Arial" w:cs="Arial" w:eastAsia="Arial" w:hAnsi="Arial"/>
                <w:sz w:val="14"/>
                <w:szCs w:val="14"/>
                <w:color w:val="auto"/>
              </w:rPr>
              <w:t>TotalCompany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(64)</w:t>
            </w: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9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20"/>
              <w:spacing w:after="0"/>
              <w:rPr>
                <w:sz w:val="20"/>
                <w:szCs w:val="20"/>
                <w:color w:val="auto"/>
              </w:rPr>
            </w:pPr>
            <w:r>
              <w:rPr>
                <w:rFonts w:ascii="Arial" w:cs="Arial" w:eastAsia="Arial" w:hAnsi="Arial"/>
                <w:sz w:val="18"/>
                <w:szCs w:val="18"/>
                <w:color w:val="auto"/>
              </w:rPr>
              <w:t>8.9%</w:t>
            </w:r>
          </w:p>
        </w:tc>
        <w:tc>
          <w:tcPr>
            <w:tcW w:w="3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color w:val="auto"/>
                <w:w w:val="96"/>
              </w:rPr>
              <w:t>As a % of</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Business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Waste-to-energy disposal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4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5"/>
              </w:rPr>
              <w:t>Quarters Ended September 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10"/>
          </w:tcPr>
          <w:p>
            <w:pPr>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659</w:t>
            </w:r>
          </w:p>
        </w:tc>
        <w:tc>
          <w:tcPr>
            <w:tcW w:w="400" w:type="dxa"/>
            <w:vAlign w:val="bottom"/>
            <w:gridSpan w:val="3"/>
          </w:tcPr>
          <w:p>
            <w:pPr>
              <w:ind w:left="32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677</w:t>
            </w: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1,737</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(313)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line="198" w:lineRule="exact"/>
              <w:rPr>
                <w:sz w:val="20"/>
                <w:szCs w:val="20"/>
                <w:color w:val="auto"/>
              </w:rPr>
            </w:pPr>
            <w:r>
              <w:rPr>
                <w:rFonts w:ascii="Arial" w:cs="Arial" w:eastAsia="Arial" w:hAnsi="Arial"/>
                <w:sz w:val="18"/>
                <w:szCs w:val="18"/>
                <w:color w:val="auto"/>
                <w:w w:val="91"/>
              </w:rPr>
              <w:t>Proceeds from divestitures of businesses (net of cash divested) and other sales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18"/>
                <w:szCs w:val="18"/>
                <w:b w:val="1"/>
                <w:bCs w:val="1"/>
                <w:color w:val="auto"/>
              </w:rPr>
              <w:t>(c)</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32" w:lineRule="exact"/>
        <w:rPr>
          <w:rFonts w:ascii="Arial" w:cs="Arial" w:eastAsia="Arial" w:hAnsi="Arial"/>
          <w:sz w:val="18"/>
          <w:szCs w:val="18"/>
          <w:color w:val="auto"/>
        </w:rPr>
      </w:pPr>
    </w:p>
    <w:p>
      <w:pPr>
        <w:ind w:left="460" w:right="64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Proceeds for the three and nine months ended September 30, 2011 includes the repayment of a $17.0 million note receivable from a prior year divestiture. This repayment is included as a component of “Net receipts from restricted trust and escrow accounts, and other” in our Condensed Consolidated Statement of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2011</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9,613</w:t>
            </w:r>
          </w:p>
        </w:tc>
        <w:tc>
          <w:tcPr>
            <w:tcW w:w="3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9,037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15,660</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Groups: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87.0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landfill amortization expense</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 2011</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6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Per Share</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4"/>
          </w:tcPr>
          <w:p>
            <w:pPr>
              <w:jc w:val="right"/>
              <w:ind w:right="400"/>
              <w:spacing w:after="0" w:line="119" w:lineRule="exact"/>
              <w:rPr>
                <w:sz w:val="20"/>
                <w:szCs w:val="20"/>
                <w:color w:val="auto"/>
              </w:rPr>
            </w:pPr>
            <w:r>
              <w:rPr>
                <w:rFonts w:ascii="Arial" w:cs="Arial" w:eastAsia="Arial" w:hAnsi="Arial"/>
                <w:sz w:val="13"/>
                <w:szCs w:val="13"/>
                <w:b w:val="1"/>
                <w:bCs w:val="1"/>
                <w:color w:val="auto"/>
              </w:rPr>
              <w:t>After-tax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Earnings Per Diluted Share</w:t>
            </w:r>
          </w:p>
        </w:tc>
        <w:tc>
          <w:tcPr>
            <w:tcW w:w="1920" w:type="dxa"/>
            <w:vAlign w:val="bottom"/>
            <w:gridSpan w:val="4"/>
          </w:tcPr>
          <w:p>
            <w:pPr>
              <w:ind w:left="560"/>
              <w:spacing w:after="0"/>
              <w:rPr>
                <w:sz w:val="20"/>
                <w:szCs w:val="20"/>
                <w:color w:val="auto"/>
              </w:rPr>
            </w:pPr>
            <w:r>
              <w:rPr>
                <w:rFonts w:ascii="Arial" w:cs="Arial" w:eastAsia="Arial" w:hAnsi="Arial"/>
                <w:sz w:val="14"/>
                <w:szCs w:val="14"/>
                <w:b w:val="1"/>
                <w:bCs w:val="1"/>
                <w:color w:val="auto"/>
              </w:rPr>
              <w:t>Amount (a)</w:t>
            </w: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Amount (a)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272</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6"/>
              </w:rPr>
              <w:t>0.58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244</w:t>
            </w: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0.51</w:t>
            </w: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asset impairments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0.03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Closed site adjustments and changes in risk-free interest rate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w w:val="96"/>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Oakleaf acquisition and related integration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0.01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Tax items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295</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6"/>
              </w:rPr>
              <w:t>0.</w:t>
            </w:r>
            <w:r>
              <w:rPr>
                <w:rFonts w:ascii="Arial" w:cs="Arial" w:eastAsia="Arial" w:hAnsi="Arial"/>
                <w:sz w:val="18"/>
                <w:szCs w:val="18"/>
                <w:b w:val="1"/>
                <w:bCs w:val="1"/>
                <w:u w:val="single" w:color="auto"/>
                <w:color w:val="auto"/>
                <w:w w:val="96"/>
              </w:rPr>
              <w:t>63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264</w:t>
            </w: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center"/>
              <w:ind w:left="334"/>
              <w:spacing w:after="0"/>
              <w:rPr>
                <w:sz w:val="20"/>
                <w:szCs w:val="20"/>
                <w:color w:val="auto"/>
              </w:rPr>
            </w:pPr>
            <w:r>
              <w:rPr>
                <w:rFonts w:ascii="Arial" w:cs="Arial" w:eastAsia="Arial" w:hAnsi="Arial"/>
                <w:sz w:val="14"/>
                <w:szCs w:val="14"/>
                <w:b w:val="1"/>
                <w:bCs w:val="1"/>
                <w:color w:val="auto"/>
                <w:w w:val="95"/>
              </w:rPr>
              <w:t>Quarters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2,261</w:t>
            </w: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Adjustments to Operating Expenses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Oakleaf acquisition and related integration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Closed site adjustments and changes in risk-free interest rate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(b)</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2,159</w:t>
            </w: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51"/>
              <w:spacing w:after="0"/>
              <w:rPr>
                <w:sz w:val="20"/>
                <w:szCs w:val="20"/>
                <w:color w:val="auto"/>
              </w:rPr>
            </w:pPr>
            <w:r>
              <w:rPr>
                <w:rFonts w:ascii="Arial" w:cs="Arial" w:eastAsia="Arial" w:hAnsi="Arial"/>
                <w:sz w:val="14"/>
                <w:szCs w:val="14"/>
                <w:b w:val="1"/>
                <w:bCs w:val="1"/>
                <w:color w:val="auto"/>
              </w:rPr>
              <w:t>Quarters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8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w w:val="89"/>
              </w:rPr>
              <w:t>Adjusted Operating Revenues, Adjusted SG&amp;A Expenses, and Adjusted SG&amp;A Expenses as a Percent of Revenues</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4"/>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3,522</w:t>
            </w:r>
          </w:p>
        </w:tc>
        <w:tc>
          <w:tcPr>
            <w:tcW w:w="320" w:type="dxa"/>
            <w:vAlign w:val="bottom"/>
          </w:tcPr>
          <w:p>
            <w:pPr>
              <w:spacing w:after="0"/>
              <w:rPr>
                <w:sz w:val="18"/>
                <w:szCs w:val="18"/>
                <w:color w:val="auto"/>
              </w:rPr>
            </w:pPr>
          </w:p>
        </w:tc>
        <w:tc>
          <w:tcPr>
            <w:tcW w:w="52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SG&amp;A expenses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SG&amp;A expenses as a percent of revenues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Operating revenues — Oakleaf acquisition</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52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SG&amp;A expenses — Oakleaf acquisition and related integration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SG&amp;A expenses — Closed site adjustment</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3,416</w:t>
            </w:r>
          </w:p>
        </w:tc>
        <w:tc>
          <w:tcPr>
            <w:tcW w:w="320" w:type="dxa"/>
            <w:vAlign w:val="bottom"/>
          </w:tcPr>
          <w:p>
            <w:pPr>
              <w:spacing w:after="0"/>
              <w:rPr>
                <w:sz w:val="18"/>
                <w:szCs w:val="18"/>
                <w:color w:val="auto"/>
              </w:rPr>
            </w:pPr>
          </w:p>
        </w:tc>
        <w:tc>
          <w:tcPr>
            <w:tcW w:w="52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SG&amp;A expenses </w:t>
            </w:r>
            <w:r>
              <w:rPr>
                <w:rFonts w:ascii="Arial" w:cs="Arial" w:eastAsia="Arial" w:hAnsi="Arial"/>
                <w:sz w:val="18"/>
                <w:szCs w:val="18"/>
                <w:b w:val="1"/>
                <w:bCs w:val="1"/>
                <w:color w:val="auto"/>
              </w:rPr>
              <w:t>(c)</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Adjusted SG&amp;A expenses as a percent of revenues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220" w:hanging="452"/>
        <w:spacing w:after="0" w:line="277"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third quarter of 2011 and 2010.</w:t>
      </w:r>
    </w:p>
    <w:p>
      <w:pPr>
        <w:spacing w:after="0" w:line="21"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Increase of $172 million in operating expenses, as adjusted.</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Adjusted SG&amp;A expenses were flat in Q3 2011 when compared with Q3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2011</w:t>
            </w:r>
          </w:p>
        </w:tc>
        <w:tc>
          <w:tcPr>
            <w:tcW w:w="4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 2010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Pre-tax Income</w:t>
            </w:r>
          </w:p>
        </w:tc>
        <w:tc>
          <w:tcPr>
            <w:tcW w:w="108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88"/>
              </w:rPr>
              <w:t>Tax Expense</w:t>
            </w:r>
          </w:p>
        </w:tc>
        <w:tc>
          <w:tcPr>
            <w:tcW w:w="62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Pre-tax Income</w:t>
            </w:r>
          </w:p>
        </w:tc>
        <w:tc>
          <w:tcPr>
            <w:tcW w:w="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Tax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421</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136</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Adjustments to Tax Expense:</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asset impairments</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Closed site adjustments and changes in risk-free interest rate</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Oakleaf acquisition and related integration activities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Tax items</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456</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148</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435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Full Year 2011 Free Cash Flow Reconciliation</w:t>
            </w:r>
            <w:r>
              <w:rPr>
                <w:rFonts w:ascii="Arial" w:cs="Arial" w:eastAsia="Arial" w:hAnsi="Arial"/>
                <w:sz w:val="14"/>
                <w:szCs w:val="14"/>
                <w:b w:val="1"/>
                <w:bCs w:val="1"/>
                <w:color w:val="auto"/>
              </w:rPr>
              <w:t>(d)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Proceeds from divestitures of businesses (net of cash divested) and other sales of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reconciliation presents a scenario that illustrates our projected free cash flow for 2011. The amounts used in the reconciliation are subject to many variables, some of which are not under our control and, therefore, are not necessarily indicative of actual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2019-12-10T08:59:48Z</dcterms:created>
  <dcterms:modified xsi:type="dcterms:W3CDTF">2019-12-10T08:59:48Z</dcterms:modified>
</cp:coreProperties>
</file>