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NO. 333-80063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Prospectus Dated February 14, 2000)</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$400,000,000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[WASTE MANAGEMENT, INC. LOGO]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 1/2% Senior Notes due 2008</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will mature on November 15, 2008. Interest will accrue from November 20, 2001 and will be payable on May 15 and November 15 of each year beginning on May 15, 2002. The notes will be our senior obligations and will rank equally with all of our other unsecured senior indebtedness. We may redeem the notes in whole or in part at any time at the redemption prices described beginning on page S-10. The notes will be issued in denominations of $1,000 and integral multiples of $1,000.</w:t>
      </w:r>
    </w:p>
    <w:p>
      <w:pPr>
        <w:spacing w:after="0" w:line="211" w:lineRule="exact"/>
        <w:rPr>
          <w:sz w:val="24"/>
          <w:szCs w:val="24"/>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SEE "RISK FACTORS" BEGINNING ON PAGE S-3 OF THIS PROSPECTUS SUPPLEMENT AND BEGINNING ON PAGE 4 OF THE ACCOMPANYING PROSPECTUS FOR A DISCUSSION OF CERTAIN RISKS THAT YOU SHOULD CONSIDER IN CONNECTION WITH AN INVESTMENT IN THE NOTES.</w:t>
      </w:r>
    </w:p>
    <w:p>
      <w:pPr>
        <w:spacing w:after="0" w:line="17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 notes or determined that this prospectus supplement or the accompanying prospectus is accurate or complete. Any representation to the contrary is a criminal offense.</w:t>
      </w:r>
    </w:p>
    <w:p>
      <w:pPr>
        <w:spacing w:after="0" w:line="202" w:lineRule="exact"/>
        <w:rPr>
          <w:sz w:val="24"/>
          <w:szCs w:val="24"/>
          <w:color w:val="auto"/>
        </w:rPr>
      </w:pPr>
    </w:p>
    <w:p>
      <w:pPr>
        <w:jc w:val="center"/>
        <w:ind w:right="5479"/>
        <w:spacing w:after="0"/>
        <w:rPr>
          <w:sz w:val="20"/>
          <w:szCs w:val="20"/>
          <w:color w:val="auto"/>
        </w:rPr>
      </w:pPr>
      <w:r>
        <w:rPr>
          <w:rFonts w:ascii="Courier New" w:cs="Courier New" w:eastAsia="Courier New" w:hAnsi="Courier New"/>
          <w:sz w:val="18"/>
          <w:szCs w:val="18"/>
          <w:color w:val="auto"/>
        </w:rPr>
        <w:t>PRICE TO UNDERWRITING PROCEEDS PUBLIC(1)</w:t>
      </w:r>
    </w:p>
    <w:p>
      <w:pPr>
        <w:ind w:left="60"/>
        <w:spacing w:after="0" w:line="238" w:lineRule="auto"/>
        <w:rPr>
          <w:sz w:val="20"/>
          <w:szCs w:val="20"/>
          <w:color w:val="auto"/>
        </w:rPr>
      </w:pPr>
      <w:r>
        <w:rPr>
          <w:rFonts w:ascii="Courier New" w:cs="Courier New" w:eastAsia="Courier New" w:hAnsi="Courier New"/>
          <w:sz w:val="18"/>
          <w:szCs w:val="18"/>
          <w:color w:val="auto"/>
        </w:rPr>
        <w:t>DISCOUNTS TO US ------------------- --------</w:t>
      </w:r>
    </w:p>
    <w:p>
      <w:pPr>
        <w:ind w:left="900"/>
        <w:spacing w:after="0"/>
        <w:rPr>
          <w:sz w:val="20"/>
          <w:szCs w:val="20"/>
          <w:color w:val="auto"/>
        </w:rPr>
      </w:pPr>
      <w:r>
        <w:rPr>
          <w:rFonts w:ascii="Courier New" w:cs="Courier New" w:eastAsia="Courier New" w:hAnsi="Courier New"/>
          <w:sz w:val="18"/>
          <w:szCs w:val="18"/>
          <w:color w:val="auto"/>
        </w:rPr>
        <w:t>----------- ------------ Per</w:t>
      </w:r>
    </w:p>
    <w:p>
      <w:pPr>
        <w:ind w:left="220"/>
        <w:spacing w:after="0" w:line="237" w:lineRule="auto"/>
        <w:rPr>
          <w:sz w:val="20"/>
          <w:szCs w:val="20"/>
          <w:color w:val="auto"/>
        </w:rPr>
      </w:pPr>
      <w:r>
        <w:rPr>
          <w:rFonts w:ascii="Courier New" w:cs="Courier New" w:eastAsia="Courier New" w:hAnsi="Courier New"/>
          <w:sz w:val="18"/>
          <w:szCs w:val="18"/>
          <w:color w:val="auto"/>
        </w:rPr>
        <w:t>Note.....................................</w:t>
      </w:r>
    </w:p>
    <w:p>
      <w:pPr>
        <w:jc w:val="center"/>
        <w:ind w:right="5479"/>
        <w:spacing w:after="0" w:line="238" w:lineRule="auto"/>
        <w:rPr>
          <w:sz w:val="20"/>
          <w:szCs w:val="20"/>
          <w:color w:val="auto"/>
        </w:rPr>
      </w:pPr>
      <w:r>
        <w:rPr>
          <w:rFonts w:ascii="Courier New" w:cs="Courier New" w:eastAsia="Courier New" w:hAnsi="Courier New"/>
          <w:sz w:val="18"/>
          <w:szCs w:val="18"/>
          <w:color w:val="auto"/>
        </w:rPr>
        <w:t>99.609% 0.625% 98.984%</w:t>
      </w:r>
    </w:p>
    <w:p>
      <w:pPr>
        <w:spacing w:after="0"/>
        <w:rPr>
          <w:sz w:val="20"/>
          <w:szCs w:val="20"/>
          <w:color w:val="auto"/>
        </w:rPr>
      </w:pPr>
      <w:r>
        <w:rPr>
          <w:rFonts w:ascii="Courier New" w:cs="Courier New" w:eastAsia="Courier New" w:hAnsi="Courier New"/>
          <w:sz w:val="18"/>
          <w:szCs w:val="18"/>
          <w:color w:val="auto"/>
        </w:rPr>
        <w:t>Total........................................</w:t>
      </w:r>
    </w:p>
    <w:p>
      <w:pPr>
        <w:ind w:left="480"/>
        <w:spacing w:after="0" w:line="237" w:lineRule="auto"/>
        <w:rPr>
          <w:sz w:val="20"/>
          <w:szCs w:val="20"/>
          <w:color w:val="auto"/>
        </w:rPr>
      </w:pPr>
      <w:r>
        <w:rPr>
          <w:rFonts w:ascii="Courier New" w:cs="Courier New" w:eastAsia="Courier New" w:hAnsi="Courier New"/>
          <w:sz w:val="18"/>
          <w:szCs w:val="18"/>
          <w:color w:val="auto"/>
        </w:rPr>
        <w:t>$398,436,000 $2,500,000 $395,936,000</w:t>
      </w:r>
    </w:p>
    <w:p>
      <w:pPr>
        <w:spacing w:after="0" w:line="200" w:lineRule="exact"/>
        <w:rPr>
          <w:sz w:val="24"/>
          <w:szCs w:val="24"/>
          <w:color w:val="auto"/>
        </w:rPr>
      </w:pPr>
    </w:p>
    <w:p>
      <w:pPr>
        <w:spacing w:after="0" w:line="210" w:lineRule="exact"/>
        <w:rPr>
          <w:sz w:val="24"/>
          <w:szCs w:val="24"/>
          <w:color w:val="auto"/>
        </w:rPr>
      </w:pPr>
    </w:p>
    <w:p>
      <w:pPr>
        <w:ind w:left="420" w:right="199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accrued interest from November 20, 2001 if delivery occurs after that date.</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notes will not be listed on any securities exchange. Currently, there is no public market for the notes.</w:t>
      </w:r>
    </w:p>
    <w:p>
      <w:pPr>
        <w:spacing w:after="0" w:line="208"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underwriters expect to deliver the notes to investors through the book-entry system of The Depository Trust Company on or about November 20, 2001.</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Book-Running and Joint Lead Managers</w:t>
      </w:r>
    </w:p>
    <w:p>
      <w:pPr>
        <w:spacing w:after="0" w:line="201" w:lineRule="exact"/>
        <w:rPr>
          <w:sz w:val="24"/>
          <w:szCs w:val="24"/>
          <w:color w:val="auto"/>
        </w:rPr>
      </w:pPr>
    </w:p>
    <w:p>
      <w:pPr>
        <w:spacing w:after="0"/>
        <w:tabs>
          <w:tab w:leader="none" w:pos="4300" w:val="left"/>
          <w:tab w:leader="none" w:pos="6300" w:val="left"/>
        </w:tabs>
        <w:rPr>
          <w:sz w:val="20"/>
          <w:szCs w:val="20"/>
          <w:color w:val="auto"/>
        </w:rPr>
      </w:pPr>
      <w:r>
        <w:rPr>
          <w:rFonts w:ascii="Courier New" w:cs="Courier New" w:eastAsia="Courier New" w:hAnsi="Courier New"/>
          <w:sz w:val="18"/>
          <w:szCs w:val="18"/>
          <w:color w:val="auto"/>
        </w:rPr>
        <w:t>BANC OF AMERICA SECURITIES LLC</w:t>
      </w:r>
      <w:r>
        <w:rPr>
          <w:sz w:val="20"/>
          <w:szCs w:val="20"/>
          <w:color w:val="auto"/>
        </w:rPr>
        <w:tab/>
      </w:r>
      <w:r>
        <w:rPr>
          <w:rFonts w:ascii="Courier New" w:cs="Courier New" w:eastAsia="Courier New" w:hAnsi="Courier New"/>
          <w:sz w:val="18"/>
          <w:szCs w:val="18"/>
          <w:color w:val="auto"/>
        </w:rPr>
        <w:t>JPMORGAN</w:t>
      </w:r>
      <w:r>
        <w:rPr>
          <w:sz w:val="20"/>
          <w:szCs w:val="20"/>
          <w:color w:val="auto"/>
        </w:rPr>
        <w:tab/>
      </w:r>
      <w:r>
        <w:rPr>
          <w:rFonts w:ascii="Courier New" w:cs="Courier New" w:eastAsia="Courier New" w:hAnsi="Courier New"/>
          <w:sz w:val="16"/>
          <w:szCs w:val="16"/>
          <w:color w:val="auto"/>
        </w:rPr>
        <w:t>SALOMON SMITH BARNEY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ABN AMRO INCORPORATED</w:t>
      </w:r>
    </w:p>
    <w:p>
      <w:pPr>
        <w:ind w:left="860"/>
        <w:spacing w:after="0" w:line="238" w:lineRule="auto"/>
        <w:rPr>
          <w:sz w:val="20"/>
          <w:szCs w:val="20"/>
          <w:color w:val="auto"/>
        </w:rPr>
      </w:pPr>
      <w:r>
        <w:rPr>
          <w:rFonts w:ascii="Courier New" w:cs="Courier New" w:eastAsia="Courier New" w:hAnsi="Courier New"/>
          <w:sz w:val="18"/>
          <w:szCs w:val="18"/>
          <w:color w:val="auto"/>
        </w:rPr>
        <w:t>CREDIT SUISSE FIRST BOSTON</w:t>
      </w:r>
    </w:p>
    <w:p>
      <w:pPr>
        <w:ind w:left="1800"/>
        <w:spacing w:after="0"/>
        <w:rPr>
          <w:sz w:val="20"/>
          <w:szCs w:val="20"/>
          <w:color w:val="auto"/>
        </w:rPr>
      </w:pPr>
      <w:r>
        <w:rPr>
          <w:rFonts w:ascii="Courier New" w:cs="Courier New" w:eastAsia="Courier New" w:hAnsi="Courier New"/>
          <w:sz w:val="18"/>
          <w:szCs w:val="18"/>
          <w:color w:val="auto"/>
        </w:rPr>
        <w:t>FLEET SECURITIES, INC.</w:t>
      </w:r>
    </w:p>
    <w:p>
      <w:pPr>
        <w:ind w:left="2740"/>
        <w:spacing w:after="0" w:line="237" w:lineRule="auto"/>
        <w:rPr>
          <w:sz w:val="20"/>
          <w:szCs w:val="20"/>
          <w:color w:val="auto"/>
        </w:rPr>
      </w:pPr>
      <w:r>
        <w:rPr>
          <w:rFonts w:ascii="Courier New" w:cs="Courier New" w:eastAsia="Courier New" w:hAnsi="Courier New"/>
          <w:sz w:val="18"/>
          <w:szCs w:val="18"/>
          <w:color w:val="auto"/>
        </w:rPr>
        <w:t>GOLDMAN, SACHS &amp; CO.</w:t>
      </w:r>
    </w:p>
    <w:p>
      <w:pPr>
        <w:ind w:left="3580"/>
        <w:spacing w:after="0" w:line="238" w:lineRule="auto"/>
        <w:rPr>
          <w:sz w:val="20"/>
          <w:szCs w:val="20"/>
          <w:color w:val="auto"/>
        </w:rPr>
      </w:pPr>
      <w:r>
        <w:rPr>
          <w:rFonts w:ascii="Courier New" w:cs="Courier New" w:eastAsia="Courier New" w:hAnsi="Courier New"/>
          <w:sz w:val="18"/>
          <w:szCs w:val="18"/>
          <w:color w:val="auto"/>
        </w:rPr>
        <w:t>LEHMAN BROTHERS</w:t>
      </w:r>
    </w:p>
    <w:p>
      <w:pPr>
        <w:ind w:left="4440"/>
        <w:spacing w:after="0"/>
        <w:rPr>
          <w:sz w:val="20"/>
          <w:szCs w:val="20"/>
          <w:color w:val="auto"/>
        </w:rPr>
      </w:pPr>
      <w:r>
        <w:rPr>
          <w:rFonts w:ascii="Courier New" w:cs="Courier New" w:eastAsia="Courier New" w:hAnsi="Courier New"/>
          <w:sz w:val="18"/>
          <w:szCs w:val="18"/>
          <w:color w:val="auto"/>
        </w:rPr>
        <w:t>MERRILL LYNCH &amp; CO.</w:t>
      </w:r>
    </w:p>
    <w:p>
      <w:pPr>
        <w:ind w:left="5060"/>
        <w:spacing w:after="0" w:line="237" w:lineRule="auto"/>
        <w:rPr>
          <w:sz w:val="20"/>
          <w:szCs w:val="20"/>
          <w:color w:val="auto"/>
        </w:rPr>
      </w:pPr>
      <w:r>
        <w:rPr>
          <w:rFonts w:ascii="Courier New" w:cs="Courier New" w:eastAsia="Courier New" w:hAnsi="Courier New"/>
          <w:sz w:val="18"/>
          <w:szCs w:val="18"/>
          <w:color w:val="auto"/>
        </w:rPr>
        <w:t>MORGAN STANLEY</w:t>
      </w:r>
    </w:p>
    <w:p>
      <w:pPr>
        <w:ind w:left="5700"/>
        <w:spacing w:after="0"/>
        <w:rPr>
          <w:sz w:val="20"/>
          <w:szCs w:val="20"/>
          <w:color w:val="auto"/>
        </w:rPr>
      </w:pPr>
      <w:r>
        <w:rPr>
          <w:rFonts w:ascii="Courier New" w:cs="Courier New" w:eastAsia="Courier New" w:hAnsi="Courier New"/>
          <w:sz w:val="18"/>
          <w:szCs w:val="18"/>
          <w:color w:val="auto"/>
        </w:rPr>
        <w:t>PNC CAPITAL MARKETS, INC.</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15, 2001</w:t>
      </w:r>
    </w:p>
    <w:p>
      <w:pPr>
        <w:sectPr>
          <w:pgSz w:w="11900" w:h="16838" w:orient="portrait"/>
          <w:cols w:equalWidth="0" w:num="1">
            <w:col w:w="10219"/>
          </w:cols>
          <w:pgMar w:left="240" w:top="649" w:right="1440" w:bottom="144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YOU SHOULD RELY ONLY ON THE INFORMATION CONTAINED OR INCORPORATED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IN THIS PROSPECTUS SUPPLEMENT AND THE ACCOMPANYING PROSPECTUS. WE HAVE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AUTHORIZED ANYONE TO PROVIDE YOU WITH DIFFERENT INFORMATION. WE ARE NOT</w:t>
      </w:r>
    </w:p>
    <w:p>
      <w:pPr>
        <w:spacing w:after="0" w:line="238" w:lineRule="auto"/>
        <w:rPr>
          <w:sz w:val="20"/>
          <w:szCs w:val="20"/>
          <w:color w:val="auto"/>
        </w:rPr>
      </w:pPr>
      <w:r>
        <w:rPr>
          <w:rFonts w:ascii="Courier New" w:cs="Courier New" w:eastAsia="Courier New" w:hAnsi="Courier New"/>
          <w:sz w:val="18"/>
          <w:szCs w:val="18"/>
          <w:color w:val="auto"/>
        </w:rPr>
        <w:t>MAKING AN OFFER OF THESE SECURITIES IN ANY STATE WHERE THE OFFER IS NOT</w:t>
      </w:r>
    </w:p>
    <w:p>
      <w:pPr>
        <w:spacing w:after="0"/>
        <w:rPr>
          <w:sz w:val="20"/>
          <w:szCs w:val="20"/>
          <w:color w:val="auto"/>
        </w:rPr>
      </w:pPr>
      <w:r>
        <w:rPr>
          <w:rFonts w:ascii="Courier New" w:cs="Courier New" w:eastAsia="Courier New" w:hAnsi="Courier New"/>
          <w:sz w:val="18"/>
          <w:szCs w:val="18"/>
          <w:color w:val="auto"/>
        </w:rPr>
        <w:t>PERMITTED. YOU SHOULD NOT ASSUME THAT THE INFORMATION CONTAINED IN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SUPPLEMENT OR THE ACCOMPANYING PROSPECTUS IS ACCURATE AS OF ANY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THAN THE DATE ON THE FRONT OF THIS PROSPECTUS SUPPLEMENT OR THAT THE</w:t>
      </w:r>
    </w:p>
    <w:p>
      <w:pPr>
        <w:spacing w:after="0" w:line="238" w:lineRule="auto"/>
        <w:rPr>
          <w:sz w:val="20"/>
          <w:szCs w:val="20"/>
          <w:color w:val="auto"/>
        </w:rPr>
      </w:pPr>
      <w:r>
        <w:rPr>
          <w:rFonts w:ascii="Courier New" w:cs="Courier New" w:eastAsia="Courier New" w:hAnsi="Courier New"/>
          <w:sz w:val="18"/>
          <w:szCs w:val="18"/>
          <w:color w:val="auto"/>
        </w:rPr>
        <w:t>INFORMATION WE PREVIOUSLY FILED WITH THE SEC AND INCORPORATED BY REFERENCE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PROSPECTUS SUPPLEMENT OR THE ACCOMPANYING PROSPECTUS IS ACCURATE AS OF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OTHER THAN THE DATE OF THE DOCUMENT INCORPORATED BY REFERENCE.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As used in this prospectus supplement, the terms "Waste Management," "we,"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or "our" refer to Waste Management, Inc. and its subsidiaries, unless the</w:t>
      </w:r>
    </w:p>
    <w:p>
      <w:pPr>
        <w:spacing w:after="0" w:line="238" w:lineRule="auto"/>
        <w:rPr>
          <w:sz w:val="20"/>
          <w:szCs w:val="20"/>
          <w:color w:val="auto"/>
        </w:rPr>
      </w:pPr>
      <w:r>
        <w:rPr>
          <w:rFonts w:ascii="Courier New" w:cs="Courier New" w:eastAsia="Courier New" w:hAnsi="Courier New"/>
          <w:sz w:val="18"/>
          <w:szCs w:val="18"/>
          <w:color w:val="auto"/>
        </w:rPr>
        <w:t>context otherwise requires.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1320"/>
        <w:spacing w:after="0"/>
        <w:rPr>
          <w:sz w:val="20"/>
          <w:szCs w:val="20"/>
          <w:color w:val="auto"/>
        </w:rPr>
      </w:pPr>
      <w:r>
        <w:rPr>
          <w:rFonts w:ascii="Courier New" w:cs="Courier New" w:eastAsia="Courier New" w:hAnsi="Courier New"/>
          <w:sz w:val="18"/>
          <w:szCs w:val="18"/>
          <w:color w:val="auto"/>
        </w:rPr>
        <w:t>PAGE ---- PROSPECTUS SUPPLEMENT Our</w:t>
      </w:r>
    </w:p>
    <w:p>
      <w:pPr>
        <w:ind w:left="60"/>
        <w:spacing w:after="0" w:line="238" w:lineRule="auto"/>
        <w:tabs>
          <w:tab w:leader="dot" w:pos="6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8"/>
          <w:szCs w:val="18"/>
          <w:color w:val="auto"/>
        </w:rPr>
        <w:t>S-</w:t>
      </w:r>
    </w:p>
    <w:p>
      <w:pPr>
        <w:ind w:left="2860"/>
        <w:spacing w:after="0"/>
        <w:rPr>
          <w:sz w:val="20"/>
          <w:szCs w:val="20"/>
          <w:color w:val="auto"/>
        </w:rPr>
      </w:pPr>
      <w:r>
        <w:rPr>
          <w:rFonts w:ascii="Courier New" w:cs="Courier New" w:eastAsia="Courier New" w:hAnsi="Courier New"/>
          <w:sz w:val="18"/>
          <w:szCs w:val="18"/>
          <w:color w:val="auto"/>
        </w:rPr>
        <w:t>3 Risk</w:t>
      </w:r>
    </w:p>
    <w:p>
      <w:pPr>
        <w:ind w:left="60"/>
        <w:spacing w:after="0"/>
        <w:tabs>
          <w:tab w:leader="dot" w:pos="59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S-3</w:t>
      </w:r>
    </w:p>
    <w:p>
      <w:pPr>
        <w:ind w:left="2860"/>
        <w:spacing w:after="0" w:line="238" w:lineRule="auto"/>
        <w:rPr>
          <w:sz w:val="20"/>
          <w:szCs w:val="20"/>
          <w:color w:val="auto"/>
        </w:rPr>
      </w:pPr>
      <w:r>
        <w:rPr>
          <w:rFonts w:ascii="Courier New" w:cs="Courier New" w:eastAsia="Courier New" w:hAnsi="Courier New"/>
          <w:sz w:val="18"/>
          <w:szCs w:val="18"/>
          <w:color w:val="auto"/>
        </w:rPr>
        <w:t>Use of</w:t>
      </w:r>
    </w:p>
    <w:p>
      <w:pPr>
        <w:ind w:left="160"/>
        <w:spacing w:after="0"/>
        <w:tabs>
          <w:tab w:leader="dot" w:pos="584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6"/>
          <w:szCs w:val="16"/>
          <w:color w:val="auto"/>
        </w:rPr>
        <w:t>S-8</w:t>
      </w:r>
    </w:p>
    <w:p>
      <w:pPr>
        <w:ind w:left="2440"/>
        <w:spacing w:after="0" w:line="237" w:lineRule="auto"/>
        <w:rPr>
          <w:sz w:val="20"/>
          <w:szCs w:val="20"/>
          <w:color w:val="auto"/>
        </w:rPr>
      </w:pPr>
      <w:r>
        <w:rPr>
          <w:rFonts w:ascii="Courier New" w:cs="Courier New" w:eastAsia="Courier New" w:hAnsi="Courier New"/>
          <w:sz w:val="18"/>
          <w:szCs w:val="18"/>
          <w:color w:val="auto"/>
        </w:rPr>
        <w:t>Description of</w:t>
      </w:r>
    </w:p>
    <w:p>
      <w:pPr>
        <w:ind w:left="580"/>
        <w:spacing w:after="0"/>
        <w:tabs>
          <w:tab w:leader="dot" w:pos="542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S-9</w:t>
      </w:r>
    </w:p>
    <w:p>
      <w:pPr>
        <w:spacing w:after="0"/>
        <w:tabs>
          <w:tab w:leader="none" w:pos="1260" w:val="left"/>
        </w:tabs>
        <w:rPr>
          <w:sz w:val="20"/>
          <w:szCs w:val="20"/>
          <w:color w:val="auto"/>
        </w:rPr>
      </w:pP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6"/>
          <w:szCs w:val="16"/>
          <w:color w:val="auto"/>
        </w:rPr>
        <w:t>................................................</w:t>
      </w:r>
    </w:p>
    <w:p>
      <w:pPr>
        <w:ind w:left="2640"/>
        <w:spacing w:after="0"/>
        <w:rPr>
          <w:sz w:val="20"/>
          <w:szCs w:val="20"/>
          <w:color w:val="auto"/>
        </w:rPr>
      </w:pPr>
      <w:r>
        <w:rPr>
          <w:rFonts w:ascii="Courier New" w:cs="Courier New" w:eastAsia="Courier New" w:hAnsi="Courier New"/>
          <w:sz w:val="18"/>
          <w:szCs w:val="18"/>
          <w:color w:val="auto"/>
        </w:rPr>
        <w:t>S-15 Legal</w:t>
      </w:r>
    </w:p>
    <w:p>
      <w:pPr>
        <w:ind w:left="60"/>
        <w:spacing w:after="0"/>
        <w:tabs>
          <w:tab w:leader="dot" w:pos="58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6"/>
          <w:szCs w:val="16"/>
          <w:color w:val="auto"/>
        </w:rPr>
        <w:t>S-16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2120"/>
        <w:spacing w:after="0"/>
        <w:rPr>
          <w:sz w:val="20"/>
          <w:szCs w:val="20"/>
          <w:color w:val="auto"/>
        </w:rPr>
      </w:pPr>
      <w:r>
        <w:rPr>
          <w:rFonts w:ascii="Courier New" w:cs="Courier New" w:eastAsia="Courier New" w:hAnsi="Courier New"/>
          <w:sz w:val="18"/>
          <w:szCs w:val="18"/>
          <w:color w:val="auto"/>
        </w:rPr>
        <w:t>S-17 Forward-Looking</w:t>
      </w:r>
    </w:p>
    <w:p>
      <w:pPr>
        <w:ind w:left="580"/>
        <w:spacing w:after="0"/>
        <w:tabs>
          <w:tab w:leader="dot" w:pos="530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S-17</w:t>
      </w:r>
    </w:p>
    <w:p>
      <w:pPr>
        <w:ind w:left="1640"/>
        <w:spacing w:after="0"/>
        <w:rPr>
          <w:sz w:val="20"/>
          <w:szCs w:val="20"/>
          <w:color w:val="auto"/>
        </w:rPr>
      </w:pPr>
      <w:r>
        <w:rPr>
          <w:rFonts w:ascii="Courier New" w:cs="Courier New" w:eastAsia="Courier New" w:hAnsi="Courier New"/>
          <w:sz w:val="18"/>
          <w:szCs w:val="18"/>
          <w:color w:val="auto"/>
        </w:rPr>
        <w:t>PROSPECTUS Where To Find More</w:t>
      </w:r>
    </w:p>
    <w:p>
      <w:pPr>
        <w:ind w:left="700"/>
        <w:spacing w:after="0"/>
        <w:tabs>
          <w:tab w:leader="dot" w:pos="510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2 Our</w:t>
      </w:r>
    </w:p>
    <w:p>
      <w:pPr>
        <w:ind w:left="120"/>
        <w:spacing w:after="0"/>
        <w:tabs>
          <w:tab w:leader="dot" w:pos="610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4</w:t>
      </w:r>
    </w:p>
    <w:p>
      <w:pPr>
        <w:ind w:left="2960"/>
        <w:spacing w:after="0" w:line="237" w:lineRule="auto"/>
        <w:rPr>
          <w:sz w:val="20"/>
          <w:szCs w:val="20"/>
          <w:color w:val="auto"/>
        </w:rPr>
      </w:pPr>
      <w:r>
        <w:rPr>
          <w:rFonts w:ascii="Courier New" w:cs="Courier New" w:eastAsia="Courier New" w:hAnsi="Courier New"/>
          <w:sz w:val="18"/>
          <w:szCs w:val="18"/>
          <w:color w:val="auto"/>
        </w:rPr>
        <w:t>Risk</w:t>
      </w:r>
    </w:p>
    <w:p>
      <w:pPr>
        <w:ind w:left="160"/>
        <w:spacing w:after="0" w:line="238" w:lineRule="auto"/>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4</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1540"/>
        <w:spacing w:after="0"/>
        <w:tabs>
          <w:tab w:leader="dot" w:pos="384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10 Use of</w:t>
      </w:r>
    </w:p>
    <w:p>
      <w:pPr>
        <w:ind w:left="220"/>
        <w:spacing w:after="0"/>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11</w:t>
      </w:r>
    </w:p>
    <w:p>
      <w:pPr>
        <w:ind w:left="1800"/>
        <w:spacing w:after="0" w:line="237" w:lineRule="auto"/>
        <w:rPr>
          <w:sz w:val="20"/>
          <w:szCs w:val="20"/>
          <w:color w:val="auto"/>
        </w:rPr>
      </w:pPr>
      <w:r>
        <w:rPr>
          <w:rFonts w:ascii="Courier New" w:cs="Courier New" w:eastAsia="Courier New" w:hAnsi="Courier New"/>
          <w:sz w:val="18"/>
          <w:szCs w:val="18"/>
          <w:color w:val="auto"/>
        </w:rPr>
        <w:t>Ratio of Earnings to Fixed</w:t>
      </w:r>
    </w:p>
    <w:p>
      <w:pPr>
        <w:ind w:left="220"/>
        <w:spacing w:after="0"/>
        <w:tabs>
          <w:tab w:leader="dot" w:pos="378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11 Description of Debt</w:t>
      </w:r>
    </w:p>
    <w:p>
      <w:pPr>
        <w:ind w:left="120"/>
        <w:spacing w:after="0"/>
        <w:tabs>
          <w:tab w:leader="dot" w:pos="44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12 Description of</w:t>
      </w:r>
    </w:p>
    <w:p>
      <w:pPr>
        <w:ind w:left="220"/>
        <w:spacing w:after="0"/>
        <w:tabs>
          <w:tab w:leader="dot" w:pos="504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6"/>
          <w:szCs w:val="16"/>
          <w:color w:val="auto"/>
        </w:rPr>
        <w:t>36 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38</w:t>
      </w:r>
    </w:p>
    <w:p>
      <w:pPr>
        <w:ind w:left="2580"/>
        <w:spacing w:after="0" w:line="238" w:lineRule="auto"/>
        <w:rPr>
          <w:sz w:val="20"/>
          <w:szCs w:val="20"/>
          <w:color w:val="auto"/>
        </w:rPr>
      </w:pPr>
      <w:r>
        <w:rPr>
          <w:rFonts w:ascii="Courier New" w:cs="Courier New" w:eastAsia="Courier New" w:hAnsi="Courier New"/>
          <w:sz w:val="18"/>
          <w:szCs w:val="18"/>
          <w:color w:val="auto"/>
        </w:rPr>
        <w:t>Validity of</w:t>
      </w:r>
    </w:p>
    <w:p>
      <w:pPr>
        <w:ind w:left="480"/>
        <w:spacing w:after="0"/>
        <w:tabs>
          <w:tab w:leader="dot" w:pos="56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38</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past, our primary growth strategy was to purchase revenue through acquisitions. However, we are now working on becoming a company of operational excellence by focusing on (1) providing excellent customer service, (2) improving the way we operate, (3) increasing cash flow and (4) generating higher profit margins. To that end, we established four major company-wide initiatives for 2001, which are as follows:</w:t>
      </w:r>
    </w:p>
    <w:p>
      <w:pPr>
        <w:spacing w:after="0" w:line="210" w:lineRule="exact"/>
        <w:rPr>
          <w:sz w:val="20"/>
          <w:szCs w:val="20"/>
          <w:color w:val="auto"/>
        </w:rPr>
      </w:pPr>
    </w:p>
    <w:p>
      <w:pPr>
        <w:ind w:left="740" w:right="2519" w:hanging="205"/>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converting our existing financial systems to PeopleSoft enterprise financial systems;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implementing a procurement strategy;</w:t>
      </w:r>
    </w:p>
    <w:p>
      <w:pPr>
        <w:spacing w:after="0" w:line="206"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conducting in-depth studies of our markets to determine the dynamics of different markets, the way we serve our markets and the most profitable way to operate in our markets;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implementing a strategy to improve customer focus and the way we service our customers.</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continue to progress with these initiatives in accordance with the timelines that we have established for the company.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plan to continue focusing on internal growth and profits as opposed to external growth, or growth through acquisitions. We believe that there remain opportunities to expand our services through acquisitions of businesses and operations that can be effectively integrated with our operations, and will pursue those opportunities when available. However, our goal is to refocus on our core business of North American solid waste management and build a stronger company by continuing to find new ways to increase efficiency, improve productivity and achieve greater profitability.</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under the federal securities laws, including claims that (i) the projections we made about our June 30, 1999 earnings were false and misleading, (ii) we failed to disclose information about our earnings projections that would have been important to purchasers of our stock, (iii) we made further misrepresentations after July 29, 1999 about our operations and finances, resulting in our company taking a pre-tax charge of $1.76 billion in the third quarter of 1999, and (iv) we made false or misleading representations in the registration statement and prospectus filed with the SEC in connection with our July 1998 acquisition of Waste Management Holdings Inc. ("WM Holdings"). The plaintiffs also claim that certain of our current and former officers and directors sold their common stock during times when they knew the price was artificially inflated by the alleged misstatements and omissions.</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November 7, 2001, we announced that we had reached a settlement agreement with the plaintiffs in this case, resolving all claims against us and the other defendants arising from or related to the allegations in the litigation. Under the settlement agreement, which is subject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3" w:name="page4"/>
    <w:bookmarkEnd w:id="3"/>
    <w:p>
      <w:pPr>
        <w:ind w:right="2199"/>
        <w:spacing w:after="0" w:line="237" w:lineRule="auto"/>
        <w:rPr>
          <w:sz w:val="20"/>
          <w:szCs w:val="20"/>
          <w:color w:val="auto"/>
        </w:rPr>
      </w:pPr>
      <w:r>
        <w:rPr>
          <w:rFonts w:ascii="Courier New" w:cs="Courier New" w:eastAsia="Courier New" w:hAnsi="Courier New"/>
          <w:sz w:val="18"/>
          <w:szCs w:val="18"/>
          <w:color w:val="auto"/>
        </w:rPr>
        <w:t>to additional confirmatory discovery by the plaintiffs and approval by the court, we will pay $457 million to certain purchasers or acquirers of our securities during the period from June 11, 1998 through November 9, 1999 and will present and recommend to our shareholders a binding resolution to declassify our board of directors and require that all of our directors are elected annually.</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Other lawsuits relating to the facts described above and the February 1998 restatements by WM Holdings of its prior-period financial statements, including purported class actions, have been filed against WM Holdings and us. These include lawsuits brought by individuals who purchased our stock or stock of WM Holdings, sold businesses or assets to us or WM Holdings, or held their stock allegedly in reliance on statements we made. For a more detailed discussion of our current litigation, see "Commitments and Contingencies" in the notes to our Condensed Consolidated Financial Statements in our Quarterly Report on Form 10-Q for the period ended September 30, 2001 incorporated by reference herein. We and our subsidiaries are also currently involved in other civil litigation and governmental proceedings related to the conduct of our business.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do not believe it is feasible to predict or determine the outcome or resolution of any of these proceedings. In addition, the timing of the final resolutions to these matters is uncertain. The possible outcomes or resolutions to these matters or any new litigation or governmental proceedings could include judgments against us or settlements and could require substantial payments by us. We believe that adverse outcomes or any other resolution, such as settlements, could have a material adverse effect on our financial condition, results of operations and cash flows.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condition, results of operations and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23"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We generally seek to work with the authorities to resolve the issues raised by such citations or notices. However, we cannot guarantee that we will always be successful in this regard. Where we are not successful, we may incur fines, penalties or other sanctions that could have a material adverse effect on our financial condition, results of operations and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our insurance coverage for environmental liability, if we were to incur liability for environmental damage, such liability could have a material adverse effect on our financial condition, results of operations and cash flows.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in the future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w:t>
      </w:r>
    </w:p>
    <w:p>
      <w:pPr>
        <w:spacing w:after="0" w:line="392"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723" w:right="1440" w:bottom="1440" w:gutter="0" w:footer="0" w:header="0"/>
        </w:sectPr>
      </w:pPr>
    </w:p>
    <w:bookmarkStart w:id="5" w:name="page6"/>
    <w:bookmarkEnd w:id="5"/>
    <w:p>
      <w:pPr>
        <w:ind w:left="120" w:right="19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w:t>
      </w:r>
    </w:p>
    <w:p>
      <w:pPr>
        <w:spacing w:after="0" w:line="208" w:lineRule="exact"/>
        <w:rPr>
          <w:sz w:val="20"/>
          <w:szCs w:val="20"/>
          <w:color w:val="auto"/>
        </w:rPr>
      </w:pPr>
    </w:p>
    <w:p>
      <w:pPr>
        <w:ind w:left="120" w:right="17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4" w:lineRule="exact"/>
        <w:rPr>
          <w:sz w:val="20"/>
          <w:szCs w:val="20"/>
          <w:color w:val="auto"/>
        </w:rPr>
      </w:pPr>
    </w:p>
    <w:p>
      <w:pPr>
        <w:ind w:left="120" w:right="24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88"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FLUCTUATIONS IN THE PRICE OF RECYCLABLE MATERIALS AFFECT OUR OPERATING REVENUES</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Recyclable materials that we process for sale include paper, plastics, aluminum and other commodities which are subject to significant price fluctuations. These fluctuations will affect our future operating revenues and income.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FACE POTENTIAL DIFFICULTIES MANAGING OUR RECENT GROWTH</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recent years, we have made a number of acquisitions, some of them substantial. Our future financial results and prospects depend in part on our ability to successfully manage and improve the operating efficiencies and productivity of these acquired operations. In particular, whether the anticipated benefits of our acquired operations are ultimately achieved will depend on a number of factors, including our ability to achieve administrative cost savings, rationalization of collection routes, insurance and bonding cost reductions, general economies of scale, and our ability, generally, to capitalize on our asset base and strategic position. Moreover, our ability to operate successfully will depend on a number of factors, including competition from other waste management companies, availability of working capital, ability to maintain margins on existing or acquired operations, and the management of costs in a changing regulatory environment.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past acquisitions involve certain other potential risks, including:</w:t>
      </w:r>
    </w:p>
    <w:p>
      <w:pPr>
        <w:spacing w:after="0" w:line="207" w:lineRule="exact"/>
        <w:rPr>
          <w:sz w:val="20"/>
          <w:szCs w:val="20"/>
          <w:color w:val="auto"/>
        </w:rPr>
      </w:pPr>
    </w:p>
    <w:p>
      <w:pPr>
        <w:ind w:left="740" w:right="19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difficulties in successfully integrating the operations of acquired companies with our existing operations;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currently expect to generate sufficient cash flow from operations to cover our anticipated cash needs for capital expenditures, acquisitions and other cash expenditures. If our cash flow from operations is less than currently expected, or our capital requirements increase, either due to strategic decisions or otherwise, we may elect to incur further indebtedness or issue equity securities to cover any additional capital needs. However, we cannot guarantee that we will be successful in obtaining additional capital on acceptable terms.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credit facilities require us to comply with certain financial ratios. If our cash flows are less than expected or our capital requirements are more than expected, we may not be in compliance with the ratios. This would result in a default under our credit agreements. If there were a default, we may not be able to get waivers or amendments to our credit facilities, and the lenders could choose to declare all outstanding borrowings due and payable. If that happened, there can be no assurances that we could fully repay the amounts due. Since we are partially dependent on our credit facilities to fund borrowing needs, any default would have a material adverse effect on our consolidated financial condition and results of operation.</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17" w:right="1440" w:bottom="1440" w:gutter="0" w:footer="0" w:header="0"/>
        </w:sectPr>
      </w:pPr>
    </w:p>
    <w:bookmarkStart w:id="7" w:name="page8"/>
    <w:bookmarkEnd w:id="7"/>
    <w:p>
      <w:pPr>
        <w:ind w:left="120" w:right="24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past, labor unions have made attempts to organize our employees, and these efforts may continue in the future. Certain groups of our employees have chosen to be represented by unions, and we have negotiated collective bargaining agreements with some of the groups. We cannot predict which, if any, groups of employees may seek union representation in the future or the outcome of collective bargaining. The negotiation of these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 our operating expenses could increase significantly.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Because fuel is needed to run our fleet of trucks, price escalations or reductions in the supply of fuel could increase our operating expenses and have a negative impact on our consolidated financial condition and results of operations. In the past, we have implemented a fuel surcharge to offset fuel increase costs. However, we are not always able to pass through the increased fuel costs due to the terms of certain customers' contracts.</w:t>
      </w:r>
    </w:p>
    <w:p>
      <w:pPr>
        <w:spacing w:after="0" w:line="18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We face risks related to general economic and market conditions, including the potential impact of the current domestic economic slowdown, as well as any resulting recession, interest rate fluctuation or other adverse external economic conditions. Negative general economic conditions could materially adversely affect our financial condition, results of operation and cash flows.</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currently in the process of deploying enterprise-wide software systems that will replace our current financial, human resources and payroll systems. These systems may initially contain errors or cause other problems that could adversely affect, or even temporarily disrupt, all or a portion of our operations until resolved.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expect the net proceeds from the offering of the notes to be approximately $395.7 million, after deducting discounts to the underwriters and estimated expenses of the offering. We intend to use the net proceeds, together with cash on hand, to retire all $535 million principal amount of our outstanding 4% convertible subordinated notes due February 1, 2002. Pending application of the proceeds as described, we will temporarily invest the proceeds in short-term investments.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23" w:right="1440" w:bottom="1440"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notes are a new series of debt securities described in the accompanying prospectus that will be issued under an Indenture dated as of September 10, 1997 (the "Indenture"), between us and JPMorgan Chase Bank (the successor to The Chase Manhattan Bank), as trustee (the "Trustee"). We will issue the notes pursuant to a resolution of our Board of Directors and accompanying officers' certificate setting forth the specific terms applicable to the notes.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forms of which are available from us, for a complete description of our obligations and your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The Notes.</w:t>
      </w:r>
      <w:r>
        <w:rPr>
          <w:sz w:val="20"/>
          <w:szCs w:val="20"/>
          <w:color w:val="auto"/>
        </w:rPr>
        <w:tab/>
      </w:r>
      <w:r>
        <w:rPr>
          <w:rFonts w:ascii="Courier New" w:cs="Courier New" w:eastAsia="Courier New" w:hAnsi="Courier New"/>
          <w:sz w:val="16"/>
          <w:szCs w:val="16"/>
          <w:color w:val="auto"/>
        </w:rPr>
        <w:t>The notes:</w:t>
      </w:r>
    </w:p>
    <w:p>
      <w:pPr>
        <w:spacing w:after="0" w:line="201" w:lineRule="exact"/>
        <w:rPr>
          <w:sz w:val="20"/>
          <w:szCs w:val="20"/>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our general unsecured, senior obligations;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 a new series of debt securities issued under the Indenture and will be initially limited to an aggregate principal amount of $400 million;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mature on November 15, 2008;</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entitled to the benefit of any sinking fund;</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issued in denominations of $1,000 and integral multiples of $1,000; and</w:t>
      </w:r>
    </w:p>
    <w:p>
      <w:pPr>
        <w:spacing w:after="0" w:line="208"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only in book-entry form represented by one or more global notes registered initially in the name of Cede &amp; Co., as nominee of The Depository Trust Company ("DTC"), or such other name as may be requested by an authorized representative of DTC, and deposited with DTC.</w:t>
      </w:r>
    </w:p>
    <w:p>
      <w:pPr>
        <w:spacing w:after="0" w:line="177"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Interest on the notes will:</w:t>
      </w:r>
    </w:p>
    <w:p>
      <w:pPr>
        <w:spacing w:after="0" w:line="201"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 at the rate of 6 1/2% per annum;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 from November 20, 2001 or the most recent interest payment date;</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payable in cash semi-annually in arrears on May 15 and November 15 of each year, commencing on May 15, 2002;</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payable to holders of record on the May 1 and November 1 immediately preceding the related interest payment dates;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computed on the basis of a 360-day year consisting of twelve 30-day months.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Payment and Transfer.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Beneficial interests in notes in global form will be shown on, and transfers of interests in notes in global form will be made only through, records maintained by DTC and its participants. Notes in definitive form, if any, may be registered, exchanged or transferred at the office or agency maintained by us for such purpose (which initially will be the corporate trust office of the Trustee located at 55 Water Street, Room 234, New York, New York 10041).</w:t>
      </w:r>
    </w:p>
    <w:p>
      <w:pPr>
        <w:spacing w:after="0" w:line="21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w:t>
      </w:r>
    </w:p>
    <w:p>
      <w:pPr>
        <w:ind w:left="4120"/>
        <w:spacing w:after="0" w:line="234" w:lineRule="auto"/>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17" w:right="1440" w:bottom="1440" w:gutter="0" w:footer="0" w:header="0"/>
        </w:sectPr>
      </w:pPr>
    </w:p>
    <w:bookmarkStart w:id="9" w:name="page10"/>
    <w:bookmarkEnd w:id="9"/>
    <w:p>
      <w:pPr>
        <w:ind w:right="1779"/>
        <w:spacing w:after="0" w:line="236" w:lineRule="auto"/>
        <w:rPr>
          <w:sz w:val="20"/>
          <w:szCs w:val="20"/>
          <w:color w:val="auto"/>
        </w:rPr>
      </w:pPr>
      <w:r>
        <w:rPr>
          <w:rFonts w:ascii="Courier New" w:cs="Courier New" w:eastAsia="Courier New" w:hAnsi="Courier New"/>
          <w:sz w:val="18"/>
          <w:szCs w:val="18"/>
          <w:color w:val="auto"/>
        </w:rPr>
        <w:t>form may, at our option, be made at the corporate trust office of the Trustee or by check mailed directly to registered holders at their registered addresses or by wire transfer to an account designated by a registered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service charge will be made for any registration of transfer or exchange of notes, but we may require payment of a sum sufficient to cover any transfer tax or other similar governmental charge payable in connection therewith. We are not required to transfer or exchange any note selected for redemption for a period of 15 days before selection of notes to be redeemed.</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registered holder of a note will be treated as the owner of it for all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notes will be redeemable, at our option, at any time in whole, or from time to time in part, at a price equal to the greater of:</w:t>
      </w:r>
    </w:p>
    <w:p>
      <w:pPr>
        <w:spacing w:after="0" w:line="203" w:lineRule="exact"/>
        <w:rPr>
          <w:sz w:val="20"/>
          <w:szCs w:val="20"/>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principal amount of the notes to be redeemed; or</w:t>
      </w:r>
    </w:p>
    <w:p>
      <w:pPr>
        <w:spacing w:after="0" w:line="206" w:lineRule="exact"/>
        <w:rPr>
          <w:rFonts w:ascii="Courier New" w:cs="Courier New" w:eastAsia="Courier New" w:hAnsi="Courier New"/>
          <w:sz w:val="18"/>
          <w:szCs w:val="18"/>
          <w:color w:val="auto"/>
        </w:rPr>
      </w:pPr>
    </w:p>
    <w:p>
      <w:pPr>
        <w:ind w:left="740" w:right="1879" w:hanging="205"/>
        <w:spacing w:after="0" w:line="272"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of principal and interest (at the rate in effect on the date of calculation of the redemption price) on the notes (exclusive of interest accrued to the date of redemption) discounted to the date of redemption on a semi-annual basis (assuming a 360-day year consisting of twelve 30-day months) at the applicable Treasury Yield plus 25 basis points;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plus, in either case, accrued interest to the date of redemption.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and the place(s) that payment will be made upon presentation and surrender of notes to be redeemed. Unless we default in payment of the redemption price, interest will cease to accrue on any notes that have been called for redemption at the redemption date. If less than all the notes are redeemed at any time, the Trustee will select the notes to be redeemed on a pro rata basis or by any other method the Trustee deems fair and appropriate.</w:t>
      </w:r>
    </w:p>
    <w:p>
      <w:pPr>
        <w:spacing w:after="0" w:line="18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For purposes of determining the optional redemption price, the following definitions are applicable:</w:t>
      </w:r>
    </w:p>
    <w:p>
      <w:pPr>
        <w:spacing w:after="0" w:line="20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"Treasury Yield"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211"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an Independent Investment Banker as having a maturity comparable to the remaining term of the notes that would be utilized, at the time of selection and in accordance with customary financial practice, in pricing new issues of corporate debt securities of comparable maturity to the remaining terms of the notes.</w:t>
      </w:r>
    </w:p>
    <w:p>
      <w:pPr>
        <w:spacing w:after="0" w:line="210"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"Independent Investment Banker" means any of Banc of America Securities LLC, J.P. Morgan Securities Inc. or Salomon Smith Barney Inc. (and their respective successors), or, if all of such firms are unwilling or unable to select the applicable Comparable Treasury Issue,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723" w:right="1440" w:bottom="1440" w:gutter="0" w:footer="0" w:header="0"/>
        </w:sectPr>
      </w:pPr>
    </w:p>
    <w:bookmarkStart w:id="10" w:name="page11"/>
    <w:bookmarkEnd w:id="10"/>
    <w:p>
      <w:pPr>
        <w:ind w:left="540" w:right="2739"/>
        <w:spacing w:after="0" w:line="290" w:lineRule="auto"/>
        <w:rPr>
          <w:sz w:val="20"/>
          <w:szCs w:val="20"/>
          <w:color w:val="auto"/>
        </w:rPr>
      </w:pPr>
      <w:r>
        <w:rPr>
          <w:rFonts w:ascii="Courier New" w:cs="Courier New" w:eastAsia="Courier New" w:hAnsi="Courier New"/>
          <w:sz w:val="16"/>
          <w:szCs w:val="16"/>
          <w:color w:val="auto"/>
        </w:rPr>
        <w:t>an independent investment banking institution of national standing appointed by the Trustee and reasonably acceptable to us.</w:t>
      </w:r>
    </w:p>
    <w:p>
      <w:pPr>
        <w:spacing w:after="0" w:line="170" w:lineRule="exact"/>
        <w:rPr>
          <w:sz w:val="20"/>
          <w:szCs w:val="20"/>
          <w:color w:val="auto"/>
        </w:rPr>
      </w:pPr>
    </w:p>
    <w:p>
      <w:pPr>
        <w:ind w:left="540" w:right="1779" w:firstLine="527"/>
        <w:spacing w:after="0" w:line="268" w:lineRule="auto"/>
        <w:rPr>
          <w:sz w:val="20"/>
          <w:szCs w:val="20"/>
          <w:color w:val="auto"/>
        </w:rPr>
      </w:pPr>
      <w:r>
        <w:rPr>
          <w:rFonts w:ascii="Courier New" w:cs="Courier New" w:eastAsia="Courier New" w:hAnsi="Courier New"/>
          <w:sz w:val="16"/>
          <w:szCs w:val="16"/>
          <w:color w:val="auto"/>
        </w:rPr>
        <w:t>"Comparable Treasury Price" means, with respect to any redemption date, (a) the bid price for the Comparable Treasury Issue (expressed as a percentage of its principal amount) at 4:00 p.m.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w:t>
      </w:r>
    </w:p>
    <w:p>
      <w:pPr>
        <w:spacing w:after="0" w:line="2" w:lineRule="exact"/>
        <w:rPr>
          <w:sz w:val="20"/>
          <w:szCs w:val="20"/>
          <w:color w:val="auto"/>
        </w:rPr>
      </w:pPr>
    </w:p>
    <w:p>
      <w:pPr>
        <w:ind w:left="540" w:right="1879" w:hanging="5"/>
        <w:spacing w:after="0" w:line="236" w:lineRule="auto"/>
        <w:tabs>
          <w:tab w:leader="none" w:pos="106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obtains fewer than four such Reference Treasury Dealer Quotations, the average of all Reference Treasury Dealer Quotations obtained by the Trustee.</w:t>
      </w:r>
    </w:p>
    <w:p>
      <w:pPr>
        <w:spacing w:after="0" w:line="209" w:lineRule="exact"/>
        <w:rPr>
          <w:sz w:val="20"/>
          <w:szCs w:val="20"/>
          <w:color w:val="auto"/>
        </w:rPr>
      </w:pPr>
    </w:p>
    <w:p>
      <w:pPr>
        <w:ind w:left="540" w:right="1779" w:firstLine="527"/>
        <w:spacing w:after="0" w:line="272" w:lineRule="auto"/>
        <w:rPr>
          <w:sz w:val="20"/>
          <w:szCs w:val="20"/>
          <w:color w:val="auto"/>
        </w:rPr>
      </w:pPr>
      <w:r>
        <w:rPr>
          <w:rFonts w:ascii="Courier New" w:cs="Courier New" w:eastAsia="Courier New" w:hAnsi="Courier New"/>
          <w:sz w:val="16"/>
          <w:szCs w:val="16"/>
          <w:color w:val="auto"/>
        </w:rPr>
        <w:t>"Reference Treasury Dealer" means (i) each of Banc of America Securities LLC, J.P. Morgan Securities Inc. and Salomon Smith Barney Inc. and their respective successors, unless any of them ceases to be a primary U.S. government securities dealers in New York City (a "Primary Treasury Dealer"), in which case we will substitute therefor another Primary Treasury Dealer, and (ii) any other Primary Treasury Dealer selected by us.</w:t>
      </w:r>
    </w:p>
    <w:p>
      <w:pPr>
        <w:spacing w:after="0" w:line="186"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redemption date for the notes, an average, as determined by the Trustee, of the bid and asked prices for the Comparable Treasury Issue for the notes (expressed in each case as a percentage of its principal amount) quoted in writing to the Trustee by the Reference Treasury Dealer at 5:00 p.m., New York City time, on the third business day preceding such redemption date.</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Except as set forth above, the notes will not be redeemable by us prior to maturity and will not be entitled to the benefit of any sinking fund.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notes will be subject to defeasance and discharge and to covenant defeasance as provided under "Description of Debt Securities -- Provisions Applicable to Both Senior and Subordinated Debt Securities -- Defeasance and Discharge" in the accompanying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notes will be our unsecured and unsubordinated obligations and will rank equally with all of our other existing and future unsecured and unsubordinated indebtedness.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currently conduct substantially all our operations through our subsidiaries, and our subsidiaries generate substantially all our operating income and cash flow. As a result, distributions or advances from our subsidiaries are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notes. The notes will be structurally subordinated to all obligations of our subsidiaries, including claims of trade payables. This means that holders of the notes will have a junior position to the claims of creditors of our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of September 30, 2001, our subsidiaries had approximately $4.1 billion of indebtedness, excluding intercompany loans. As of September 30, 2001, as adjusted to give effect to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9"/>
          </w:cols>
          <w:pgMar w:left="240" w:top="723" w:right="1440" w:bottom="1440" w:gutter="0" w:footer="0" w:header="0"/>
        </w:sectPr>
      </w:pPr>
    </w:p>
    <w:bookmarkStart w:id="11" w:name="page12"/>
    <w:bookmarkEnd w:id="11"/>
    <w:p>
      <w:pPr>
        <w:ind w:right="1999"/>
        <w:spacing w:after="0" w:line="236" w:lineRule="auto"/>
        <w:rPr>
          <w:sz w:val="20"/>
          <w:szCs w:val="20"/>
          <w:color w:val="auto"/>
        </w:rPr>
      </w:pPr>
      <w:r>
        <w:rPr>
          <w:rFonts w:ascii="Courier New" w:cs="Courier New" w:eastAsia="Courier New" w:hAnsi="Courier New"/>
          <w:sz w:val="18"/>
          <w:szCs w:val="18"/>
          <w:color w:val="auto"/>
        </w:rPr>
        <w:t>issuance of the notes and pending the application of the net proceeds from the issuance, we would have had an aggregate of $8.3 billion of consolidated indebtedness.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Certain covenants in the Indenture limit our ability and the ability of our subsidiaries to:</w:t>
      </w:r>
    </w:p>
    <w:p>
      <w:pPr>
        <w:spacing w:after="0" w:line="203"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or permit to exist liens;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sale and leaseback transactions.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For a description of these covenants, see "Description of Debt Securities -- Provisions Applicable Solely to Senior Debt Securities" in the accompanying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ISSUANCES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issue the notes in the form of one or more global notes in fully registered form initially in the name of Cede &amp; Co., as nominee of DTC, or such other name as may be requested by an authorized representative of DTC. The global notes will be deposited with DTC and may not be transferred except as a whole by DTC to a nominee of DTC or by a nominee of DTC to DTC or another nominee of DTC or by DTC or any nominee to a successor of DTC or a nominee of such successor.</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DTC has advised us and the underwriters as follows:</w:t>
      </w:r>
    </w:p>
    <w:p>
      <w:pPr>
        <w:spacing w:after="0" w:line="207" w:lineRule="exact"/>
        <w:rPr>
          <w:sz w:val="20"/>
          <w:szCs w:val="20"/>
          <w:color w:val="auto"/>
        </w:rPr>
      </w:pPr>
    </w:p>
    <w:p>
      <w:pPr>
        <w:ind w:left="740" w:right="187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209"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holds securities that its participants deposit with DTC and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w:t>
      </w:r>
    </w:p>
    <w:p>
      <w:pPr>
        <w:spacing w:after="0" w:line="209"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participants include securities brokers and dealers, banks, trust companies, clearing corporations, and certain other organizations.</w:t>
      </w:r>
    </w:p>
    <w:p>
      <w:pPr>
        <w:spacing w:after="0" w:line="169"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is owned by a number of its direct participants and by the New York Stock Exchange, Inc., the American Stock Exchange LLC and the National Association of Securities Dealers, Inc.</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rules applicable to DTC and its direct and indirect participants are on file with the Securities and Exchange Commission.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723" w:right="1440" w:bottom="1440" w:gutter="0" w:footer="0" w:header="0"/>
        </w:sectPr>
      </w:pPr>
    </w:p>
    <w:bookmarkStart w:id="12" w:name="page13"/>
    <w:bookmarkEnd w:id="12"/>
    <w:p>
      <w:pPr>
        <w:ind w:right="1779" w:firstLine="527"/>
        <w:spacing w:after="0" w:line="270" w:lineRule="auto"/>
        <w:rPr>
          <w:sz w:val="20"/>
          <w:szCs w:val="20"/>
          <w:color w:val="auto"/>
        </w:rPr>
      </w:pPr>
      <w:r>
        <w:rPr>
          <w:rFonts w:ascii="Courier New" w:cs="Courier New" w:eastAsia="Courier New" w:hAnsi="Courier New"/>
          <w:sz w:val="16"/>
          <w:szCs w:val="16"/>
          <w:color w:val="auto"/>
        </w:rPr>
        <w:t>Purchases of notes under the DTC system must be made by or through direct participants, which will receive a credit for the notes on DTC's records. The ownership interest of each actual purchaser of notes is in turn to be recorded on the direct and indirect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participants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To facilitate subsequent transfers, all notes deposited by direct participants with DTC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participants to whose accounts such notes are credited, which may or may not be the beneficial owners. The direct and indirect participants will remain responsible for keeping account of their holdings on behalf of their customers.</w:t>
      </w:r>
    </w:p>
    <w:p>
      <w:pPr>
        <w:spacing w:after="0" w:line="3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Neither DTC nor Cede &amp; Co. (nor such other DTC nominee) will consent or vote with respect to the global notes. Under its usual procedures, DTC mails an omnibus proxy to the issuer as soon as possible after the record date. The omnibus proxy assigns Cede &amp; Co.'s consenting or voting rights to those direct participants to whose accounts the notes are credited on the record date (identified in the listing attached to the omnibus proxy).</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payments on the global notes will be made to Cede &amp; Co., or such other nominee as may be requested by an authorized representative of DTC. DTC's practice is to credit direct participants' accounts upon DTC's receipt of funds and corresponding detail information from us or the Trustee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us or the Trustee, subject to any statutory or regulatory requirements as may be in effect from time to time. Payment of principal and interest to Cede &amp; Co. (or such other nominee as may be requested by an authorized representative of DTC) shall be the responsibility of us or the Trustee. Disbursement of such payments to direct participants shall be the responsibility of DTC, and disbursement of such payments to the beneficial owners shall be the responsibility of direct and indirect participants.</w:t>
      </w:r>
    </w:p>
    <w:p>
      <w:pPr>
        <w:spacing w:after="0" w:line="38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such circumstances, in the event that a successor securities depositary is not obtained, note certificates in fully registered form are required to be printed and delivered to beneficial owners of the global notes representing such notes.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219"/>
          </w:cols>
          <w:pgMar w:left="240" w:top="723" w:right="1440" w:bottom="1440" w:gutter="0" w:footer="0" w:header="0"/>
        </w:sectPr>
      </w:pPr>
    </w:p>
    <w:bookmarkStart w:id="13" w:name="page14"/>
    <w:bookmarkEnd w:id="13"/>
    <w:p>
      <w:pPr>
        <w:ind w:right="1879" w:firstLine="527"/>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DTC's book-entry system has been obtained from sources that we believe to be reliable (including DTC), but we take no responsibility for its accuracy.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the Trustee nor the underwriters will have any responsibility or obligation to direct participants, or the persons for whom they act as nominees, with respect to the accuracy of the records of DTC, its nominee or any direct participant with respect to any ownership interest in the notes, or payments to, or the providing of notice to direct participants or beneficial owners.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So long as the notes are in DTC's book-entry system, secondary market trading activity in the notes will settle in immediately available funds. All applicable payments on the notes issued as global notes will be made by us in immediately available funds.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219"/>
          </w:cols>
          <w:pgMar w:left="240" w:top="723"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Banc of America Securities LLC ("Banc of America Securities"), J.P. Morgan Securities Inc. ("JPMorgan") and Salomon Smith Barney Inc. are acting as joint book-running and joint lead managers of the offering and as representatives of the underwriters named below.</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Subject to the terms and conditions stated in the underwriting agreement dated the date of this prospectus supplement, each underwriter named below has agreed to purchase, and we have agreed to sell to that underwriter, the principal amount of notes set forth opposite the underwriter's name.</w:t>
      </w:r>
    </w:p>
    <w:p>
      <w:pPr>
        <w:spacing w:after="0" w:line="17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PRINCIPAL AMOUNT UNDERWRITER OF NOTES - ----------</w:t>
      </w:r>
    </w:p>
    <w:p>
      <w:pPr>
        <w:ind w:left="320"/>
        <w:spacing w:after="0" w:line="238" w:lineRule="auto"/>
        <w:rPr>
          <w:sz w:val="20"/>
          <w:szCs w:val="20"/>
          <w:color w:val="auto"/>
        </w:rPr>
      </w:pPr>
      <w:r>
        <w:rPr>
          <w:rFonts w:ascii="Courier New" w:cs="Courier New" w:eastAsia="Courier New" w:hAnsi="Courier New"/>
          <w:sz w:val="18"/>
          <w:szCs w:val="18"/>
          <w:color w:val="auto"/>
        </w:rPr>
        <w:t>- ---------------- Banc of America Securities</w:t>
      </w:r>
    </w:p>
    <w:p>
      <w:pPr>
        <w:jc w:val="center"/>
        <w:ind w:right="4859"/>
        <w:spacing w:after="0"/>
        <w:rPr>
          <w:sz w:val="20"/>
          <w:szCs w:val="20"/>
          <w:color w:val="auto"/>
        </w:rPr>
      </w:pPr>
      <w:r>
        <w:rPr>
          <w:rFonts w:ascii="Courier New" w:cs="Courier New" w:eastAsia="Courier New" w:hAnsi="Courier New"/>
          <w:sz w:val="18"/>
          <w:szCs w:val="18"/>
          <w:color w:val="auto"/>
        </w:rPr>
        <w:t>LLC.............................. $106,668,000</w:t>
      </w:r>
    </w:p>
    <w:p>
      <w:pPr>
        <w:jc w:val="center"/>
        <w:ind w:right="4859"/>
        <w:spacing w:after="0" w:line="237" w:lineRule="auto"/>
        <w:rPr>
          <w:sz w:val="20"/>
          <w:szCs w:val="20"/>
          <w:color w:val="auto"/>
        </w:rPr>
      </w:pPr>
      <w:r>
        <w:rPr>
          <w:rFonts w:ascii="Courier New" w:cs="Courier New" w:eastAsia="Courier New" w:hAnsi="Courier New"/>
          <w:sz w:val="18"/>
          <w:szCs w:val="18"/>
          <w:color w:val="auto"/>
        </w:rPr>
        <w:t>J.P. Morgan Securities Inc.</w:t>
      </w:r>
    </w:p>
    <w:p>
      <w:pPr>
        <w:jc w:val="center"/>
        <w:ind w:right="4859"/>
        <w:spacing w:after="0" w:line="238" w:lineRule="auto"/>
        <w:rPr>
          <w:sz w:val="20"/>
          <w:szCs w:val="20"/>
          <w:color w:val="auto"/>
        </w:rPr>
      </w:pPr>
      <w:r>
        <w:rPr>
          <w:rFonts w:ascii="Courier New" w:cs="Courier New" w:eastAsia="Courier New" w:hAnsi="Courier New"/>
          <w:sz w:val="18"/>
          <w:szCs w:val="18"/>
          <w:color w:val="auto"/>
        </w:rPr>
        <w:t>................................ 106,666,000</w:t>
      </w:r>
    </w:p>
    <w:p>
      <w:pPr>
        <w:jc w:val="center"/>
        <w:ind w:right="4859"/>
        <w:spacing w:after="0"/>
        <w:rPr>
          <w:sz w:val="20"/>
          <w:szCs w:val="20"/>
          <w:color w:val="auto"/>
        </w:rPr>
      </w:pPr>
      <w:r>
        <w:rPr>
          <w:rFonts w:ascii="Courier New" w:cs="Courier New" w:eastAsia="Courier New" w:hAnsi="Courier New"/>
          <w:sz w:val="18"/>
          <w:szCs w:val="18"/>
          <w:color w:val="auto"/>
        </w:rPr>
        <w:t>Salomon Smith Barney Inc.</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106,666,000 ABN</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AMRO</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10,000,000 Credit Suisse First Boston</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Corporation...................... 10,000,000 Fleet</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Securities, Inc.</w:t>
      </w:r>
    </w:p>
    <w:p>
      <w:pPr>
        <w:jc w:val="center"/>
        <w:ind w:right="4859"/>
        <w:spacing w:after="0" w:line="238" w:lineRule="auto"/>
        <w:rPr>
          <w:sz w:val="20"/>
          <w:szCs w:val="20"/>
          <w:color w:val="auto"/>
        </w:rPr>
      </w:pPr>
      <w:r>
        <w:rPr>
          <w:rFonts w:ascii="Courier New" w:cs="Courier New" w:eastAsia="Courier New" w:hAnsi="Courier New"/>
          <w:sz w:val="18"/>
          <w:szCs w:val="18"/>
          <w:color w:val="auto"/>
        </w:rPr>
        <w:t>..................................... 10,000,000</w:t>
      </w:r>
    </w:p>
    <w:p>
      <w:pPr>
        <w:jc w:val="center"/>
        <w:ind w:right="4859"/>
        <w:spacing w:after="0"/>
        <w:rPr>
          <w:sz w:val="20"/>
          <w:szCs w:val="20"/>
          <w:color w:val="auto"/>
        </w:rPr>
      </w:pPr>
      <w:r>
        <w:rPr>
          <w:rFonts w:ascii="Courier New" w:cs="Courier New" w:eastAsia="Courier New" w:hAnsi="Courier New"/>
          <w:sz w:val="18"/>
          <w:szCs w:val="18"/>
          <w:color w:val="auto"/>
        </w:rPr>
        <w:t>Goldman, Sachs &amp; Co.</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10,000,000</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Lehman Brothers Inc.</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10,000,000</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Merrill Lynch, Pierce, Fenner &amp; Smith</w:t>
      </w:r>
    </w:p>
    <w:p>
      <w:pPr>
        <w:jc w:val="center"/>
        <w:ind w:right="485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4859"/>
        <w:spacing w:after="0"/>
        <w:rPr>
          <w:sz w:val="20"/>
          <w:szCs w:val="20"/>
          <w:color w:val="auto"/>
        </w:rPr>
      </w:pPr>
      <w:r>
        <w:rPr>
          <w:rFonts w:ascii="Courier New" w:cs="Courier New" w:eastAsia="Courier New" w:hAnsi="Courier New"/>
          <w:sz w:val="18"/>
          <w:szCs w:val="18"/>
          <w:color w:val="auto"/>
        </w:rPr>
        <w:t>10,000,000 Morgan Stanley &amp; Co.</w:t>
      </w:r>
    </w:p>
    <w:p>
      <w:pPr>
        <w:spacing w:after="0" w:line="3"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Incorporated........................... 10,000,000</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PNC Capital Markets, Inc.</w:t>
      </w:r>
    </w:p>
    <w:p>
      <w:pPr>
        <w:ind w:left="60"/>
        <w:spacing w:after="0" w:line="238" w:lineRule="auto"/>
        <w:rPr>
          <w:sz w:val="20"/>
          <w:szCs w:val="20"/>
          <w:color w:val="auto"/>
        </w:rPr>
      </w:pPr>
      <w:r>
        <w:rPr>
          <w:rFonts w:ascii="Courier New" w:cs="Courier New" w:eastAsia="Courier New" w:hAnsi="Courier New"/>
          <w:sz w:val="18"/>
          <w:szCs w:val="18"/>
          <w:color w:val="auto"/>
        </w:rPr>
        <w:t>.................................. 10,000,000 ----</w:t>
      </w:r>
    </w:p>
    <w:p>
      <w:pPr>
        <w:ind w:left="22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Total.............................................</w:t>
      </w:r>
    </w:p>
    <w:p>
      <w:pPr>
        <w:ind w:left="1380"/>
        <w:spacing w:after="0" w:line="238" w:lineRule="auto"/>
        <w:rPr>
          <w:sz w:val="20"/>
          <w:szCs w:val="20"/>
          <w:color w:val="auto"/>
        </w:rPr>
      </w:pPr>
      <w:r>
        <w:rPr>
          <w:rFonts w:ascii="Courier New" w:cs="Courier New" w:eastAsia="Courier New" w:hAnsi="Courier New"/>
          <w:sz w:val="18"/>
          <w:szCs w:val="18"/>
          <w:color w:val="auto"/>
        </w:rPr>
        <w:t>$400,000,000 ============</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8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underwriters propose to offer some of the notes directly to the public at the public offering price set forth on the cover page of this prospectus supplement and some of the notes to dealers at the public offering price less a concession not to exceed 0.375% of the principal amount of the notes. The underwriters may allow, and dealers may reallow, a concession not to exceed</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0.250% of the principal amount of the notes on sales to other dealers. After the initial offering of the notes to the public, the representatives may change the public offering price and concessions.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shows the underwriting discounts and commissions that we are to pay to the underwriters in connection with this offering (expressed as a percentage of the principal amount of the notes).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PAID BY WASTE MANAGEMENT ----------------------</w:t>
      </w:r>
    </w:p>
    <w:p>
      <w:pPr>
        <w:jc w:val="center"/>
        <w:ind w:right="5159"/>
        <w:spacing w:after="0" w:line="238" w:lineRule="auto"/>
        <w:rPr>
          <w:sz w:val="20"/>
          <w:szCs w:val="20"/>
          <w:color w:val="auto"/>
        </w:rPr>
      </w:pPr>
      <w:r>
        <w:rPr>
          <w:rFonts w:ascii="Courier New" w:cs="Courier New" w:eastAsia="Courier New" w:hAnsi="Courier New"/>
          <w:sz w:val="18"/>
          <w:szCs w:val="18"/>
          <w:color w:val="auto"/>
        </w:rPr>
        <w:t>-- Per</w:t>
      </w:r>
    </w:p>
    <w:p>
      <w:pPr>
        <w:spacing w:after="0"/>
        <w:rPr>
          <w:sz w:val="20"/>
          <w:szCs w:val="20"/>
          <w:color w:val="auto"/>
        </w:rPr>
      </w:pPr>
      <w:r>
        <w:rPr>
          <w:rFonts w:ascii="Courier New" w:cs="Courier New" w:eastAsia="Courier New" w:hAnsi="Courier New"/>
          <w:sz w:val="18"/>
          <w:szCs w:val="18"/>
          <w:color w:val="auto"/>
        </w:rPr>
        <w:t>note............................................</w:t>
      </w:r>
    </w:p>
    <w:p>
      <w:pPr>
        <w:ind w:left="2220"/>
        <w:spacing w:after="0" w:line="237" w:lineRule="auto"/>
        <w:rPr>
          <w:sz w:val="20"/>
          <w:szCs w:val="20"/>
          <w:color w:val="auto"/>
        </w:rPr>
      </w:pPr>
      <w:r>
        <w:rPr>
          <w:rFonts w:ascii="Courier New" w:cs="Courier New" w:eastAsia="Courier New" w:hAnsi="Courier New"/>
          <w:sz w:val="18"/>
          <w:szCs w:val="18"/>
          <w:color w:val="auto"/>
        </w:rPr>
        <w:t>0.625%</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717" w:right="1440" w:bottom="362" w:gutter="0" w:footer="0" w:header="0"/>
        </w:sectPr>
      </w:pPr>
    </w:p>
    <w:bookmarkStart w:id="15" w:name="page16"/>
    <w:bookmarkEnd w:id="15"/>
    <w:p>
      <w:pPr>
        <w:jc w:val="both"/>
        <w:ind w:right="2099"/>
        <w:spacing w:after="0" w:line="235" w:lineRule="auto"/>
        <w:rPr>
          <w:sz w:val="20"/>
          <w:szCs w:val="20"/>
          <w:color w:val="auto"/>
        </w:rPr>
      </w:pPr>
      <w:r>
        <w:rPr>
          <w:rFonts w:ascii="Courier New" w:cs="Courier New" w:eastAsia="Courier New" w:hAnsi="Courier New"/>
          <w:sz w:val="18"/>
          <w:szCs w:val="18"/>
          <w:color w:val="auto"/>
        </w:rPr>
        <w:t>notes made for the purpose of preventing or retarding a decline in the market price of the notes while the offering is in progress.</w:t>
      </w:r>
    </w:p>
    <w:p>
      <w:pPr>
        <w:spacing w:after="0" w:line="208"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8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estimate that our total expenses for this offering will be $200,000.</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Certain of the underwriters or their affiliates have performed investment banking and advisory services for us from time to time for which they have received customary fees and expenses. The Trustee with respect to the notes is an affiliate of JPMorgan. The underwriters may, from time to time, engage in transactions with and perform services for us in the ordinary course of their business.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Banc of America Securities and JPMorgan will make the securities available for distribution on the Internet through a proprietary web site and/or third-party system operated by Market Axess Inc., an Internet-based communications technology provider. Market Axess Inc. is providing the system as a conduit for communications between Banc of America Securities and JPMorgan and their respective customers, and is not a party to any transactions. Market Axess Inc., a registered broker-dealer, will receive compensation from Banc of America Securities and JPMorgan based on transactions they conduct through the system. Banc of America Securities and JPMorgan will make the securities available to their respective customers through the Internet distributions, whether made through a proprietary or third-party system, on the same terms as distributions made through other channels.</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723" w:right="1440" w:bottom="1440" w:gutter="0" w:footer="0" w:header="0"/>
        </w:sectPr>
      </w:pPr>
    </w:p>
    <w:bookmarkStart w:id="16" w:name="page17"/>
    <w:bookmarkEnd w:id="16"/>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audited consolidated financial statements of Waste Management, Inc. as of December 31, 2000, 1999 and 1998 and for each of the years in the three-year period ended December 31, 2000 incorporated by reference in this prospectus supplement and the accompanying prospectus have been audited by Arthur Andersen LLP, independent public accountants, as set forth in their reports. The audited consolidated financial statements of Waste Management, Inc. as of December 31, 2000, 1999 and 1998 and for each of the years in the three-year period ended December 31, 2000 are included herein in reliance upon the authority of Arthur Andersen LLP as experts in giving said reports.</w:t>
      </w:r>
    </w:p>
    <w:p>
      <w:pPr>
        <w:spacing w:after="0" w:line="20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and the accompanying prospectus, including the information incorporated by reference, contain forward-looking statements within the meaning of Section 27A of the Securities Act of 1933, as amended, and Section 21E of the Securities Exchange Act of 1934, as amended, that reflect our current views on future events and financial performance. These forward-looking statements are subject to certain risks and uncertainties, including those identified in "Risk Factors" in this prospectus supplement and the accompanying prospectus and other factors set forth in the documents incorporated by reference, as well as the following:</w:t>
      </w:r>
    </w:p>
    <w:p>
      <w:pPr>
        <w:spacing w:after="0" w:line="208"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investigations;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issues, compliance and other audits and regulatory developments;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impact of regulation on our business, including the cost to comply with regulatory requirements and the potential liabilities associated with disposal operations, as well as our ability to obtain and maintain permits needed to operate our facilities;</w:t>
      </w:r>
    </w:p>
    <w:p>
      <w:pPr>
        <w:spacing w:after="0" w:line="207"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improve the productivity of acquired operations and use our asset base and strategic position to operate more efficiently;</w:t>
      </w:r>
    </w:p>
    <w:p>
      <w:pPr>
        <w:spacing w:after="0" w:line="169" w:lineRule="exact"/>
        <w:rPr>
          <w:rFonts w:ascii="Courier New" w:cs="Courier New" w:eastAsia="Courier New" w:hAnsi="Courier New"/>
          <w:sz w:val="16"/>
          <w:szCs w:val="16"/>
          <w:color w:val="auto"/>
        </w:rPr>
      </w:pPr>
    </w:p>
    <w:p>
      <w:pPr>
        <w:jc w:val="both"/>
        <w:ind w:left="740" w:right="199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accurately assess all of the pre-existing liabilities of companies we have acquired and to successfully integrate the operations of acquired companies with our existing operations;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shutdown operations and uncompleted acquisitions or development or expansion projects;</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to asset impairments or further impairments to long-lived assets resulting from changes in circumstances or future business events or decisions;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towards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the weather has on our quarter-to-quarter results, as well as the effect of extremely harsh weather on our operations;</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price fluctuations of recyclable materials processed by us;</w:t>
      </w:r>
    </w:p>
    <w:p>
      <w:pPr>
        <w:spacing w:after="0" w:line="223" w:lineRule="exact"/>
        <w:rPr>
          <w:rFonts w:ascii="Courier New" w:cs="Courier New" w:eastAsia="Courier New" w:hAnsi="Courier New"/>
          <w:sz w:val="16"/>
          <w:szCs w:val="16"/>
          <w:color w:val="auto"/>
        </w:rPr>
      </w:pPr>
    </w:p>
    <w:p>
      <w:pPr>
        <w:ind w:left="740" w:right="2099" w:hanging="205"/>
        <w:spacing w:after="0" w:line="23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S-17</w:t>
      </w:r>
    </w:p>
    <w:p>
      <w:pPr>
        <w:sectPr>
          <w:pgSz w:w="11900" w:h="16838" w:orient="portrait"/>
          <w:cols w:equalWidth="0" w:num="1">
            <w:col w:w="10219"/>
          </w:cols>
          <w:pgMar w:left="240" w:top="717" w:right="1440" w:bottom="1440" w:gutter="0" w:footer="0" w:header="0"/>
        </w:sectPr>
      </w:pPr>
    </w:p>
    <w:bookmarkStart w:id="17" w:name="page18"/>
    <w:bookmarkEnd w:id="17"/>
    <w:p>
      <w:pPr>
        <w:ind w:left="740" w:right="1879" w:hanging="205"/>
        <w:spacing w:after="0" w:line="279"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defaults under our credit agreements if we are not able to satisfy certain financial ratios and covenants, and the possibility that we can not obtain additional capital on acceptable terms if needed;</w:t>
      </w:r>
    </w:p>
    <w:p>
      <w:pPr>
        <w:spacing w:after="0" w:line="178" w:lineRule="exact"/>
        <w:rPr>
          <w:rFonts w:ascii="Courier New" w:cs="Courier New" w:eastAsia="Courier New" w:hAnsi="Courier New"/>
          <w:sz w:val="16"/>
          <w:szCs w:val="16"/>
          <w:color w:val="auto"/>
        </w:rPr>
      </w:pPr>
    </w:p>
    <w:p>
      <w:pPr>
        <w:ind w:left="740" w:right="1879" w:hanging="205"/>
        <w:spacing w:after="0" w:line="290"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diversions of management's attention and increases in operating expenses due to efforts by labor unions to organize our employees;</w:t>
      </w:r>
    </w:p>
    <w:p>
      <w:pPr>
        <w:spacing w:after="0" w:line="169" w:lineRule="exact"/>
        <w:rPr>
          <w:rFonts w:ascii="Courier New" w:cs="Courier New" w:eastAsia="Courier New" w:hAnsi="Courier New"/>
          <w:sz w:val="16"/>
          <w:szCs w:val="16"/>
          <w:color w:val="auto"/>
        </w:rPr>
      </w:pPr>
    </w:p>
    <w:p>
      <w:pPr>
        <w:ind w:left="740" w:right="19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general economic conditions;</w:t>
      </w:r>
    </w:p>
    <w:p>
      <w:pPr>
        <w:spacing w:after="0" w:line="206"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insurers to fully or timely meet their contractual commitments and the effect that litigation against insurance companies and any settlements of such litigation may have on our ability to meet our past and future liabilities;</w:t>
      </w:r>
    </w:p>
    <w:p>
      <w:pPr>
        <w:spacing w:after="0" w:line="207"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successfully deploy our new enterprise-wide software systems;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the hearing that the court will hold regarding whether the class action settlement we announced on November 7, 2001 is reasonable, fair and adequate;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if the class action settlement is approved, there is an appeal of that approval and the outcome of any such appeal;</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any confirmatory discovery upon which the class action is contingent;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class members who will request to be excluded from the class and whether that number is large enough to trigger a provision in the class action settlement agreement that will allow termination of the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objectors to the class action settlement;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the hearing that the court will hold regarding whether the derivative lawsuit settlement we announced on November 7, 2001 is fair, reasonable and adequate;</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if the derivative lawsuit settlement is approved, there is an appeal of that approval and the outcome of any such appeal;</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the confirmatory discovery upon which the derivative lawsuit settlement agreement is contingent;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objectors to the derivative lawsuit settlement.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These risks and uncertainties could cause actual results or events to differ materially from historical results or those anticipated. You can identify forward-looking statements by the use of words such as "expect," "estimate," "intend," "project," "budget," "forecast," "anticipate," "plan" and similar expressions. Forward-looking statements include all statements regarding our expected financial position, results of operations, cash flows, dividends, financing plans, business strategies, operating efficiencies or synergies, budgets, capital and other expenditures, competitive positions, growth opportunities for existing products, plans and objectives of management, and markets for stock. We caution you not to place undue reliance on these forward-looking statements, which speak only as of their dates. We undertake no obligation to publicly update or revise any forward-looking statements, whether as a result of new information, future events or otherwise.</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$3,000,000,000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offer from time to time</w:t>
      </w:r>
    </w:p>
    <w:p>
      <w:pPr>
        <w:spacing w:after="0" w:line="201"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CONSIDER CAREFULLY THE RISK FACTORS BEGINNING ON PAGE 4.</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FEBRUARY 14, 2000</w:t>
      </w:r>
    </w:p>
    <w:p>
      <w:pPr>
        <w:sectPr>
          <w:pgSz w:w="11900" w:h="16838" w:orient="portrait"/>
          <w:cols w:equalWidth="0" w:num="1">
            <w:col w:w="10219"/>
          </w:cols>
          <w:pgMar w:left="240" w:top="717" w:right="1440" w:bottom="1440" w:gutter="0" w:footer="0" w:header="0"/>
        </w:sectPr>
      </w:pPr>
    </w:p>
    <w:bookmarkStart w:id="19" w:name="page20"/>
    <w:bookmarkEnd w:id="19"/>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8"/>
          <w:szCs w:val="18"/>
          <w:color w:val="auto"/>
        </w:rPr>
        <w:t>Where To Find More Information</w:t>
      </w:r>
      <w:r>
        <w:rPr>
          <w:sz w:val="20"/>
          <w:szCs w:val="20"/>
          <w:color w:val="auto"/>
        </w:rPr>
        <w:tab/>
      </w:r>
      <w:r>
        <w:rPr>
          <w:rFonts w:ascii="Courier New" w:cs="Courier New" w:eastAsia="Courier New" w:hAnsi="Courier New"/>
          <w:sz w:val="16"/>
          <w:szCs w:val="16"/>
          <w:color w:val="auto"/>
        </w:rPr>
        <w:t>2</w:t>
      </w:r>
    </w:p>
    <w:p>
      <w:pPr>
        <w:spacing w:after="0"/>
        <w:tabs>
          <w:tab w:leader="dot" w:pos="6840" w:val="left"/>
        </w:tabs>
        <w:rPr>
          <w:sz w:val="20"/>
          <w:szCs w:val="20"/>
          <w:color w:val="auto"/>
        </w:rPr>
      </w:pPr>
      <w:r>
        <w:rPr>
          <w:rFonts w:ascii="Courier New" w:cs="Courier New" w:eastAsia="Courier New" w:hAnsi="Courier New"/>
          <w:sz w:val="18"/>
          <w:szCs w:val="18"/>
          <w:color w:val="auto"/>
        </w:rPr>
        <w:t>Our Company</w:t>
      </w:r>
      <w:r>
        <w:rPr>
          <w:sz w:val="20"/>
          <w:szCs w:val="20"/>
          <w:color w:val="auto"/>
        </w:rPr>
        <w:tab/>
      </w:r>
      <w:r>
        <w:rPr>
          <w:rFonts w:ascii="Courier New" w:cs="Courier New" w:eastAsia="Courier New" w:hAnsi="Courier New"/>
          <w:sz w:val="16"/>
          <w:szCs w:val="16"/>
          <w:color w:val="auto"/>
        </w:rPr>
        <w:t>4</w:t>
      </w:r>
    </w:p>
    <w:p>
      <w:pPr>
        <w:spacing w:after="0"/>
        <w:tabs>
          <w:tab w:leader="dot" w:pos="684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4</w:t>
      </w:r>
    </w:p>
    <w:p>
      <w:pPr>
        <w:spacing w:after="0" w:line="237" w:lineRule="auto"/>
        <w:tabs>
          <w:tab w:leader="dot" w:pos="6720" w:val="left"/>
        </w:tabs>
        <w:rPr>
          <w:sz w:val="20"/>
          <w:szCs w:val="20"/>
          <w:color w:val="auto"/>
        </w:rPr>
      </w:pPr>
      <w:r>
        <w:rPr>
          <w:rFonts w:ascii="Courier New" w:cs="Courier New" w:eastAsia="Courier New" w:hAnsi="Courier New"/>
          <w:sz w:val="18"/>
          <w:szCs w:val="18"/>
          <w:color w:val="auto"/>
        </w:rPr>
        <w:t>Special Note Regarding Forward-Looking Statements</w:t>
      </w:r>
      <w:r>
        <w:rPr>
          <w:sz w:val="20"/>
          <w:szCs w:val="20"/>
          <w:color w:val="auto"/>
        </w:rPr>
        <w:tab/>
      </w:r>
      <w:r>
        <w:rPr>
          <w:rFonts w:ascii="Courier New" w:cs="Courier New" w:eastAsia="Courier New" w:hAnsi="Courier New"/>
          <w:sz w:val="18"/>
          <w:szCs w:val="18"/>
          <w:color w:val="auto"/>
        </w:rPr>
        <w:t>10</w:t>
      </w:r>
    </w:p>
    <w:p>
      <w:pPr>
        <w:spacing w:after="0" w:line="238" w:lineRule="auto"/>
        <w:tabs>
          <w:tab w:leader="dot" w:pos="67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11</w:t>
      </w:r>
    </w:p>
    <w:p>
      <w:pPr>
        <w:spacing w:after="0"/>
        <w:tabs>
          <w:tab w:leader="dot" w:pos="6720" w:val="left"/>
        </w:tabs>
        <w:rPr>
          <w:sz w:val="20"/>
          <w:szCs w:val="20"/>
          <w:color w:val="auto"/>
        </w:rPr>
      </w:pPr>
      <w:r>
        <w:rPr>
          <w:rFonts w:ascii="Courier New" w:cs="Courier New" w:eastAsia="Courier New" w:hAnsi="Courier New"/>
          <w:sz w:val="18"/>
          <w:szCs w:val="18"/>
          <w:color w:val="auto"/>
        </w:rPr>
        <w:t>Ratios of Earnings to Fixed Charges</w:t>
      </w:r>
      <w:r>
        <w:rPr>
          <w:sz w:val="20"/>
          <w:szCs w:val="20"/>
          <w:color w:val="auto"/>
        </w:rPr>
        <w:tab/>
      </w:r>
      <w:r>
        <w:rPr>
          <w:rFonts w:ascii="Courier New" w:cs="Courier New" w:eastAsia="Courier New" w:hAnsi="Courier New"/>
          <w:sz w:val="18"/>
          <w:szCs w:val="18"/>
          <w:color w:val="auto"/>
        </w:rPr>
        <w:t>11</w:t>
      </w:r>
    </w:p>
    <w:p>
      <w:pPr>
        <w:spacing w:after="0" w:line="237" w:lineRule="auto"/>
        <w:tabs>
          <w:tab w:leader="dot" w:pos="672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8"/>
          <w:szCs w:val="18"/>
          <w:color w:val="auto"/>
        </w:rPr>
        <w:t>12</w:t>
      </w:r>
    </w:p>
    <w:p>
      <w:pPr>
        <w:spacing w:after="0"/>
        <w:tabs>
          <w:tab w:leader="dot" w:pos="672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8"/>
          <w:szCs w:val="18"/>
          <w:color w:val="auto"/>
        </w:rPr>
        <w:t>36</w:t>
      </w:r>
    </w:p>
    <w:p>
      <w:pPr>
        <w:spacing w:after="0" w:line="237" w:lineRule="auto"/>
        <w:tabs>
          <w:tab w:leader="dot" w:pos="672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38</w:t>
      </w:r>
    </w:p>
    <w:p>
      <w:pPr>
        <w:spacing w:after="0"/>
        <w:tabs>
          <w:tab w:leader="dot" w:pos="6720" w:val="left"/>
        </w:tabs>
        <w:rPr>
          <w:sz w:val="20"/>
          <w:szCs w:val="20"/>
          <w:color w:val="auto"/>
        </w:rPr>
      </w:pPr>
      <w:r>
        <w:rPr>
          <w:rFonts w:ascii="Courier New" w:cs="Courier New" w:eastAsia="Courier New" w:hAnsi="Courier New"/>
          <w:sz w:val="18"/>
          <w:szCs w:val="18"/>
          <w:color w:val="auto"/>
        </w:rPr>
        <w:t>Validity of Securities</w:t>
      </w:r>
      <w:r>
        <w:rPr>
          <w:sz w:val="20"/>
          <w:szCs w:val="20"/>
          <w:color w:val="auto"/>
        </w:rPr>
        <w:tab/>
      </w:r>
      <w:r>
        <w:rPr>
          <w:rFonts w:ascii="Courier New" w:cs="Courier New" w:eastAsia="Courier New" w:hAnsi="Courier New"/>
          <w:sz w:val="18"/>
          <w:szCs w:val="18"/>
          <w:color w:val="auto"/>
        </w:rPr>
        <w:t>38</w:t>
      </w:r>
    </w:p>
    <w:p>
      <w:pPr>
        <w:spacing w:after="0" w:line="237" w:lineRule="auto"/>
        <w:tabs>
          <w:tab w:leader="dot" w:pos="6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have filed with the Securities and Exchange Commission a registration statement on Form S-3 (Reg. No. 333-80063)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 We file annual, quarterly and current reports, proxy statements and other information with the Commission. Our Commission filings, including the registration statement, are available to the public over the Internet at the Commission's web site at http://www.sec.gov. You can also read and copy any document we file at:</w:t>
      </w:r>
    </w:p>
    <w:p>
      <w:pPr>
        <w:spacing w:after="0" w:line="397" w:lineRule="exact"/>
        <w:rPr>
          <w:sz w:val="20"/>
          <w:szCs w:val="20"/>
          <w:color w:val="auto"/>
        </w:rPr>
      </w:pPr>
    </w:p>
    <w:p>
      <w:pPr>
        <w:ind w:left="740" w:right="17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This means that we are disclosing important information to you by referring you to those documents.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0" w:name="page21"/>
    <w:bookmarkEnd w:id="20"/>
    <w:p>
      <w:pPr>
        <w:ind w:right="1879"/>
        <w:spacing w:after="0" w:line="235" w:lineRule="auto"/>
        <w:rPr>
          <w:sz w:val="20"/>
          <w:szCs w:val="20"/>
          <w:color w:val="auto"/>
        </w:rPr>
      </w:pPr>
      <w:r>
        <w:rPr>
          <w:rFonts w:ascii="Courier New" w:cs="Courier New" w:eastAsia="Courier New" w:hAnsi="Courier New"/>
          <w:sz w:val="18"/>
          <w:szCs w:val="18"/>
          <w:color w:val="auto"/>
        </w:rPr>
        <w:t>Specifically, we incorporate by reference the documents set forth below that we have previously filed with the Commission:</w:t>
      </w:r>
    </w:p>
    <w:p>
      <w:pPr>
        <w:spacing w:after="0" w:line="20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COMMISSION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FILINGS</w:t>
      </w:r>
    </w:p>
    <w:p>
      <w:pPr>
        <w:jc w:val="center"/>
        <w:ind w:right="8959"/>
        <w:spacing w:after="0"/>
        <w:rPr>
          <w:sz w:val="20"/>
          <w:szCs w:val="20"/>
          <w:color w:val="auto"/>
        </w:rPr>
      </w:pPr>
      <w:r>
        <w:rPr>
          <w:rFonts w:ascii="Courier New" w:cs="Courier New" w:eastAsia="Courier New" w:hAnsi="Courier New"/>
          <w:sz w:val="18"/>
          <w:szCs w:val="18"/>
          <w:color w:val="auto"/>
        </w:rPr>
        <w:t>(FILE NO.</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1-12154)</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PERIOD/DATE</w:t>
      </w:r>
    </w:p>
    <w:p>
      <w:pPr>
        <w:ind w:left="260" w:hanging="203"/>
        <w:spacing w:after="0"/>
        <w:tabs>
          <w:tab w:leader="none" w:pos="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w:t>
      </w:r>
    </w:p>
    <w:p>
      <w:pPr>
        <w:spacing w:after="0" w:line="4" w:lineRule="exact"/>
        <w:rPr>
          <w:rFonts w:ascii="Courier New" w:cs="Courier New" w:eastAsia="Courier New" w:hAnsi="Courier New"/>
          <w:sz w:val="18"/>
          <w:szCs w:val="18"/>
          <w:color w:val="auto"/>
        </w:rPr>
      </w:pPr>
    </w:p>
    <w:p>
      <w:pPr>
        <w:jc w:val="center"/>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Report on Form 10-K Year ended December 31, 1998 -</w:t>
      </w:r>
    </w:p>
    <w:p>
      <w:pPr>
        <w:ind w:left="160" w:right="8999" w:hanging="103"/>
        <w:spacing w:after="0" w:line="268" w:lineRule="auto"/>
        <w:tabs>
          <w:tab w:leader="none" w:pos="2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w:t>
      </w:r>
    </w:p>
    <w:p>
      <w:pPr>
        <w:jc w:val="center"/>
        <w:ind w:right="8959"/>
        <w:spacing w:after="0" w:line="233" w:lineRule="auto"/>
        <w:rPr>
          <w:sz w:val="20"/>
          <w:szCs w:val="20"/>
          <w:color w:val="auto"/>
        </w:rPr>
      </w:pPr>
      <w:r>
        <w:rPr>
          <w:rFonts w:ascii="Courier New" w:cs="Courier New" w:eastAsia="Courier New" w:hAnsi="Courier New"/>
          <w:sz w:val="18"/>
          <w:szCs w:val="18"/>
          <w:color w:val="auto"/>
        </w:rPr>
        <w:t>Quarter</w:t>
      </w:r>
    </w:p>
    <w:p>
      <w:pPr>
        <w:jc w:val="center"/>
        <w:ind w:right="8959"/>
        <w:spacing w:after="0"/>
        <w:rPr>
          <w:sz w:val="20"/>
          <w:szCs w:val="20"/>
          <w:color w:val="auto"/>
        </w:rPr>
      </w:pPr>
      <w:r>
        <w:rPr>
          <w:rFonts w:ascii="Courier New" w:cs="Courier New" w:eastAsia="Courier New" w:hAnsi="Courier New"/>
          <w:sz w:val="18"/>
          <w:szCs w:val="18"/>
          <w:color w:val="auto"/>
        </w:rPr>
        <w:t>ended March</w:t>
      </w:r>
    </w:p>
    <w:p>
      <w:pPr>
        <w:ind w:left="220"/>
        <w:spacing w:after="0" w:line="237" w:lineRule="auto"/>
        <w:rPr>
          <w:sz w:val="20"/>
          <w:szCs w:val="20"/>
          <w:color w:val="auto"/>
        </w:rPr>
      </w:pPr>
      <w:r>
        <w:rPr>
          <w:rFonts w:ascii="Courier New" w:cs="Courier New" w:eastAsia="Courier New" w:hAnsi="Courier New"/>
          <w:sz w:val="18"/>
          <w:szCs w:val="18"/>
          <w:color w:val="auto"/>
        </w:rPr>
        <w:t>31, 1999</w:t>
      </w:r>
    </w:p>
    <w:p>
      <w:pPr>
        <w:ind w:left="220"/>
        <w:spacing w:after="0"/>
        <w:rPr>
          <w:sz w:val="20"/>
          <w:szCs w:val="20"/>
          <w:color w:val="auto"/>
        </w:rPr>
      </w:pPr>
      <w:r>
        <w:rPr>
          <w:rFonts w:ascii="Courier New" w:cs="Courier New" w:eastAsia="Courier New" w:hAnsi="Courier New"/>
          <w:sz w:val="18"/>
          <w:szCs w:val="18"/>
          <w:color w:val="auto"/>
        </w:rPr>
        <w:t>(certain</w:t>
      </w:r>
    </w:p>
    <w:p>
      <w:pPr>
        <w:ind w:left="220"/>
        <w:spacing w:after="0" w:line="237" w:lineRule="auto"/>
        <w:rPr>
          <w:sz w:val="20"/>
          <w:szCs w:val="20"/>
          <w:color w:val="auto"/>
        </w:rPr>
      </w:pPr>
      <w:r>
        <w:rPr>
          <w:rFonts w:ascii="Courier New" w:cs="Courier New" w:eastAsia="Courier New" w:hAnsi="Courier New"/>
          <w:sz w:val="18"/>
          <w:szCs w:val="18"/>
          <w:color w:val="auto"/>
        </w:rPr>
        <w:t>items in</w:t>
      </w:r>
    </w:p>
    <w:p>
      <w:pPr>
        <w:ind w:left="160"/>
        <w:spacing w:after="0"/>
        <w:rPr>
          <w:sz w:val="20"/>
          <w:szCs w:val="20"/>
          <w:color w:val="auto"/>
        </w:rPr>
      </w:pPr>
      <w:r>
        <w:rPr>
          <w:rFonts w:ascii="Courier New" w:cs="Courier New" w:eastAsia="Courier New" w:hAnsi="Courier New"/>
          <w:sz w:val="18"/>
          <w:szCs w:val="18"/>
          <w:color w:val="auto"/>
        </w:rPr>
        <w:t>financial</w:t>
      </w:r>
    </w:p>
    <w:p>
      <w:pPr>
        <w:ind w:left="100"/>
        <w:spacing w:after="0" w:line="237" w:lineRule="auto"/>
        <w:rPr>
          <w:sz w:val="20"/>
          <w:szCs w:val="20"/>
          <w:color w:val="auto"/>
        </w:rPr>
      </w:pPr>
      <w:r>
        <w:rPr>
          <w:rFonts w:ascii="Courier New" w:cs="Courier New" w:eastAsia="Courier New" w:hAnsi="Courier New"/>
          <w:sz w:val="18"/>
          <w:szCs w:val="18"/>
          <w:color w:val="auto"/>
        </w:rPr>
        <w:t>statements</w:t>
      </w:r>
    </w:p>
    <w:p>
      <w:pPr>
        <w:jc w:val="center"/>
        <w:ind w:right="8959"/>
        <w:spacing w:after="0"/>
        <w:rPr>
          <w:sz w:val="20"/>
          <w:szCs w:val="20"/>
          <w:color w:val="auto"/>
        </w:rPr>
      </w:pPr>
      <w:r>
        <w:rPr>
          <w:rFonts w:ascii="Courier New" w:cs="Courier New" w:eastAsia="Courier New" w:hAnsi="Courier New"/>
          <w:sz w:val="18"/>
          <w:szCs w:val="18"/>
          <w:color w:val="auto"/>
        </w:rPr>
        <w:t>were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revised in</w:t>
      </w:r>
    </w:p>
    <w:p>
      <w:pPr>
        <w:jc w:val="center"/>
        <w:ind w:right="8959"/>
        <w:spacing w:after="0"/>
        <w:rPr>
          <w:sz w:val="20"/>
          <w:szCs w:val="20"/>
          <w:color w:val="auto"/>
        </w:rPr>
      </w:pPr>
      <w:r>
        <w:rPr>
          <w:rFonts w:ascii="Courier New" w:cs="Courier New" w:eastAsia="Courier New" w:hAnsi="Courier New"/>
          <w:sz w:val="18"/>
          <w:szCs w:val="18"/>
          <w:color w:val="auto"/>
        </w:rPr>
        <w:t>June 30,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1999 Form</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10-Q) - -</w:t>
      </w:r>
    </w:p>
    <w:p>
      <w:pPr>
        <w:jc w:val="center"/>
        <w:ind w:right="8959"/>
        <w:spacing w:after="0"/>
        <w:rPr>
          <w:sz w:val="20"/>
          <w:szCs w:val="20"/>
          <w:color w:val="auto"/>
        </w:rPr>
      </w:pPr>
      <w:r>
        <w:rPr>
          <w:rFonts w:ascii="Courier New" w:cs="Courier New" w:eastAsia="Courier New" w:hAnsi="Courier New"/>
          <w:sz w:val="18"/>
          <w:szCs w:val="18"/>
          <w:color w:val="auto"/>
        </w:rPr>
        <w:t>Quarterly</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959"/>
        <w:spacing w:after="0"/>
        <w:rPr>
          <w:sz w:val="20"/>
          <w:szCs w:val="20"/>
          <w:color w:val="auto"/>
        </w:rPr>
      </w:pPr>
      <w:r>
        <w:rPr>
          <w:rFonts w:ascii="Courier New" w:cs="Courier New" w:eastAsia="Courier New" w:hAnsi="Courier New"/>
          <w:sz w:val="18"/>
          <w:szCs w:val="18"/>
          <w:color w:val="auto"/>
        </w:rPr>
        <w:t>Form 10-Q</w:t>
      </w:r>
    </w:p>
    <w:p>
      <w:pPr>
        <w:jc w:val="center"/>
        <w:ind w:right="895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959"/>
        <w:spacing w:after="0"/>
        <w:rPr>
          <w:sz w:val="20"/>
          <w:szCs w:val="20"/>
          <w:color w:val="auto"/>
        </w:rPr>
      </w:pPr>
      <w:r>
        <w:rPr>
          <w:rFonts w:ascii="Courier New" w:cs="Courier New" w:eastAsia="Courier New" w:hAnsi="Courier New"/>
          <w:sz w:val="18"/>
          <w:szCs w:val="18"/>
          <w:color w:val="auto"/>
        </w:rPr>
        <w:t>ended June</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 1999 -</w:t>
      </w:r>
    </w:p>
    <w:p>
      <w:pPr>
        <w:spacing w:after="0" w:line="5" w:lineRule="exact"/>
        <w:rPr>
          <w:sz w:val="20"/>
          <w:szCs w:val="20"/>
          <w:color w:val="auto"/>
        </w:rPr>
      </w:pPr>
    </w:p>
    <w:p>
      <w:pPr>
        <w:ind w:left="160" w:right="8999" w:hanging="103"/>
        <w:spacing w:after="0" w:line="268" w:lineRule="auto"/>
        <w:tabs>
          <w:tab w:leader="none" w:pos="2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w:t>
      </w:r>
    </w:p>
    <w:p>
      <w:pPr>
        <w:jc w:val="center"/>
        <w:ind w:right="8959"/>
        <w:spacing w:after="0" w:line="233" w:lineRule="auto"/>
        <w:rPr>
          <w:sz w:val="20"/>
          <w:szCs w:val="20"/>
          <w:color w:val="auto"/>
        </w:rPr>
      </w:pPr>
      <w:r>
        <w:rPr>
          <w:rFonts w:ascii="Courier New" w:cs="Courier New" w:eastAsia="Courier New" w:hAnsi="Courier New"/>
          <w:sz w:val="18"/>
          <w:szCs w:val="18"/>
          <w:color w:val="auto"/>
        </w:rPr>
        <w:t>(as amended</w:t>
      </w:r>
    </w:p>
    <w:p>
      <w:pPr>
        <w:jc w:val="center"/>
        <w:ind w:right="8959"/>
        <w:spacing w:after="0"/>
        <w:rPr>
          <w:sz w:val="20"/>
          <w:szCs w:val="20"/>
          <w:color w:val="auto"/>
        </w:rPr>
      </w:pPr>
      <w:r>
        <w:rPr>
          <w:rFonts w:ascii="Courier New" w:cs="Courier New" w:eastAsia="Courier New" w:hAnsi="Courier New"/>
          <w:sz w:val="18"/>
          <w:szCs w:val="18"/>
          <w:color w:val="auto"/>
        </w:rPr>
        <w:t>on Form</w:t>
      </w:r>
    </w:p>
    <w:p>
      <w:pPr>
        <w:jc w:val="center"/>
        <w:ind w:right="8959"/>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8959"/>
        <w:spacing w:after="0"/>
        <w:rPr>
          <w:sz w:val="20"/>
          <w:szCs w:val="20"/>
          <w:color w:val="auto"/>
        </w:rPr>
      </w:pPr>
      <w:r>
        <w:rPr>
          <w:rFonts w:ascii="Courier New" w:cs="Courier New" w:eastAsia="Courier New" w:hAnsi="Courier New"/>
          <w:sz w:val="18"/>
          <w:szCs w:val="18"/>
          <w:color w:val="auto"/>
        </w:rPr>
        <w:t>ended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959"/>
        <w:spacing w:after="0"/>
        <w:rPr>
          <w:sz w:val="20"/>
          <w:szCs w:val="20"/>
          <w:color w:val="auto"/>
        </w:rPr>
      </w:pPr>
      <w:r>
        <w:rPr>
          <w:rFonts w:ascii="Courier New" w:cs="Courier New" w:eastAsia="Courier New" w:hAnsi="Courier New"/>
          <w:sz w:val="18"/>
          <w:szCs w:val="18"/>
          <w:color w:val="auto"/>
        </w:rPr>
        <w:t>30, 10-Q/A)</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1999 - -</w:t>
      </w:r>
    </w:p>
    <w:p>
      <w:pPr>
        <w:jc w:val="center"/>
        <w:ind w:right="8959"/>
        <w:spacing w:after="0"/>
        <w:rPr>
          <w:sz w:val="20"/>
          <w:szCs w:val="20"/>
          <w:color w:val="auto"/>
        </w:rPr>
      </w:pPr>
      <w:r>
        <w:rPr>
          <w:rFonts w:ascii="Courier New" w:cs="Courier New" w:eastAsia="Courier New" w:hAnsi="Courier New"/>
          <w:sz w:val="18"/>
          <w:szCs w:val="18"/>
          <w:color w:val="auto"/>
        </w:rPr>
        <w:t>Current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959"/>
        <w:spacing w:after="0"/>
        <w:rPr>
          <w:sz w:val="20"/>
          <w:szCs w:val="20"/>
          <w:color w:val="auto"/>
        </w:rPr>
      </w:pPr>
      <w:r>
        <w:rPr>
          <w:rFonts w:ascii="Courier New" w:cs="Courier New" w:eastAsia="Courier New" w:hAnsi="Courier New"/>
          <w:sz w:val="18"/>
          <w:szCs w:val="18"/>
          <w:color w:val="auto"/>
        </w:rPr>
        <w:t>Form 8-K</w:t>
      </w:r>
    </w:p>
    <w:p>
      <w:pPr>
        <w:jc w:val="center"/>
        <w:ind w:right="8959"/>
        <w:spacing w:after="0" w:line="237" w:lineRule="auto"/>
        <w:rPr>
          <w:sz w:val="20"/>
          <w:szCs w:val="20"/>
          <w:color w:val="auto"/>
        </w:rPr>
      </w:pPr>
      <w:r>
        <w:rPr>
          <w:rFonts w:ascii="Courier New" w:cs="Courier New" w:eastAsia="Courier New" w:hAnsi="Courier New"/>
          <w:sz w:val="18"/>
          <w:szCs w:val="18"/>
          <w:color w:val="auto"/>
        </w:rPr>
        <w:t>August 13,</w:t>
      </w:r>
    </w:p>
    <w:p>
      <w:pPr>
        <w:jc w:val="center"/>
        <w:ind w:right="8959"/>
        <w:spacing w:after="0" w:line="238" w:lineRule="auto"/>
        <w:rPr>
          <w:sz w:val="20"/>
          <w:szCs w:val="20"/>
          <w:color w:val="auto"/>
        </w:rPr>
      </w:pPr>
      <w:r>
        <w:rPr>
          <w:rFonts w:ascii="Courier New" w:cs="Courier New" w:eastAsia="Courier New" w:hAnsi="Courier New"/>
          <w:sz w:val="18"/>
          <w:szCs w:val="18"/>
          <w:color w:val="auto"/>
        </w:rPr>
        <w:t>1999 - -</w:t>
      </w:r>
    </w:p>
    <w:p>
      <w:pPr>
        <w:jc w:val="center"/>
        <w:ind w:right="8959"/>
        <w:spacing w:after="0"/>
        <w:rPr>
          <w:sz w:val="20"/>
          <w:szCs w:val="20"/>
          <w:color w:val="auto"/>
        </w:rPr>
      </w:pPr>
      <w:r>
        <w:rPr>
          <w:rFonts w:ascii="Courier New" w:cs="Courier New" w:eastAsia="Courier New" w:hAnsi="Courier New"/>
          <w:sz w:val="18"/>
          <w:szCs w:val="18"/>
          <w:color w:val="auto"/>
        </w:rPr>
        <w:t>Current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959"/>
        <w:spacing w:after="0"/>
        <w:rPr>
          <w:sz w:val="20"/>
          <w:szCs w:val="20"/>
          <w:color w:val="auto"/>
        </w:rPr>
      </w:pPr>
      <w:r>
        <w:rPr>
          <w:rFonts w:ascii="Courier New" w:cs="Courier New" w:eastAsia="Courier New" w:hAnsi="Courier New"/>
          <w:sz w:val="18"/>
          <w:szCs w:val="18"/>
          <w:color w:val="auto"/>
        </w:rPr>
        <w:t>Form 8-K</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959"/>
        <w:spacing w:after="0"/>
        <w:rPr>
          <w:sz w:val="20"/>
          <w:szCs w:val="20"/>
          <w:color w:val="auto"/>
        </w:rPr>
      </w:pPr>
      <w:r>
        <w:rPr>
          <w:rFonts w:ascii="Courier New" w:cs="Courier New" w:eastAsia="Courier New" w:hAnsi="Courier New"/>
          <w:sz w:val="18"/>
          <w:szCs w:val="18"/>
          <w:color w:val="auto"/>
        </w:rPr>
        <w:t>16, 1999 -</w:t>
      </w:r>
    </w:p>
    <w:p>
      <w:pPr>
        <w:spacing w:after="0" w:line="3" w:lineRule="exact"/>
        <w:rPr>
          <w:sz w:val="20"/>
          <w:szCs w:val="20"/>
          <w:color w:val="auto"/>
        </w:rPr>
      </w:pPr>
    </w:p>
    <w:p>
      <w:pPr>
        <w:ind w:left="160" w:right="9099" w:firstLine="107"/>
        <w:spacing w:after="0" w:line="268" w:lineRule="auto"/>
        <w:tabs>
          <w:tab w:leader="none" w:pos="47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Proxy Statement for the</w:t>
      </w:r>
    </w:p>
    <w:p>
      <w:pPr>
        <w:jc w:val="center"/>
        <w:ind w:right="8959"/>
        <w:spacing w:after="0" w:line="233" w:lineRule="auto"/>
        <w:rPr>
          <w:sz w:val="20"/>
          <w:szCs w:val="20"/>
          <w:color w:val="auto"/>
        </w:rPr>
      </w:pPr>
      <w:r>
        <w:rPr>
          <w:rFonts w:ascii="Courier New" w:cs="Courier New" w:eastAsia="Courier New" w:hAnsi="Courier New"/>
          <w:sz w:val="18"/>
          <w:szCs w:val="18"/>
          <w:color w:val="auto"/>
        </w:rPr>
        <w:t>1999 Annual</w:t>
      </w:r>
    </w:p>
    <w:p>
      <w:pPr>
        <w:jc w:val="center"/>
        <w:ind w:right="8959"/>
        <w:spacing w:after="0"/>
        <w:rPr>
          <w:sz w:val="20"/>
          <w:szCs w:val="20"/>
          <w:color w:val="auto"/>
        </w:rPr>
      </w:pPr>
      <w:r>
        <w:rPr>
          <w:rFonts w:ascii="Courier New" w:cs="Courier New" w:eastAsia="Courier New" w:hAnsi="Courier New"/>
          <w:sz w:val="18"/>
          <w:szCs w:val="18"/>
          <w:color w:val="auto"/>
        </w:rPr>
        <w:t>Meeting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April 5,</w:t>
      </w:r>
    </w:p>
    <w:p>
      <w:pPr>
        <w:jc w:val="center"/>
        <w:ind w:right="8959"/>
        <w:spacing w:after="0"/>
        <w:rPr>
          <w:sz w:val="20"/>
          <w:szCs w:val="20"/>
          <w:color w:val="auto"/>
        </w:rPr>
      </w:pPr>
      <w:r>
        <w:rPr>
          <w:rFonts w:ascii="Courier New" w:cs="Courier New" w:eastAsia="Courier New" w:hAnsi="Courier New"/>
          <w:sz w:val="18"/>
          <w:szCs w:val="18"/>
          <w:color w:val="auto"/>
        </w:rPr>
        <w:t>1999</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Stockholders</w:t>
      </w:r>
    </w:p>
    <w:p>
      <w:pPr>
        <w:spacing w:after="0" w:line="200" w:lineRule="exact"/>
        <w:rPr>
          <w:sz w:val="20"/>
          <w:szCs w:val="20"/>
          <w:color w:val="auto"/>
        </w:rPr>
      </w:pPr>
    </w:p>
    <w:p>
      <w:pPr>
        <w:spacing w:after="0" w:line="22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ectPr>
          <w:pgSz w:w="11900" w:h="16838" w:orient="portrait"/>
          <w:cols w:equalWidth="0" w:num="1">
            <w:col w:w="10219"/>
          </w:cols>
          <w:pgMar w:left="240" w:top="723" w:right="1440" w:bottom="0" w:gutter="0" w:footer="0" w:header="0"/>
        </w:sectPr>
      </w:pPr>
    </w:p>
    <w:bookmarkStart w:id="21" w:name="page22"/>
    <w:bookmarkEnd w:id="21"/>
    <w:p>
      <w:pPr>
        <w:ind w:left="9"/>
        <w:spacing w:after="0"/>
        <w:rPr>
          <w:sz w:val="20"/>
          <w:szCs w:val="20"/>
          <w:color w:val="auto"/>
        </w:rPr>
      </w:pPr>
      <w:r>
        <w:rPr>
          <w:rFonts w:ascii="Courier New" w:cs="Courier New" w:eastAsia="Courier New" w:hAnsi="Courier New"/>
          <w:sz w:val="18"/>
          <w:szCs w:val="18"/>
          <w:color w:val="auto"/>
        </w:rPr>
        <w:t>Waste Management, Inc.</w:t>
      </w:r>
    </w:p>
    <w:p>
      <w:pPr>
        <w:ind w:left="9"/>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9"/>
        <w:spacing w:after="0"/>
        <w:rPr>
          <w:sz w:val="20"/>
          <w:szCs w:val="20"/>
          <w:color w:val="auto"/>
        </w:rPr>
      </w:pPr>
      <w:r>
        <w:rPr>
          <w:rFonts w:ascii="Courier New" w:cs="Courier New" w:eastAsia="Courier New" w:hAnsi="Courier New"/>
          <w:sz w:val="18"/>
          <w:szCs w:val="18"/>
          <w:color w:val="auto"/>
        </w:rPr>
        <w:t>Houston, Texas 77002</w:t>
      </w:r>
    </w:p>
    <w:p>
      <w:pPr>
        <w:spacing w:after="0" w:line="3" w:lineRule="exact"/>
        <w:rPr>
          <w:sz w:val="20"/>
          <w:szCs w:val="20"/>
          <w:color w:val="auto"/>
        </w:rPr>
      </w:pPr>
    </w:p>
    <w:p>
      <w:pPr>
        <w:ind w:left="9" w:right="7779" w:hanging="9"/>
        <w:spacing w:after="0" w:line="290" w:lineRule="auto"/>
        <w:tabs>
          <w:tab w:leader="none" w:pos="64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512-6200 Attn: Secretary</w:t>
      </w:r>
    </w:p>
    <w:p>
      <w:pPr>
        <w:spacing w:after="0" w:line="16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368"/>
          </w:cols>
          <w:pgMar w:left="1091" w:top="339" w:right="1440" w:bottom="1440" w:gutter="0" w:footer="0" w:header="0"/>
        </w:sectPr>
      </w:pPr>
    </w:p>
    <w:bookmarkStart w:id="22" w:name="page23"/>
    <w:bookmarkEnd w:id="22"/>
    <w:p>
      <w:pPr>
        <w:ind w:left="3580"/>
        <w:spacing w:after="0"/>
        <w:rPr>
          <w:sz w:val="20"/>
          <w:szCs w:val="20"/>
          <w:color w:val="auto"/>
        </w:rPr>
      </w:pPr>
      <w:r>
        <w:rPr>
          <w:rFonts w:ascii="Courier New" w:cs="Courier New" w:eastAsia="Courier New" w:hAnsi="Courier New"/>
          <w:sz w:val="18"/>
          <w:szCs w:val="18"/>
          <w:color w:val="auto"/>
        </w:rPr>
        <w:t>OUR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are a global leader in providing integrated waste management services.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North America, where we have our principal operations, we provide solid waste collection, transfer, recycling, resource recovery and disposal 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18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Our diversified customer base includes commercial, industrial, municipal and residential customers, other waste management companies, governmental entities and independent power markets.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Our executive offices are located at 1001 Fannin Street, Suite 4000, Houston, Texas 77002, and our telephone number is (713) 512-6200.</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ACCOUNTING CHARGES HAVE NEGATIVELY IMPACTED REPORTED FINANCIAL RESULTS, RESULTED IN THE IMPAIRMENT OF THE VALUE OF CERTAIN ASSETS AND MAY DECREASE OUR FUTURE CASH FLOWS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third quarter of 1999, we initiated a comprehensive review of our accounting records, systems, processes and controls at the direction of our Board of Directors, which was completed in November 1999. As a result of this review, we recorded certain charges and adjustments in the quarter ended September 30, 1999 totaling $1.23 billion after tax. Because of the size of the charges, generally accepted accounting principles require us to attempt to determine whether portions of the charges apply to prior periods. While we believe that certain of these charges may relate to prior periods, we do not currently have sufficient information to identify all specific charges attributable to prior periods. Producing the information required to identify these charges would be cost prohibitive and disruptive to our operations.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Some of the charges and adjustments we recorded in the third quarter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our future cash flows.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Because some of the charges discussed above affect account balances applicable to periods prior to the quarter ended September 30, 1999, we concluded, after consultation with our independent public accountants, that our internal controls for the preparation of interim financial information did not provide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970" w:gutter="0" w:footer="0" w:header="0"/>
        </w:sectPr>
      </w:pPr>
    </w:p>
    <w:bookmarkStart w:id="23" w:name="page24"/>
    <w:bookmarkEnd w:id="23"/>
    <w:p>
      <w:pPr>
        <w:ind w:right="1879"/>
        <w:spacing w:after="0" w:line="271" w:lineRule="auto"/>
        <w:rPr>
          <w:sz w:val="20"/>
          <w:szCs w:val="20"/>
          <w:color w:val="auto"/>
        </w:rPr>
      </w:pPr>
      <w:r>
        <w:rPr>
          <w:rFonts w:ascii="Courier New" w:cs="Courier New" w:eastAsia="Courier New" w:hAnsi="Courier New"/>
          <w:sz w:val="16"/>
          <w:szCs w:val="16"/>
          <w:color w:val="auto"/>
        </w:rPr>
        <w:t>an adequate basis for them to complete reviews of the quarterly data for the quarters in the nine months ended September 30, 1999. The review was completed in November 1999, and we do not anticipate any additional material adjustments to our financial statements based on the review. However, we may not be able to successfully stabilize our accounting systems and procedures, and close our accounting records and report our 1999 annual results in accordance with year end audit procedures. Any failure to stabilize our accounting systems could result in additional material charges and adjustments in the future.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ENCOUNTER DIFFICULTIES IN IMPLEMENTING OUR PROPOSED STRATEGIC INITIATIVE</w:t>
      </w:r>
    </w:p>
    <w:p>
      <w:pPr>
        <w:spacing w:after="0" w:line="22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ability to successfully implement our proposed strategic initiative may be affected by the willingness of prospective purchasers to purchase the assets we identify as divestiture candidates on terms we find acceptable, the timing and terms on which such assets may be sold, uncertainties relating to 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UNDERGOING CHANGES IN MANAGEMENT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Our business may be affected by our ability to attract and retain qualified individuals to serve in senior management positions.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face uncertainties relating to pending litigation and investigations. We are unable to predict the outcome or impact of these matters and there can be no assurance that they will not have a material adverse effect on us and our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POTENTIAL DIFFICULTIES IN CONTINUING TO EXPAND AND MANAGE OUR GROWTH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208"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costs savings;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rationalization of collection routes;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bonding cost reductions;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economies of scale.</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Moreover, our ability to continue to grow will depend on a number of factors, including:</w:t>
      </w:r>
    </w:p>
    <w:p>
      <w:pPr>
        <w:spacing w:after="0" w:line="203" w:lineRule="exact"/>
        <w:rPr>
          <w:sz w:val="20"/>
          <w:szCs w:val="20"/>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waste management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attractive acquisition opportunities;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mitigate antitrust concerns related to acquisitions in several markets;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working capital;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maintain margins on existing or acquired operations;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manage costs in a changing regulatory environment.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OUR ACQUISITION STRATEGY INVOLVES POTENTIAL RISKS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acquisition strategy involves potential risks. These risks include:</w:t>
      </w:r>
    </w:p>
    <w:p>
      <w:pPr>
        <w:spacing w:after="0" w:line="207" w:lineRule="exact"/>
        <w:rPr>
          <w:sz w:val="20"/>
          <w:szCs w:val="20"/>
          <w:color w:val="auto"/>
        </w:rPr>
      </w:pPr>
    </w:p>
    <w:p>
      <w:pPr>
        <w:ind w:left="740" w:right="199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difficulties in successfully integrating the operations of acquired companies with our existing operations;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lack of attractive acquisition opportunities;</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inability to obtain the capital required to finance potential acquisitions on satisfactory terms;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incurring additional indebtedness or issuing additional equity securities as a result of future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188"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FLUCTUATING INTEREST RATES COULD AFFECT US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25" w:name="page26"/>
    <w:bookmarkEnd w:id="25"/>
    <w:p>
      <w:pPr>
        <w:ind w:right="1999"/>
        <w:spacing w:after="0" w:line="236" w:lineRule="auto"/>
        <w:rPr>
          <w:sz w:val="20"/>
          <w:szCs w:val="20"/>
          <w:color w:val="auto"/>
        </w:rPr>
      </w:pPr>
      <w:r>
        <w:rPr>
          <w:rFonts w:ascii="Courier New" w:cs="Courier New" w:eastAsia="Courier New" w:hAnsi="Courier New"/>
          <w:sz w:val="18"/>
          <w:szCs w:val="18"/>
          <w:color w:val="auto"/>
        </w:rPr>
        <w:t>Profitability may decline because of the national emphasis on recycling, composting, and other waste reduction programs that could reduce the volume of solid waste collected or deposited in disposal facilities.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18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38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THE LEVEL OF COSTS OF OUR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767" w:gutter="0" w:footer="0" w:header="0"/>
        </w:sectPr>
      </w:pPr>
    </w:p>
    <w:bookmarkStart w:id="26" w:name="page27"/>
    <w:bookmarkEnd w:id="26"/>
    <w:p>
      <w:pPr>
        <w:ind w:right="2319"/>
        <w:spacing w:after="0" w:line="290" w:lineRule="auto"/>
        <w:rPr>
          <w:sz w:val="20"/>
          <w:szCs w:val="20"/>
          <w:color w:val="auto"/>
        </w:rPr>
      </w:pPr>
      <w:r>
        <w:rPr>
          <w:rFonts w:ascii="Courier New" w:cs="Courier New" w:eastAsia="Courier New" w:hAnsi="Courier New"/>
          <w:sz w:val="16"/>
          <w:szCs w:val="16"/>
          <w:color w:val="auto"/>
        </w:rPr>
        <w:t>business, including permits and approvals for the development of additional disposal capacity needed to replace existing capacity that is exhausted.</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COULD BE LIABLE FOR ENVIRONMENTAL DAMAGES RESULTING FROM OUR DISPOSAL FACILITIES AND COLLECTION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the ordinary course of our business, we may become involved in a variety of legal and administrative proceedings relating to land use and environmental laws and regulations. These may include proceedings in which:</w:t>
      </w:r>
    </w:p>
    <w:p>
      <w:pPr>
        <w:spacing w:after="0" w:line="209" w:lineRule="exact"/>
        <w:rPr>
          <w:sz w:val="20"/>
          <w:szCs w:val="20"/>
          <w:color w:val="auto"/>
        </w:rPr>
      </w:pPr>
    </w:p>
    <w:p>
      <w:pPr>
        <w:ind w:left="740" w:right="199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that we may be responsible for.</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position, results of operations or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21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THE PRICE OF RECYCLABLE MATERIALS AFFECT OUR OPERATING REVENUES</w:t>
      </w:r>
    </w:p>
    <w:p>
      <w:pPr>
        <w:spacing w:after="0" w:line="224"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17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COMMISSION IS INVESTIGATING THE ACCOUNTING PRACTICES OF WASTE MANAGEMENT HOLDINGS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INTERNATIONAL OPERATIONS ENCOUNTER SOCIAL, POLITICAL AND ECONOMIC RISKS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operations in foreign countries generally are subject to a number of risks inherent in any business operating in foreign countries, all of which are beyond our control. These risks include:</w:t>
      </w:r>
    </w:p>
    <w:p>
      <w:pPr>
        <w:spacing w:after="0" w:line="203"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social and economic instability;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strikes;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nationalization of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restrictions and exchange rate fluctuations;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nullification, modification or renegotiation of contracts;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can make no prediction as to how existing or future foreign governmental regulations in any jurisdiction may affect us in particular or the waste management industry in general.</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In addition, our Board of Directors is divided into three classes, and each class serves for a staggered three-year term. This makes it more difficult for a third party to gain control of our Board of Directors. Generally, these provisions are designed to permit us to develop our businesses and</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767" w:gutter="0" w:footer="0" w:header="0"/>
        </w:sectPr>
      </w:pPr>
    </w:p>
    <w:bookmarkStart w:id="28" w:name="page29"/>
    <w:bookmarkEnd w:id="28"/>
    <w:p>
      <w:pPr>
        <w:ind w:right="1779"/>
        <w:spacing w:after="0" w:line="237" w:lineRule="auto"/>
        <w:rPr>
          <w:sz w:val="20"/>
          <w:szCs w:val="20"/>
          <w:color w:val="auto"/>
        </w:rPr>
      </w:pPr>
      <w:r>
        <w:rPr>
          <w:rFonts w:ascii="Courier New" w:cs="Courier New" w:eastAsia="Courier New" w:hAnsi="Courier New"/>
          <w:sz w:val="18"/>
          <w:szCs w:val="18"/>
          <w:color w:val="auto"/>
        </w:rPr>
        <w:t>foster our long-term growth without the disruption caused by the threat of a takeover that our Board of Directors does not think is in our best interests or in the best interests of our stockholders. Also, these provisions may discourage a third party from making a tender offer or otherwise attempting to gain control of us even though the attempt might be beneficial economically to us and our stockholders.</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or in the accompanying prospectus supplement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factors are discussed more completely in our filings with the Commission, including our annual report on Form 10-K for the year ended December 31, 1998, and our quarterly reports on Form 10-Q for the quarters ended March 31, 1999, June 30, 1999 and September 30, 1999, which are incorporated by reference into this prospectus.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9" w:name="page30"/>
    <w:bookmarkEnd w:id="29"/>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Except as otherwise described in any prospectus supplement, we will use the net proceeds from the sale of our debt securities or common stock for general corporate purposes. We will determine any specific allocation of the net proceeds of an offering to a specific purpose at the time of such offering and will describe the specific allocation in the related prospectus supplement.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as shown:</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NINE MONTHS YEAR ENDED DECEMBER 31, ENDED -----</w:t>
      </w:r>
    </w:p>
    <w:p>
      <w:pPr>
        <w:ind w:left="160"/>
        <w:spacing w:after="0" w:line="238" w:lineRule="auto"/>
        <w:rPr>
          <w:sz w:val="20"/>
          <w:szCs w:val="20"/>
          <w:color w:val="auto"/>
        </w:rPr>
      </w:pPr>
      <w:r>
        <w:rPr>
          <w:rFonts w:ascii="Courier New" w:cs="Courier New" w:eastAsia="Courier New" w:hAnsi="Courier New"/>
          <w:sz w:val="18"/>
          <w:szCs w:val="18"/>
          <w:color w:val="auto"/>
        </w:rPr>
        <w:t>------------------------------- SEPTEMBER 30,</w:t>
      </w:r>
    </w:p>
    <w:p>
      <w:pPr>
        <w:ind w:left="60"/>
        <w:spacing w:after="0"/>
        <w:rPr>
          <w:sz w:val="20"/>
          <w:szCs w:val="20"/>
          <w:color w:val="auto"/>
        </w:rPr>
      </w:pPr>
      <w:r>
        <w:rPr>
          <w:rFonts w:ascii="Courier New" w:cs="Courier New" w:eastAsia="Courier New" w:hAnsi="Courier New"/>
          <w:sz w:val="18"/>
          <w:szCs w:val="18"/>
          <w:color w:val="auto"/>
        </w:rPr>
        <w:t>1994 1995 1996 1997 1998 1999 ---- ---- ---- --</w:t>
      </w:r>
    </w:p>
    <w:p>
      <w:pPr>
        <w:ind w:left="1420"/>
        <w:spacing w:after="0" w:line="237" w:lineRule="auto"/>
        <w:rPr>
          <w:sz w:val="20"/>
          <w:szCs w:val="20"/>
          <w:color w:val="auto"/>
        </w:rPr>
      </w:pPr>
      <w:r>
        <w:rPr>
          <w:rFonts w:ascii="Courier New" w:cs="Courier New" w:eastAsia="Courier New" w:hAnsi="Courier New"/>
          <w:sz w:val="18"/>
          <w:szCs w:val="18"/>
          <w:color w:val="auto"/>
        </w:rPr>
        <w:t>-- ---- -------------</w:t>
      </w:r>
    </w:p>
    <w:p>
      <w:pPr>
        <w:spacing w:after="0" w:line="238" w:lineRule="auto"/>
        <w:rPr>
          <w:sz w:val="20"/>
          <w:szCs w:val="20"/>
          <w:color w:val="auto"/>
        </w:rPr>
      </w:pPr>
      <w:r>
        <w:rPr>
          <w:rFonts w:ascii="Courier New" w:cs="Courier New" w:eastAsia="Courier New" w:hAnsi="Courier New"/>
          <w:sz w:val="18"/>
          <w:szCs w:val="18"/>
          <w:color w:val="auto"/>
        </w:rPr>
        <w:t>Actual..........................................</w:t>
      </w:r>
    </w:p>
    <w:p>
      <w:pPr>
        <w:ind w:left="740"/>
        <w:spacing w:after="0"/>
        <w:rPr>
          <w:sz w:val="20"/>
          <w:szCs w:val="20"/>
          <w:color w:val="auto"/>
        </w:rPr>
      </w:pPr>
      <w:r>
        <w:rPr>
          <w:rFonts w:ascii="Courier New" w:cs="Courier New" w:eastAsia="Courier New" w:hAnsi="Courier New"/>
          <w:sz w:val="18"/>
          <w:szCs w:val="18"/>
          <w:color w:val="auto"/>
        </w:rPr>
        <w:t>2.7x 2.6x 2.1x N/A(1) N/A(2) NA(3)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Waste Management Holdings of its operating assets and investments.</w:t>
      </w:r>
    </w:p>
    <w:p>
      <w:pPr>
        <w:spacing w:after="0" w:line="212"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211" w:lineRule="exact"/>
        <w:rPr>
          <w:rFonts w:ascii="Courier New" w:cs="Courier New" w:eastAsia="Courier New" w:hAnsi="Courier New"/>
          <w:sz w:val="18"/>
          <w:szCs w:val="18"/>
          <w:color w:val="auto"/>
        </w:rPr>
      </w:pPr>
    </w:p>
    <w:p>
      <w:pPr>
        <w:ind w:left="420" w:right="1879" w:hanging="412"/>
        <w:spacing w:after="0" w:line="271"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for the nine months ended September 30, 1999. Additional earnings of $155.0 million were necessary to cover fixed charges for this period. The earnings available for fixed charges were negatively impacted by merger costs of $111.3 million related to the merger between Waste Management, Inc. and Waste Management Holdings, Inc. in July 1998 and $700.0 million related to the comprehensive review we performed of our operating assets and investments.</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30" w:name="page31"/>
    <w:bookmarkEnd w:id="30"/>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us and Texas Commerce Bank National Association, now known as Chase Bank of Texas, National Association, or "Chase Bank," and in the form filed as an exhibit to the Registration Statement of which this prospectus is a part, subject to such amendments or supplements as may be adopted from time to time.</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previously entered into a Senior Indenture dated as of September 10, 1997 with Chase Bank in the form filed as an exhibit to our Current Report on Form 8-K (file no. 1-12154) filed with the Commission on September 24, 1997. We have previously entered into a Subordinated Indenture dated as of February 1, 1997 with Chase Bank in the form filed as an exhibit to our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Reference is made to the prospectus supplement for the following terms of and information relating to the Debt Securities (to the extent such terms are applicable to such Debt Securities):</w:t>
      </w:r>
    </w:p>
    <w:p>
      <w:pPr>
        <w:spacing w:after="0" w:line="203"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that constitute Subordinated Debt Securities</w:t>
      </w:r>
    </w:p>
    <w:p>
      <w:pPr>
        <w:spacing w:after="0" w:line="21" w:lineRule="exact"/>
        <w:rPr>
          <w:sz w:val="20"/>
          <w:szCs w:val="20"/>
          <w:color w:val="auto"/>
        </w:rPr>
      </w:pPr>
    </w:p>
    <w:p>
      <w:pPr>
        <w:ind w:left="740" w:right="2099"/>
        <w:spacing w:after="0" w:line="235" w:lineRule="auto"/>
        <w:rPr>
          <w:sz w:val="20"/>
          <w:szCs w:val="20"/>
          <w:color w:val="auto"/>
        </w:rPr>
      </w:pPr>
      <w:r>
        <w:rPr>
          <w:rFonts w:ascii="Courier New" w:cs="Courier New" w:eastAsia="Courier New" w:hAnsi="Courier New"/>
          <w:sz w:val="18"/>
          <w:szCs w:val="18"/>
          <w:color w:val="auto"/>
        </w:rPr>
        <w:t>are convertible into common stock and, if so, the terms and conditions upon which such conversion will be effected,</w:t>
      </w: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767" w:gutter="0" w:footer="0" w:header="0"/>
        </w:sectPr>
      </w:pPr>
    </w:p>
    <w:bookmarkStart w:id="31" w:name="page32"/>
    <w:bookmarkEnd w:id="31"/>
    <w:p>
      <w:pPr>
        <w:ind w:left="740" w:right="1779"/>
        <w:spacing w:after="0" w:line="237" w:lineRule="auto"/>
        <w:rPr>
          <w:sz w:val="20"/>
          <w:szCs w:val="20"/>
          <w:color w:val="auto"/>
        </w:rPr>
      </w:pPr>
      <w:r>
        <w:rPr>
          <w:rFonts w:ascii="Courier New" w:cs="Courier New" w:eastAsia="Courier New" w:hAnsi="Courier New"/>
          <w:sz w:val="18"/>
          <w:szCs w:val="18"/>
          <w:color w:val="auto"/>
        </w:rPr>
        <w:t>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202" w:lineRule="exact"/>
        <w:rPr>
          <w:sz w:val="20"/>
          <w:szCs w:val="20"/>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6"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182"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per annum (or the method by which such will be determined) at which the Debt Securities will bear interest, if any, and the date from which any such interest will accrue;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mandatory or optional sinking fund or analogous provisions;</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209" w:lineRule="exact"/>
        <w:rPr>
          <w:rFonts w:ascii="Courier New" w:cs="Courier New" w:eastAsia="Courier New" w:hAnsi="Courier New"/>
          <w:sz w:val="18"/>
          <w:szCs w:val="18"/>
          <w:color w:val="auto"/>
        </w:rPr>
      </w:pPr>
    </w:p>
    <w:p>
      <w:pPr>
        <w:ind w:left="740" w:right="1999" w:hanging="205"/>
        <w:spacing w:after="0" w:line="273"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184" w:lineRule="exact"/>
        <w:rPr>
          <w:rFonts w:ascii="Courier New" w:cs="Courier New" w:eastAsia="Courier New" w:hAnsi="Courier New"/>
          <w:sz w:val="16"/>
          <w:szCs w:val="16"/>
          <w:color w:val="auto"/>
        </w:rPr>
      </w:pPr>
    </w:p>
    <w:p>
      <w:pPr>
        <w:ind w:left="740" w:right="231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used to determine the amount of payments of principal of and any premium and interest on the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Events of Default or our covenants with respect to such Debt Securities; and</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 Any prospectus supplement will also describe any special provisions for the payment of additional amounts with respect to the Debt Securities.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acceleration of the maturity thereof an amount less than the amount payable upon the Stated Maturity thereof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us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 305) 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33" w:name="page34"/>
    <w:bookmarkEnd w:id="33"/>
    <w:p>
      <w:pPr>
        <w:ind w:left="54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7" w:lineRule="exact"/>
        <w:rPr>
          <w:sz w:val="20"/>
          <w:szCs w:val="20"/>
          <w:color w:val="auto"/>
        </w:rPr>
      </w:pPr>
    </w:p>
    <w:p>
      <w:pPr>
        <w:ind w:left="740" w:right="17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207" w:lineRule="exact"/>
        <w:rPr>
          <w:rFonts w:ascii="Courier New" w:cs="Courier New" w:eastAsia="Courier New" w:hAnsi="Courier New"/>
          <w:sz w:val="18"/>
          <w:szCs w:val="18"/>
          <w:color w:val="auto"/>
        </w:rPr>
      </w:pPr>
    </w:p>
    <w:p>
      <w:pPr>
        <w:ind w:left="960" w:right="2099" w:hanging="320"/>
        <w:spacing w:after="0" w:line="236" w:lineRule="auto"/>
        <w:tabs>
          <w:tab w:leader="none" w:pos="9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only as Registered Securities, the day of mailing of the relevant notice of redemption; and</w:t>
      </w:r>
    </w:p>
    <w:p>
      <w:pPr>
        <w:spacing w:after="0" w:line="208"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8" w:lineRule="exact"/>
        <w:rPr>
          <w:rFonts w:ascii="Courier New" w:cs="Courier New" w:eastAsia="Courier New" w:hAnsi="Courier New"/>
          <w:sz w:val="18"/>
          <w:szCs w:val="18"/>
          <w:color w:val="auto"/>
        </w:rPr>
      </w:pPr>
    </w:p>
    <w:p>
      <w:pPr>
        <w:jc w:val="both"/>
        <w:ind w:left="740" w:right="2099" w:hanging="205"/>
        <w:spacing w:after="0" w:line="279"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any Bearer Security called for redemption, except to exchange such Bearer Security for a Registered Security of that series and like tenor which is immediately surrendered for redemption. (Section 305)</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1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39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Unless otherwise indicated in an applicable prospectus supplement, the Trustee for the series of Debt Securities will act as our Paying Agent for payments with respect to Debt Securities which are issuable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970" w:gutter="0" w:footer="0" w:header="0"/>
        </w:sectPr>
      </w:pPr>
    </w:p>
    <w:bookmarkStart w:id="34" w:name="page35"/>
    <w:bookmarkEnd w:id="34"/>
    <w:p>
      <w:pPr>
        <w:ind w:right="1779"/>
        <w:spacing w:after="0" w:line="269" w:lineRule="auto"/>
        <w:rPr>
          <w:sz w:val="20"/>
          <w:szCs w:val="20"/>
          <w:color w:val="auto"/>
        </w:rPr>
      </w:pPr>
      <w:r>
        <w:rPr>
          <w:rFonts w:ascii="Courier New" w:cs="Courier New" w:eastAsia="Courier New" w:hAnsi="Courier New"/>
          <w:sz w:val="16"/>
          <w:szCs w:val="16"/>
          <w:color w:val="auto"/>
        </w:rPr>
        <w:t>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68" w:lineRule="auto"/>
        <w:rPr>
          <w:sz w:val="20"/>
          <w:szCs w:val="20"/>
          <w:color w:val="auto"/>
        </w:rPr>
      </w:pPr>
      <w:r>
        <w:rPr>
          <w:rFonts w:ascii="Courier New" w:cs="Courier New" w:eastAsia="Courier New" w:hAnsi="Courier New"/>
          <w:sz w:val="16"/>
          <w:szCs w:val="16"/>
          <w:color w:val="auto"/>
        </w:rPr>
        <w:t>such series on the Stated Maturity of such payments in accordance with the terms of such Indenture and the Debt Securities of such series. (Sections 1302, 1304) Such a trust may only be established if, among other things, we have delivered to the Trustee an Opinion of Counsel to the effect that (i) we have received from, or there has been published by, the Internal Revenue Service a ruling, or</w:t>
      </w:r>
    </w:p>
    <w:p>
      <w:pPr>
        <w:spacing w:after="0" w:line="1" w:lineRule="exact"/>
        <w:rPr>
          <w:sz w:val="20"/>
          <w:szCs w:val="20"/>
          <w:color w:val="auto"/>
        </w:rPr>
      </w:pPr>
    </w:p>
    <w:p>
      <w:pPr>
        <w:ind w:right="1779" w:firstLine="8"/>
        <w:spacing w:after="0" w:line="237" w:lineRule="auto"/>
        <w:tabs>
          <w:tab w:leader="none" w:pos="52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Meetings, Modification and Waiver. We and the Trustee may modify and amend either Indenture with the consent of the Holders of a majority in aggregate principal amount of the Outstanding Securities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6" w:name="page37"/>
    <w:bookmarkEnd w:id="36"/>
    <w:p>
      <w:pPr>
        <w:ind w:right="1779"/>
        <w:spacing w:after="0" w:line="236" w:lineRule="auto"/>
        <w:rPr>
          <w:sz w:val="20"/>
          <w:szCs w:val="20"/>
          <w:color w:val="auto"/>
        </w:rPr>
      </w:pPr>
      <w:r>
        <w:rPr>
          <w:rFonts w:ascii="Courier New" w:cs="Courier New" w:eastAsia="Courier New" w:hAnsi="Courier New"/>
          <w:sz w:val="18"/>
          <w:szCs w:val="18"/>
          <w:color w:val="auto"/>
        </w:rPr>
        <w:t>of each series affected by such modification or amendment; provided, however, that no such modification or amendment may, without the consent of the Holder of each Outstanding Security affected thereby:</w:t>
      </w:r>
    </w:p>
    <w:p>
      <w:pPr>
        <w:spacing w:after="0" w:line="209" w:lineRule="exact"/>
        <w:rPr>
          <w:sz w:val="20"/>
          <w:szCs w:val="20"/>
          <w:color w:val="auto"/>
        </w:rPr>
      </w:pPr>
    </w:p>
    <w:p>
      <w:pPr>
        <w:ind w:left="540" w:right="17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Debt Security;</w:t>
      </w:r>
    </w:p>
    <w:p>
      <w:pPr>
        <w:spacing w:after="0" w:line="206"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6" w:lineRule="exact"/>
        <w:rPr>
          <w:rFonts w:ascii="Courier New" w:cs="Courier New" w:eastAsia="Courier New" w:hAnsi="Courier New"/>
          <w:sz w:val="18"/>
          <w:szCs w:val="18"/>
          <w:color w:val="auto"/>
        </w:rPr>
      </w:pPr>
    </w:p>
    <w:p>
      <w:pPr>
        <w:ind w:left="540" w:right="2419" w:firstLine="521"/>
        <w:spacing w:after="0" w:line="290" w:lineRule="auto"/>
        <w:tabs>
          <w:tab w:leader="none" w:pos="148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 Original Issue Discount Security payable upon acceleration of the Maturity thereof;</w:t>
      </w:r>
    </w:p>
    <w:p>
      <w:pPr>
        <w:spacing w:after="0" w:line="169" w:lineRule="exact"/>
        <w:rPr>
          <w:rFonts w:ascii="Courier New" w:cs="Courier New" w:eastAsia="Courier New" w:hAnsi="Courier New"/>
          <w:sz w:val="16"/>
          <w:szCs w:val="16"/>
          <w:color w:val="auto"/>
        </w:rPr>
      </w:pPr>
    </w:p>
    <w:p>
      <w:pPr>
        <w:ind w:left="540" w:right="231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8" w:lineRule="exact"/>
        <w:rPr>
          <w:rFonts w:ascii="Courier New" w:cs="Courier New" w:eastAsia="Courier New" w:hAnsi="Courier New"/>
          <w:sz w:val="18"/>
          <w:szCs w:val="18"/>
          <w:color w:val="auto"/>
        </w:rPr>
      </w:pPr>
    </w:p>
    <w:p>
      <w:pPr>
        <w:ind w:left="540" w:right="2199" w:firstLine="521"/>
        <w:spacing w:after="0" w:line="237"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requirements contained in such Indenture for quorum or</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voting;</w:t>
      </w:r>
    </w:p>
    <w:p>
      <w:pPr>
        <w:spacing w:after="0" w:line="207" w:lineRule="exact"/>
        <w:rPr>
          <w:rFonts w:ascii="Courier New" w:cs="Courier New" w:eastAsia="Courier New" w:hAnsi="Courier New"/>
          <w:sz w:val="16"/>
          <w:szCs w:val="16"/>
          <w:color w:val="auto"/>
        </w:rPr>
      </w:pPr>
    </w:p>
    <w:p>
      <w:pPr>
        <w:ind w:left="540" w:right="18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208" w:lineRule="exact"/>
        <w:rPr>
          <w:sz w:val="20"/>
          <w:szCs w:val="20"/>
          <w:color w:val="auto"/>
        </w:rPr>
      </w:pPr>
    </w:p>
    <w:p>
      <w:pPr>
        <w:ind w:left="540" w:right="2939" w:firstLine="521"/>
        <w:spacing w:after="0" w:line="235"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 modify any of the above provisions. (Section 902)</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defined below under "-- Provisions Applicable Solely to Subordinated Debt Securities") then outstanding that would be adversely affected thereby. (Section 907 of the Subordinated Debt Indenture)</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0" w:gutter="0" w:footer="0" w:header="0"/>
        </w:sectPr>
      </w:pPr>
    </w:p>
    <w:bookmarkStart w:id="37" w:name="page38"/>
    <w:bookmarkEnd w:id="37"/>
    <w:p>
      <w:pPr>
        <w:ind w:right="2099"/>
        <w:spacing w:after="0" w:line="236" w:lineRule="auto"/>
        <w:rPr>
          <w:sz w:val="20"/>
          <w:szCs w:val="20"/>
          <w:color w:val="auto"/>
        </w:rPr>
      </w:pPr>
      <w:r>
        <w:rPr>
          <w:rFonts w:ascii="Courier New" w:cs="Courier New" w:eastAsia="Courier New" w:hAnsi="Courier New"/>
          <w:sz w:val="18"/>
          <w:szCs w:val="18"/>
          <w:color w:val="auto"/>
        </w:rPr>
        <w:t>Security, the U.S. dollar equivalent, determined on the date of original issuance of such Security, of the amount determined as provided in (i) above. (Section 101)</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86"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each of the Senior Debt Indenture and the Subordinated Debt Indenture is Chase Bank.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59"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we would be required to take prompt steps to have a successor trustee or successor trustees appointed in the manner provided in the applicable Indenture.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Chase Bank,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ind w:right="1779" w:firstLine="8"/>
        <w:spacing w:after="0" w:line="238" w:lineRule="auto"/>
        <w:tabs>
          <w:tab w:leader="none" w:pos="5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jc w:val="both"/>
        <w:ind w:left="540" w:right="2319" w:firstLine="521"/>
        <w:spacing w:after="0" w:line="268" w:lineRule="auto"/>
        <w:tabs>
          <w:tab w:leader="none" w:pos="148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w:t>
      </w:r>
    </w:p>
    <w:p>
      <w:pPr>
        <w:ind w:left="4220"/>
        <w:spacing w:after="0" w:line="233" w:lineRule="auto"/>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363" w:gutter="0" w:footer="0" w:header="0"/>
        </w:sectPr>
      </w:pPr>
    </w:p>
    <w:bookmarkStart w:id="39" w:name="page40"/>
    <w:bookmarkEnd w:id="39"/>
    <w:p>
      <w:pPr>
        <w:jc w:val="both"/>
        <w:ind w:left="540" w:right="2419"/>
        <w:spacing w:after="0" w:line="279" w:lineRule="auto"/>
        <w:rPr>
          <w:sz w:val="20"/>
          <w:szCs w:val="20"/>
          <w:color w:val="auto"/>
        </w:rPr>
      </w:pPr>
      <w:r>
        <w:rPr>
          <w:rFonts w:ascii="Courier New" w:cs="Courier New" w:eastAsia="Courier New" w:hAnsi="Courier New"/>
          <w:sz w:val="16"/>
          <w:szCs w:val="16"/>
          <w:color w:val="auto"/>
        </w:rPr>
        <w:t>debentures, notes or other similar instruments) or on which interest charges are customarily paid, all as shown on a balance sheet of such Person as of the date at which Indebtedness is to be determined;</w:t>
      </w:r>
    </w:p>
    <w:p>
      <w:pPr>
        <w:spacing w:after="0" w:line="178" w:lineRule="exact"/>
        <w:rPr>
          <w:sz w:val="20"/>
          <w:szCs w:val="20"/>
          <w:color w:val="auto"/>
        </w:rPr>
      </w:pPr>
    </w:p>
    <w:p>
      <w:pPr>
        <w:ind w:left="540" w:right="1779" w:firstLine="521"/>
        <w:spacing w:after="0" w:line="237" w:lineRule="auto"/>
        <w:tabs>
          <w:tab w:leader="none" w:pos="148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808"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8"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Consolidation, Merger, Sale. The Senior Debt Indenture provides that we may not consolidate with or merge into any other Person or convey, transfer or lease our properties and assets substantially as an entirety to any Person, unless (1) 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to be performed or observed on our part; and (2) 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w:t>
      </w: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970"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Limitation on Liens. Unless provided otherwise in the applicable prospectus supplement, the provisions of this covenant shall apply to each series of Senior Debt Securities issued under the Senior Debt Indenture:</w:t>
      </w:r>
    </w:p>
    <w:p>
      <w:pPr>
        <w:spacing w:after="0" w:line="209" w:lineRule="exact"/>
        <w:rPr>
          <w:sz w:val="20"/>
          <w:szCs w:val="20"/>
          <w:color w:val="auto"/>
        </w:rPr>
      </w:pPr>
    </w:p>
    <w:p>
      <w:pPr>
        <w:ind w:left="540" w:right="1779" w:firstLine="521"/>
        <w:spacing w:after="0" w:line="270" w:lineRule="auto"/>
        <w:tabs>
          <w:tab w:leader="none" w:pos="148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we will not permit any of our Restricted Subsidiaries to, create, incur, assume or suffer to exist, directly or indirectly, any Indebtedness secured by a Security Interest upon any Principal Property of us or of a Restricted Subsidiary, whether owned as of the date of this Indenture or hereafter acquired, without making effective provision (and we hereby covenant that in any such case we shall make or cause to be made effective provision) whereby the Senior Debt Securities of that series then outstanding and any other Indebtedness of us or any Restricted Subsidiary then entitled thereto shall be secured by such Security Interest equally and ratably with (or, in the case of the Senior Debt Securities of that series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386" w:lineRule="exact"/>
        <w:rPr>
          <w:rFonts w:ascii="Courier New" w:cs="Courier New" w:eastAsia="Courier New" w:hAnsi="Courier New"/>
          <w:sz w:val="16"/>
          <w:szCs w:val="16"/>
          <w:color w:val="auto"/>
        </w:rPr>
      </w:pPr>
    </w:p>
    <w:p>
      <w:pPr>
        <w:ind w:left="860" w:right="2099" w:firstLine="517"/>
        <w:spacing w:after="0" w:line="268" w:lineRule="auto"/>
        <w:tabs>
          <w:tab w:leader="none" w:pos="1808"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60" w:right="1779" w:hanging="9"/>
        <w:spacing w:after="0" w:line="269" w:lineRule="auto"/>
        <w:tabs>
          <w:tab w:leader="none" w:pos="12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of the covenant described in "-- Provisions Applicable Solely to Senior Debt</w:t>
      </w:r>
    </w:p>
    <w:p>
      <w:pPr>
        <w:spacing w:after="0" w:line="39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 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208" w:lineRule="exact"/>
        <w:rPr>
          <w:rFonts w:ascii="Courier New" w:cs="Courier New" w:eastAsia="Courier New" w:hAnsi="Courier New"/>
          <w:sz w:val="16"/>
          <w:szCs w:val="16"/>
          <w:color w:val="auto"/>
        </w:rPr>
      </w:pPr>
    </w:p>
    <w:p>
      <w:pPr>
        <w:ind w:left="860" w:right="2099" w:firstLine="517"/>
        <w:spacing w:after="0" w:line="237" w:lineRule="auto"/>
        <w:tabs>
          <w:tab w:leader="none" w:pos="1808"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left="860" w:right="1779" w:firstLine="517"/>
        <w:spacing w:after="0" w:line="271" w:lineRule="auto"/>
        <w:tabs>
          <w:tab w:leader="none" w:pos="1808"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362" w:gutter="0" w:footer="0" w:header="0"/>
        </w:sectPr>
      </w:pPr>
    </w:p>
    <w:bookmarkStart w:id="41" w:name="page42"/>
    <w:bookmarkEnd w:id="41"/>
    <w:p>
      <w:pPr>
        <w:ind w:left="320" w:right="1879"/>
        <w:spacing w:after="0" w:line="235" w:lineRule="auto"/>
        <w:rPr>
          <w:sz w:val="20"/>
          <w:szCs w:val="20"/>
          <w:color w:val="auto"/>
        </w:rPr>
      </w:pPr>
      <w:r>
        <w:rPr>
          <w:rFonts w:ascii="Courier New" w:cs="Courier New" w:eastAsia="Courier New" w:hAnsi="Courier New"/>
          <w:sz w:val="18"/>
          <w:szCs w:val="18"/>
          <w:color w:val="auto"/>
        </w:rPr>
        <w:t>international waste management contract to be performed by us or any of our Subsidiaries or our or their respective affiliates); or</w:t>
      </w:r>
    </w:p>
    <w:p>
      <w:pPr>
        <w:spacing w:after="0" w:line="208" w:lineRule="exact"/>
        <w:rPr>
          <w:sz w:val="20"/>
          <w:szCs w:val="20"/>
          <w:color w:val="auto"/>
        </w:rPr>
      </w:pPr>
    </w:p>
    <w:p>
      <w:pPr>
        <w:ind w:left="320" w:right="1779" w:firstLine="517"/>
        <w:spacing w:after="0" w:line="237" w:lineRule="auto"/>
        <w:tabs>
          <w:tab w:leader="none" w:pos="126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left="320" w:right="1879" w:firstLine="517"/>
        <w:spacing w:after="0" w:line="237" w:lineRule="auto"/>
        <w:tabs>
          <w:tab w:leader="none" w:pos="126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ind w:left="320" w:right="1999" w:firstLine="517"/>
        <w:spacing w:after="0" w:line="290" w:lineRule="auto"/>
        <w:tabs>
          <w:tab w:leader="none" w:pos="126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us or any Restricted Subsidiary in the ordinary course of business; or</w:t>
      </w:r>
    </w:p>
    <w:p>
      <w:pPr>
        <w:spacing w:after="0" w:line="169" w:lineRule="exact"/>
        <w:rPr>
          <w:rFonts w:ascii="Courier New" w:cs="Courier New" w:eastAsia="Courier New" w:hAnsi="Courier New"/>
          <w:sz w:val="16"/>
          <w:szCs w:val="16"/>
          <w:color w:val="auto"/>
        </w:rPr>
      </w:pPr>
    </w:p>
    <w:p>
      <w:pPr>
        <w:jc w:val="both"/>
        <w:ind w:left="320" w:right="1779" w:firstLine="517"/>
        <w:spacing w:after="0" w:line="236" w:lineRule="auto"/>
        <w:tabs>
          <w:tab w:leader="none" w:pos="126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left="320" w:right="1879" w:firstLine="517"/>
        <w:spacing w:after="0" w:line="279" w:lineRule="auto"/>
        <w:tabs>
          <w:tab w:leader="none" w:pos="126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Restricted Subsidiary to conduct business, to maintain self-insurance, or to obtain the benefit of, or comply with, laws; or</w:t>
      </w:r>
    </w:p>
    <w:p>
      <w:pPr>
        <w:spacing w:after="0" w:line="178" w:lineRule="exact"/>
        <w:rPr>
          <w:rFonts w:ascii="Courier New" w:cs="Courier New" w:eastAsia="Courier New" w:hAnsi="Courier New"/>
          <w:sz w:val="16"/>
          <w:szCs w:val="16"/>
          <w:color w:val="auto"/>
        </w:rPr>
      </w:pPr>
    </w:p>
    <w:p>
      <w:pPr>
        <w:ind w:left="320" w:right="1779" w:firstLine="517"/>
        <w:spacing w:after="0" w:line="236" w:lineRule="auto"/>
        <w:tabs>
          <w:tab w:leader="none" w:pos="126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320" w:right="1999" w:firstLine="517"/>
        <w:spacing w:after="0" w:line="236" w:lineRule="auto"/>
        <w:tabs>
          <w:tab w:leader="none" w:pos="137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320" w:right="1779" w:firstLine="517"/>
        <w:spacing w:after="0" w:line="237" w:lineRule="auto"/>
        <w:tabs>
          <w:tab w:leader="none" w:pos="137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213" w:lineRule="exact"/>
        <w:rPr>
          <w:rFonts w:ascii="Courier New" w:cs="Courier New" w:eastAsia="Courier New" w:hAnsi="Courier New"/>
          <w:sz w:val="18"/>
          <w:szCs w:val="18"/>
          <w:color w:val="auto"/>
        </w:rPr>
      </w:pPr>
    </w:p>
    <w:p>
      <w:pPr>
        <w:ind w:left="320" w:right="1779" w:firstLine="517"/>
        <w:spacing w:after="0" w:line="271" w:lineRule="auto"/>
        <w:tabs>
          <w:tab w:leader="none" w:pos="137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the foregoing provisions, we or any of our Restricted Subsidiaries may create, incur, assume or suffer to exist any Indebtedness secured by a Security Interest without so securing the Senior Debt Securities of that series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w:t>
      </w:r>
    </w:p>
    <w:p>
      <w:pPr>
        <w:spacing w:after="0" w:line="19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Securities -- Limitations on Sale and Leaseback Transactions" and other than Sale and Leaseback Transactions between us and any Restricted Subsidiary) does not exceed 15% of Consolidated Net Tangible Assets. (Section 1008 of the Senior Debt Indenture)</w:t>
      </w:r>
    </w:p>
    <w:p>
      <w:pPr>
        <w:spacing w:after="0" w:line="202"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679"/>
          </w:cols>
          <w:pgMar w:left="780" w:top="723" w:right="1440" w:bottom="970" w:gutter="0" w:footer="0" w:header="0"/>
        </w:sectPr>
      </w:pPr>
    </w:p>
    <w:bookmarkStart w:id="42" w:name="page43"/>
    <w:bookmarkEnd w:id="42"/>
    <w:p>
      <w:pPr>
        <w:ind w:left="540" w:right="1779" w:firstLine="521"/>
        <w:spacing w:after="0" w:line="238" w:lineRule="auto"/>
        <w:tabs>
          <w:tab w:leader="none" w:pos="148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 (a) we or such Restricted Subsidiary would be entitled, pursuant to the covenant described in "-- Provisions Applicable Solely to Senior Debt Securities -- Limitation on Liens," to incur Indebtedness secured by a Security Interest on the property to be leased without equally and ratably securing the Senior Debt Securities of that series, or (b) we shall, and in any such case we covenant that we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us which ranks senior to or pari passu with the Senior Debt Securities of that series or of funded debt for money borrowed, incurred or assumed by any Restricted Subsidiary (other than, in either case, funded debt owed by us or any Restricted Subsidiary), or</w:t>
      </w:r>
    </w:p>
    <w:p>
      <w:pPr>
        <w:spacing w:after="0" w:line="191" w:lineRule="exact"/>
        <w:rPr>
          <w:sz w:val="20"/>
          <w:szCs w:val="20"/>
          <w:color w:val="auto"/>
        </w:rPr>
      </w:pPr>
    </w:p>
    <w:p>
      <w:pPr>
        <w:ind w:right="1879" w:firstLine="8"/>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215"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82" w:lineRule="exact"/>
        <w:rPr>
          <w:sz w:val="20"/>
          <w:szCs w:val="20"/>
          <w:color w:val="auto"/>
        </w:rPr>
      </w:pPr>
    </w:p>
    <w:p>
      <w:pPr>
        <w:ind w:left="540" w:right="1779" w:firstLine="521"/>
        <w:spacing w:after="0" w:line="236"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of that series when it becomes due and payable, and continuance of such default for a period of 30 days;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767" w:gutter="0" w:footer="0" w:header="0"/>
        </w:sectPr>
      </w:pPr>
    </w:p>
    <w:bookmarkStart w:id="43" w:name="page44"/>
    <w:bookmarkEnd w:id="43"/>
    <w:p>
      <w:pPr>
        <w:jc w:val="both"/>
        <w:ind w:left="540" w:right="1779" w:firstLine="521"/>
        <w:spacing w:after="0" w:line="23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7"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390"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396" w:lineRule="exact"/>
        <w:rPr>
          <w:rFonts w:ascii="Courier New" w:cs="Courier New" w:eastAsia="Courier New" w:hAnsi="Courier New"/>
          <w:sz w:val="16"/>
          <w:szCs w:val="16"/>
          <w:color w:val="auto"/>
        </w:rPr>
      </w:pPr>
    </w:p>
    <w:p>
      <w:pPr>
        <w:ind w:left="540" w:right="2099" w:firstLine="521"/>
        <w:spacing w:after="0" w:line="290" w:lineRule="auto"/>
        <w:tabs>
          <w:tab w:leader="none" w:pos="1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Senior Debt Securities of that series. (Section 501 of the Senior Debt Indenture)</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Remedies. 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44" w:name="page45"/>
    <w:bookmarkEnd w:id="44"/>
    <w:p>
      <w:pPr>
        <w:ind w:right="1879"/>
        <w:spacing w:after="0" w:line="236" w:lineRule="auto"/>
        <w:rPr>
          <w:sz w:val="20"/>
          <w:szCs w:val="20"/>
          <w:color w:val="auto"/>
        </w:rPr>
      </w:pPr>
      <w:r>
        <w:rPr>
          <w:rFonts w:ascii="Courier New" w:cs="Courier New" w:eastAsia="Courier New" w:hAnsi="Courier New"/>
          <w:sz w:val="18"/>
          <w:szCs w:val="18"/>
          <w:color w:val="auto"/>
        </w:rPr>
        <w:t>Holders of a majority in principal amount of the Outstanding Senior Debt Securities of that series, by written notice to us and the Trustee, may rescind and annul such declaration and its consequences if: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we have paid or deposited with the Trustee a sum sufficient to</w:t>
      </w:r>
    </w:p>
    <w:p>
      <w:pPr>
        <w:ind w:left="540"/>
        <w:spacing w:after="0" w:line="238" w:lineRule="auto"/>
        <w:rPr>
          <w:sz w:val="20"/>
          <w:szCs w:val="20"/>
          <w:color w:val="auto"/>
        </w:rPr>
      </w:pPr>
      <w:r>
        <w:rPr>
          <w:rFonts w:ascii="Courier New" w:cs="Courier New" w:eastAsia="Courier New" w:hAnsi="Courier New"/>
          <w:sz w:val="18"/>
          <w:szCs w:val="18"/>
          <w:color w:val="auto"/>
        </w:rPr>
        <w:t>pay:</w:t>
      </w:r>
    </w:p>
    <w:p>
      <w:pPr>
        <w:spacing w:after="0" w:line="202" w:lineRule="exact"/>
        <w:rPr>
          <w:sz w:val="20"/>
          <w:szCs w:val="20"/>
          <w:color w:val="auto"/>
        </w:rPr>
      </w:pPr>
    </w:p>
    <w:p>
      <w:pPr>
        <w:ind w:left="1800" w:hanging="423"/>
        <w:spacing w:after="0"/>
        <w:tabs>
          <w:tab w:leader="none" w:pos="18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207" w:lineRule="exact"/>
        <w:rPr>
          <w:rFonts w:ascii="Courier New" w:cs="Courier New" w:eastAsia="Courier New" w:hAnsi="Courier New"/>
          <w:sz w:val="18"/>
          <w:szCs w:val="18"/>
          <w:color w:val="auto"/>
        </w:rPr>
      </w:pPr>
    </w:p>
    <w:p>
      <w:pPr>
        <w:ind w:left="860" w:right="2099" w:firstLine="517"/>
        <w:spacing w:after="0" w:line="237" w:lineRule="auto"/>
        <w:tabs>
          <w:tab w:leader="none" w:pos="180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therefor in such Senior Debt Securities;</w:t>
      </w:r>
    </w:p>
    <w:p>
      <w:pPr>
        <w:spacing w:after="0" w:line="207"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Senior Debt Securities; and</w:t>
      </w:r>
    </w:p>
    <w:p>
      <w:pPr>
        <w:spacing w:after="0" w:line="208" w:lineRule="exact"/>
        <w:rPr>
          <w:rFonts w:ascii="Courier New" w:cs="Courier New" w:eastAsia="Courier New" w:hAnsi="Courier New"/>
          <w:sz w:val="18"/>
          <w:szCs w:val="18"/>
          <w:color w:val="auto"/>
        </w:rPr>
      </w:pPr>
    </w:p>
    <w:p>
      <w:pPr>
        <w:ind w:left="860" w:right="2199" w:firstLine="517"/>
        <w:spacing w:after="0" w:line="236" w:lineRule="auto"/>
        <w:tabs>
          <w:tab w:leader="none" w:pos="180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w:t>
      </w:r>
    </w:p>
    <w:p>
      <w:pPr>
        <w:spacing w:after="0" w:line="184" w:lineRule="exact"/>
        <w:rPr>
          <w:sz w:val="20"/>
          <w:szCs w:val="20"/>
          <w:color w:val="auto"/>
        </w:rPr>
      </w:pPr>
    </w:p>
    <w:p>
      <w:pPr>
        <w:ind w:left="540" w:right="1779" w:firstLine="521"/>
        <w:spacing w:after="0" w:line="236"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Senior Debt Securities of that series shall have made written request to the Trustee to institute proceedings in respect of such Event of Default in its own name as Trustee under the Senior Debt Indenture;</w:t>
      </w:r>
    </w:p>
    <w:p>
      <w:pPr>
        <w:spacing w:after="0" w:line="207"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540" w:right="1879" w:firstLine="521"/>
        <w:spacing w:after="0" w:line="290" w:lineRule="auto"/>
        <w:tabs>
          <w:tab w:leader="none" w:pos="148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Senior Debt Securities of that series. (Section 507 of the Senior Debt Indenture)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w:t>
      </w: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0" w:gutter="0" w:footer="0" w:header="0"/>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rPr>
        <w:t>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8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185" w:lineRule="exact"/>
        <w:rPr>
          <w:sz w:val="20"/>
          <w:szCs w:val="20"/>
          <w:color w:val="auto"/>
        </w:rPr>
      </w:pPr>
    </w:p>
    <w:p>
      <w:pPr>
        <w:ind w:left="540" w:right="1779" w:firstLine="521"/>
        <w:spacing w:after="0" w:line="271"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87" w:lineRule="exact"/>
        <w:rPr>
          <w:rFonts w:ascii="Courier New" w:cs="Courier New" w:eastAsia="Courier New" w:hAnsi="Courier New"/>
          <w:sz w:val="16"/>
          <w:szCs w:val="16"/>
          <w:color w:val="auto"/>
        </w:rPr>
      </w:pPr>
    </w:p>
    <w:p>
      <w:pPr>
        <w:ind w:left="540" w:right="1879" w:firstLine="521"/>
        <w:spacing w:after="0" w:line="235" w:lineRule="auto"/>
        <w:tabs>
          <w:tab w:leader="none" w:pos="15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w:t>
      </w:r>
    </w:p>
    <w:p>
      <w:pPr>
        <w:spacing w:after="0" w:line="210"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w:t>
      </w:r>
    </w:p>
    <w:p>
      <w:pPr>
        <w:ind w:left="4220"/>
        <w:spacing w:after="0" w:line="234" w:lineRule="auto"/>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Debt Securities to whom amounts are payable under the Senior Debt Indenture.</w:t>
      </w:r>
    </w:p>
    <w:p>
      <w:pPr>
        <w:spacing w:after="0" w:line="238" w:lineRule="auto"/>
        <w:rPr>
          <w:sz w:val="20"/>
          <w:szCs w:val="20"/>
          <w:color w:val="auto"/>
        </w:rPr>
      </w:pPr>
      <w:r>
        <w:rPr>
          <w:rFonts w:ascii="Courier New" w:cs="Courier New" w:eastAsia="Courier New" w:hAnsi="Courier New"/>
          <w:sz w:val="18"/>
          <w:szCs w:val="18"/>
          <w:color w:val="auto"/>
        </w:rPr>
        <w:t>(Sections 506, 902 of the Senior Debt Indenture)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us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us on the claim or claims underlying such judgment. (Section 506 of the Senior Debt Indenture)</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Consolidation, Merger, Sale. The Subordinated Debt Indenture provides that we may not consolidate with or merge into any other Person or convey, transfer or lease its properties and assets substantially as an entirety to any Person, unless (1) 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 (2) 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82" w:lineRule="exact"/>
        <w:rPr>
          <w:sz w:val="20"/>
          <w:szCs w:val="20"/>
          <w:color w:val="auto"/>
        </w:rPr>
      </w:pPr>
    </w:p>
    <w:p>
      <w:pPr>
        <w:ind w:left="540" w:right="1779" w:firstLine="521"/>
        <w:spacing w:after="0" w:line="236"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Subordinated Debt Security of that series when it becomes due and payable, and continuance of such default for a period of 30 days;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47" w:name="page48"/>
    <w:bookmarkEnd w:id="47"/>
    <w:p>
      <w:pPr>
        <w:ind w:left="540" w:right="2099" w:firstLine="521"/>
        <w:spacing w:after="0" w:line="237" w:lineRule="auto"/>
        <w:tabs>
          <w:tab w:leader="none" w:pos="14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Subordinated Debt Security of that series; or</w:t>
      </w:r>
    </w:p>
    <w:p>
      <w:pPr>
        <w:spacing w:after="0" w:line="208"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389" w:lineRule="exact"/>
        <w:rPr>
          <w:rFonts w:ascii="Courier New" w:cs="Courier New" w:eastAsia="Courier New" w:hAnsi="Courier New"/>
          <w:sz w:val="16"/>
          <w:szCs w:val="16"/>
          <w:color w:val="auto"/>
        </w:rPr>
      </w:pPr>
    </w:p>
    <w:p>
      <w:pPr>
        <w:ind w:left="540" w:right="1779" w:firstLine="521"/>
        <w:spacing w:after="0" w:line="270" w:lineRule="auto"/>
        <w:tabs>
          <w:tab w:leader="none" w:pos="14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390"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396" w:lineRule="exact"/>
        <w:rPr>
          <w:rFonts w:ascii="Courier New" w:cs="Courier New" w:eastAsia="Courier New" w:hAnsi="Courier New"/>
          <w:sz w:val="16"/>
          <w:szCs w:val="16"/>
          <w:color w:val="auto"/>
        </w:rPr>
      </w:pPr>
    </w:p>
    <w:p>
      <w:pPr>
        <w:ind w:left="540" w:right="1999" w:firstLine="521"/>
        <w:spacing w:after="0" w:line="236" w:lineRule="auto"/>
        <w:tabs>
          <w:tab w:leader="none" w:pos="14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48" w:name="page49"/>
    <w:bookmarkEnd w:id="48"/>
    <w:p>
      <w:pPr>
        <w:ind w:right="2199"/>
        <w:spacing w:after="0" w:line="235" w:lineRule="auto"/>
        <w:rPr>
          <w:sz w:val="20"/>
          <w:szCs w:val="20"/>
          <w:color w:val="auto"/>
        </w:rPr>
      </w:pPr>
      <w:r>
        <w:rPr>
          <w:rFonts w:ascii="Courier New" w:cs="Courier New" w:eastAsia="Courier New" w:hAnsi="Courier New"/>
          <w:sz w:val="18"/>
          <w:szCs w:val="18"/>
          <w:color w:val="auto"/>
        </w:rPr>
        <w:t>Debt Securities of that series, by written notice to us and the Trustee, may rescind and annul such declaration and its consequences if: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we have paid or deposited with the Trustee a sum sufficient to</w:t>
      </w:r>
    </w:p>
    <w:p>
      <w:pPr>
        <w:ind w:left="540"/>
        <w:spacing w:after="0" w:line="238" w:lineRule="auto"/>
        <w:rPr>
          <w:sz w:val="20"/>
          <w:szCs w:val="20"/>
          <w:color w:val="auto"/>
        </w:rPr>
      </w:pPr>
      <w:r>
        <w:rPr>
          <w:rFonts w:ascii="Courier New" w:cs="Courier New" w:eastAsia="Courier New" w:hAnsi="Courier New"/>
          <w:sz w:val="18"/>
          <w:szCs w:val="18"/>
          <w:color w:val="auto"/>
        </w:rPr>
        <w:t>pay:</w:t>
      </w:r>
    </w:p>
    <w:p>
      <w:pPr>
        <w:spacing w:after="0" w:line="207" w:lineRule="exact"/>
        <w:rPr>
          <w:sz w:val="20"/>
          <w:szCs w:val="20"/>
          <w:color w:val="auto"/>
        </w:rPr>
      </w:pPr>
    </w:p>
    <w:p>
      <w:pPr>
        <w:ind w:left="860" w:right="2199" w:firstLine="517"/>
        <w:spacing w:after="0" w:line="235" w:lineRule="auto"/>
        <w:tabs>
          <w:tab w:leader="none" w:pos="180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 series;</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7"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208" w:lineRule="exact"/>
        <w:rPr>
          <w:rFonts w:ascii="Courier New" w:cs="Courier New" w:eastAsia="Courier New" w:hAnsi="Courier New"/>
          <w:sz w:val="18"/>
          <w:szCs w:val="18"/>
          <w:color w:val="auto"/>
        </w:rPr>
      </w:pPr>
    </w:p>
    <w:p>
      <w:pPr>
        <w:ind w:left="860" w:right="2199" w:firstLine="517"/>
        <w:spacing w:after="0" w:line="236" w:lineRule="auto"/>
        <w:tabs>
          <w:tab w:leader="none" w:pos="180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w:t>
      </w:r>
    </w:p>
    <w:p>
      <w:pPr>
        <w:spacing w:after="0" w:line="215" w:lineRule="exact"/>
        <w:rPr>
          <w:sz w:val="20"/>
          <w:szCs w:val="20"/>
          <w:color w:val="auto"/>
        </w:rPr>
      </w:pPr>
    </w:p>
    <w:p>
      <w:pPr>
        <w:ind w:left="540" w:right="1879" w:firstLine="521"/>
        <w:spacing w:after="0" w:line="236"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540" w:right="1879" w:firstLine="521"/>
        <w:spacing w:after="0" w:line="290" w:lineRule="auto"/>
        <w:tabs>
          <w:tab w:leader="none" w:pos="14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540" w:right="1779" w:firstLine="521"/>
        <w:spacing w:after="0" w:line="275" w:lineRule="auto"/>
        <w:tabs>
          <w:tab w:leader="none" w:pos="14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9" w:name="page50"/>
    <w:bookmarkEnd w:id="49"/>
    <w:p>
      <w:pPr>
        <w:ind w:right="1879"/>
        <w:spacing w:after="0" w:line="237" w:lineRule="auto"/>
        <w:rPr>
          <w:sz w:val="20"/>
          <w:szCs w:val="20"/>
          <w:color w:val="auto"/>
        </w:rPr>
      </w:pPr>
      <w:r>
        <w:rPr>
          <w:rFonts w:ascii="Courier New" w:cs="Courier New" w:eastAsia="Courier New" w:hAnsi="Courier New"/>
          <w:sz w:val="18"/>
          <w:szCs w:val="18"/>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10" w:lineRule="exact"/>
        <w:rPr>
          <w:sz w:val="20"/>
          <w:szCs w:val="20"/>
          <w:color w:val="auto"/>
        </w:rPr>
      </w:pPr>
    </w:p>
    <w:p>
      <w:pPr>
        <w:ind w:left="540" w:right="1999" w:firstLine="521"/>
        <w:spacing w:after="0" w:line="237" w:lineRule="auto"/>
        <w:tabs>
          <w:tab w:leader="none" w:pos="148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212"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69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767" w:gutter="0" w:footer="0" w:header="0"/>
        </w:sectPr>
      </w:pPr>
    </w:p>
    <w:bookmarkStart w:id="50" w:name="page51"/>
    <w:bookmarkEnd w:id="50"/>
    <w:p>
      <w:pPr>
        <w:ind w:left="540" w:right="2099"/>
        <w:spacing w:after="0" w:line="237" w:lineRule="auto"/>
        <w:rPr>
          <w:sz w:val="20"/>
          <w:szCs w:val="20"/>
          <w:color w:val="auto"/>
        </w:rPr>
      </w:pPr>
      <w:r>
        <w:rPr>
          <w:rFonts w:ascii="Courier New" w:cs="Courier New" w:eastAsia="Courier New" w:hAnsi="Courier New"/>
          <w:sz w:val="18"/>
          <w:szCs w:val="18"/>
          <w:color w:val="auto"/>
        </w:rPr>
        <w:t>calculate as to each Holder of a Subordinated Debt Security to whom an amount is owed under the Subordinated Debt Indenture the fraction of the amount collected under the Subordinated Debt Indenture payable to such Holder.</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we benefit from any windfall in payments to Holders of Subordinated Debt Securities under the Subordinated Debt Indenture caused by a change in exchange rates between the time the amount of a judgment against us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us on the claim or claims underlying such judgment. (Section 506 of the Subordinated Debt Indenture)</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Subordination. The Subordinated Debt Securities will be subordinate and junior in right of payment, to the extent set forth in the Subordinated Debt Indenture, to all our Senior Indebtedness (as defined below). If we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our Indebtedness (as defined below) outstanding at any time except:</w:t>
      </w:r>
    </w:p>
    <w:p>
      <w:pPr>
        <w:spacing w:after="0" w:line="170" w:lineRule="exact"/>
        <w:rPr>
          <w:sz w:val="20"/>
          <w:szCs w:val="20"/>
          <w:color w:val="auto"/>
        </w:rPr>
      </w:pPr>
    </w:p>
    <w:p>
      <w:pPr>
        <w:ind w:left="540" w:right="1999" w:firstLine="521"/>
        <w:spacing w:after="0" w:line="236" w:lineRule="auto"/>
        <w:tabs>
          <w:tab w:leader="none" w:pos="148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51" w:name="page52"/>
    <w:bookmarkEnd w:id="51"/>
    <w:p>
      <w:pPr>
        <w:jc w:val="both"/>
        <w:ind w:left="540" w:right="1999" w:firstLine="521"/>
        <w:spacing w:after="0" w:line="236" w:lineRule="auto"/>
        <w:tabs>
          <w:tab w:leader="none" w:pos="148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540" w:right="1779" w:firstLine="521"/>
        <w:spacing w:after="0" w:line="272" w:lineRule="auto"/>
        <w:tabs>
          <w:tab w:leader="none" w:pos="148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186" w:lineRule="exact"/>
        <w:rPr>
          <w:sz w:val="20"/>
          <w:szCs w:val="20"/>
          <w:color w:val="auto"/>
        </w:rPr>
      </w:pPr>
    </w:p>
    <w:p>
      <w:pPr>
        <w:ind w:left="540" w:right="1879" w:firstLine="521"/>
        <w:spacing w:after="0" w:line="237" w:lineRule="auto"/>
        <w:tabs>
          <w:tab w:leader="none" w:pos="159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7" w:lineRule="exact"/>
        <w:rPr>
          <w:sz w:val="20"/>
          <w:szCs w:val="20"/>
          <w:color w:val="auto"/>
        </w:rPr>
      </w:pPr>
    </w:p>
    <w:p>
      <w:pPr>
        <w:ind w:left="540" w:right="1779" w:firstLine="521"/>
        <w:spacing w:after="0" w:line="271" w:lineRule="auto"/>
        <w:tabs>
          <w:tab w:leader="none" w:pos="148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187" w:lineRule="exact"/>
        <w:rPr>
          <w:rFonts w:ascii="Courier New" w:cs="Courier New" w:eastAsia="Courier New" w:hAnsi="Courier New"/>
          <w:sz w:val="16"/>
          <w:szCs w:val="16"/>
          <w:color w:val="auto"/>
        </w:rPr>
      </w:pPr>
    </w:p>
    <w:p>
      <w:pPr>
        <w:ind w:left="540" w:right="1879" w:firstLine="521"/>
        <w:spacing w:after="0" w:line="236"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modifications, refundings, renewals or extensions of any indebtedness or obligation described as Indebtedness in clause (a) or (b) above.</w:t>
      </w:r>
    </w:p>
    <w:p>
      <w:pPr>
        <w:spacing w:after="0" w:line="209"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If (i) without our consent a court having jurisdiction shall enter (A) an order for relief with respect to us under the United States federal bankruptcy laws, (B) a judgment, order or decree adjudging us a bankrupt or insolvent, or</w:t>
      </w:r>
    </w:p>
    <w:p>
      <w:pPr>
        <w:spacing w:after="0" w:line="1" w:lineRule="exact"/>
        <w:rPr>
          <w:sz w:val="20"/>
          <w:szCs w:val="20"/>
          <w:color w:val="auto"/>
        </w:rPr>
      </w:pPr>
    </w:p>
    <w:p>
      <w:pPr>
        <w:ind w:right="1779" w:firstLine="8"/>
        <w:spacing w:after="0" w:line="269" w:lineRule="auto"/>
        <w:tabs>
          <w:tab w:leader="none" w:pos="4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for relief for reorganization, arrangement, adjustment or 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our securities or any</w:t>
      </w: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767" w:gutter="0" w:footer="0" w:header="0"/>
        </w:sectPr>
      </w:pPr>
    </w:p>
    <w:bookmarkStart w:id="52" w:name="page53"/>
    <w:bookmarkEnd w:id="52"/>
    <w:p>
      <w:pPr>
        <w:ind w:right="1779"/>
        <w:spacing w:after="0" w:line="269" w:lineRule="auto"/>
        <w:rPr>
          <w:sz w:val="20"/>
          <w:szCs w:val="20"/>
          <w:color w:val="auto"/>
        </w:rPr>
      </w:pPr>
      <w:r>
        <w:rPr>
          <w:rFonts w:ascii="Courier New" w:cs="Courier New" w:eastAsia="Courier New" w:hAnsi="Courier New"/>
          <w:sz w:val="16"/>
          <w:szCs w:val="16"/>
          <w:color w:val="auto"/>
        </w:rPr>
        <w:t>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53" w:name="page54"/>
    <w:bookmarkEnd w:id="53"/>
    <w:p>
      <w:pPr>
        <w:ind w:right="1779"/>
        <w:spacing w:after="0" w:line="236" w:lineRule="auto"/>
        <w:rPr>
          <w:sz w:val="20"/>
          <w:szCs w:val="20"/>
          <w:color w:val="auto"/>
        </w:rPr>
      </w:pPr>
      <w:r>
        <w:rPr>
          <w:rFonts w:ascii="Courier New" w:cs="Courier New" w:eastAsia="Courier New" w:hAnsi="Courier New"/>
          <w:sz w:val="18"/>
          <w:szCs w:val="18"/>
          <w:color w:val="auto"/>
        </w:rPr>
        <w:t>Indenture) The holder of convertible Subordinated Debt Securities may convert any portion thereof which is $1,000 in principal amount or any integral multiple thereof. (Section 1502 of the Subordinated Debt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spacing w:after="0" w:line="395"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we will pay a cash adjustment based on the then current market price for the common stock. (Section 1503 of the Subordinated Debt Indenture)</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54" w:name="page55"/>
    <w:bookmarkEnd w:id="54"/>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627,807,809 shares were outstanding at January 4, 2000. We are also authorized to issue 10,000,000 shares of preferred stock, none of which were outstanding on that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 Because members of our Board of Directors serve staggered three-year terms, only about one third of our directors are elected each year.</w:t>
      </w:r>
    </w:p>
    <w:p>
      <w:pPr>
        <w:spacing w:after="0" w:line="211"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Fully Paid Status. All outstanding shares of our common stock are validly issued, fully paid and non-assessable. The shares offered hereby will also be, upon issuance and sale, validly issued, fully paid and non-assessable.</w:t>
      </w:r>
    </w:p>
    <w:p>
      <w:pPr>
        <w:spacing w:after="0" w:line="17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17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Harris Trust and Savings Bank, Chicago, Illinois.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DELAWARE LAW AND CERTAIN PROVISIONS OF THE RESTATED CERTIFICATE OF INCORPORATION</w:t>
      </w:r>
    </w:p>
    <w:p>
      <w:pPr>
        <w:spacing w:after="0" w:line="22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are a Delaware corporation and are governed by the Delaware General Corporation Law, in addition to our Restated Certificate of Incorporation and Bylaws, certain provisions of which are summarized below. You should read the actual provisions of these documents.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55" w:name="page56"/>
    <w:bookmarkEnd w:id="55"/>
    <w:p>
      <w:pPr>
        <w:ind w:right="1879" w:firstLine="527"/>
        <w:spacing w:after="0" w:line="237" w:lineRule="auto"/>
        <w:rPr>
          <w:sz w:val="20"/>
          <w:szCs w:val="20"/>
          <w:color w:val="auto"/>
        </w:rPr>
      </w:pPr>
      <w:r>
        <w:rPr>
          <w:rFonts w:ascii="Courier New" w:cs="Courier New" w:eastAsia="Courier New" w:hAnsi="Courier New"/>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09" w:lineRule="exact"/>
        <w:rPr>
          <w:sz w:val="20"/>
          <w:szCs w:val="20"/>
          <w:color w:val="auto"/>
        </w:rPr>
      </w:pPr>
    </w:p>
    <w:p>
      <w:pPr>
        <w:ind w:left="740" w:right="1879" w:hanging="205"/>
        <w:spacing w:after="0" w:line="236"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such date, the corporation's board of directors approved either the business combination or the transaction in which the stockholder became an Interested Stockholder;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Restated Certificate of Incorporation, may elect not to be governed by Section 203. Such an election would be effective 12 months after its adoption.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Restated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also have entered into contracts with certain of our directors and executive officers to pay the reasonable fees and expenses of his or her counsel, as well as any judgments, fines, penalties, excise taxes, amounts paid in settlement and other liabilities, which the individual may incur in any claim or proceeding (including an action on our behalf) by reason of having served us as a director, officer, agent or fiduciary. These agreements also provide for us to pay the individual's defense costs before the proceeding is over, so long as the director or officer undertakes to repay us should a court later determine that the director or officer was not entitled to indemnification.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56" w:name="page57"/>
    <w:bookmarkEnd w:id="56"/>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sell the securities to or through underwriters or dealers, and we also may sell the securities directly to other purchasers or through agents. We may also issue shares of our common stock directly to certain persons in order to settle litigation and other claims or to satisfy judgments or arbitration awards.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Debt securities, when first issued, will have no established trading market. If we sell debt securities to or through any underwriters or agents for public offering and sale, they may make a market in those debt securities. However, the underwriters or agents will not be obligated to do so and may discontinue any market making at any time without notice. There can be no assurance as to the liquidity of any market that may develop for the debt securities.</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VALIDITY OF SECURITIES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validity of the securities has been passed upon for us by Locke Liddell</w:t>
      </w:r>
    </w:p>
    <w:p>
      <w:pPr>
        <w:spacing w:after="0" w:line="21" w:lineRule="exact"/>
        <w:rPr>
          <w:sz w:val="20"/>
          <w:szCs w:val="20"/>
          <w:color w:val="auto"/>
        </w:rPr>
      </w:pPr>
    </w:p>
    <w:p>
      <w:pPr>
        <w:ind w:right="2519" w:firstLine="8"/>
        <w:spacing w:after="0" w:line="236" w:lineRule="auto"/>
        <w:tabs>
          <w:tab w:leader="none" w:pos="21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Sapp LLP, and certain legal matters will be passed upon for any agents, dealers or underwrites, by counsel named in the applicable prospectus supplement.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57" w:name="page58"/>
    <w:bookmarkEnd w:id="57"/>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audited consolidated financial statements for the year ended December 31, 1998 appearing in Waste Management's Current Report on Form 8-K dated September 16, 1999 incorporated by reference in this prospectus have been audited by Arthur Andersen LLP, independent public accountants, as set forth in their report. In their report, that firm states that, with respect to USA Waste Services, Inc. and its Subsidiaries as of December 31, 1997 and for each of the years in the two-year period then ended,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1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the quarter ended September 30, 1999, the Company conducted a review of its accounting records, systems, processes and controls. Based on that review, the Company has concluded that its internal controls for the preparation of interim financial information did not provide its independent public accountants an adequate basis to complete reviews of the quarterly data for the quarters in the nine-month period ended September 30, 1999. Our independent public accountants have advised the Company that their report on the December 31, 1999 financial statements will include the following paragraph:</w:t>
      </w:r>
    </w:p>
    <w:p>
      <w:pPr>
        <w:spacing w:after="0" w:line="186"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"The selected quarterly financial data included in the Company's financial statements contain information that we did not audit, and accordingly, we do not express an opinion on that data. We attempted, but were unable to, review that quarterly data in accordance with standards established by the American Institute of Certified Public Accountants because we believe that the Company's internal controls for the preparation of interim financial information do not provide an adequate basis to enable us to complete such a review."</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58" w:name="page59"/>
    <w:bookmarkEnd w:id="58"/>
    <w:p>
      <w:pPr>
        <w:ind w:left="1440"/>
        <w:spacing w:after="0"/>
        <w:rPr>
          <w:sz w:val="20"/>
          <w:szCs w:val="20"/>
          <w:color w:val="auto"/>
        </w:rPr>
      </w:pPr>
      <w:r>
        <w:rPr>
          <w:rFonts w:ascii="Courier New" w:cs="Courier New" w:eastAsia="Courier New" w:hAnsi="Courier New"/>
          <w:sz w:val="16"/>
          <w:szCs w:val="16"/>
          <w:color w:val="auto"/>
        </w:rPr>
        <w:t>[WASTE MANAGEMENT, INC. LOGO]</w:t>
      </w:r>
    </w:p>
    <w:sectPr>
      <w:pgSz w:w="11900" w:h="16838" w:orient="portrait"/>
      <w:cols w:equalWidth="0" w:num="1">
        <w:col w:w="9019"/>
      </w:cols>
      <w:pgMar w:left="14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lowerRoman"/>
      <w:start w:val="2"/>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713"/>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lvl w:ilvl="1">
      <w:lvlJc w:val="left"/>
      <w:lvlText w:val="--"/>
      <w:numFmt w:val="bullet"/>
      <w:start w:val="1"/>
    </w:lvl>
  </w:abstractNum>
  <w:abstractNum w:abstractNumId="29">
    <w:nsid w:val="57E4CCAF"/>
    <w:multiLevelType w:val="hybridMultilevel"/>
    <w:lvl w:ilvl="0">
      <w:lvlJc w:val="left"/>
      <w:lvlText w:val="(%1)"/>
      <w:numFmt w:val="lowerRoman"/>
      <w:start w:val="2"/>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lowerRoman"/>
      <w:start w:val="2"/>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2"/>
    </w:lvl>
    <w:lvl w:ilvl="1">
      <w:lvlJc w:val="left"/>
      <w:lvlText w:val="(%2)"/>
      <w:numFmt w:val="lowerRoman"/>
      <w:start w:val="1"/>
    </w:lvl>
  </w:abstractNum>
  <w:abstractNum w:abstractNumId="35">
    <w:nsid w:val="7644A45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6">
    <w:nsid w:val="32FFF902"/>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2"/>
    </w:lvl>
  </w:abstractNum>
  <w:abstractNum w:abstractNumId="37">
    <w:nsid w:val="684A481A"/>
    <w:multiLevelType w:val="hybridMultilevel"/>
    <w:lvl w:ilvl="0">
      <w:lvlJc w:val="left"/>
      <w:lvlText w:val="(%1)"/>
      <w:numFmt w:val="decimal"/>
      <w:start w:val="4"/>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3"/>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2"/>
    </w:lvl>
  </w:abstractNum>
  <w:abstractNum w:abstractNumId="42">
    <w:nsid w:val="79A1DEAA"/>
    <w:multiLevelType w:val="hybridMultilevel"/>
    <w:lvl w:ilvl="0">
      <w:lvlJc w:val="left"/>
      <w:lvlText w:val="%1"/>
      <w:numFmt w:val="decimal"/>
      <w:start w:val="1"/>
    </w:lvl>
    <w:lvl w:ilvl="1">
      <w:lvlJc w:val="left"/>
      <w:lvlText w:val="(%2)"/>
      <w:numFmt w:val="upperLetter"/>
      <w:start w:val="1"/>
    </w:lvl>
  </w:abstractNum>
  <w:abstractNum w:abstractNumId="43">
    <w:nsid w:val="75C6C33A"/>
    <w:multiLevelType w:val="hybridMultilevel"/>
    <w:lvl w:ilvl="0">
      <w:lvlJc w:val="left"/>
      <w:lvlText w:val="(%1)"/>
      <w:numFmt w:val="decimal"/>
      <w:start w:val="2"/>
    </w:lvl>
    <w:lvl w:ilvl="1">
      <w:lvlJc w:val="left"/>
      <w:lvlText w:val="%2"/>
      <w:numFmt w:val="upperLetter"/>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lowerRoman"/>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1"/>
      <w:numFmt w:val="decimal"/>
      <w:start w:val="1"/>
    </w:lvl>
    <w:lvl w:ilvl="1">
      <w:lvlJc w:val="left"/>
      <w:lvlText w:val="(%2)"/>
      <w:numFmt w:val="upperLetter"/>
      <w:start w:val="1"/>
    </w:lvl>
  </w:abstractNum>
  <w:abstractNum w:abstractNumId="49">
    <w:nsid w:val="23F9C13C"/>
    <w:multiLevelType w:val="hybridMultilevel"/>
    <w:lvl w:ilvl="0">
      <w:lvlJc w:val="left"/>
      <w:lvlText w:val="(%1)"/>
      <w:numFmt w:val="decimal"/>
      <w:start w:val="2"/>
    </w:lvl>
    <w:lvl w:ilvl="1">
      <w:lvlJc w:val="left"/>
      <w:lvlText w:val="%2"/>
      <w:numFmt w:val="upperLetter"/>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Roman"/>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5"/>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Roman"/>
      <w:start w:val="2"/>
    </w:lvl>
  </w:abstractNum>
  <w:abstractNum w:abstractNumId="56">
    <w:nsid w:val="47398C89"/>
    <w:multiLevelType w:val="hybridMultilevel"/>
    <w:lvl w:ilvl="0">
      <w:lvlJc w:val="left"/>
      <w:lvlText w:val="(%1)"/>
      <w:numFmt w:val="lowerLetter"/>
      <w:start w:val="2"/>
    </w:lvl>
  </w:abstractNum>
  <w:abstractNum w:abstractNumId="57">
    <w:nsid w:val="354FE9F9"/>
    <w:multiLevelType w:val="hybridMultilevel"/>
    <w:lvl w:ilvl="0">
      <w:lvlJc w:val="left"/>
      <w:lvlText w:val="(%1)"/>
      <w:numFmt w:val="upperLetter"/>
      <w:start w:val="3"/>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2019-12-20T03:54:38Z</dcterms:created>
  <dcterms:modified xsi:type="dcterms:W3CDTF">2019-12-20T03:54:38Z</dcterms:modified>
</cp:coreProperties>
</file>