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2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1"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3731260</wp:posOffset>
            </wp:positionH>
            <wp:positionV relativeFrom="paragraph">
              <wp:posOffset>-10160</wp:posOffset>
            </wp:positionV>
            <wp:extent cx="1263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1-12154</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Waste Management,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314" w:right="239" w:bottom="1440" w:gutter="0" w:footer="0" w:header="0"/>
        </w:sectPr>
      </w:pPr>
    </w:p>
    <w:p>
      <w:pPr>
        <w:spacing w:after="0" w:line="70"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73-1309529</w:t>
      </w:r>
    </w:p>
    <w:p>
      <w:pPr>
        <w:spacing w:after="0" w:line="56" w:lineRule="exact"/>
        <w:rPr>
          <w:sz w:val="24"/>
          <w:szCs w:val="24"/>
          <w:color w:val="auto"/>
        </w:rPr>
      </w:pPr>
    </w:p>
    <w:p>
      <w:pPr>
        <w:sectPr>
          <w:pgSz w:w="11900" w:h="16838" w:orient="portrait"/>
          <w:cols w:equalWidth="0" w:num="2">
            <w:col w:w="7540" w:space="720"/>
            <w:col w:w="3160"/>
          </w:cols>
          <w:pgMar w:left="240" w:top="314" w:right="239" w:bottom="1440" w:gutter="0" w:footer="0" w:header="0"/>
          <w:type w:val="continuous"/>
        </w:sect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90" w:lineRule="exact"/>
        <w:rPr>
          <w:sz w:val="24"/>
          <w:szCs w:val="24"/>
          <w:color w:val="auto"/>
        </w:rPr>
      </w:pPr>
    </w:p>
    <w:p>
      <w:pPr>
        <w:sectPr>
          <w:pgSz w:w="11900" w:h="16838" w:orient="portrait"/>
          <w:cols w:equalWidth="0" w:num="2">
            <w:col w:w="7420" w:space="720"/>
            <w:col w:w="3280"/>
          </w:cols>
          <w:pgMar w:left="240" w:top="314"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420"/>
          </w:cols>
          <w:pgMar w:left="240" w:top="314" w:right="239" w:bottom="1440" w:gutter="0" w:footer="0" w:header="0"/>
          <w:type w:val="continuous"/>
        </w:sectPr>
      </w:pPr>
    </w:p>
    <w:p>
      <w:pPr>
        <w:spacing w:after="0" w:line="85"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firstLine="456"/>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9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ind w:left="98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4980" w:type="dxa"/>
            <w:vAlign w:val="bottom"/>
          </w:tcPr>
          <w:p>
            <w:pPr>
              <w:ind w:left="4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60" w:type="dxa"/>
            <w:vAlign w:val="bottom"/>
          </w:tcPr>
          <w:p>
            <w:pPr>
              <w:ind w:left="98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9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55" w:lineRule="exact"/>
        <w:rPr>
          <w:sz w:val="24"/>
          <w:szCs w:val="24"/>
          <w:color w:val="auto"/>
        </w:rPr>
      </w:pPr>
    </w:p>
    <w:p>
      <w:pPr>
        <w:ind w:firstLine="456"/>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4" w:lineRule="exact"/>
        <w:rPr>
          <w:sz w:val="24"/>
          <w:szCs w:val="24"/>
          <w:color w:val="auto"/>
        </w:rPr>
      </w:pPr>
    </w:p>
    <w:p>
      <w:pPr>
        <w:ind w:left="460"/>
        <w:spacing w:after="0" w:line="207" w:lineRule="exact"/>
        <w:tabs>
          <w:tab w:leader="none" w:pos="7860" w:val="left"/>
          <w:tab w:leader="none" w:pos="85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The number of shares of Common Stock, $0.01 par value, of the registrant outstanding at July 20, 2017 was 440,035,810 (excluding treasury shares of 190,246,651).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60" w:type="dxa"/>
            <w:vAlign w:val="bottom"/>
          </w:tcPr>
          <w:p>
            <w:pPr>
              <w:jc w:val="center"/>
              <w:ind w:left="1572"/>
              <w:spacing w:after="0"/>
              <w:rPr>
                <w:sz w:val="20"/>
                <w:szCs w:val="20"/>
                <w:color w:val="auto"/>
              </w:rPr>
            </w:pPr>
            <w:r>
              <w:rPr>
                <w:rFonts w:ascii="Arial" w:cs="Arial" w:eastAsia="Arial" w:hAnsi="Arial"/>
                <w:sz w:val="18"/>
                <w:szCs w:val="18"/>
                <w:b w:val="1"/>
                <w:bCs w:val="1"/>
                <w:color w:val="auto"/>
                <w:w w:val="96"/>
              </w:rPr>
              <w:t>PART I.</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56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Financial Statements.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560" w:type="dxa"/>
            <w:vAlign w:val="bottom"/>
          </w:tcPr>
          <w:p>
            <w:pPr>
              <w:jc w:val="center"/>
              <w:ind w:left="1572"/>
              <w:spacing w:after="0"/>
              <w:rPr>
                <w:sz w:val="20"/>
                <w:szCs w:val="20"/>
                <w:color w:val="auto"/>
              </w:rPr>
            </w:pPr>
            <w:r>
              <w:rPr>
                <w:rFonts w:ascii="Arial" w:cs="Arial" w:eastAsia="Arial" w:hAnsi="Arial"/>
                <w:sz w:val="18"/>
                <w:szCs w:val="18"/>
                <w:b w:val="1"/>
                <w:bCs w:val="1"/>
                <w:color w:val="auto"/>
                <w:w w:val="97"/>
              </w:rPr>
              <w:t>WASTE MANAGEMENT, INC.</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560" w:type="dxa"/>
            <w:vAlign w:val="bottom"/>
          </w:tcPr>
          <w:p>
            <w:pPr>
              <w:jc w:val="center"/>
              <w:ind w:left="157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60" w:type="dxa"/>
            <w:vAlign w:val="bottom"/>
          </w:tcPr>
          <w:p>
            <w:pPr>
              <w:jc w:val="center"/>
              <w:ind w:left="1572"/>
              <w:spacing w:after="0"/>
              <w:rPr>
                <w:sz w:val="20"/>
                <w:szCs w:val="20"/>
                <w:color w:val="auto"/>
              </w:rPr>
            </w:pPr>
            <w:r>
              <w:rPr>
                <w:rFonts w:ascii="Arial" w:cs="Arial" w:eastAsia="Arial" w:hAnsi="Arial"/>
                <w:sz w:val="18"/>
                <w:szCs w:val="18"/>
                <w:b w:val="1"/>
                <w:bCs w:val="1"/>
                <w:color w:val="auto"/>
                <w:w w:val="89"/>
              </w:rPr>
              <w:t>(In Millions, Except Share and Par Value Amounts)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560" w:type="dxa"/>
            <w:vAlign w:val="bottom"/>
            <w:shd w:val="clear" w:color="auto" w:fill="CCEEFF"/>
          </w:tcPr>
          <w:p>
            <w:pPr>
              <w:ind w:left="474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9140" w:type="dxa"/>
            <w:vAlign w:val="bottom"/>
            <w:gridSpan w:val="2"/>
          </w:tcPr>
          <w:p>
            <w:pPr>
              <w:ind w:left="200"/>
              <w:spacing w:after="0"/>
              <w:rPr>
                <w:sz w:val="20"/>
                <w:szCs w:val="20"/>
                <w:color w:val="auto"/>
              </w:rPr>
            </w:pPr>
            <w:r>
              <w:rPr>
                <w:rFonts w:ascii="Arial" w:cs="Arial" w:eastAsia="Arial" w:hAnsi="Arial"/>
                <w:sz w:val="18"/>
                <w:szCs w:val="18"/>
                <w:color w:val="auto"/>
              </w:rPr>
              <w:t>Accounts receivable, net of allowance for doubtful accounts of $25 and $24, respectively</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1,772</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1,700</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r>
      <w:tr>
        <w:trPr>
          <w:trHeight w:val="216"/>
        </w:trPr>
        <w:tc>
          <w:tcPr>
            <w:tcW w:w="20" w:type="dxa"/>
            <w:vAlign w:val="bottom"/>
          </w:tcPr>
          <w:p>
            <w:pPr>
              <w:spacing w:after="0"/>
              <w:rPr>
                <w:sz w:val="18"/>
                <w:szCs w:val="18"/>
                <w:color w:val="auto"/>
              </w:rPr>
            </w:pPr>
          </w:p>
        </w:tc>
        <w:tc>
          <w:tcPr>
            <w:tcW w:w="9140" w:type="dxa"/>
            <w:vAlign w:val="bottom"/>
            <w:gridSpan w:val="2"/>
          </w:tcPr>
          <w:p>
            <w:pPr>
              <w:ind w:left="200"/>
              <w:spacing w:after="0"/>
              <w:rPr>
                <w:sz w:val="20"/>
                <w:szCs w:val="20"/>
                <w:color w:val="auto"/>
              </w:rPr>
            </w:pPr>
            <w:r>
              <w:rPr>
                <w:rFonts w:ascii="Arial" w:cs="Arial" w:eastAsia="Arial" w:hAnsi="Arial"/>
                <w:sz w:val="18"/>
                <w:szCs w:val="18"/>
                <w:color w:val="auto"/>
              </w:rPr>
              <w:t>Parts and supplies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2,326</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2,376</w:t>
            </w:r>
          </w:p>
        </w:tc>
      </w:tr>
      <w:tr>
        <w:trPr>
          <w:trHeight w:val="218"/>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 of $17,572 and $17,152, respectively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10,950</w:t>
            </w: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6,248</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6,215</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w:t>
            </w: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Investments in unconsolidated entities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289</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60" w:type="dxa"/>
            <w:vAlign w:val="bottom"/>
          </w:tcPr>
          <w:p>
            <w:pPr>
              <w:ind w:left="6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20,839</w:t>
            </w:r>
          </w:p>
        </w:tc>
        <w:tc>
          <w:tcPr>
            <w:tcW w:w="6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20,859</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560" w:type="dxa"/>
            <w:vAlign w:val="bottom"/>
            <w:shd w:val="clear" w:color="auto" w:fill="CCEEFF"/>
          </w:tcPr>
          <w:p>
            <w:pPr>
              <w:ind w:left="394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w:t>
            </w:r>
          </w:p>
        </w:tc>
      </w:tr>
      <w:tr>
        <w:trPr>
          <w:trHeight w:val="216"/>
        </w:trPr>
        <w:tc>
          <w:tcPr>
            <w:tcW w:w="20" w:type="dxa"/>
            <w:vAlign w:val="bottom"/>
          </w:tcPr>
          <w:p>
            <w:pPr>
              <w:spacing w:after="0"/>
              <w:rPr>
                <w:sz w:val="18"/>
                <w:szCs w:val="18"/>
                <w:color w:val="auto"/>
              </w:rPr>
            </w:pPr>
          </w:p>
        </w:tc>
        <w:tc>
          <w:tcPr>
            <w:tcW w:w="9140" w:type="dxa"/>
            <w:vAlign w:val="bottom"/>
            <w:gridSpan w:val="2"/>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1,075</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1,085</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revenues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w:t>
            </w:r>
          </w:p>
        </w:tc>
      </w:tr>
      <w:tr>
        <w:trPr>
          <w:trHeight w:val="223"/>
        </w:trPr>
        <w:tc>
          <w:tcPr>
            <w:tcW w:w="20" w:type="dxa"/>
            <w:vAlign w:val="bottom"/>
          </w:tcPr>
          <w:p>
            <w:pPr>
              <w:spacing w:after="0"/>
              <w:rPr>
                <w:sz w:val="19"/>
                <w:szCs w:val="19"/>
                <w:color w:val="auto"/>
              </w:rPr>
            </w:pPr>
          </w:p>
        </w:tc>
        <w:tc>
          <w:tcPr>
            <w:tcW w:w="9140" w:type="dxa"/>
            <w:vAlign w:val="bottom"/>
            <w:gridSpan w:val="2"/>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2,794</w:t>
            </w: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8,667</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8,893</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w:t>
            </w: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Landfill and environmental remediation liabilities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1,712</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1,675</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15,332</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15,539</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Equity:</w:t>
            </w:r>
          </w:p>
        </w:tc>
        <w:tc>
          <w:tcPr>
            <w:tcW w:w="8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Waste Management, Inc. 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Common stock, $0.01 par value; 1,500,000,000 shares authorized; 630,282,461 shares issued</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4,850</w:t>
            </w: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7,671</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7,388</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r>
      <w:tr>
        <w:trPr>
          <w:trHeight w:val="223"/>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Treasury stock at cost, 190,571,147 and 190,966,584 shares, respectively</w:t>
            </w:r>
          </w:p>
        </w:tc>
        <w:tc>
          <w:tcPr>
            <w:tcW w:w="100" w:type="dxa"/>
            <w:vAlign w:val="bottom"/>
          </w:tcPr>
          <w:p>
            <w:pPr>
              <w:spacing w:after="0"/>
              <w:rPr>
                <w:sz w:val="19"/>
                <w:szCs w:val="19"/>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(6,986)</w:t>
            </w: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(6,867)</w:t>
            </w: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Waste Management, Inc.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60" w:type="dxa"/>
            <w:vAlign w:val="bottom"/>
          </w:tcPr>
          <w:p>
            <w:pPr>
              <w:ind w:left="60"/>
              <w:spacing w:after="0"/>
              <w:rPr>
                <w:sz w:val="20"/>
                <w:szCs w:val="20"/>
                <w:color w:val="auto"/>
              </w:rPr>
            </w:pPr>
            <w:r>
              <w:rPr>
                <w:rFonts w:ascii="Arial" w:cs="Arial" w:eastAsia="Arial" w:hAnsi="Arial"/>
                <w:sz w:val="18"/>
                <w:szCs w:val="18"/>
                <w:color w:val="auto"/>
              </w:rPr>
              <w:t>Total liabilities and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20,839</w:t>
            </w:r>
          </w:p>
        </w:tc>
        <w:tc>
          <w:tcPr>
            <w:tcW w:w="6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20,859</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17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Three 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left="236"/>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4"/>
          </w:tcPr>
          <w:p>
            <w:pPr>
              <w:jc w:val="center"/>
              <w:ind w:left="236"/>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center"/>
              <w:ind w:left="216"/>
              <w:spacing w:after="0"/>
              <w:rPr>
                <w:sz w:val="20"/>
                <w:szCs w:val="20"/>
                <w:color w:val="auto"/>
              </w:rPr>
            </w:pPr>
            <w:r>
              <w:rPr>
                <w:rFonts w:ascii="Arial" w:cs="Arial" w:eastAsia="Arial" w:hAnsi="Arial"/>
                <w:sz w:val="14"/>
                <w:szCs w:val="14"/>
                <w:b w:val="1"/>
                <w:bCs w:val="1"/>
                <w:color w:val="auto"/>
                <w:w w:val="85"/>
              </w:rPr>
              <w:t>June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tcPr>
          <w:p>
            <w:pPr>
              <w:jc w:val="center"/>
              <w:ind w:left="256"/>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2017</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2016</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3,677</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3,425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7,117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from divestitures, asset impairments and unusual items, net</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3,004</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2,814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5,886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5,482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1,119</w:t>
            </w:r>
          </w:p>
        </w:tc>
        <w:tc>
          <w:tcPr>
            <w:tcW w:w="0" w:type="dxa"/>
            <w:vAlign w:val="bottom"/>
          </w:tcPr>
          <w:p>
            <w:pPr>
              <w:spacing w:after="0"/>
              <w:rPr>
                <w:sz w:val="1"/>
                <w:szCs w:val="1"/>
                <w:color w:val="auto"/>
              </w:rPr>
            </w:pPr>
          </w:p>
        </w:tc>
      </w:tr>
      <w:tr>
        <w:trPr>
          <w:trHeight w:val="222"/>
        </w:trPr>
        <w:tc>
          <w:tcPr>
            <w:tcW w:w="83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(227)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Less: Net loss attributable to noncontrolling interests</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0.82</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0.65</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0.425</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0.41</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0.85</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Three 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left="238"/>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4"/>
          </w:tcPr>
          <w:p>
            <w:pPr>
              <w:jc w:val="center"/>
              <w:ind w:left="218"/>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center"/>
              <w:ind w:left="218"/>
              <w:spacing w:after="0"/>
              <w:rPr>
                <w:sz w:val="20"/>
                <w:szCs w:val="20"/>
                <w:color w:val="auto"/>
              </w:rPr>
            </w:pPr>
            <w:r>
              <w:rPr>
                <w:rFonts w:ascii="Arial" w:cs="Arial" w:eastAsia="Arial" w:hAnsi="Arial"/>
                <w:sz w:val="14"/>
                <w:szCs w:val="14"/>
                <w:b w:val="1"/>
                <w:bCs w:val="1"/>
                <w:color w:val="auto"/>
                <w:w w:val="92"/>
              </w:rPr>
              <w:t>June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tcPr>
          <w:p>
            <w:pPr>
              <w:jc w:val="center"/>
              <w:ind w:left="238"/>
              <w:spacing w:after="0"/>
              <w:rPr>
                <w:sz w:val="20"/>
                <w:szCs w:val="20"/>
                <w:color w:val="auto"/>
              </w:rPr>
            </w:pPr>
            <w:r>
              <w:rPr>
                <w:rFonts w:ascii="Arial" w:cs="Arial" w:eastAsia="Arial" w:hAnsi="Arial"/>
                <w:sz w:val="14"/>
                <w:szCs w:val="14"/>
                <w:b w:val="1"/>
                <w:bCs w:val="1"/>
                <w:color w:val="auto"/>
                <w:w w:val="85"/>
              </w:rPr>
              <w:t>June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2017</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2016</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Consolidated 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4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 expense:</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Derivative instruments, net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Available-for-sale securities, net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Post-retirement benefit obligation, net</w:t>
            </w:r>
          </w:p>
        </w:tc>
        <w:tc>
          <w:tcPr>
            <w:tcW w:w="10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tax expense</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705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Comprehensive loss attributable to noncontrolling interests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395</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707</w:t>
            </w:r>
          </w:p>
        </w:tc>
        <w:tc>
          <w:tcPr>
            <w:tcW w:w="2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Six Months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82"/>
              </w:rPr>
              <w:t>June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4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2017</w:t>
            </w:r>
          </w:p>
        </w:tc>
        <w:tc>
          <w:tcPr>
            <w:tcW w:w="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658</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684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 benefit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Interest accretion on landfill liabilities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Interest accretion on and discount rate adjustments to environmental remediation liabilities and recovery assets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Provision for bad debts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Equity-based compensation expense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Net gain from disposal of assets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from divestitures, asset impairments and other, net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Equity in net losses of unconsolidated entities, net of dividends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Deferred revenues and other liabilities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1,534</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(631)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(1,186)</w:t>
            </w:r>
          </w:p>
        </w:tc>
        <w:tc>
          <w:tcPr>
            <w:tcW w:w="0" w:type="dxa"/>
            <w:vAlign w:val="bottom"/>
          </w:tcPr>
          <w:p>
            <w:pPr>
              <w:spacing w:after="0"/>
              <w:rPr>
                <w:sz w:val="1"/>
                <w:szCs w:val="1"/>
                <w:color w:val="auto"/>
              </w:rPr>
            </w:pPr>
          </w:p>
        </w:tc>
      </w:tr>
      <w:tr>
        <w:trPr>
          <w:trHeight w:val="222"/>
        </w:trPr>
        <w:tc>
          <w:tcPr>
            <w:tcW w:w="88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(627)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commercial paper borrowings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Common stock repurchase program</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payments associated with equity-based compensation transactions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w w:val="91"/>
              </w:rPr>
              <w:t>Waste Management, Inc. Stockholders’ Equity</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1340" w:type="dxa"/>
            <w:vAlign w:val="bottom"/>
            <w:gridSpan w:val="5"/>
            <w:vMerge w:val="restart"/>
          </w:tcPr>
          <w:p>
            <w:pPr>
              <w:jc w:val="right"/>
              <w:ind w:right="172"/>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9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Borders>
              <w:bottom w:val="single" w:sz="8" w:color="auto"/>
            </w:tcBorders>
            <w:gridSpan w:val="3"/>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360"/>
              <w:spacing w:after="0" w:line="114" w:lineRule="exact"/>
              <w:rPr>
                <w:sz w:val="20"/>
                <w:szCs w:val="20"/>
                <w:color w:val="auto"/>
              </w:rPr>
            </w:pPr>
            <w:r>
              <w:rPr>
                <w:rFonts w:ascii="Arial" w:cs="Arial" w:eastAsia="Arial" w:hAnsi="Arial"/>
                <w:sz w:val="12"/>
                <w:szCs w:val="12"/>
                <w:b w:val="1"/>
                <w:bCs w:val="1"/>
                <w:color w:val="auto"/>
              </w:rPr>
              <w:t>Paid-In</w:t>
            </w:r>
          </w:p>
        </w:tc>
        <w:tc>
          <w:tcPr>
            <w:tcW w:w="800" w:type="dxa"/>
            <w:vAlign w:val="bottom"/>
            <w:gridSpan w:val="3"/>
          </w:tcPr>
          <w:p>
            <w:pPr>
              <w:spacing w:after="0" w:line="114" w:lineRule="exact"/>
              <w:rPr>
                <w:sz w:val="20"/>
                <w:szCs w:val="20"/>
                <w:color w:val="auto"/>
              </w:rPr>
            </w:pPr>
            <w:r>
              <w:rPr>
                <w:rFonts w:ascii="Arial" w:cs="Arial" w:eastAsia="Arial" w:hAnsi="Arial"/>
                <w:sz w:val="12"/>
                <w:szCs w:val="12"/>
                <w:b w:val="1"/>
                <w:bCs w:val="1"/>
                <w:color w:val="auto"/>
              </w:rPr>
              <w:t>Retained</w:t>
            </w:r>
          </w:p>
        </w:tc>
        <w:tc>
          <w:tcPr>
            <w:tcW w:w="1160" w:type="dxa"/>
            <w:vAlign w:val="bottom"/>
            <w:gridSpan w:val="3"/>
          </w:tcPr>
          <w:p>
            <w:pPr>
              <w:jc w:val="center"/>
              <w:ind w:right="260"/>
              <w:spacing w:after="0" w:line="114" w:lineRule="exact"/>
              <w:rPr>
                <w:sz w:val="20"/>
                <w:szCs w:val="20"/>
                <w:color w:val="auto"/>
              </w:rPr>
            </w:pPr>
            <w:r>
              <w:rPr>
                <w:rFonts w:ascii="Arial" w:cs="Arial" w:eastAsia="Arial" w:hAnsi="Arial"/>
                <w:sz w:val="12"/>
                <w:szCs w:val="12"/>
                <w:b w:val="1"/>
                <w:bCs w:val="1"/>
                <w:color w:val="auto"/>
                <w:w w:val="99"/>
              </w:rPr>
              <w:t>Comprehensive</w:t>
            </w:r>
          </w:p>
        </w:tc>
        <w:tc>
          <w:tcPr>
            <w:tcW w:w="1340" w:type="dxa"/>
            <w:vAlign w:val="bottom"/>
            <w:tcBorders>
              <w:bottom w:val="single" w:sz="8" w:color="auto"/>
            </w:tcBorders>
            <w:gridSpan w:val="5"/>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tcPr>
          <w:p>
            <w:pPr>
              <w:spacing w:after="0" w:line="114" w:lineRule="exact"/>
              <w:rPr>
                <w:sz w:val="20"/>
                <w:szCs w:val="20"/>
                <w:color w:val="auto"/>
              </w:rPr>
            </w:pPr>
            <w:r>
              <w:rPr>
                <w:rFonts w:ascii="Arial" w:cs="Arial" w:eastAsia="Arial" w:hAnsi="Arial"/>
                <w:sz w:val="12"/>
                <w:szCs w:val="12"/>
                <w:b w:val="1"/>
                <w:bCs w:val="1"/>
                <w:color w:val="auto"/>
              </w:rPr>
              <w:t>Noncontrolling</w:t>
            </w:r>
          </w:p>
        </w:tc>
        <w:tc>
          <w:tcPr>
            <w:tcW w:w="0" w:type="dxa"/>
            <w:vAlign w:val="bottom"/>
          </w:tcPr>
          <w:p>
            <w:pPr>
              <w:spacing w:after="0"/>
              <w:rPr>
                <w:sz w:val="1"/>
                <w:szCs w:val="1"/>
                <w:color w:val="auto"/>
              </w:rPr>
            </w:pPr>
          </w:p>
        </w:tc>
      </w:tr>
      <w:tr>
        <w:trPr>
          <w:trHeight w:val="169"/>
        </w:trPr>
        <w:tc>
          <w:tcPr>
            <w:tcW w:w="3920" w:type="dxa"/>
            <w:vAlign w:val="bottom"/>
          </w:tcPr>
          <w:p>
            <w:pPr>
              <w:spacing w:after="0"/>
              <w:rPr>
                <w:sz w:val="14"/>
                <w:szCs w:val="14"/>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Total</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2"/>
              </w:rPr>
              <w:t>Amounts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Capital</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9"/>
              </w:rPr>
              <w:t>Loss</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Shares</w:t>
            </w:r>
          </w:p>
        </w:tc>
        <w:tc>
          <w:tcPr>
            <w:tcW w:w="10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Interests</w:t>
            </w:r>
          </w:p>
        </w:tc>
        <w:tc>
          <w:tcPr>
            <w:tcW w:w="0" w:type="dxa"/>
            <w:vAlign w:val="bottom"/>
          </w:tcPr>
          <w:p>
            <w:pPr>
              <w:spacing w:after="0"/>
              <w:rPr>
                <w:sz w:val="1"/>
                <w:szCs w:val="1"/>
                <w:color w:val="auto"/>
              </w:rPr>
            </w:pPr>
          </w:p>
        </w:tc>
      </w:tr>
      <w:tr>
        <w:trPr>
          <w:trHeight w:val="142"/>
        </w:trPr>
        <w:tc>
          <w:tcPr>
            <w:tcW w:w="39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2016</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$5,320</w:t>
            </w: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630,282</w:t>
            </w:r>
          </w:p>
        </w:tc>
        <w:tc>
          <w:tcPr>
            <w:tcW w:w="2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4,850</w:t>
            </w:r>
          </w:p>
        </w:tc>
        <w:tc>
          <w:tcPr>
            <w:tcW w:w="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7,388</w:t>
            </w:r>
          </w:p>
        </w:tc>
        <w:tc>
          <w:tcPr>
            <w:tcW w:w="2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w:t>
            </w:r>
          </w:p>
        </w:tc>
        <w:tc>
          <w:tcPr>
            <w:tcW w:w="2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(190,967)</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(6,867)</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4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658</w:t>
            </w:r>
          </w:p>
        </w:tc>
        <w:tc>
          <w:tcPr>
            <w:tcW w:w="2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660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net of tax expense</w:t>
            </w: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47</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47</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tcPr>
          <w:p>
            <w:pPr>
              <w:spacing w:after="0" w:line="149" w:lineRule="exact"/>
              <w:rPr>
                <w:sz w:val="20"/>
                <w:szCs w:val="20"/>
                <w:color w:val="auto"/>
              </w:rPr>
            </w:pPr>
            <w:r>
              <w:rPr>
                <w:rFonts w:ascii="Arial" w:cs="Arial" w:eastAsia="Arial" w:hAnsi="Arial"/>
                <w:sz w:val="14"/>
                <w:szCs w:val="14"/>
                <w:color w:val="auto"/>
              </w:rPr>
              <w:t>Cash dividends</w:t>
            </w:r>
          </w:p>
        </w:tc>
        <w:tc>
          <w:tcPr>
            <w:tcW w:w="6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(381)</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(381)</w:t>
            </w: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Equity-based compensation transactions, net</w:t>
            </w: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114</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3,519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tcPr>
          <w:p>
            <w:pPr>
              <w:spacing w:after="0" w:line="149" w:lineRule="exact"/>
              <w:rPr>
                <w:sz w:val="20"/>
                <w:szCs w:val="20"/>
                <w:color w:val="auto"/>
              </w:rPr>
            </w:pPr>
            <w:r>
              <w:rPr>
                <w:rFonts w:ascii="Arial" w:cs="Arial" w:eastAsia="Arial" w:hAnsi="Arial"/>
                <w:sz w:val="14"/>
                <w:szCs w:val="14"/>
                <w:color w:val="auto"/>
              </w:rPr>
              <w:t>Common stock repurchase program</w:t>
            </w:r>
          </w:p>
        </w:tc>
        <w:tc>
          <w:tcPr>
            <w:tcW w:w="6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(250)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net</w:t>
            </w:r>
          </w:p>
        </w:tc>
        <w:tc>
          <w:tcPr>
            <w:tcW w:w="6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4"/>
                <w:szCs w:val="14"/>
                <w:color w:val="auto"/>
              </w:rPr>
              <w:t>Balance, June 30, 2017</w:t>
            </w: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20" w:type="dxa"/>
            <w:vAlign w:val="bottom"/>
            <w:vMerge w:val="continue"/>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5,507</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630,282</w:t>
            </w:r>
          </w:p>
        </w:tc>
        <w:tc>
          <w:tcPr>
            <w:tcW w:w="220" w:type="dxa"/>
            <w:vAlign w:val="bottom"/>
          </w:tcPr>
          <w:p>
            <w:pPr>
              <w:spacing w:after="0"/>
              <w:rPr>
                <w:sz w:val="13"/>
                <w:szCs w:val="13"/>
                <w:color w:val="auto"/>
              </w:rPr>
            </w:pPr>
          </w:p>
        </w:tc>
        <w:tc>
          <w:tcPr>
            <w:tcW w:w="3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rPr>
              <w:t>6</w:t>
            </w:r>
          </w:p>
        </w:tc>
        <w:tc>
          <w:tcPr>
            <w:tcW w:w="22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4,828</w:t>
            </w:r>
          </w:p>
        </w:tc>
        <w:tc>
          <w:tcPr>
            <w:tcW w:w="28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7,671</w:t>
            </w:r>
          </w:p>
        </w:tc>
        <w:tc>
          <w:tcPr>
            <w:tcW w:w="2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(33)</w:t>
            </w:r>
          </w:p>
        </w:tc>
        <w:tc>
          <w:tcPr>
            <w:tcW w:w="7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3"/>
              </w:rPr>
              <w:t>(190,571)</w:t>
            </w:r>
          </w:p>
        </w:tc>
        <w:tc>
          <w:tcPr>
            <w:tcW w:w="22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99"/>
              </w:rPr>
              <w:t>(6,986)</w:t>
            </w:r>
          </w:p>
        </w:tc>
        <w:tc>
          <w:tcPr>
            <w:tcW w:w="24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2"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13. Waste Management, Inc.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United States.</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evaluate, oversee and manage the financial performance of our Solid Waste business subsidiaries through our 17 Areas. We also provide additional services that are not managed through our Solid Waste business, which are presented in this report as “Other.” Additional information related to our segments is included in Note 7.</w:t>
      </w:r>
    </w:p>
    <w:p>
      <w:pPr>
        <w:spacing w:after="0" w:line="14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Condensed Consolidated Financial Statements as of June 30, 2017 and for the three and six months ended June 30, 2017 and 2016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conjunction with the financial statements included in our Annual Report on Form 10-K for the year ended December 31, 2016.</w:t>
      </w:r>
    </w:p>
    <w:p>
      <w:pPr>
        <w:spacing w:after="0" w:line="116"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and reserves associated with our insured and self-insured claims. Actual results could differ materially from the estimates and assumptions that we use in the preparation of our financial statements.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Equity-Based Compensation — </w:t>
      </w:r>
      <w:r>
        <w:rPr>
          <w:rFonts w:ascii="Arial" w:cs="Arial" w:eastAsia="Arial" w:hAnsi="Arial"/>
          <w:sz w:val="16"/>
          <w:szCs w:val="16"/>
          <w:color w:val="auto"/>
        </w:rPr>
        <w:t>In March 2016, the Financial Accounting Standards Board (“FASB”) issued Accounting Standards Update (“ASU”)</w:t>
      </w:r>
      <w:r>
        <w:rPr>
          <w:rFonts w:ascii="Arial" w:cs="Arial" w:eastAsia="Arial" w:hAnsi="Arial"/>
          <w:sz w:val="16"/>
          <w:szCs w:val="16"/>
          <w:i w:val="1"/>
          <w:iCs w:val="1"/>
          <w:color w:val="auto"/>
        </w:rPr>
        <w:t xml:space="preserve"> </w:t>
      </w:r>
      <w:r>
        <w:rPr>
          <w:rFonts w:ascii="Arial" w:cs="Arial" w:eastAsia="Arial" w:hAnsi="Arial"/>
          <w:sz w:val="16"/>
          <w:szCs w:val="16"/>
          <w:color w:val="auto"/>
        </w:rPr>
        <w:t>2016-09 associated with equity-based compensation as part of its simplification initiative to reduce the cost and complexity of compliance with U.S. Generally Accepted Accounting Principles (“GAAP”), while maintaining or improving the usefulness of the information provided.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This amended guidance was effective for the Company on January 1, 2017 and required the following changes to the presentation of our financial statements:</w:t>
      </w:r>
    </w:p>
    <w:p>
      <w:pPr>
        <w:spacing w:after="0" w:line="113" w:lineRule="exact"/>
        <w:rPr>
          <w:sz w:val="20"/>
          <w:szCs w:val="20"/>
          <w:color w:val="auto"/>
        </w:rPr>
      </w:pPr>
    </w:p>
    <w:p>
      <w:pPr>
        <w:jc w:val="both"/>
        <w:ind w:left="900" w:hanging="325"/>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Excess tax benefits or deficiencies for share-based payments are now recorded as a discrete item in the period shares vest or stock options are exercised as an adjustment to income tax expense or benefit rather than additional paid-in capital. This change was applied prospectively as of January 1, 2017. The Company did not have any excess tax benefits that were not previously recognized as of January 1, 2017. See Note 4 for discussion of the current year impact;</w:t>
      </w:r>
    </w:p>
    <w:p>
      <w:pPr>
        <w:spacing w:after="0" w:line="62"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of January 1, 2017, the calculation of diluted weighted average shares outstanding was changed prospectively to no longer include excess tax benefits as assumed proceeds. This change did not have a material impact on our current year diluted earnings per share;</w:t>
      </w:r>
    </w:p>
    <w:p>
      <w:pPr>
        <w:spacing w:after="0" w:line="4" w:lineRule="exact"/>
        <w:rPr>
          <w:rFonts w:ascii="Arial" w:cs="Arial" w:eastAsia="Arial" w:hAnsi="Arial"/>
          <w:sz w:val="16"/>
          <w:szCs w:val="16"/>
          <w:color w:val="auto"/>
        </w:rPr>
      </w:pPr>
    </w:p>
    <w:p>
      <w:pPr>
        <w:jc w:val="both"/>
        <w:ind w:left="900" w:hanging="325"/>
        <w:spacing w:after="0" w:line="306"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Cash flows related to excess tax benefits or deficiencies are included in net cash provided by operating activities rather than as a financing activity. The Company adopted this change retrospectively, which resulted in an increase to net cash provided by operating activities and a corresponding increase to net cash used in financing activities of $17 million for the six months ended June 30, 2016;</w:t>
      </w:r>
    </w:p>
    <w:p>
      <w:pPr>
        <w:spacing w:after="0" w:line="25" w:lineRule="exact"/>
        <w:rPr>
          <w:rFonts w:ascii="Arial" w:cs="Arial" w:eastAsia="Arial" w:hAnsi="Arial"/>
          <w:sz w:val="16"/>
          <w:szCs w:val="16"/>
          <w:color w:val="auto"/>
        </w:rPr>
      </w:pPr>
    </w:p>
    <w:p>
      <w:pPr>
        <w:jc w:val="both"/>
        <w:ind w:left="900" w:hanging="325"/>
        <w:spacing w:after="0" w:line="29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Cash paid to taxing authorities when withholding shares from an employee’s vesting or exercise of equity-based compensation awards for tax-withholding purposes is now considered a repurchase of the Company’s equity instruments and is classified as net cash used in financing activities rather than as an operating activity. The Company adopted this change retrospectively, which resulted in an increase to net cash provided by operating activities and a corresponding increase to net cash used in financing activities of $23 million for the six months ended June 30, 2016;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has elected to continue to estimate forfeitures rather than account for forfeitures as they occur.</w:t>
      </w:r>
    </w:p>
    <w:p>
      <w:pPr>
        <w:spacing w:after="0" w:line="17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Goodwill Impairment Testing — </w:t>
      </w:r>
      <w:r>
        <w:rPr>
          <w:rFonts w:ascii="Arial" w:cs="Arial" w:eastAsia="Arial" w:hAnsi="Arial"/>
          <w:sz w:val="16"/>
          <w:szCs w:val="16"/>
          <w:color w:val="auto"/>
        </w:rPr>
        <w:t>In January 2017, the FASB issued ASU 2017-04 which simplifies the goodwill impairment test by eliminating Step 2 of</w:t>
      </w:r>
      <w:r>
        <w:rPr>
          <w:rFonts w:ascii="Arial" w:cs="Arial" w:eastAsia="Arial" w:hAnsi="Arial"/>
          <w:sz w:val="16"/>
          <w:szCs w:val="16"/>
          <w:i w:val="1"/>
          <w:iCs w:val="1"/>
          <w:color w:val="auto"/>
        </w:rPr>
        <w:t xml:space="preserve"> </w:t>
      </w:r>
      <w:r>
        <w:rPr>
          <w:rFonts w:ascii="Arial" w:cs="Arial" w:eastAsia="Arial" w:hAnsi="Arial"/>
          <w:sz w:val="16"/>
          <w:szCs w:val="16"/>
          <w:color w:val="auto"/>
        </w:rPr>
        <w:t>the quantitative assessment and should reduce the cost and complexity of evaluating goodwill for impairment. Under the amended guidance, when a quantitative assessment is required, an entity will perform a goodwill impairment test by comparing the fair value of a reporting unit with its carrying amount. An impairment charge will be measured as the amount by which the carrying amount exceeds the reporting unit’s fair value, not to exceed the total amount of recorded goodwill. This amended guidance, effective for the Company on January 1, 2020, permits early adoption. The Company’s early adoption on January 1, 2017 did not have an impact on our consolidated financial statements.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necessary, reclassifications have been made to our prior period financial information to conform to the current year presentation.</w:t>
      </w:r>
    </w:p>
    <w:p>
      <w:pPr>
        <w:spacing w:after="0" w:line="28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85"/>
              </w:rPr>
              <w:t>June 30, 2017</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left="102"/>
              <w:spacing w:after="0"/>
              <w:rPr>
                <w:sz w:val="20"/>
                <w:szCs w:val="20"/>
                <w:color w:val="auto"/>
              </w:rPr>
            </w:pPr>
            <w:r>
              <w:rPr>
                <w:rFonts w:ascii="Arial" w:cs="Arial" w:eastAsia="Arial" w:hAnsi="Arial"/>
                <w:sz w:val="14"/>
                <w:szCs w:val="14"/>
                <w:b w:val="1"/>
                <w:bCs w:val="1"/>
                <w:color w:val="auto"/>
                <w:w w:val="87"/>
              </w:rPr>
              <w:t>December 31, 2016</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5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Environmental</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Environmental</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1"/>
        </w:trPr>
        <w:tc>
          <w:tcPr>
            <w:tcW w:w="532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Landfill</w:t>
            </w:r>
          </w:p>
        </w:tc>
        <w:tc>
          <w:tcPr>
            <w:tcW w:w="46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Remediation</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6"/>
              </w:rPr>
              <w:t>Landfill</w:t>
            </w:r>
          </w:p>
        </w:tc>
        <w:tc>
          <w:tcPr>
            <w:tcW w:w="440" w:type="dxa"/>
            <w:vAlign w:val="bottom"/>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Remediation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Total</w:t>
            </w:r>
          </w:p>
        </w:tc>
      </w:tr>
      <w:tr>
        <w:trPr>
          <w:trHeight w:val="210"/>
        </w:trPr>
        <w:tc>
          <w:tcPr>
            <w:tcW w:w="5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(in accrued liabilities)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Long-term</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1,493</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1,712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1,457</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1,675</w:t>
            </w:r>
          </w:p>
        </w:tc>
      </w:tr>
      <w:tr>
        <w:trPr>
          <w:trHeight w:val="27"/>
        </w:trPr>
        <w:tc>
          <w:tcPr>
            <w:tcW w:w="5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1,631</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1,876</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1,576</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1,822</w:t>
            </w:r>
          </w:p>
        </w:tc>
      </w:tr>
      <w:tr>
        <w:trPr>
          <w:trHeight w:val="20"/>
        </w:trPr>
        <w:tc>
          <w:tcPr>
            <w:tcW w:w="5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changes to landfill and environmental remediation liabilities for the six months ended June 30, 2017 are reflected in the table below (in millions):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8"/>
              </w:rPr>
              <w:t>Environmental</w:t>
            </w:r>
          </w:p>
        </w:tc>
      </w:tr>
      <w:tr>
        <w:trPr>
          <w:trHeight w:val="161"/>
        </w:trPr>
        <w:tc>
          <w:tcPr>
            <w:tcW w:w="7220" w:type="dxa"/>
            <w:vAlign w:val="bottom"/>
          </w:tcPr>
          <w:p>
            <w:pPr>
              <w:spacing w:after="0"/>
              <w:rPr>
                <w:sz w:val="14"/>
                <w:szCs w:val="14"/>
                <w:color w:val="auto"/>
              </w:rPr>
            </w:pPr>
          </w:p>
        </w:tc>
        <w:tc>
          <w:tcPr>
            <w:tcW w:w="13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2"/>
              </w:rPr>
              <w:t>Landfill</w:t>
            </w: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Remediation</w:t>
            </w:r>
          </w:p>
        </w:tc>
      </w:tr>
      <w:tr>
        <w:trPr>
          <w:trHeight w:val="210"/>
        </w:trPr>
        <w:tc>
          <w:tcPr>
            <w:tcW w:w="7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December 31, 2016</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$1,576</w:t>
            </w:r>
          </w:p>
        </w:tc>
        <w:tc>
          <w:tcPr>
            <w:tcW w:w="8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20" w:type="dxa"/>
            <w:vAlign w:val="bottom"/>
          </w:tcPr>
          <w:p>
            <w:pPr>
              <w:ind w:left="220"/>
              <w:spacing w:after="0"/>
              <w:rPr>
                <w:sz w:val="20"/>
                <w:szCs w:val="20"/>
                <w:color w:val="auto"/>
              </w:rPr>
            </w:pPr>
            <w:r>
              <w:rPr>
                <w:rFonts w:ascii="Arial" w:cs="Arial" w:eastAsia="Arial" w:hAnsi="Arial"/>
                <w:sz w:val="18"/>
                <w:szCs w:val="18"/>
                <w:color w:val="auto"/>
              </w:rPr>
              <w:t>Obligations incurred and capitalized</w:t>
            </w: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13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7220" w:type="dxa"/>
            <w:vAlign w:val="bottom"/>
          </w:tcPr>
          <w:p>
            <w:pPr>
              <w:ind w:left="220"/>
              <w:spacing w:after="0"/>
              <w:rPr>
                <w:sz w:val="20"/>
                <w:szCs w:val="20"/>
                <w:color w:val="auto"/>
              </w:rPr>
            </w:pPr>
            <w:r>
              <w:rPr>
                <w:rFonts w:ascii="Arial" w:cs="Arial" w:eastAsia="Arial" w:hAnsi="Arial"/>
                <w:sz w:val="18"/>
                <w:szCs w:val="18"/>
                <w:color w:val="auto"/>
              </w:rPr>
              <w:t>Interest accretion</w:t>
            </w: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7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Revisions in estimates and interest rate assumptions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23"/>
        </w:trPr>
        <w:tc>
          <w:tcPr>
            <w:tcW w:w="7220" w:type="dxa"/>
            <w:vAlign w:val="bottom"/>
          </w:tcPr>
          <w:p>
            <w:pPr>
              <w:ind w:left="220"/>
              <w:spacing w:after="0"/>
              <w:rPr>
                <w:sz w:val="20"/>
                <w:szCs w:val="20"/>
                <w:color w:val="auto"/>
              </w:rPr>
            </w:pPr>
            <w:r>
              <w:rPr>
                <w:rFonts w:ascii="Arial" w:cs="Arial" w:eastAsia="Arial" w:hAnsi="Arial"/>
                <w:sz w:val="18"/>
                <w:szCs w:val="18"/>
                <w:color w:val="auto"/>
              </w:rPr>
              <w:t>Acquisitions, divestitures and other adjustments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June 30, 2017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1,631</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r>
      <w:tr>
        <w:trPr>
          <w:trHeight w:val="20"/>
        </w:trPr>
        <w:tc>
          <w:tcPr>
            <w:tcW w:w="7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See Note 13 for additional information related to these trusts.</w:t>
      </w:r>
    </w:p>
    <w:p>
      <w:pPr>
        <w:spacing w:after="0" w:line="25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summarizes the major components of debt at each balance sheet date (in millions) and provides the maturities and interest rate ranges of each major category as of June 30, 2017: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June 30,</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December 31,</w:t>
            </w:r>
          </w:p>
        </w:tc>
      </w:tr>
      <w:tr>
        <w:trPr>
          <w:trHeight w:val="161"/>
        </w:trPr>
        <w:tc>
          <w:tcPr>
            <w:tcW w:w="94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2017</w:t>
            </w: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9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7"/>
              </w:rPr>
              <w:t>$2.25 billion revolving credit facility, maturing July 2020 (weighted average interest rate of 1.9% as of December 31, 2016)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60" w:type="dxa"/>
            <w:vAlign w:val="bottom"/>
            <w:shd w:val="clear" w:color="auto" w:fill="CCEEFF"/>
          </w:tcPr>
          <w:p>
            <w:pPr>
              <w:spacing w:after="0"/>
              <w:rPr>
                <w:sz w:val="18"/>
                <w:szCs w:val="18"/>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Commercial paper program (weighted average interest rate of 1.4% as of June 30, 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Other letter of credit facilities, maturing through December 2018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8"/>
        </w:trPr>
        <w:tc>
          <w:tcPr>
            <w:tcW w:w="9460" w:type="dxa"/>
            <w:vAlign w:val="bottom"/>
          </w:tcPr>
          <w:p>
            <w:pPr>
              <w:spacing w:after="0"/>
              <w:rPr>
                <w:sz w:val="20"/>
                <w:szCs w:val="20"/>
                <w:color w:val="auto"/>
              </w:rPr>
            </w:pPr>
            <w:r>
              <w:rPr>
                <w:rFonts w:ascii="Arial" w:cs="Arial" w:eastAsia="Arial" w:hAnsi="Arial"/>
                <w:sz w:val="18"/>
                <w:szCs w:val="18"/>
                <w:color w:val="auto"/>
                <w:w w:val="95"/>
              </w:rPr>
              <w:t>Canadian term loan and revolving credit facility, maturing March 2019 (weighted average effective interest rate of 2.0% as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9460" w:type="dxa"/>
            <w:vAlign w:val="bottom"/>
          </w:tcPr>
          <w:p>
            <w:pPr>
              <w:ind w:left="220"/>
              <w:spacing w:after="0"/>
              <w:rPr>
                <w:sz w:val="20"/>
                <w:szCs w:val="20"/>
                <w:color w:val="auto"/>
              </w:rPr>
            </w:pPr>
            <w:r>
              <w:rPr>
                <w:rFonts w:ascii="Arial" w:cs="Arial" w:eastAsia="Arial" w:hAnsi="Arial"/>
                <w:sz w:val="18"/>
                <w:szCs w:val="18"/>
                <w:color w:val="auto"/>
              </w:rPr>
              <w:t>June 30, 2017 and 2.1% as of December 31, 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239</w:t>
            </w:r>
          </w:p>
        </w:tc>
      </w:tr>
      <w:tr>
        <w:trPr>
          <w:trHeight w:val="210"/>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w w:val="95"/>
              </w:rPr>
              <w:t>Senior notes maturing through 2045, interest rates ranging from 2.4% to 7.75% (weighted average interest rate of 4.6% as of</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June 30, 2017 and December 31, 2016)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6,033</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6,033</w:t>
            </w:r>
          </w:p>
        </w:tc>
      </w:tr>
      <w:tr>
        <w:trPr>
          <w:trHeight w:val="208"/>
        </w:trPr>
        <w:tc>
          <w:tcPr>
            <w:tcW w:w="9460" w:type="dxa"/>
            <w:vAlign w:val="bottom"/>
          </w:tcPr>
          <w:p>
            <w:pPr>
              <w:spacing w:after="0"/>
              <w:rPr>
                <w:sz w:val="20"/>
                <w:szCs w:val="20"/>
                <w:color w:val="auto"/>
              </w:rPr>
            </w:pPr>
            <w:r>
              <w:rPr>
                <w:rFonts w:ascii="Arial" w:cs="Arial" w:eastAsia="Arial" w:hAnsi="Arial"/>
                <w:sz w:val="18"/>
                <w:szCs w:val="18"/>
                <w:color w:val="auto"/>
                <w:w w:val="97"/>
              </w:rPr>
              <w:t>Tax-exempt bonds, maturing through 2045, fixed and variable interest rates ranging from 0.9% to 5.7% (weighted average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9460" w:type="dxa"/>
            <w:vAlign w:val="bottom"/>
          </w:tcPr>
          <w:p>
            <w:pPr>
              <w:ind w:left="220"/>
              <w:spacing w:after="0"/>
              <w:rPr>
                <w:sz w:val="20"/>
                <w:szCs w:val="20"/>
                <w:color w:val="auto"/>
              </w:rPr>
            </w:pPr>
            <w:r>
              <w:rPr>
                <w:rFonts w:ascii="Arial" w:cs="Arial" w:eastAsia="Arial" w:hAnsi="Arial"/>
                <w:sz w:val="18"/>
                <w:szCs w:val="18"/>
                <w:color w:val="auto"/>
              </w:rPr>
              <w:t>interest rate of 1.9% as of June 30, 2017 and 1.8% as of December 31, 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2,305</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2,304</w:t>
            </w:r>
          </w:p>
        </w:tc>
      </w:tr>
      <w:tr>
        <w:trPr>
          <w:trHeight w:val="218"/>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Capital leases and other, maturing through 2055, interest rates up to 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w:t>
            </w:r>
          </w:p>
        </w:tc>
      </w:tr>
      <w:tr>
        <w:trPr>
          <w:trHeight w:val="20"/>
        </w:trPr>
        <w:tc>
          <w:tcPr>
            <w:tcW w:w="9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1"/>
        </w:trPr>
        <w:tc>
          <w:tcPr>
            <w:tcW w:w="9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9,057</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9,310</w:t>
            </w:r>
          </w:p>
        </w:tc>
      </w:tr>
      <w:tr>
        <w:trPr>
          <w:trHeight w:val="218"/>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w:t>
            </w:r>
          </w:p>
        </w:tc>
      </w:tr>
      <w:tr>
        <w:trPr>
          <w:trHeight w:val="20"/>
        </w:trPr>
        <w:tc>
          <w:tcPr>
            <w:tcW w:w="9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946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8,667</w:t>
            </w:r>
          </w:p>
        </w:tc>
        <w:tc>
          <w:tcPr>
            <w:tcW w:w="5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8,893</w:t>
            </w:r>
          </w:p>
        </w:tc>
      </w:tr>
      <w:tr>
        <w:trPr>
          <w:trHeight w:val="20"/>
        </w:trPr>
        <w:tc>
          <w:tcPr>
            <w:tcW w:w="9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As of June 30, 2017, the current portion of our long-term debt balance of $390 million includes (i) $184 million of short-term borrowings under our commercial paper program and (ii) $206 million of other debt with scheduled maturities within the next 12 months, including $148 million of tax-exempt bonds.</w:t>
      </w:r>
    </w:p>
    <w:p>
      <w:pPr>
        <w:spacing w:after="0" w:line="85"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As of June 30, 2017, we have classified (i) $590 million of 6.1% senior notes that mature in March 2018 and (ii) $69 million of short-term borrowings under our commercial paper program as long-term because we have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intent and ability to refinance these borrowings on a long-term basis as supported by the forecasted available capacity under our long-term U.S. revolving credit facility (“$2.25 billion revolving credit facility”), as discussed below.</w:t>
      </w:r>
    </w:p>
    <w:p>
      <w:pPr>
        <w:spacing w:after="0" w:line="13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addition, we have $561 million of tax-exempt bonds with term interest rate periods that expire within the next 12 months and an additional $471 million of variable-rate tax-exempt bonds that are supported by letters of credit. The interest rates on our variable-rate tax-exempt bonds are generally reset on either a daily or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intent and ability to refinance these bonds on a long-term basis as supported by the forecasted available capacity under our $2.25 billion revolving credit facility, as discussed below. Accordingly, we have also classified these borrowings as long-term in our Condensed Consolidated Balance Sheet as of June 30, 2017.</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Access to and Utilization of Credit Facilities and Commercial Paper Program</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$2.25 Billion Revolving Credit Facility </w:t>
      </w:r>
      <w:r>
        <w:rPr>
          <w:rFonts w:ascii="Arial" w:cs="Arial" w:eastAsia="Arial" w:hAnsi="Arial"/>
          <w:sz w:val="16"/>
          <w:szCs w:val="16"/>
          <w:color w:val="auto"/>
        </w:rPr>
        <w:t>— Our $2.25 billion revolving credit facility maturing in July 2020 provides us with credit capacity to be used for</w:t>
      </w:r>
      <w:r>
        <w:rPr>
          <w:rFonts w:ascii="Arial" w:cs="Arial" w:eastAsia="Arial" w:hAnsi="Arial"/>
          <w:sz w:val="16"/>
          <w:szCs w:val="16"/>
          <w:i w:val="1"/>
          <w:iCs w:val="1"/>
          <w:color w:val="auto"/>
        </w:rPr>
        <w:t xml:space="preserve"> </w:t>
      </w:r>
      <w:r>
        <w:rPr>
          <w:rFonts w:ascii="Arial" w:cs="Arial" w:eastAsia="Arial" w:hAnsi="Arial"/>
          <w:sz w:val="16"/>
          <w:szCs w:val="16"/>
          <w:color w:val="auto"/>
        </w:rPr>
        <w:t>either cash borrowings or to support letters of credit or commercial paper. The rates we pay for outstanding loans are generally based on LIBOR plus a spread depending on the Company’s debt rating assigned by Moody’s Investors Service and Standard and Poor’s. As of June 30, 2017, we had no outstanding borrowings under this facility. We had $780 million of letters of credit issued and $253 million of outstanding borrowings under our commercial paper program, both supported by this facility, leaving unused and available credit capacity of $1,217 million as of June 30, 2017.</w:t>
      </w:r>
    </w:p>
    <w:p>
      <w:pPr>
        <w:spacing w:after="0" w:line="1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Commercial Paper Program </w:t>
      </w:r>
      <w:r>
        <w:rPr>
          <w:rFonts w:ascii="Arial" w:cs="Arial" w:eastAsia="Arial" w:hAnsi="Arial"/>
          <w:sz w:val="18"/>
          <w:szCs w:val="18"/>
          <w:color w:val="auto"/>
        </w:rPr>
        <w:t>— In August 2016, we entered into a $1.5 billion commercial paper program that enables us to borrow funds for up to 397</w:t>
      </w:r>
      <w:r>
        <w:rPr>
          <w:rFonts w:ascii="Arial" w:cs="Arial" w:eastAsia="Arial" w:hAnsi="Arial"/>
          <w:sz w:val="18"/>
          <w:szCs w:val="18"/>
          <w:i w:val="1"/>
          <w:iCs w:val="1"/>
          <w:color w:val="auto"/>
        </w:rPr>
        <w:t xml:space="preserve"> </w:t>
      </w:r>
      <w:r>
        <w:rPr>
          <w:rFonts w:ascii="Arial" w:cs="Arial" w:eastAsia="Arial" w:hAnsi="Arial"/>
          <w:sz w:val="18"/>
          <w:szCs w:val="18"/>
          <w:color w:val="auto"/>
        </w:rPr>
        <w:t>days at competitive interest rates. The commercial paper program is fully supported by our $2.25 billion revolving credit facility.</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Canadian Term Loan and Revolving Credit Facility </w:t>
      </w:r>
      <w:r>
        <w:rPr>
          <w:rFonts w:ascii="Arial" w:cs="Arial" w:eastAsia="Arial" w:hAnsi="Arial"/>
          <w:sz w:val="16"/>
          <w:szCs w:val="16"/>
          <w:color w:val="auto"/>
        </w:rPr>
        <w:t>— We have a Canadian credit agreement (which includes a term loan and revolving credit facility) that</w:t>
      </w:r>
      <w:r>
        <w:rPr>
          <w:rFonts w:ascii="Arial" w:cs="Arial" w:eastAsia="Arial" w:hAnsi="Arial"/>
          <w:sz w:val="16"/>
          <w:szCs w:val="16"/>
          <w:i w:val="1"/>
          <w:iCs w:val="1"/>
          <w:color w:val="auto"/>
        </w:rPr>
        <w:t xml:space="preserve"> </w:t>
      </w:r>
      <w:r>
        <w:rPr>
          <w:rFonts w:ascii="Arial" w:cs="Arial" w:eastAsia="Arial" w:hAnsi="Arial"/>
          <w:sz w:val="16"/>
          <w:szCs w:val="16"/>
          <w:color w:val="auto"/>
        </w:rPr>
        <w:t>matures in March 2019. This agreement provides the Company (i) C$50 million of revolving credit capacity, which can be used for borrowings or letters of credit, and (ii) C$460 million of non-revolving term credit that is prepayable without penalty and principal amounts repaid may not be reborrowed. As of June 30, 2017, we had no borrowings or letters of credit outstanding under the Canadian revolving credit facility.</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Other Letter of Credit Facilities </w:t>
      </w:r>
      <w:r>
        <w:rPr>
          <w:rFonts w:ascii="Arial" w:cs="Arial" w:eastAsia="Arial" w:hAnsi="Arial"/>
          <w:sz w:val="18"/>
          <w:szCs w:val="18"/>
          <w:color w:val="auto"/>
        </w:rPr>
        <w:t>— As of June 30, 2017, we had utilized $461 million of other letter of credit facilities, which are both committed and</w:t>
      </w:r>
      <w:r>
        <w:rPr>
          <w:rFonts w:ascii="Arial" w:cs="Arial" w:eastAsia="Arial" w:hAnsi="Arial"/>
          <w:sz w:val="18"/>
          <w:szCs w:val="18"/>
          <w:i w:val="1"/>
          <w:iCs w:val="1"/>
          <w:color w:val="auto"/>
        </w:rPr>
        <w:t xml:space="preserve"> </w:t>
      </w:r>
      <w:r>
        <w:rPr>
          <w:rFonts w:ascii="Arial" w:cs="Arial" w:eastAsia="Arial" w:hAnsi="Arial"/>
          <w:sz w:val="18"/>
          <w:szCs w:val="18"/>
          <w:color w:val="auto"/>
        </w:rPr>
        <w:t>uncommitted, with terms maturing through December 2018.</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i w:val="1"/>
          <w:iCs w:val="1"/>
          <w:color w:val="auto"/>
        </w:rPr>
        <w:t xml:space="preserve">$2.25 Billion Revolving Credit Facility </w:t>
      </w:r>
      <w:r>
        <w:rPr>
          <w:rFonts w:ascii="Arial" w:cs="Arial" w:eastAsia="Arial" w:hAnsi="Arial"/>
          <w:sz w:val="16"/>
          <w:szCs w:val="16"/>
          <w:color w:val="auto"/>
        </w:rPr>
        <w:t>— During the six months ended June 30, 2017, we had net repayments of $426 million under our $2.25 billion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revolving credit facility, with $253 million replaced with net borrowings under our commercial paper program and the remainder paid with available cash.</w:t>
      </w:r>
    </w:p>
    <w:p>
      <w:pPr>
        <w:spacing w:after="0" w:line="8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Canadian Term Loan </w:t>
      </w:r>
      <w:r>
        <w:rPr>
          <w:rFonts w:ascii="Arial" w:cs="Arial" w:eastAsia="Arial" w:hAnsi="Arial"/>
          <w:sz w:val="18"/>
          <w:szCs w:val="18"/>
          <w:color w:val="auto"/>
        </w:rPr>
        <w:t>— During the six months ended June 30, 2017, we repaid C$99 million, or $74 million, of net advances under our Canadian term</w:t>
      </w:r>
      <w:r>
        <w:rPr>
          <w:rFonts w:ascii="Arial" w:cs="Arial" w:eastAsia="Arial" w:hAnsi="Arial"/>
          <w:sz w:val="18"/>
          <w:szCs w:val="18"/>
          <w:i w:val="1"/>
          <w:iCs w:val="1"/>
          <w:color w:val="auto"/>
        </w:rPr>
        <w:t xml:space="preserve"> </w:t>
      </w:r>
      <w:r>
        <w:rPr>
          <w:rFonts w:ascii="Arial" w:cs="Arial" w:eastAsia="Arial" w:hAnsi="Arial"/>
          <w:sz w:val="18"/>
          <w:szCs w:val="18"/>
          <w:color w:val="auto"/>
        </w:rPr>
        <w:t>loan with available cash.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Cross-Currency Swaps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March 2016, our Canadian subsidiaries repaid C$370 million of intercompany debt to WM Holdings with proceeds from our Canadian term loan. Concurrent with the repayment of the intercompany debt, we terminated the related cross-currency swaps and received $67 million in cash. The cash received from our termination of these swaps was classified as a change in other current assets and other assets within net cash provided by operating activities in the Condensed Consolidated Statement of Cash Flows. In addition, we recognized $8 million of expense associated with the termination of these swaps during the three months ended March 31, 2016, which was included in other, net in the Condensed Consolidated Statement of Operations.</w:t>
      </w:r>
    </w:p>
    <w:p>
      <w:pPr>
        <w:spacing w:after="0" w:line="23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Our effective income tax rate for the three and six months ended June 30, 2017 was 36.6% and 34.4%, respectively, compared with 37.6% and 36.5%, respectively, for the comparable prior year periods. We evaluate our effective income tax rate at each interim period and adjust it as facts and circumstances warrant. The difference between federal income taxes computed at the federal statutory rate and reported income taxes for the three months ended June 30, 2017 was primarily due to the unfavorable impact of state and local income taxes offset, in part, by the favorable impact of federal tax credits. The difference between federal income taxes computed at the federal statutory rate and reported income taxes for the six months ended June 30, 2017 was primarily due to the favorable impact of excess tax benefits related to equity-based compensation and federal tax credits offset, in part, by the unfavorable impact of state and local income taxes and the tax implications of impairments. The difference between federal income taxes computed at the federal statutory rate and reported income taxes for the three and six months ended June 30, 2016 was primarily due to the unfavorable tax implications of impairments and the impact of state and local income taxes offset, in part, by the favorable impact of federal tax credits and tax audit settlements.</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Equity-Based Compensation </w:t>
      </w:r>
      <w:r>
        <w:rPr>
          <w:rFonts w:ascii="Arial" w:cs="Arial" w:eastAsia="Arial" w:hAnsi="Arial"/>
          <w:sz w:val="18"/>
          <w:szCs w:val="18"/>
          <w:color w:val="auto"/>
        </w:rPr>
        <w:t>— During the three and six months ended June 30, 2017, we recognized a reduction in our income tax expense of $2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$34 million, respectively, for excess tax benefits related to the vesting or exercise of equity-based compensation awards. See Note 1 for discussion of our adoption of ASU 2016-09.</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Investments Qualifying for Federal Tax Credits </w:t>
      </w:r>
      <w:r>
        <w:rPr>
          <w:rFonts w:ascii="Arial" w:cs="Arial" w:eastAsia="Arial" w:hAnsi="Arial"/>
          <w:sz w:val="18"/>
          <w:szCs w:val="18"/>
          <w:color w:val="auto"/>
        </w:rPr>
        <w:t>— We have significant financial interests in entities established to invest in and manage low-income</w:t>
      </w:r>
      <w:r>
        <w:rPr>
          <w:rFonts w:ascii="Arial" w:cs="Arial" w:eastAsia="Arial" w:hAnsi="Arial"/>
          <w:sz w:val="18"/>
          <w:szCs w:val="18"/>
          <w:i w:val="1"/>
          <w:iCs w:val="1"/>
          <w:color w:val="auto"/>
        </w:rPr>
        <w:t xml:space="preserve"> </w:t>
      </w:r>
      <w:r>
        <w:rPr>
          <w:rFonts w:ascii="Arial" w:cs="Arial" w:eastAsia="Arial" w:hAnsi="Arial"/>
          <w:sz w:val="18"/>
          <w:szCs w:val="18"/>
          <w:color w:val="auto"/>
        </w:rPr>
        <w:t>housing properties and a refined coal facility. We support the operations of these entities in exchange for a pro-rata share of the tax credits they generate. The low-income housing investments and the coal facility’s refinement processes qualify for federal tax credits that we expect to realize through 2020 under Section 42 and through 2019 under Section 45, respectively, of the Internal Revenue Code.</w:t>
      </w:r>
    </w:p>
    <w:p>
      <w:pPr>
        <w:spacing w:after="0" w:line="143"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account for our investments in these entities using the equity method of accounting, recognizing our share of each entity’s results of operations and other reductions in the value of our investments in equity in net losses of unconsolidated entities, within our Condensed Consolidated Statements of Operations. During the three and six months ended June 30, 2017, we recognized $9 million and $15 million of net losses and a reduction in our income tax expense of $14 million and $25 million, respectively, primarily because of tax credits realized from these investments. During the three and six months ended June 30, 2016, we recognized $9 million and $15 million of net losses and a reduction in our income tax expense of $14 million and $25 million, respectively, primarily because of tax credits realized from these investments. Interest expense associated with our investment in low-income housing was not material for the periods presented. See Note 13 for additional information related to these unconsolidated variable interest entities.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Basic and diluted earnings per share were computed using the following common share data (shares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0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8"/>
              </w:rPr>
              <w:t>Three Months Ended</w:t>
            </w:r>
          </w:p>
        </w:tc>
        <w:tc>
          <w:tcPr>
            <w:tcW w:w="16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Pr>
          <w:p>
            <w:pPr>
              <w:spacing w:after="0"/>
              <w:rPr>
                <w:sz w:val="14"/>
                <w:szCs w:val="14"/>
                <w:color w:val="auto"/>
              </w:rPr>
            </w:pPr>
          </w:p>
        </w:tc>
        <w:tc>
          <w:tcPr>
            <w:tcW w:w="10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8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54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2017</w:t>
            </w:r>
          </w:p>
        </w:tc>
        <w:tc>
          <w:tcPr>
            <w:tcW w:w="104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2"/>
                <w:szCs w:val="12"/>
                <w:color w:val="auto"/>
              </w:rPr>
            </w:pPr>
          </w:p>
        </w:tc>
        <w:tc>
          <w:tcPr>
            <w:tcW w:w="54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2017</w:t>
            </w:r>
          </w:p>
        </w:tc>
        <w:tc>
          <w:tcPr>
            <w:tcW w:w="102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Number of common shares outstanding at end of period</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439.7</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4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439.7</w:t>
            </w:r>
          </w:p>
        </w:tc>
        <w:tc>
          <w:tcPr>
            <w:tcW w:w="4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Effect of using weighted average common shares outstanding</w:t>
            </w: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4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w w:val="96"/>
              </w:rPr>
              <w:t>Dilutive effect of equity-based compensation awards and other contingently issuable shares (a)</w:t>
            </w: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4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447.5</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Potentially issuable shares</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40" w:type="dxa"/>
            <w:vAlign w:val="bottom"/>
            <w:gridSpan w:val="2"/>
            <w:vMerge w:val="continue"/>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10.1</w:t>
            </w:r>
          </w:p>
        </w:tc>
        <w:tc>
          <w:tcPr>
            <w:tcW w:w="540" w:type="dxa"/>
            <w:vAlign w:val="bottom"/>
          </w:tcPr>
          <w:p>
            <w:pPr>
              <w:jc w:val="right"/>
              <w:spacing w:after="0"/>
              <w:rPr>
                <w:sz w:val="20"/>
                <w:szCs w:val="20"/>
                <w:color w:val="auto"/>
              </w:rPr>
            </w:pPr>
            <w:r>
              <w:rPr>
                <w:rFonts w:ascii="Arial" w:cs="Arial" w:eastAsia="Arial" w:hAnsi="Arial"/>
                <w:sz w:val="18"/>
                <w:szCs w:val="18"/>
                <w:color w:val="auto"/>
              </w:rPr>
              <w:t>8.4</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5"/>
              </w:rPr>
              <w:t>Number of anti-dilutive potentially issuable shares excluded from diluted common shares outstanding</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January 1, 2017, we adopted ASU 2016-09 prospectively and no longer include excess tax benefits as assumed proceeds. See Note 1 for further discussion.</w:t>
      </w:r>
    </w:p>
    <w:p>
      <w:pPr>
        <w:spacing w:after="0" w:line="24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 We have obtained letters of credit, surety bonds and insurance policies and have established trust funds and issued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guarantees to support tax-exempt bonds, contracts, performance of landfill final capping, closure and post-closure requirements, environmental remediation, and other obligations. Letters of credit generally are supported by our $2.25 billion revolving credit facility and other credit facilities established for that purpose. These facilities are discussed further in Note 3. Surety bonds and insurance policies are supported by (i) a diverse group of third-party surety and insurance companies; (ii) an entity in which we have a noncontrolling financial interest or (iii) wholly-owned insurance companies, the sole business of which is to issue surety bonds and/or insurance policies on our behalf.</w:t>
      </w:r>
    </w:p>
    <w:p>
      <w:pPr>
        <w:spacing w:after="0" w:line="12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We carry insurance coverage for protection of our assets and operations from certain risks including general liability, automobile liability, real</w:t>
      </w:r>
      <w:r>
        <w:rPr>
          <w:rFonts w:ascii="Arial" w:cs="Arial" w:eastAsia="Arial" w:hAnsi="Arial"/>
          <w:sz w:val="18"/>
          <w:szCs w:val="18"/>
          <w:i w:val="1"/>
          <w:iCs w:val="1"/>
          <w:color w:val="auto"/>
        </w:rPr>
        <w:t xml:space="preserve"> </w:t>
      </w:r>
      <w:r>
        <w:rPr>
          <w:rFonts w:ascii="Arial" w:cs="Arial" w:eastAsia="Arial" w:hAnsi="Arial"/>
          <w:sz w:val="18"/>
          <w:szCs w:val="18"/>
          <w:color w:val="auto"/>
        </w:rPr>
        <w:t>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could increase if our insurers are unable to meet their commitments on a timely basis.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retained a significant portion of the risks related to our general liability, automobile liability and workers’ compensation claims programs. “General liability” refers to the self-insured portion of specific third-party claims made against us that may be covered under our commercial General Liability Insurance Policy. For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self-insured retentions,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We do not expect the impact of any known casualty, property, environmental or other contingency to have a material impact on our financial condition, results of operations or cash flows.</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 In the ordinary course of our business, WM and WM Holdings enter into guarantee agreements associated with their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Additionally, WM and WM Holdings have each guaranteed all of the senior debt of the other entity. No additional liabilities have been recorded for these intercompany guarantees because all of the underlying obligations are reflected in our Condensed Consolidated Balance Sheets. See Note 14 for further information.</w:t>
      </w:r>
    </w:p>
    <w:p>
      <w:pPr>
        <w:spacing w:after="0" w:line="143"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have also guaranteed the obligations and certain performance requirements of, and provided indemnification to, third parties as of June 30, 2017 in connection with both consolidated and unconsolidated entities, including agreements guaranteeing certain market value losses for approximately 850 homeowners’ properties adjacent to or near 22 of our landfills. Our indemnification obligations generally arise from divestitures and provide that we will be responsible for liabilities associated with our operations for events that occurred prior to the sale of the operations.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currently believe that contingent obligations to provide indemnification or pay additional post-closing consideration in connection with our divestitures or acquisitions will have a material adverse effect on the Company’s financial condition, results of operations or cash flows.</w:t>
      </w:r>
    </w:p>
    <w:p>
      <w:pPr>
        <w:spacing w:after="0" w:line="118"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In December 2014, we sold our Wheelabrator business, which provides waste-to-energy services and manages waste-to-energy facilities and independent power production plants. Before the divestiture of our Wheelabrator business, WM had guaranteed certain operational and financial performance obligations of Wheelabrator and its subsidiaries in the ordinary course of business. In conjunction with the divestiture, certain WM guarantees of Wheelabrator obligations were terminated, but others continued and are now guarantees of third-party obligations. When possible, Wheelabrator seeks to have the applicable third-party beneficiaries release WM from these guarantees, but until such efforts are successful or the underlying financial commitments are restructured, WM has agreed to retain the guarantees and, in exchange, receive a credit support fee or other financial assurances guaranteed by a third-party financial institution to protect WM in the event of non-compliance by Wheelabrator. The most significant of these guarantees specifically define WM’s maximum financial obligation over the course of the relevant agreements. As of June 30, 2017 and December 31, 2016, WM’s maximum future payments under these guarantees was $96 million. WM’s exposure under certain of the performance guarantees is variable and a maximum exposure is not defined. We have recorded the fair value of the operational and financial performance guarantees, some of which could extend through 2038, if not terminated, in our Condensed Consolidated Balance Sheets. The estimated fair value of WM’s potential obligation associated with guarantees of Wheelabrator’s obligations (net of credit support fee or indemnification asset) as of June 30, 2017 and December 31, 2016 was $9 million and $11 million, respectively. We currently do not expect the financial impact of such operational and financial performance guarantees to materially exceed the recorded fair value.</w:t>
      </w:r>
    </w:p>
    <w:p>
      <w:pPr>
        <w:spacing w:after="0" w:line="121"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 A significant portion of our operating costs and capital expenditures could be characterized as costs of environmental protection.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nature of our operations, particularly with respect to the construction, operation and maintenance of our landfills, subjects us to an array of laws and regulations relating to the protection of the environment. Under current laws and regulations, we may have liabilities for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clean-up.</w:t>
      </w:r>
    </w:p>
    <w:p>
      <w:pPr>
        <w:spacing w:after="0" w:line="10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our aggregate potential liability would be approximately $115 million higher than the $245 million recorded in the Condensed Consolidated Balance Sheet as of June 30, 2017.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12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of June 30, 2017, we have been notified by the government that we are a PRP in connection with 76 locations listed on the Environmental Protection Agency’s (“EPA’s”) Superfund National Priorities List (“NPL”). Of the 76 sites at which claims have been made against us, 15 are sites we own. Each of the NPL sites we own was initially developed by others as a landfill disposal facility. At each of these facilities, we are working in conjunction with the government to evaluate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61 NPL sites, which we do not own, are at various procedural stages under the Comprehensive Environmental Response, Compensation and Liability Act of 1980, as amended, known as CERCLA or Superfund.</w:t>
      </w:r>
    </w:p>
    <w:p>
      <w:pPr>
        <w:spacing w:after="0" w:line="118"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September 2016, the EPA announced a proposed remediation plan for the San Jacinto waste pits in Harris County, Texas, naming McGinnes Industrial Maintenance Corporation (“MIMC”), a subsidiary of WM, as a PRP. MIMC operated the waste pits from 1965 to 1966. In 1998, WM acquired the stock of the parent entity of MIMC. The remedy and remedial design plan for the site are not yet final. A notice and comment period with respect to the remedy closed on January 12, 2017. MIMC filed comments, detailing its disagreement with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proposed remedy put forth by the EPA and is continuing to focus on a solution that it believes best protects the environment and public health. MIMC’s ultimate liability could be materially different from current estimates. We remain an active participant in the EPA’s process established to evaluate and determine the appropriate remedy and remedial design plan for this site. As of June 30, 2017 and December 31, 2016, our recorded liability for MIMC’s estimated share of the EPA’s proposed remedy was $45 million and $46 million, respectively.</w:t>
      </w:r>
    </w:p>
    <w:p>
      <w:pPr>
        <w:spacing w:after="0" w:line="14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matters are disclosed in accordance with that requirement. We do not currently believe that the eventual outcome of any such matters, individually or in the aggregate, could have a material adverse effect on the Company’s business, financial condition, results of operations or cash flows.</w:t>
      </w:r>
    </w:p>
    <w:p>
      <w:pPr>
        <w:spacing w:after="0" w:line="62" w:lineRule="exact"/>
        <w:rPr>
          <w:sz w:val="20"/>
          <w:szCs w:val="20"/>
          <w:color w:val="auto"/>
        </w:rPr>
      </w:pPr>
    </w:p>
    <w:p>
      <w:pPr>
        <w:jc w:val="both"/>
        <w:ind w:left="460" w:firstLine="438"/>
        <w:spacing w:after="0" w:line="255" w:lineRule="auto"/>
        <w:rPr>
          <w:sz w:val="20"/>
          <w:szCs w:val="20"/>
          <w:color w:val="auto"/>
        </w:rPr>
      </w:pPr>
      <w:r>
        <w:rPr>
          <w:rFonts w:ascii="Arial" w:cs="Arial" w:eastAsia="Arial" w:hAnsi="Arial"/>
          <w:sz w:val="18"/>
          <w:szCs w:val="18"/>
          <w:color w:val="auto"/>
        </w:rPr>
        <w:t>On January 10, 2017, the Pennsylvania Department of Environmental Protection (“DEP”) solid waste program advised us that it intends to seek civil penalties against the Grows North and Tullytown Landfills (“Grows/Tullytown”), located in southeast Pennsylvania and owned by indirect wholly-owned subsidiaries of WM, related to operational issues, including litter and leachate discharges. Additionally, we received notice on March 15, 2017 that the DEP clean water program also intends to seek civil penalties related to similar underlying events and operational issues at Grows/Tullytown. Our internal review of these matters is in process.</w:t>
      </w:r>
    </w:p>
    <w:p>
      <w:pPr>
        <w:spacing w:after="0" w:line="62" w:lineRule="exact"/>
        <w:rPr>
          <w:sz w:val="20"/>
          <w:szCs w:val="20"/>
          <w:color w:val="auto"/>
        </w:rPr>
      </w:pPr>
    </w:p>
    <w:p>
      <w:pPr>
        <w:jc w:val="both"/>
        <w:ind w:left="460" w:firstLine="438"/>
        <w:spacing w:after="0" w:line="259" w:lineRule="auto"/>
        <w:rPr>
          <w:sz w:val="20"/>
          <w:szCs w:val="20"/>
          <w:color w:val="auto"/>
        </w:rPr>
      </w:pPr>
      <w:r>
        <w:rPr>
          <w:rFonts w:ascii="Arial" w:cs="Arial" w:eastAsia="Arial" w:hAnsi="Arial"/>
          <w:sz w:val="18"/>
          <w:szCs w:val="18"/>
          <w:color w:val="auto"/>
        </w:rPr>
        <w:t>Waste Management of Hawaii, Inc. (“WMHI”), an indirect wholly-owned subsidiary of WM, may face civil claims from the Hawaii Department of Health and/or the EPA based upon water discharges at the Waimanalo Gulch Sanitary Landfill, which WMHI operates for the city and county of Honolulu, following three major rainstorms in December 2010 and January 2011.</w:t>
      </w:r>
    </w:p>
    <w:p>
      <w:pPr>
        <w:spacing w:after="0" w:line="59" w:lineRule="exact"/>
        <w:rPr>
          <w:sz w:val="20"/>
          <w:szCs w:val="20"/>
          <w:color w:val="auto"/>
        </w:rPr>
      </w:pPr>
    </w:p>
    <w:p>
      <w:pPr>
        <w:jc w:val="both"/>
        <w:ind w:left="460" w:firstLine="438"/>
        <w:spacing w:after="0" w:line="306" w:lineRule="auto"/>
        <w:rPr>
          <w:sz w:val="20"/>
          <w:szCs w:val="20"/>
          <w:color w:val="auto"/>
        </w:rPr>
      </w:pPr>
      <w:r>
        <w:rPr>
          <w:rFonts w:ascii="Arial" w:cs="Arial" w:eastAsia="Arial" w:hAnsi="Arial"/>
          <w:sz w:val="16"/>
          <w:szCs w:val="16"/>
          <w:color w:val="auto"/>
        </w:rPr>
        <w:t>On July 10, 2013, the EPA issued a Notice of Violation (“NOV”) to Waste Management of Wisconsin, Inc., an indirect wholly-owned subsidiary of WM, alleging violations of the Resource Conservation Recovery Act concerning acceptance of certain waste that was not permitted to be disposed of at the Metro Recycling &amp; Disposal Facility in Franklin, Wisconsin. The parties are exchanging information and working to resolve the NOV.</w:t>
      </w:r>
    </w:p>
    <w:p>
      <w:pPr>
        <w:spacing w:after="0" w:line="10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2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As a large company with operations across the United States and Canada, we are subject to various proceedings, lawsuits, disputes and claims</w:t>
      </w:r>
      <w:r>
        <w:rPr>
          <w:rFonts w:ascii="Arial" w:cs="Arial" w:eastAsia="Arial" w:hAnsi="Arial"/>
          <w:sz w:val="18"/>
          <w:szCs w:val="18"/>
          <w:i w:val="1"/>
          <w:iCs w:val="1"/>
          <w:color w:val="auto"/>
        </w:rPr>
        <w:t xml:space="preserve"> </w:t>
      </w:r>
      <w:r>
        <w:rPr>
          <w:rFonts w:ascii="Arial" w:cs="Arial" w:eastAsia="Arial" w:hAnsi="Arial"/>
          <w:sz w:val="18"/>
          <w:szCs w:val="18"/>
          <w:color w:val="auto"/>
        </w:rPr>
        <w:t>arising in the ordinary course of our business. Many of these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2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WM’s charter and bylaws provide that WM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WM’s Board of Directors and each of WM’s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18"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i w:val="1"/>
          <w:iCs w:val="1"/>
          <w:color w:val="auto"/>
        </w:rPr>
        <w:t xml:space="preserve">Multiemployer Defined Benefit Pension Plans </w:t>
      </w:r>
      <w:r>
        <w:rPr>
          <w:rFonts w:ascii="Arial" w:cs="Arial" w:eastAsia="Arial" w:hAnsi="Arial"/>
          <w:sz w:val="16"/>
          <w:szCs w:val="16"/>
          <w:color w:val="auto"/>
        </w:rPr>
        <w:t>— About 20% of our workforce is covered by collective bargaining agreements with various local unions</w:t>
      </w:r>
      <w:r>
        <w:rPr>
          <w:rFonts w:ascii="Arial" w:cs="Arial" w:eastAsia="Arial" w:hAnsi="Arial"/>
          <w:sz w:val="16"/>
          <w:szCs w:val="16"/>
          <w:i w:val="1"/>
          <w:iCs w:val="1"/>
          <w:color w:val="auto"/>
        </w:rPr>
        <w:t xml:space="preserve"> </w:t>
      </w:r>
      <w:r>
        <w:rPr>
          <w:rFonts w:ascii="Arial" w:cs="Arial" w:eastAsia="Arial" w:hAnsi="Arial"/>
          <w:sz w:val="16"/>
          <w:szCs w:val="16"/>
          <w:color w:val="auto"/>
        </w:rPr>
        <w:t>across the United States and Canada. As a result of some of these agreements, certain of our subsidiaries are participating employers in a number of trustee-managed multiemployer defined benefit pension plans (“Multiemployer Pension Plans”) for the covered employees.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12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liabilities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Tax Matters </w:t>
      </w:r>
      <w:r>
        <w:rPr>
          <w:rFonts w:ascii="Arial" w:cs="Arial" w:eastAsia="Arial" w:hAnsi="Arial"/>
          <w:sz w:val="16"/>
          <w:szCs w:val="16"/>
          <w:color w:val="auto"/>
        </w:rPr>
        <w:t>— We participate in the IRS’s Compliance Assurance Process, which means we work with the IRS throughout the year towards resolving any</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issues prior to the filing of our annual tax return. Any unresolved issues as of the tax return filing date are subject to routine examination procedures. We are currently in the examination phase of IRS audits for the tax years 2014, 2015, 2016 and 2017 and expect these audits to be completed within the next nine, 12, 18 and 30 months, respectively. We are also currently undergoing audits by various state and local jurisdictions for tax years that date back to 2009, with the exception of affirmative claims in a limited number of jurisdictions that date back to 2000. We maintain a liability for uncertain tax positions,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balance of which management believes is adequate. Results of audit assessments by taxing authorities are not currently expected to have a material adverse effect on our financial condition, results of operations or cash flows.</w:t>
      </w:r>
    </w:p>
    <w:p>
      <w:pPr>
        <w:spacing w:after="0" w:line="24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evaluate, oversee and manage the financial performance of our Solid Waste business subsidiaries through our 17 Areas. The 17 Areas constitute our operating segments and none of the Areas individually meet the quantitative criteria to be a separate reportable segment. We have evaluated the aggregation criteria and concluded that, based on the similarities between our Areas, including the fact that our Solid Waste business is homogenous across geographies with the same services offered across the Areas, aggregation of our Areas is appropriate for purposes of presenting our reportable segments. Accordingly, we have aggregated our 17 Areas into three tiers that we believe have similar economic characteristics and future prospects based in large part on a review of the Areas’ income from operations margins. The economic variations experienced by our Areas are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Tier 1 is comprised of our operations across the Southern United States, with the exception of Southern California and the Florida peninsula, and also includes the New England states, the tri-state area of Michigan, Indiana and Ohio, and Western Canada. Tier 2 includes Southern California, Eastern Canada, Wisconsin, Minnesota and a portion of the lower Mid-Atlantic region of the United States. Tier 3 encompasses all the remaining operations including the Pacific Northwest and Northern California, the majority of the Mid-Atlantic region of the United States, the Florida peninsula, Illinois and Missouri.</w:t>
      </w:r>
    </w:p>
    <w:p>
      <w:pPr>
        <w:spacing w:after="0" w:line="11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operating segments not evaluated and overseen through the 17 Areas are presented herein as “Other” as these operating segments do not meet the criteria to be aggregated with other operating segments and do not meet the quantitative criteria to be separately reported.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6" w:name="page17"/>
    <w:bookmarkEnd w:id="16"/>
    <w:p>
      <w:pPr>
        <w:ind w:left="4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concerning our reportable segments is shown in the following table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Gross</w:t>
            </w:r>
          </w:p>
        </w:tc>
        <w:tc>
          <w:tcPr>
            <w:tcW w:w="7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Intercompany</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Net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Operating</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7"/>
              </w:rPr>
              <w:t>Operating</w:t>
            </w:r>
          </w:p>
        </w:tc>
        <w:tc>
          <w:tcPr>
            <w:tcW w:w="34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Revenues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4"/>
              </w:rPr>
              <w:t>Revenues</w:t>
            </w:r>
          </w:p>
        </w:tc>
        <w:tc>
          <w:tcPr>
            <w:tcW w:w="340" w:type="dxa"/>
            <w:vAlign w:val="bottom"/>
          </w:tcPr>
          <w:p>
            <w:pPr>
              <w:spacing w:after="0"/>
              <w:rPr>
                <w:sz w:val="14"/>
                <w:szCs w:val="14"/>
                <w:color w:val="auto"/>
              </w:rPr>
            </w:pPr>
          </w:p>
        </w:tc>
        <w:tc>
          <w:tcPr>
            <w:tcW w:w="9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4"/>
              </w:rPr>
              <w:t>Revenues</w:t>
            </w:r>
          </w:p>
        </w:tc>
        <w:tc>
          <w:tcPr>
            <w:tcW w:w="3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6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Three Months Ended June 30:</w:t>
            </w:r>
          </w:p>
        </w:tc>
        <w:tc>
          <w:tcPr>
            <w:tcW w:w="3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2017</w:t>
            </w:r>
          </w:p>
        </w:tc>
        <w:tc>
          <w:tcPr>
            <w:tcW w:w="3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Solid Waste:</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rPr>
              <w:t>Tier 1</w:t>
            </w:r>
          </w:p>
        </w:tc>
        <w:tc>
          <w:tcPr>
            <w:tcW w:w="3280" w:type="dxa"/>
            <w:vAlign w:val="bottom"/>
            <w:gridSpan w:val="2"/>
          </w:tcPr>
          <w:p>
            <w:pPr>
              <w:ind w:left="316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1,417</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(258)</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1,159</w:t>
            </w:r>
          </w:p>
        </w:tc>
        <w:tc>
          <w:tcPr>
            <w:tcW w:w="380" w:type="dxa"/>
            <w:vAlign w:val="bottom"/>
          </w:tcPr>
          <w:p>
            <w:pPr>
              <w:spacing w:after="0"/>
              <w:rPr>
                <w:sz w:val="18"/>
                <w:szCs w:val="18"/>
                <w:color w:val="auto"/>
              </w:rPr>
            </w:pP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rPr>
              <w:t>Tier 3</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1,426</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(256)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1,170</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Solid Waste</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3,076</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Other</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657</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601</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3,677</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Corporate and Other</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(739)</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3,677</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2016</w:t>
            </w:r>
          </w:p>
        </w:tc>
        <w:tc>
          <w:tcPr>
            <w:tcW w:w="3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280" w:type="dxa"/>
            <w:vAlign w:val="bottom"/>
            <w:gridSpan w:val="2"/>
            <w:vMerge w:val="continue"/>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Solid Waste:</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rPr>
              <w:t>Tier 1</w:t>
            </w:r>
          </w:p>
        </w:tc>
        <w:tc>
          <w:tcPr>
            <w:tcW w:w="3280" w:type="dxa"/>
            <w:vAlign w:val="bottom"/>
            <w:gridSpan w:val="2"/>
          </w:tcPr>
          <w:p>
            <w:pPr>
              <w:ind w:left="316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1,316</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(229)</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1,087</w:t>
            </w:r>
          </w:p>
        </w:tc>
        <w:tc>
          <w:tcPr>
            <w:tcW w:w="380" w:type="dxa"/>
            <w:vAlign w:val="bottom"/>
          </w:tcPr>
          <w:p>
            <w:pPr>
              <w:spacing w:after="0"/>
              <w:rPr>
                <w:sz w:val="18"/>
                <w:szCs w:val="18"/>
                <w:color w:val="auto"/>
              </w:rPr>
            </w:pP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rPr>
              <w:t>Tier 3</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1,347</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(233)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1,114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Solid Waste</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2,899</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Other</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526</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3,425</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Corporate and Other</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(666)</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3,425</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160" w:type="dxa"/>
            <w:vAlign w:val="bottom"/>
            <w:vMerge w:val="restart"/>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274" w:right="69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Gross</w:t>
            </w:r>
          </w:p>
        </w:tc>
        <w:tc>
          <w:tcPr>
            <w:tcW w:w="7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Intercompany</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Net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Operating</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7"/>
              </w:rPr>
              <w:t>Operating</w:t>
            </w:r>
          </w:p>
        </w:tc>
        <w:tc>
          <w:tcPr>
            <w:tcW w:w="3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Revenues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4"/>
              </w:rPr>
              <w:t>Revenues</w:t>
            </w:r>
          </w:p>
        </w:tc>
        <w:tc>
          <w:tcPr>
            <w:tcW w:w="3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Revenues</w:t>
            </w:r>
          </w:p>
        </w:tc>
        <w:tc>
          <w:tcPr>
            <w:tcW w:w="36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Six Months Ended June 30:</w:t>
            </w: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2017</w:t>
            </w:r>
          </w:p>
        </w:tc>
        <w:tc>
          <w:tcPr>
            <w:tcW w:w="35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Waste: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Tier 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2,757</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(496)</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2,261</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1,436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Tier 3</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2,753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(489)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2,264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Solid Waste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7,268</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5,961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1,260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1,156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7,117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(1,411)</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7,117</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0"/>
        </w:trPr>
        <w:tc>
          <w:tcPr>
            <w:tcW w:w="2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2016</w:t>
            </w:r>
          </w:p>
        </w:tc>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80" w:type="dxa"/>
            <w:vAlign w:val="bottom"/>
            <w:gridSpan w:val="2"/>
            <w:vMerge w:val="continue"/>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Waste: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Tier 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2,557</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(441)</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2,116</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1,337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Tier 3</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2,607</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(445)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2,162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Solid Waste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5,615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1,072</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986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6,601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(1,272)</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6,601</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Fluctuations in our operating results may be caused by many factors, including period-to-period changes in the relative contribution of revenue by each line of business, changes in commodity prices and general economic conditions. In addition, our revenues and income from operations typically reflect seasonal patterns. 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Service disruptions caused by severe storms, extended periods of inclement weather or climate extremes resulting from climate change can significantly affect the operating results of the Areas affected. On the other hand, certain destructive weather conditions that tend to occur during the second half of the year, such as the hurricanes that most often impact our operations in the Southern and Eastern United States, can increase our revenues in the Areas affected. While weather conditions and other event driven special projects can boost revenues through additional work for a limited time, as a result of significant start-up costs and other factors, such revenue can generate earnings at comparatively lower margins.</w:t>
      </w:r>
    </w:p>
    <w:p>
      <w:pPr>
        <w:spacing w:after="0" w:line="23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Southern Waste Systems/Sun Recyclin</w:t>
      </w:r>
      <w:r>
        <w:rPr>
          <w:rFonts w:ascii="Arial" w:cs="Arial" w:eastAsia="Arial" w:hAnsi="Arial"/>
          <w:sz w:val="18"/>
          <w:szCs w:val="18"/>
          <w:color w:val="auto"/>
        </w:rPr>
        <w:t>g</w:t>
      </w:r>
      <w:r>
        <w:rPr>
          <w:rFonts w:ascii="Arial" w:cs="Arial" w:eastAsia="Arial" w:hAnsi="Arial"/>
          <w:sz w:val="18"/>
          <w:szCs w:val="18"/>
          <w:i w:val="1"/>
          <w:iCs w:val="1"/>
          <w:color w:val="auto"/>
        </w:rPr>
        <w:t xml:space="preserve"> (“SWS”) </w:t>
      </w:r>
      <w:r>
        <w:rPr>
          <w:rFonts w:ascii="Arial" w:cs="Arial" w:eastAsia="Arial" w:hAnsi="Arial"/>
          <w:sz w:val="18"/>
          <w:szCs w:val="18"/>
          <w:color w:val="auto"/>
        </w:rPr>
        <w:t>— On January 8, 2016, Waste Management Inc. of Florida, an indirect wholly-owned subsidiary of WM,</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certain operations and business assets of SWS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Southern Florida for total consideration of $525 million. The acquired business assets include residential, commercial and industrial solid waste collection, processing/recycling and transfer operations, equipment, vehicles, real estate and customer agreements.</w:t>
      </w:r>
    </w:p>
    <w:p>
      <w:pPr>
        <w:spacing w:after="0" w:line="24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Asset Impairments and Unusual Items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the six months ended June 30, 2017, we recognized $28 million of charges to write down equity method investments in waste diversion technology companies to their estimated fair values.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net</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During the three months ended June 30, 2016, we recognized $41 million of impairments to write down minority-owned investments in waste diversion technology companies to their estimated fair values.</w:t>
      </w:r>
    </w:p>
    <w:p>
      <w:pPr>
        <w:spacing w:after="0" w:line="248"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96"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The changes in the balances of each component of accumulated other comprehensive loss, net of tax benefit, which is included as a component of Waste Management, Inc. stockholders’ equity, are as follows (in millions, with amounts in parentheses representing increases to accumulated other comprehensive loss):</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2016</w:t>
      </w:r>
    </w:p>
    <w:p>
      <w:pPr>
        <w:spacing w:after="0" w:line="23" w:lineRule="exact"/>
        <w:rPr>
          <w:sz w:val="20"/>
          <w:szCs w:val="20"/>
          <w:color w:val="auto"/>
        </w:rPr>
      </w:pPr>
    </w:p>
    <w:p>
      <w:pPr>
        <w:ind w:left="440" w:right="460" w:hanging="215"/>
        <w:spacing w:after="0" w:line="254" w:lineRule="auto"/>
        <w:rPr>
          <w:sz w:val="20"/>
          <w:szCs w:val="20"/>
          <w:color w:val="auto"/>
        </w:rPr>
      </w:pPr>
      <w:r>
        <w:rPr>
          <w:rFonts w:ascii="Arial" w:cs="Arial" w:eastAsia="Arial" w:hAnsi="Arial"/>
          <w:sz w:val="18"/>
          <w:szCs w:val="18"/>
          <w:color w:val="auto"/>
        </w:rPr>
        <w:t>Other comprehensive income before reclassifications, net of tax expense of $0, $1, $0 and $0, respectively</w:t>
      </w:r>
    </w:p>
    <w:p>
      <w:pPr>
        <w:ind w:left="440" w:hanging="215"/>
        <w:spacing w:after="0" w:line="261" w:lineRule="auto"/>
        <w:rPr>
          <w:sz w:val="20"/>
          <w:szCs w:val="20"/>
          <w:color w:val="auto"/>
        </w:rPr>
      </w:pPr>
      <w:r>
        <w:rPr>
          <w:rFonts w:ascii="Arial" w:cs="Arial" w:eastAsia="Arial" w:hAnsi="Arial"/>
          <w:sz w:val="18"/>
          <w:szCs w:val="18"/>
          <w:color w:val="auto"/>
        </w:rPr>
        <w:t>Amounts reclassified from accumulated other comprehensive loss, net of tax benefit of $2, $0, $0 and $0, respectively</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9"/>
              </w:rPr>
              <w:t>Foreign</w:t>
            </w:r>
          </w:p>
        </w:tc>
        <w:tc>
          <w:tcPr>
            <w:tcW w:w="100" w:type="dxa"/>
            <w:vAlign w:val="bottom"/>
          </w:tcPr>
          <w:p>
            <w:pPr>
              <w:spacing w:after="0"/>
              <w:rPr>
                <w:sz w:val="14"/>
                <w:szCs w:val="14"/>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Post-</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Available-</w:t>
            </w:r>
          </w:p>
        </w:tc>
        <w:tc>
          <w:tcPr>
            <w:tcW w:w="100" w:type="dxa"/>
            <w:vAlign w:val="bottom"/>
          </w:tcPr>
          <w:p>
            <w:pPr>
              <w:spacing w:after="0"/>
              <w:rPr>
                <w:sz w:val="12"/>
                <w:szCs w:val="12"/>
                <w:color w:val="auto"/>
              </w:rPr>
            </w:pPr>
          </w:p>
        </w:tc>
        <w:tc>
          <w:tcPr>
            <w:tcW w:w="12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Currency</w:t>
            </w: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Retirement</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3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Derivative</w:t>
            </w:r>
          </w:p>
        </w:tc>
        <w:tc>
          <w:tcPr>
            <w:tcW w:w="11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for-Sale</w:t>
            </w:r>
          </w:p>
        </w:tc>
        <w:tc>
          <w:tcPr>
            <w:tcW w:w="13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0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Benefit</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Instruments</w:t>
            </w:r>
          </w:p>
        </w:tc>
        <w:tc>
          <w:tcPr>
            <w:tcW w:w="620" w:type="dxa"/>
            <w:vAlign w:val="bottom"/>
          </w:tcPr>
          <w:p>
            <w:pPr>
              <w:spacing w:after="0"/>
              <w:rPr>
                <w:sz w:val="14"/>
                <w:szCs w:val="14"/>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Securities</w:t>
            </w:r>
          </w:p>
        </w:tc>
        <w:tc>
          <w:tcPr>
            <w:tcW w:w="58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64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Obligation</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4"/>
                <w:szCs w:val="14"/>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6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6"/>
              </w:rPr>
              <w:t>$(80)</w:t>
            </w:r>
          </w:p>
        </w:tc>
        <w:tc>
          <w:tcPr>
            <w:tcW w:w="60" w:type="dxa"/>
            <w:vAlign w:val="bottom"/>
          </w:tcPr>
          <w:p>
            <w:pPr>
              <w:spacing w:after="0"/>
              <w:rPr>
                <w:sz w:val="18"/>
                <w:szCs w:val="18"/>
                <w:color w:val="auto"/>
              </w:rPr>
            </w:pPr>
          </w:p>
        </w:tc>
      </w:tr>
      <w:tr>
        <w:trPr>
          <w:trHeight w:val="424"/>
        </w:trPr>
        <w:tc>
          <w:tcPr>
            <w:tcW w:w="280" w:type="dxa"/>
            <w:vAlign w:val="bottom"/>
          </w:tcPr>
          <w:p>
            <w:pPr>
              <w:spacing w:after="0"/>
              <w:rPr>
                <w:sz w:val="24"/>
                <w:szCs w:val="24"/>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43</w:t>
            </w:r>
          </w:p>
        </w:tc>
      </w:tr>
      <w:tr>
        <w:trPr>
          <w:trHeight w:val="432"/>
        </w:trPr>
        <w:tc>
          <w:tcPr>
            <w:tcW w:w="280" w:type="dxa"/>
            <w:vAlign w:val="bottom"/>
          </w:tcPr>
          <w:p>
            <w:pPr>
              <w:spacing w:after="0"/>
              <w:rPr>
                <w:sz w:val="24"/>
                <w:szCs w:val="24"/>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4"/>
                <w:szCs w:val="24"/>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-692785</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-272415</wp:posOffset>
            </wp:positionV>
            <wp:extent cx="724662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5160" w:space="620"/>
            <w:col w:w="564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5780" w:type="dxa"/>
            <w:vAlign w:val="bottom"/>
            <w:gridSpan w:val="2"/>
          </w:tcPr>
          <w:p>
            <w:pPr>
              <w:spacing w:after="0"/>
              <w:rPr>
                <w:sz w:val="20"/>
                <w:szCs w:val="20"/>
                <w:color w:val="auto"/>
              </w:rPr>
            </w:pPr>
            <w:r>
              <w:rPr>
                <w:rFonts w:ascii="Arial" w:cs="Arial" w:eastAsia="Arial" w:hAnsi="Arial"/>
                <w:sz w:val="18"/>
                <w:szCs w:val="18"/>
                <w:color w:val="auto"/>
              </w:rPr>
              <w:t>Net current period other comprehensive income</w:t>
            </w:r>
          </w:p>
        </w:tc>
        <w:tc>
          <w:tcPr>
            <w:tcW w:w="2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6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2017</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w:t>
            </w: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There have been no derivatives outstanding subsequent to March 31, 2016. For the three months ended March 31, 2016, other comprehensive loss before reclassifications associated with the effective portion of derivatives designated as cash flow hedges for foreign currency derivatives was $7 million, net of tax benefit of $4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significant amounts reclassified out of each component of accumulated other comprehensive loss associated with our cash flow hedges are as follows (in millions, with amounts in parentheses representing debits to the statement of operations classification):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20" w:type="dxa"/>
            <w:vAlign w:val="bottom"/>
            <w:gridSpan w:val="5"/>
          </w:tcPr>
          <w:p>
            <w:pPr>
              <w:jc w:val="right"/>
              <w:spacing w:after="0"/>
              <w:rPr>
                <w:sz w:val="20"/>
                <w:szCs w:val="20"/>
                <w:color w:val="auto"/>
              </w:rPr>
            </w:pPr>
            <w:r>
              <w:rPr>
                <w:rFonts w:ascii="Arial" w:cs="Arial" w:eastAsia="Arial" w:hAnsi="Arial"/>
                <w:sz w:val="14"/>
                <w:szCs w:val="14"/>
                <w:b w:val="1"/>
                <w:bCs w:val="1"/>
                <w:color w:val="auto"/>
                <w:w w:val="98"/>
              </w:rPr>
              <w:t>Three Months Ended June 30,</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3"/>
              </w:rPr>
              <w:t>Six Months Ended June 30,</w:t>
            </w:r>
          </w:p>
        </w:tc>
        <w:tc>
          <w:tcPr>
            <w:tcW w:w="3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7"/>
              </w:rPr>
              <w:t>Statement of</w:t>
            </w:r>
          </w:p>
        </w:tc>
      </w:tr>
      <w:tr>
        <w:trPr>
          <w:trHeight w:val="142"/>
        </w:trPr>
        <w:tc>
          <w:tcPr>
            <w:tcW w:w="330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2017</w:t>
            </w:r>
          </w:p>
        </w:tc>
        <w:tc>
          <w:tcPr>
            <w:tcW w:w="7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Operations Classification</w:t>
            </w:r>
          </w:p>
        </w:tc>
      </w:tr>
      <w:tr>
        <w:trPr>
          <w:trHeight w:val="210"/>
        </w:trPr>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Forward-starting interest rate swaps</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2"/>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2240" w:type="dxa"/>
            <w:vAlign w:val="bottom"/>
            <w:gridSpan w:val="2"/>
          </w:tcPr>
          <w:p>
            <w:pPr>
              <w:ind w:left="300"/>
              <w:spacing w:after="0"/>
              <w:rPr>
                <w:sz w:val="20"/>
                <w:szCs w:val="20"/>
                <w:color w:val="auto"/>
              </w:rPr>
            </w:pPr>
            <w:r>
              <w:rPr>
                <w:rFonts w:ascii="Arial" w:cs="Arial" w:eastAsia="Arial" w:hAnsi="Arial"/>
                <w:sz w:val="18"/>
                <w:szCs w:val="18"/>
                <w:color w:val="auto"/>
              </w:rPr>
              <w:t>Other, net</w:t>
            </w:r>
          </w:p>
        </w:tc>
      </w:tr>
      <w:tr>
        <w:trPr>
          <w:trHeight w:val="27"/>
        </w:trPr>
        <w:tc>
          <w:tcPr>
            <w:tcW w:w="3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16"/>
        </w:trPr>
        <w:tc>
          <w:tcPr>
            <w:tcW w:w="3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2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before tax</w:t>
            </w:r>
          </w:p>
        </w:tc>
      </w:tr>
      <w:tr>
        <w:trPr>
          <w:trHeight w:val="216"/>
        </w:trPr>
        <w:tc>
          <w:tcPr>
            <w:tcW w:w="3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2240" w:type="dxa"/>
            <w:vAlign w:val="bottom"/>
            <w:gridSpan w:val="2"/>
          </w:tcPr>
          <w:p>
            <w:pPr>
              <w:ind w:left="300"/>
              <w:spacing w:after="0"/>
              <w:rPr>
                <w:sz w:val="20"/>
                <w:szCs w:val="20"/>
                <w:color w:val="auto"/>
              </w:rPr>
            </w:pPr>
            <w:r>
              <w:rPr>
                <w:rFonts w:ascii="Arial" w:cs="Arial" w:eastAsia="Arial" w:hAnsi="Arial"/>
                <w:sz w:val="18"/>
                <w:szCs w:val="18"/>
                <w:color w:val="auto"/>
              </w:rPr>
              <w:t>Tax benefit</w:t>
            </w:r>
          </w:p>
        </w:tc>
      </w:tr>
      <w:tr>
        <w:trPr>
          <w:trHeight w:val="27"/>
        </w:trPr>
        <w:tc>
          <w:tcPr>
            <w:tcW w:w="3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16"/>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reclassifications for the period</w:t>
            </w:r>
          </w:p>
        </w:tc>
        <w:tc>
          <w:tcPr>
            <w:tcW w:w="1040" w:type="dxa"/>
            <w:vAlign w:val="bottom"/>
            <w:gridSpan w:val="2"/>
            <w:shd w:val="clear" w:color="auto" w:fill="CCEEFF"/>
          </w:tcPr>
          <w:p>
            <w:pPr>
              <w:jc w:val="right"/>
              <w:ind w:right="329"/>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90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2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Net of tax</w:t>
            </w:r>
          </w:p>
        </w:tc>
      </w:tr>
      <w:tr>
        <w:trPr>
          <w:trHeight w:val="20"/>
        </w:trPr>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Repurchase Program</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share repurchases have been authorized by our Board of Directors. In November 2016, we entered into an accelerated share repurchase (“ASR”) agreement to repurchase $225 million of our common stock. At the beginning of the repurchase period, we delivered $225 million in cash and received 2.8 million shares based on a stock price of $63.41. The ASR agreement completed in February 2017, at which time we received 0.4 million additional shares based on a final weighted average per share purchase price during the repurchase period of $69.43.</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June 2017, we entered into an ASR agreement to repurchase $250 million of our common stock. At the beginning of the repurchase period, we delivered $250 million in cash and received 2.7 million shares based on a stock price of $73.46. The final number of shares to be repurchased and the final average price per share under the ASR agreement will depend on the volume-weighted average price of our stock, less a discount, during the term of the agreement. Purchases under the ASR agreement are expected to be completed in August 2017.</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account for ASR agreements as two separate transactions: (i) as shares of reacquired common stock for the shares delivered to us upon effectiveness of the ASR agreement and (ii) as a forward contract indexed to our own common stock for the undelivered shares. The initial delivery of shares is included in treasury stock at cost and results in an immediate reduction of the outstanding shares used to calculate the weighted average common shares outstanding for basic and diluted earnings per share. The forward contracts indexed to our own common stock meet the criteria for equity classification, and these amounts are initially recorded in additional paid-in capital and reclassified to treasury stock upon completion of the ASR agreement.</w:t>
      </w:r>
    </w:p>
    <w:p>
      <w:pPr>
        <w:spacing w:after="0" w:line="1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June 30, 2017, the Company has authorization for $500 million of future share repurchases. Any future share repurchases pursuant to the authorization of our Board of Directors will be made at the discretion of management and will depend on factors similar to those considered by the Board of Directors in making dividend declarations, including our net earnings, financial condition and cash required for future business plans.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assets and liabilities that are measured at fair value on a recurring basis include the following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gridSpan w:val="4"/>
          </w:tcPr>
          <w:p>
            <w:pPr>
              <w:jc w:val="center"/>
              <w:ind w:left="226"/>
              <w:spacing w:after="0"/>
              <w:rPr>
                <w:sz w:val="20"/>
                <w:szCs w:val="20"/>
                <w:color w:val="auto"/>
              </w:rPr>
            </w:pPr>
            <w:r>
              <w:rPr>
                <w:rFonts w:ascii="Arial" w:cs="Arial" w:eastAsia="Arial" w:hAnsi="Arial"/>
                <w:sz w:val="14"/>
                <w:szCs w:val="14"/>
                <w:b w:val="1"/>
                <w:bCs w:val="1"/>
                <w:color w:val="auto"/>
                <w:w w:val="87"/>
              </w:rPr>
              <w:t>Fair Value Measurements as of</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left="226"/>
              <w:spacing w:after="0"/>
              <w:rPr>
                <w:sz w:val="20"/>
                <w:szCs w:val="20"/>
                <w:color w:val="auto"/>
              </w:rPr>
            </w:pPr>
            <w:r>
              <w:rPr>
                <w:rFonts w:ascii="Arial" w:cs="Arial" w:eastAsia="Arial" w:hAnsi="Arial"/>
                <w:sz w:val="14"/>
                <w:szCs w:val="14"/>
                <w:b w:val="1"/>
                <w:bCs w:val="1"/>
                <w:color w:val="auto"/>
                <w:w w:val="86"/>
              </w:rPr>
              <w:t>June 30, 2017 Using</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Quoted</w:t>
            </w:r>
          </w:p>
        </w:tc>
        <w:tc>
          <w:tcPr>
            <w:tcW w:w="740" w:type="dxa"/>
            <w:vAlign w:val="bottom"/>
          </w:tcPr>
          <w:p>
            <w:pPr>
              <w:spacing w:after="0"/>
              <w:rPr>
                <w:sz w:val="11"/>
                <w:szCs w:val="11"/>
                <w:color w:val="auto"/>
              </w:rPr>
            </w:pPr>
          </w:p>
        </w:tc>
        <w:tc>
          <w:tcPr>
            <w:tcW w:w="14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2"/>
              </w:rPr>
              <w:t>Prices in</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Active</w:t>
            </w:r>
          </w:p>
        </w:tc>
        <w:tc>
          <w:tcPr>
            <w:tcW w:w="74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Markets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5"/>
              </w:rPr>
              <w:t>Total</w:t>
            </w:r>
          </w:p>
        </w:tc>
        <w:tc>
          <w:tcPr>
            <w:tcW w:w="740" w:type="dxa"/>
            <w:vAlign w:val="bottom"/>
          </w:tcPr>
          <w:p>
            <w:pPr>
              <w:spacing w:after="0"/>
              <w:rPr>
                <w:sz w:val="14"/>
                <w:szCs w:val="14"/>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(Level 1)</w:t>
            </w:r>
          </w:p>
        </w:tc>
        <w:tc>
          <w:tcPr>
            <w:tcW w:w="740" w:type="dxa"/>
            <w:vAlign w:val="bottom"/>
          </w:tcPr>
          <w:p>
            <w:pPr>
              <w:spacing w:after="0"/>
              <w:rPr>
                <w:sz w:val="14"/>
                <w:szCs w:val="14"/>
                <w:color w:val="auto"/>
              </w:rPr>
            </w:pPr>
          </w:p>
        </w:tc>
        <w:tc>
          <w:tcPr>
            <w:tcW w:w="14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7"/>
              </w:rPr>
              <w:t>(Level 2)</w:t>
            </w: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(Level 3)(a)</w:t>
            </w:r>
          </w:p>
        </w:tc>
        <w:tc>
          <w:tcPr>
            <w:tcW w:w="0" w:type="dxa"/>
            <w:vAlign w:val="bottom"/>
          </w:tcPr>
          <w:p>
            <w:pPr>
              <w:spacing w:after="0"/>
              <w:rPr>
                <w:sz w:val="1"/>
                <w:szCs w:val="1"/>
                <w:color w:val="auto"/>
              </w:rPr>
            </w:pPr>
          </w:p>
        </w:tc>
      </w:tr>
      <w:tr>
        <w:trPr>
          <w:trHeight w:val="196"/>
        </w:trPr>
        <w:tc>
          <w:tcPr>
            <w:tcW w:w="58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3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$ 37</w:t>
            </w:r>
          </w:p>
        </w:tc>
        <w:tc>
          <w:tcPr>
            <w:tcW w:w="9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Available-for-sale securities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tcPr>
          <w:p>
            <w:pPr>
              <w:ind w:left="220"/>
              <w:spacing w:after="0"/>
              <w:rPr>
                <w:sz w:val="20"/>
                <w:szCs w:val="20"/>
                <w:color w:val="auto"/>
              </w:rPr>
            </w:pPr>
            <w:r>
              <w:rPr>
                <w:rFonts w:ascii="Arial" w:cs="Arial" w:eastAsia="Arial" w:hAnsi="Arial"/>
                <w:sz w:val="18"/>
                <w:szCs w:val="18"/>
                <w:color w:val="auto"/>
              </w:rPr>
              <w:t>Fixed-income securities</w:t>
            </w:r>
          </w:p>
        </w:tc>
        <w:tc>
          <w:tcPr>
            <w:tcW w:w="360" w:type="dxa"/>
            <w:vAlign w:val="bottom"/>
          </w:tcPr>
          <w:p>
            <w:pPr>
              <w:jc w:val="right"/>
              <w:spacing w:after="0"/>
              <w:rPr>
                <w:sz w:val="20"/>
                <w:szCs w:val="20"/>
                <w:color w:val="auto"/>
              </w:rPr>
            </w:pPr>
            <w:r>
              <w:rPr>
                <w:rFonts w:ascii="Arial" w:cs="Arial" w:eastAsia="Arial" w:hAnsi="Arial"/>
                <w:sz w:val="18"/>
                <w:szCs w:val="18"/>
                <w:color w:val="auto"/>
              </w:rPr>
              <w:t>41</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38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Redeemable preferred stock</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54</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80" w:type="dxa"/>
            <w:vAlign w:val="bottom"/>
            <w:gridSpan w:val="2"/>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184</w:t>
            </w:r>
          </w:p>
        </w:tc>
        <w:tc>
          <w:tcPr>
            <w:tcW w:w="7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7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380"/>
              <w:spacing w:after="0"/>
              <w:rPr>
                <w:sz w:val="20"/>
                <w:szCs w:val="20"/>
                <w:color w:val="auto"/>
              </w:rPr>
            </w:pPr>
            <w:r>
              <w:rPr>
                <w:rFonts w:ascii="Arial" w:cs="Arial" w:eastAsia="Arial" w:hAnsi="Arial"/>
                <w:sz w:val="18"/>
                <w:szCs w:val="18"/>
                <w:color w:val="auto"/>
              </w:rPr>
              <w:t>93</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w w:val="99"/>
              </w:rPr>
              <w:t>54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11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gridSpan w:val="4"/>
          </w:tcPr>
          <w:p>
            <w:pPr>
              <w:jc w:val="center"/>
              <w:ind w:left="226"/>
              <w:spacing w:after="0"/>
              <w:rPr>
                <w:sz w:val="20"/>
                <w:szCs w:val="20"/>
                <w:color w:val="auto"/>
              </w:rPr>
            </w:pPr>
            <w:r>
              <w:rPr>
                <w:rFonts w:ascii="Arial" w:cs="Arial" w:eastAsia="Arial" w:hAnsi="Arial"/>
                <w:sz w:val="14"/>
                <w:szCs w:val="14"/>
                <w:b w:val="1"/>
                <w:bCs w:val="1"/>
                <w:color w:val="auto"/>
                <w:w w:val="87"/>
              </w:rPr>
              <w:t>Fair Value Measurements as of</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left="226"/>
              <w:spacing w:after="0"/>
              <w:rPr>
                <w:sz w:val="20"/>
                <w:szCs w:val="20"/>
                <w:color w:val="auto"/>
              </w:rPr>
            </w:pPr>
            <w:r>
              <w:rPr>
                <w:rFonts w:ascii="Arial" w:cs="Arial" w:eastAsia="Arial" w:hAnsi="Arial"/>
                <w:sz w:val="14"/>
                <w:szCs w:val="14"/>
                <w:b w:val="1"/>
                <w:bCs w:val="1"/>
                <w:color w:val="auto"/>
                <w:w w:val="85"/>
              </w:rPr>
              <w:t>December 31, 2016 Using</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Quoted</w:t>
            </w:r>
          </w:p>
        </w:tc>
        <w:tc>
          <w:tcPr>
            <w:tcW w:w="740" w:type="dxa"/>
            <w:vAlign w:val="bottom"/>
          </w:tcPr>
          <w:p>
            <w:pPr>
              <w:spacing w:after="0"/>
              <w:rPr>
                <w:sz w:val="11"/>
                <w:szCs w:val="11"/>
                <w:color w:val="auto"/>
              </w:rPr>
            </w:pPr>
          </w:p>
        </w:tc>
        <w:tc>
          <w:tcPr>
            <w:tcW w:w="14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2"/>
              </w:rPr>
              <w:t>Prices in</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Active</w:t>
            </w:r>
          </w:p>
        </w:tc>
        <w:tc>
          <w:tcPr>
            <w:tcW w:w="74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8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Markets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5"/>
              </w:rPr>
              <w:t>Total</w:t>
            </w:r>
          </w:p>
        </w:tc>
        <w:tc>
          <w:tcPr>
            <w:tcW w:w="740" w:type="dxa"/>
            <w:vAlign w:val="bottom"/>
          </w:tcPr>
          <w:p>
            <w:pPr>
              <w:spacing w:after="0"/>
              <w:rPr>
                <w:sz w:val="14"/>
                <w:szCs w:val="14"/>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(Level 1)</w:t>
            </w:r>
          </w:p>
        </w:tc>
        <w:tc>
          <w:tcPr>
            <w:tcW w:w="740" w:type="dxa"/>
            <w:vAlign w:val="bottom"/>
          </w:tcPr>
          <w:p>
            <w:pPr>
              <w:spacing w:after="0"/>
              <w:rPr>
                <w:sz w:val="14"/>
                <w:szCs w:val="14"/>
                <w:color w:val="auto"/>
              </w:rPr>
            </w:pPr>
          </w:p>
        </w:tc>
        <w:tc>
          <w:tcPr>
            <w:tcW w:w="14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7"/>
              </w:rPr>
              <w:t>(Level 2)</w:t>
            </w: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(Level 3)(a)</w:t>
            </w:r>
          </w:p>
        </w:tc>
        <w:tc>
          <w:tcPr>
            <w:tcW w:w="0" w:type="dxa"/>
            <w:vAlign w:val="bottom"/>
          </w:tcPr>
          <w:p>
            <w:pPr>
              <w:spacing w:after="0"/>
              <w:rPr>
                <w:sz w:val="1"/>
                <w:szCs w:val="1"/>
                <w:color w:val="auto"/>
              </w:rPr>
            </w:pPr>
          </w:p>
        </w:tc>
      </w:tr>
      <w:tr>
        <w:trPr>
          <w:trHeight w:val="196"/>
        </w:trPr>
        <w:tc>
          <w:tcPr>
            <w:tcW w:w="58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3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$ 35</w:t>
            </w:r>
          </w:p>
        </w:tc>
        <w:tc>
          <w:tcPr>
            <w:tcW w:w="9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Available-for-sale securities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tcPr>
          <w:p>
            <w:pPr>
              <w:ind w:left="220"/>
              <w:spacing w:after="0"/>
              <w:rPr>
                <w:sz w:val="20"/>
                <w:szCs w:val="20"/>
                <w:color w:val="auto"/>
              </w:rPr>
            </w:pPr>
            <w:r>
              <w:rPr>
                <w:rFonts w:ascii="Arial" w:cs="Arial" w:eastAsia="Arial" w:hAnsi="Arial"/>
                <w:sz w:val="18"/>
                <w:szCs w:val="18"/>
                <w:color w:val="auto"/>
              </w:rPr>
              <w:t>Fixed-income securities</w:t>
            </w: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38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Redeemable preferred stock</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54</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80" w:type="dxa"/>
            <w:vAlign w:val="bottom"/>
            <w:gridSpan w:val="2"/>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174</w:t>
            </w:r>
          </w:p>
        </w:tc>
        <w:tc>
          <w:tcPr>
            <w:tcW w:w="7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7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380"/>
              <w:spacing w:after="0"/>
              <w:rPr>
                <w:sz w:val="20"/>
                <w:szCs w:val="20"/>
                <w:color w:val="auto"/>
              </w:rPr>
            </w:pPr>
            <w:r>
              <w:rPr>
                <w:rFonts w:ascii="Arial" w:cs="Arial" w:eastAsia="Arial" w:hAnsi="Arial"/>
                <w:sz w:val="18"/>
                <w:szCs w:val="18"/>
                <w:color w:val="auto"/>
              </w:rPr>
              <w:t>85</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w w:val="99"/>
              </w:rPr>
              <w:t>54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4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900" w:hanging="446"/>
        <w:spacing w:after="0" w:line="25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When available, Level 3 investments have been measured based on third-party investors’ recent or pending transactions in these securities, which are considered the best evidence of fair value. When this evidence is not available, we use other valuation techniques as appropriate and available. These valuation methodologies may include transactions in similar instruments, discounted cash flow analysis, third-party appraisals or industry multiples and public comparables. There has not been any significant change in the fair value of the redeemable preferred stock since our assessment as of December 31, 2016.</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As of June 30, 2017 and December 31, 2016, the carrying value of our debt was approximately $9.1 billion and $9.3 billion, respectively. The estimated fair value of our debt was approximately $9.7 billion as of June 30, 2017 and December 31, 2016. The fair value of our fixed-rate debt is estimated by using a discounted cash flow approach and current market rates for similar types of instruments. The carrying value of our variable-rate debt approximates fair value due to the short-term nature of the interest rates.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June 30, 2017 and December 31, 2016. These amounts have not been revalued since those dates, and current estimates of fair value could differ significantly from the amounts presented.</w:t>
      </w:r>
    </w:p>
    <w:p>
      <w:pPr>
        <w:spacing w:after="0" w:line="26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Following is a description of our financial interests in both unconsolidated and consolidated variable interest entities that we consider significant:</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Low-Income Housing Properties and Refined Coal Facility Investments</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have investments in entities established to manage low-income housing properties and a refined coal facility. We support the operations of these entities in exchange for a pro-rata share of the tax credits they generate. We do not consolidate these entities as we have determined we are not the primary beneficiary of these entities as we do not have the power to individually direct the activities of these entities. Accordingly, we account for these investments under the equity method of accounting. Our aggregate investment balance in these two entities was $72 million and $84 million, as of June 30, 2017 and December 31, 2016, respectively. The debt balance related to our investment in low-income housing properties was $45 million and $57 million as of June 30, 2017 and December 31, 2016, respectively. Additional information related to these investments is discussed in Note 4.</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Trust Funds for Final Capping, Closure, Post-Closure or Environmental Remediation Obligations</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have significant financial interests in trust funds that were created to settle certain of our final capping, closure, post-closure or environmental remediation obligations. These trust funds are established such that we are either the sole beneficiary of these restricted balances or we share benefit with the host community in which we operate. We have determined that these trust funds are variable interest entities; however, we are not the primary beneficiary of certain of these entities, as described further below. As the party with primary responsibility to fund the related final capping, closure, post-closure or environmental remediation activities for these trust funds, we are exposed to risk of loss if there are declines in the fair value of the assets of the trust. We currently expect the trust funds to continue to meet the statutory requirements for which they were established.</w:t>
      </w:r>
    </w:p>
    <w:p>
      <w:pPr>
        <w:spacing w:after="0" w:line="12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Unconsolidated Variable Interest Entities </w:t>
      </w:r>
      <w:r>
        <w:rPr>
          <w:rFonts w:ascii="Arial" w:cs="Arial" w:eastAsia="Arial" w:hAnsi="Arial"/>
          <w:sz w:val="16"/>
          <w:szCs w:val="16"/>
          <w:color w:val="auto"/>
        </w:rPr>
        <w:t>— Trust funds that are established for both the benefit of the Company and the host community in which we</w:t>
      </w:r>
      <w:r>
        <w:rPr>
          <w:rFonts w:ascii="Arial" w:cs="Arial" w:eastAsia="Arial" w:hAnsi="Arial"/>
          <w:sz w:val="16"/>
          <w:szCs w:val="16"/>
          <w:i w:val="1"/>
          <w:iCs w:val="1"/>
          <w:color w:val="auto"/>
        </w:rPr>
        <w:t xml:space="preserve"> </w:t>
      </w:r>
      <w:r>
        <w:rPr>
          <w:rFonts w:ascii="Arial" w:cs="Arial" w:eastAsia="Arial" w:hAnsi="Arial"/>
          <w:sz w:val="16"/>
          <w:szCs w:val="16"/>
          <w:color w:val="auto"/>
        </w:rPr>
        <w:t>operate are not consolidated because we are not the primary beneficiary of these entities as we either do not have the (i)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Condensed Consolidated Balance Sheets, as appropriate. We also reflect our share of the unrealized gains and losses on available-for-sale securities held by these trusts as a component of our accumulated other comprehensive income or loss. Our investments and receivables related to these trusts had an aggregate carrying value of $98 million and $93 million as of June 30, 2017 and December 31, 2016, respectively.</w:t>
      </w:r>
    </w:p>
    <w:p>
      <w:pPr>
        <w:spacing w:after="0" w:line="118"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i w:val="1"/>
          <w:iCs w:val="1"/>
          <w:color w:val="auto"/>
        </w:rPr>
        <w:t xml:space="preserve">Consolidated Variable Interest Entities </w:t>
      </w:r>
      <w:r>
        <w:rPr>
          <w:rFonts w:ascii="Arial" w:cs="Arial" w:eastAsia="Arial" w:hAnsi="Arial"/>
          <w:sz w:val="18"/>
          <w:szCs w:val="18"/>
          <w:color w:val="auto"/>
        </w:rPr>
        <w:t>— Trust funds of which we are the sole beneficiary are consolidated because we are the primary beneficiary. We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for these trust funds as long-term other assets in 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Condensed Consolidated Balance Sheets. Unrealized gains and losses on available-for-sale securities held by these trusts are recorded as a component of accumulated other comprehensive income or loss. These trusts had a fair value of $99 million and $95 million as of June 30, 2017 and December 31, 2016, respectively.</w:t>
      </w:r>
    </w:p>
    <w:p>
      <w:pPr>
        <w:spacing w:after="0" w:line="256"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Consolidating Financial Statements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296"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7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WM</w:t>
            </w:r>
          </w:p>
        </w:tc>
        <w:tc>
          <w:tcPr>
            <w:tcW w:w="46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0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WM</w:t>
            </w:r>
          </w:p>
        </w:tc>
        <w:tc>
          <w:tcPr>
            <w:tcW w:w="4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Holdings</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Subsidiaries</w:t>
            </w:r>
          </w:p>
        </w:tc>
        <w:tc>
          <w:tcPr>
            <w:tcW w:w="5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5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Consolidated</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00" w:type="dxa"/>
            <w:vAlign w:val="bottom"/>
            <w:shd w:val="clear" w:color="auto" w:fill="CCEEFF"/>
          </w:tcPr>
          <w:p>
            <w:pPr>
              <w:spacing w:after="0"/>
              <w:rPr>
                <w:sz w:val="17"/>
                <w:szCs w:val="17"/>
                <w:color w:val="auto"/>
              </w:rPr>
            </w:pPr>
          </w:p>
        </w:tc>
        <w:tc>
          <w:tcPr>
            <w:tcW w:w="2360" w:type="dxa"/>
            <w:vAlign w:val="bottom"/>
            <w:gridSpan w:val="3"/>
            <w:shd w:val="clear" w:color="auto" w:fill="CCEEFF"/>
          </w:tcPr>
          <w:p>
            <w:pPr>
              <w:jc w:val="right"/>
              <w:ind w:right="253"/>
              <w:spacing w:after="0" w:line="196" w:lineRule="exact"/>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Current assets: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2,286</w:t>
            </w: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2,318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11,002</w:t>
            </w: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11,002</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20,673</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21,127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(41,800)</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Advances to affiliates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13,791</w:t>
            </w:r>
          </w:p>
        </w:tc>
        <w:tc>
          <w:tcPr>
            <w:tcW w:w="1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(13,791)</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7,461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7,511</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17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00" w:type="dxa"/>
            <w:vAlign w:val="bottom"/>
            <w:vMerge w:val="continue"/>
          </w:tcPr>
          <w:p>
            <w:pPr>
              <w:spacing w:after="0"/>
              <w:rPr>
                <w:sz w:val="19"/>
                <w:szCs w:val="19"/>
                <w:color w:val="auto"/>
              </w:rPr>
            </w:pPr>
          </w:p>
        </w:tc>
        <w:tc>
          <w:tcPr>
            <w:tcW w:w="23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20,689</w:t>
            </w:r>
          </w:p>
        </w:tc>
        <w:tc>
          <w:tcPr>
            <w:tcW w:w="4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21,169</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34,572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(55,591)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20,839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0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2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LIABILITIES AND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Current liabilities: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2,294</w:t>
            </w: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2,434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6,075</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2,288</w:t>
            </w: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8,667</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14,088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5,299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(19,571)</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Other liabilities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3,883</w:t>
            </w: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3,895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20,502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13,904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(19,571)</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15,332</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Equity:</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 equity</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20,672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21,128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(41,800)</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5,486</w:t>
            </w: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Advances to affiliates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(5,299)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(481)</w:t>
            </w: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5,780</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187</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20,672</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20,668</w:t>
            </w:r>
          </w:p>
        </w:tc>
        <w:tc>
          <w:tcPr>
            <w:tcW w:w="14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(36,020)</w:t>
            </w:r>
          </w:p>
        </w:tc>
        <w:tc>
          <w:tcPr>
            <w:tcW w:w="1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5,507</w:t>
            </w:r>
          </w:p>
        </w:tc>
        <w:tc>
          <w:tcPr>
            <w:tcW w:w="0" w:type="dxa"/>
            <w:vAlign w:val="bottom"/>
          </w:tcPr>
          <w:p>
            <w:pPr>
              <w:spacing w:after="0"/>
              <w:rPr>
                <w:sz w:val="1"/>
                <w:szCs w:val="1"/>
                <w:color w:val="auto"/>
              </w:rPr>
            </w:pPr>
          </w:p>
        </w:tc>
      </w:tr>
      <w:tr>
        <w:trPr>
          <w:trHeight w:val="28"/>
        </w:trPr>
        <w:tc>
          <w:tcPr>
            <w:tcW w:w="40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equity</w:t>
            </w:r>
          </w:p>
        </w:tc>
        <w:tc>
          <w:tcPr>
            <w:tcW w:w="23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20,689</w:t>
            </w:r>
          </w:p>
        </w:tc>
        <w:tc>
          <w:tcPr>
            <w:tcW w:w="4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21,169</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34,572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(55,591)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20,839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00" w:type="dxa"/>
            <w:vAlign w:val="bottom"/>
          </w:tcPr>
          <w:p>
            <w:pPr>
              <w:spacing w:after="0"/>
              <w:rPr>
                <w:sz w:val="24"/>
                <w:szCs w:val="24"/>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(Continued)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WM</w:t>
            </w:r>
          </w:p>
        </w:tc>
        <w:tc>
          <w:tcPr>
            <w:tcW w:w="46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0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WM</w:t>
            </w:r>
          </w:p>
        </w:tc>
        <w:tc>
          <w:tcPr>
            <w:tcW w:w="4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Holdings</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Subsidiaries</w:t>
            </w:r>
          </w:p>
        </w:tc>
        <w:tc>
          <w:tcPr>
            <w:tcW w:w="5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5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Consolidated</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00" w:type="dxa"/>
            <w:vAlign w:val="bottom"/>
            <w:shd w:val="clear" w:color="auto" w:fill="CCEEFF"/>
          </w:tcPr>
          <w:p>
            <w:pPr>
              <w:spacing w:after="0"/>
              <w:rPr>
                <w:sz w:val="17"/>
                <w:szCs w:val="17"/>
                <w:color w:val="auto"/>
              </w:rPr>
            </w:pPr>
          </w:p>
        </w:tc>
        <w:tc>
          <w:tcPr>
            <w:tcW w:w="2360" w:type="dxa"/>
            <w:vAlign w:val="bottom"/>
            <w:gridSpan w:val="3"/>
            <w:shd w:val="clear" w:color="auto" w:fill="CCEEFF"/>
          </w:tcPr>
          <w:p>
            <w:pPr>
              <w:jc w:val="right"/>
              <w:ind w:right="253"/>
              <w:spacing w:after="0" w:line="196" w:lineRule="exact"/>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Current assets: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2,334</w:t>
            </w: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2,366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10,950</w:t>
            </w: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10,950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19,924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20,331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(40,255)</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Advances to affiliates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13,000</w:t>
            </w:r>
          </w:p>
        </w:tc>
        <w:tc>
          <w:tcPr>
            <w:tcW w:w="1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(13,000)</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7,489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7,533</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17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00" w:type="dxa"/>
            <w:vAlign w:val="bottom"/>
            <w:vMerge w:val="continue"/>
          </w:tcPr>
          <w:p>
            <w:pPr>
              <w:spacing w:after="0"/>
              <w:rPr>
                <w:sz w:val="19"/>
                <w:szCs w:val="19"/>
                <w:color w:val="auto"/>
              </w:rPr>
            </w:pPr>
          </w:p>
        </w:tc>
        <w:tc>
          <w:tcPr>
            <w:tcW w:w="23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19,943</w:t>
            </w:r>
          </w:p>
        </w:tc>
        <w:tc>
          <w:tcPr>
            <w:tcW w:w="4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20,366</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33,805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(53,255)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20,859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0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2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LIABILITIES AND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Current liabilities: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4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2,287</w:t>
            </w: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2,435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6,229</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2,360</w:t>
            </w: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8,893</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13,350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5,299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(18,777)</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Other liabilities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3,836</w:t>
            </w: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19,945</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13,930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(18,777)</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15,539</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Equity:</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 equity</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19,925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20,330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(40,255)</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5,297</w:t>
            </w: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Advances to affiliates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(5,299)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(478)</w:t>
            </w: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5,777</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19,925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19,875</w:t>
            </w:r>
          </w:p>
        </w:tc>
        <w:tc>
          <w:tcPr>
            <w:tcW w:w="14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(34,478)</w:t>
            </w:r>
          </w:p>
        </w:tc>
        <w:tc>
          <w:tcPr>
            <w:tcW w:w="1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8"/>
        </w:trPr>
        <w:tc>
          <w:tcPr>
            <w:tcW w:w="40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equity</w:t>
            </w:r>
          </w:p>
        </w:tc>
        <w:tc>
          <w:tcPr>
            <w:tcW w:w="23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19,943</w:t>
            </w:r>
          </w:p>
        </w:tc>
        <w:tc>
          <w:tcPr>
            <w:tcW w:w="4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20,366</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33,805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(53,255)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20,859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00" w:type="dxa"/>
            <w:vAlign w:val="bottom"/>
          </w:tcPr>
          <w:p>
            <w:pPr>
              <w:spacing w:after="0"/>
              <w:rPr>
                <w:sz w:val="24"/>
                <w:szCs w:val="24"/>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WM</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WM</w:t>
            </w:r>
          </w:p>
        </w:tc>
        <w:tc>
          <w:tcPr>
            <w:tcW w:w="240" w:type="dxa"/>
            <w:vAlign w:val="bottom"/>
          </w:tcPr>
          <w:p>
            <w:pPr>
              <w:spacing w:after="0"/>
              <w:rPr>
                <w:sz w:val="14"/>
                <w:szCs w:val="14"/>
                <w:color w:val="auto"/>
              </w:rPr>
            </w:pPr>
          </w:p>
        </w:tc>
        <w:tc>
          <w:tcPr>
            <w:tcW w:w="10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6"/>
              </w:rPr>
              <w:t>Holdings</w:t>
            </w:r>
          </w:p>
        </w:tc>
        <w:tc>
          <w:tcPr>
            <w:tcW w:w="100" w:type="dxa"/>
            <w:vAlign w:val="bottom"/>
          </w:tcPr>
          <w:p>
            <w:pPr>
              <w:spacing w:after="0"/>
              <w:rPr>
                <w:sz w:val="14"/>
                <w:szCs w:val="1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4"/>
              </w:rPr>
              <w:t>Subsidiaries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Costs and expenses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3,004</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22"/>
        </w:trPr>
        <w:tc>
          <w:tcPr>
            <w:tcW w:w="41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w w:val="93"/>
              </w:rPr>
              <w:t>Equity in earnings of subsidiaries, net of tax expense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w w:val="79"/>
              </w:rPr>
              <w:t>406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(815)</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w w:val="79"/>
              </w:rPr>
              <w:t>332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(815)</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79"/>
              </w:rPr>
              <w:t>332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(815)</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79"/>
              </w:rPr>
              <w:t>362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(815)</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w w:val="93"/>
              </w:rPr>
              <w:t>Less: Net loss attributable to noncontrolling interests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5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362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(815)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580" w:type="dxa"/>
            <w:vAlign w:val="bottom"/>
            <w:gridSpan w:val="8"/>
          </w:tcPr>
          <w:p>
            <w:pPr>
              <w:jc w:val="right"/>
              <w:ind w:right="700"/>
              <w:spacing w:after="0"/>
              <w:rPr>
                <w:sz w:val="20"/>
                <w:szCs w:val="20"/>
                <w:color w:val="auto"/>
              </w:rPr>
            </w:pPr>
            <w:r>
              <w:rPr>
                <w:rFonts w:ascii="Arial" w:cs="Arial" w:eastAsia="Arial" w:hAnsi="Arial"/>
                <w:sz w:val="18"/>
                <w:szCs w:val="18"/>
                <w:b w:val="1"/>
                <w:bCs w:val="1"/>
                <w:color w:val="auto"/>
                <w:w w:val="95"/>
              </w:rPr>
              <w:t>Three Months Ended June 30, 2016</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26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WM</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WM</w:t>
            </w:r>
          </w:p>
        </w:tc>
        <w:tc>
          <w:tcPr>
            <w:tcW w:w="240" w:type="dxa"/>
            <w:vAlign w:val="bottom"/>
          </w:tcPr>
          <w:p>
            <w:pPr>
              <w:spacing w:after="0"/>
              <w:rPr>
                <w:sz w:val="14"/>
                <w:szCs w:val="14"/>
                <w:color w:val="auto"/>
              </w:rPr>
            </w:pPr>
          </w:p>
        </w:tc>
        <w:tc>
          <w:tcPr>
            <w:tcW w:w="10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6"/>
              </w:rPr>
              <w:t>Holdings</w:t>
            </w:r>
          </w:p>
        </w:tc>
        <w:tc>
          <w:tcPr>
            <w:tcW w:w="100" w:type="dxa"/>
            <w:vAlign w:val="bottom"/>
          </w:tcPr>
          <w:p>
            <w:pPr>
              <w:spacing w:after="0"/>
              <w:rPr>
                <w:sz w:val="14"/>
                <w:szCs w:val="1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4"/>
              </w:rPr>
              <w:t>Subsidiaries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Costs and expenses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2,814</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611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22"/>
        </w:trPr>
        <w:tc>
          <w:tcPr>
            <w:tcW w:w="41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(76)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w w:val="93"/>
              </w:rPr>
              <w:t>Equity in earnings of subsidiaries, net of tax expense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w w:val="79"/>
              </w:rPr>
              <w:t>333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(669)</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w w:val="79"/>
              </w:rPr>
              <w:t>257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(669)</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79"/>
              </w:rPr>
              <w:t>257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(669)</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79"/>
              </w:rPr>
              <w:t>287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(669)</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w w:val="93"/>
              </w:rPr>
              <w:t>Less: Net loss attributable to noncontrolling interests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5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287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(669)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 (Continued)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WM</w:t>
            </w:r>
          </w:p>
        </w:tc>
        <w:tc>
          <w:tcPr>
            <w:tcW w:w="260" w:type="dxa"/>
            <w:vAlign w:val="bottom"/>
          </w:tcPr>
          <w:p>
            <w:pPr>
              <w:spacing w:after="0"/>
              <w:rPr>
                <w:sz w:val="14"/>
                <w:szCs w:val="14"/>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Non-Guarantor</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WM</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Subsidiaries</w:t>
            </w:r>
          </w:p>
        </w:tc>
        <w:tc>
          <w:tcPr>
            <w:tcW w:w="2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Costs and expenses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5,886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5,886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22"/>
        </w:trPr>
        <w:tc>
          <w:tcPr>
            <w:tcW w:w="41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(148)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w w:val="93"/>
              </w:rPr>
              <w:t>Equity in earnings of subsidiaries, net of tax expense</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749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(1,504)</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601</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(1,504)</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(1,504)</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409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(1,504)</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w w:val="94"/>
              </w:rPr>
              <w:t>Less: Net loss attributable to noncontrolling interests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$ 660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755</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300" w:type="dxa"/>
            <w:vAlign w:val="bottom"/>
            <w:gridSpan w:val="7"/>
          </w:tcPr>
          <w:p>
            <w:pPr>
              <w:jc w:val="right"/>
              <w:ind w:right="600"/>
              <w:spacing w:after="0"/>
              <w:rPr>
                <w:sz w:val="20"/>
                <w:szCs w:val="20"/>
                <w:color w:val="auto"/>
              </w:rPr>
            </w:pPr>
            <w:r>
              <w:rPr>
                <w:rFonts w:ascii="Arial" w:cs="Arial" w:eastAsia="Arial" w:hAnsi="Arial"/>
                <w:sz w:val="18"/>
                <w:szCs w:val="18"/>
                <w:b w:val="1"/>
                <w:bCs w:val="1"/>
                <w:color w:val="auto"/>
                <w:w w:val="96"/>
              </w:rPr>
              <w:t>Six Months Ended June 30, 2016</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46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440"/>
              <w:spacing w:after="0" w:line="151" w:lineRule="exact"/>
              <w:rPr>
                <w:sz w:val="20"/>
                <w:szCs w:val="20"/>
                <w:color w:val="auto"/>
              </w:rPr>
            </w:pPr>
            <w:r>
              <w:rPr>
                <w:rFonts w:ascii="Arial" w:cs="Arial" w:eastAsia="Arial" w:hAnsi="Arial"/>
                <w:sz w:val="14"/>
                <w:szCs w:val="14"/>
                <w:b w:val="1"/>
                <w:bCs w:val="1"/>
                <w:color w:val="auto"/>
              </w:rPr>
              <w:t>WM</w:t>
            </w:r>
          </w:p>
        </w:tc>
        <w:tc>
          <w:tcPr>
            <w:tcW w:w="260" w:type="dxa"/>
            <w:vAlign w:val="bottom"/>
          </w:tcPr>
          <w:p>
            <w:pPr>
              <w:spacing w:after="0"/>
              <w:rPr>
                <w:sz w:val="13"/>
                <w:szCs w:val="13"/>
                <w:color w:val="auto"/>
              </w:rPr>
            </w:pPr>
          </w:p>
        </w:tc>
        <w:tc>
          <w:tcPr>
            <w:tcW w:w="1220" w:type="dxa"/>
            <w:vAlign w:val="bottom"/>
            <w:gridSpan w:val="3"/>
          </w:tcPr>
          <w:p>
            <w:pPr>
              <w:jc w:val="center"/>
              <w:ind w:right="320"/>
              <w:spacing w:after="0" w:line="151" w:lineRule="exact"/>
              <w:rPr>
                <w:sz w:val="20"/>
                <w:szCs w:val="20"/>
                <w:color w:val="auto"/>
              </w:rPr>
            </w:pPr>
            <w:r>
              <w:rPr>
                <w:rFonts w:ascii="Arial" w:cs="Arial" w:eastAsia="Arial" w:hAnsi="Arial"/>
                <w:sz w:val="14"/>
                <w:szCs w:val="14"/>
                <w:b w:val="1"/>
                <w:bCs w:val="1"/>
                <w:color w:val="auto"/>
                <w:w w:val="90"/>
              </w:rPr>
              <w:t>Non-Guarantor</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WM</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Subsidiaries</w:t>
            </w:r>
          </w:p>
        </w:tc>
        <w:tc>
          <w:tcPr>
            <w:tcW w:w="2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6,601</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Costs and expenses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5,482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22"/>
        </w:trPr>
        <w:tc>
          <w:tcPr>
            <w:tcW w:w="41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(150)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w w:val="93"/>
              </w:rPr>
              <w:t>Equity in earnings of subsidiaries, net of tax expense</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637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643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(1,280)</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486</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(1,280)</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(1,280)</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376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(1,280)</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w w:val="94"/>
              </w:rPr>
              <w:t>Less: Net loss attributable to noncontrolling interests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$ 545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643</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(1,280)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900" w:type="dxa"/>
            <w:vAlign w:val="bottom"/>
            <w:gridSpan w:val="3"/>
          </w:tcPr>
          <w:p>
            <w:pPr>
              <w:jc w:val="center"/>
              <w:ind w:left="1072"/>
              <w:spacing w:after="0"/>
              <w:rPr>
                <w:sz w:val="20"/>
                <w:szCs w:val="20"/>
                <w:color w:val="auto"/>
              </w:rPr>
            </w:pPr>
            <w:r>
              <w:rPr>
                <w:rFonts w:ascii="Arial" w:cs="Arial" w:eastAsia="Arial" w:hAnsi="Arial"/>
                <w:sz w:val="18"/>
                <w:szCs w:val="18"/>
                <w:color w:val="auto"/>
                <w:w w:val="89"/>
              </w:rPr>
              <w:t>26</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6" w:name="page27"/>
    <w:bookmarkEnd w:id="26"/>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0"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rPr>
              <w:t>WM</w:t>
            </w:r>
          </w:p>
        </w:tc>
        <w:tc>
          <w:tcPr>
            <w:tcW w:w="540" w:type="dxa"/>
            <w:vAlign w:val="bottom"/>
          </w:tcPr>
          <w:p>
            <w:pPr>
              <w:spacing w:after="0"/>
              <w:rPr>
                <w:sz w:val="14"/>
                <w:szCs w:val="14"/>
                <w:color w:val="auto"/>
              </w:rPr>
            </w:pPr>
          </w:p>
        </w:tc>
        <w:tc>
          <w:tcPr>
            <w:tcW w:w="14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8"/>
              </w:rPr>
              <w:t>Non-Guarantor</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ind w:left="60"/>
              <w:spacing w:after="0"/>
              <w:rPr>
                <w:sz w:val="20"/>
                <w:szCs w:val="20"/>
                <w:color w:val="auto"/>
              </w:rPr>
            </w:pPr>
            <w:r>
              <w:rPr>
                <w:rFonts w:ascii="Arial" w:cs="Arial" w:eastAsia="Arial" w:hAnsi="Arial"/>
                <w:sz w:val="14"/>
                <w:szCs w:val="14"/>
                <w:b w:val="1"/>
                <w:bCs w:val="1"/>
                <w:color w:val="auto"/>
                <w:w w:val="88"/>
              </w:rPr>
              <w:t>WM</w:t>
            </w:r>
          </w:p>
        </w:tc>
        <w:tc>
          <w:tcPr>
            <w:tcW w:w="54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73"/>
              </w:rPr>
              <w:t>Holdings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1"/>
              </w:rPr>
              <w:t>Subsidiaries</w:t>
            </w:r>
          </w:p>
        </w:tc>
        <w:tc>
          <w:tcPr>
            <w:tcW w:w="13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6"/>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Three Months Ended June 30:</w:t>
            </w:r>
          </w:p>
        </w:tc>
        <w:tc>
          <w:tcPr>
            <w:tcW w:w="780" w:type="dxa"/>
            <w:vAlign w:val="bottom"/>
            <w:tcBorders>
              <w:top w:val="single" w:sz="8" w:color="CCEEFF"/>
              <w:right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left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left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lef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640" w:type="dxa"/>
            <w:vAlign w:val="bottom"/>
            <w:tcBorders>
              <w:left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640" w:type="dxa"/>
            <w:vAlign w:val="bottom"/>
            <w:tcBorders>
              <w:left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(815)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w w:val="98"/>
              </w:rPr>
              <w:t>Less: Comprehensive loss attributable to noncontrolling interests</w:t>
            </w: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Borders>
              <w:lef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Comprehensive income attributable to Waste Management, Inc.</w:t>
            </w:r>
          </w:p>
        </w:tc>
        <w:tc>
          <w:tcPr>
            <w:tcW w:w="7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364</w:t>
            </w: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640" w:type="dxa"/>
            <w:vAlign w:val="bottom"/>
            <w:tcBorders>
              <w:left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(815)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
        </w:trPr>
        <w:tc>
          <w:tcPr>
            <w:tcW w:w="2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640" w:type="dxa"/>
            <w:vAlign w:val="bottom"/>
            <w:tcBorders>
              <w:left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640" w:type="dxa"/>
            <w:vAlign w:val="bottom"/>
            <w:tcBorders>
              <w:left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(669)</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w w:val="98"/>
              </w:rPr>
              <w:t>Less: Comprehensive loss attributable to noncontrolling interests</w:t>
            </w: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Borders>
              <w:lef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Comprehensive income attributable to Waste Management, Inc.</w:t>
            </w:r>
          </w:p>
        </w:tc>
        <w:tc>
          <w:tcPr>
            <w:tcW w:w="7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289</w:t>
            </w: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640" w:type="dxa"/>
            <w:vAlign w:val="bottom"/>
            <w:tcBorders>
              <w:left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(669)</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WM</w:t>
            </w:r>
          </w:p>
        </w:tc>
        <w:tc>
          <w:tcPr>
            <w:tcW w:w="54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ind w:left="20"/>
              <w:spacing w:after="0"/>
              <w:rPr>
                <w:sz w:val="20"/>
                <w:szCs w:val="20"/>
                <w:color w:val="auto"/>
              </w:rPr>
            </w:pPr>
            <w:r>
              <w:rPr>
                <w:rFonts w:ascii="Arial" w:cs="Arial" w:eastAsia="Arial" w:hAnsi="Arial"/>
                <w:sz w:val="14"/>
                <w:szCs w:val="14"/>
                <w:b w:val="1"/>
                <w:bCs w:val="1"/>
                <w:color w:val="auto"/>
              </w:rPr>
              <w:t>WM</w:t>
            </w:r>
          </w:p>
        </w:tc>
        <w:tc>
          <w:tcPr>
            <w:tcW w:w="54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76"/>
              </w:rPr>
              <w:t>Holdings</w:t>
            </w:r>
          </w:p>
        </w:tc>
        <w:tc>
          <w:tcPr>
            <w:tcW w:w="540" w:type="dxa"/>
            <w:vAlign w:val="bottom"/>
          </w:tcPr>
          <w:p>
            <w:pPr>
              <w:spacing w:after="0"/>
              <w:rPr>
                <w:sz w:val="14"/>
                <w:szCs w:val="14"/>
                <w:color w:val="auto"/>
              </w:rPr>
            </w:pPr>
          </w:p>
        </w:tc>
        <w:tc>
          <w:tcPr>
            <w:tcW w:w="14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1"/>
              </w:rPr>
              <w:t>Subsidiaries</w:t>
            </w:r>
          </w:p>
        </w:tc>
        <w:tc>
          <w:tcPr>
            <w:tcW w:w="13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6"/>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Six Months Ended June 30:</w:t>
            </w:r>
          </w:p>
        </w:tc>
        <w:tc>
          <w:tcPr>
            <w:tcW w:w="780" w:type="dxa"/>
            <w:vAlign w:val="bottom"/>
            <w:tcBorders>
              <w:top w:val="single" w:sz="8" w:color="CCEEFF"/>
              <w:right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left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left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lef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CCEEFF"/>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640" w:type="dxa"/>
            <w:vAlign w:val="bottom"/>
            <w:tcBorders>
              <w:lef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640" w:type="dxa"/>
            <w:vAlign w:val="bottom"/>
            <w:tcBorders>
              <w:lef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5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(1,504)</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w w:val="98"/>
              </w:rPr>
              <w:t>Less: Comprehensive loss attributable to noncontrolling interests</w:t>
            </w: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Comprehensive income attributable to Waste Management, Inc.</w:t>
            </w:r>
          </w:p>
        </w:tc>
        <w:tc>
          <w:tcPr>
            <w:tcW w:w="7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4"/>
              </w:rPr>
              <w:t>$</w:t>
            </w:r>
            <w:r>
              <w:rPr>
                <w:rFonts w:ascii="Arial" w:cs="Arial" w:eastAsia="Arial" w:hAnsi="Arial"/>
                <w:sz w:val="18"/>
                <w:szCs w:val="18"/>
                <w:color w:val="auto"/>
                <w:w w:val="74"/>
              </w:rPr>
              <w:t>664</w:t>
            </w:r>
          </w:p>
        </w:tc>
        <w:tc>
          <w:tcPr>
            <w:tcW w:w="640" w:type="dxa"/>
            <w:vAlign w:val="bottom"/>
            <w:tcBorders>
              <w:lef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640" w:type="dxa"/>
            <w:vAlign w:val="bottom"/>
            <w:tcBorders>
              <w:lef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5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(1,504)</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0"/>
        </w:trPr>
        <w:tc>
          <w:tcPr>
            <w:tcW w:w="2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640" w:type="dxa"/>
            <w:vAlign w:val="bottom"/>
            <w:tcBorders>
              <w:lef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640" w:type="dxa"/>
            <w:vAlign w:val="bottom"/>
            <w:tcBorders>
              <w:lef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5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(1,280)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w w:val="98"/>
              </w:rPr>
              <w:t>Less: Comprehensive loss attributable to noncontrolling interests</w:t>
            </w: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Comprehensive income attributable to Waste Management, Inc.</w:t>
            </w:r>
          </w:p>
        </w:tc>
        <w:tc>
          <w:tcPr>
            <w:tcW w:w="7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4"/>
              </w:rPr>
              <w:t>$</w:t>
            </w:r>
            <w:r>
              <w:rPr>
                <w:rFonts w:ascii="Arial" w:cs="Arial" w:eastAsia="Arial" w:hAnsi="Arial"/>
                <w:sz w:val="18"/>
                <w:szCs w:val="18"/>
                <w:color w:val="auto"/>
                <w:w w:val="74"/>
              </w:rPr>
              <w:t>549</w:t>
            </w:r>
          </w:p>
        </w:tc>
        <w:tc>
          <w:tcPr>
            <w:tcW w:w="640" w:type="dxa"/>
            <w:vAlign w:val="bottom"/>
            <w:tcBorders>
              <w:lef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640" w:type="dxa"/>
            <w:vAlign w:val="bottom"/>
            <w:tcBorders>
              <w:lef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5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(1,280)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WM(a)</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Holdings(a)</w:t>
            </w:r>
          </w:p>
        </w:tc>
        <w:tc>
          <w:tcPr>
            <w:tcW w:w="280" w:type="dxa"/>
            <w:vAlign w:val="bottom"/>
          </w:tcPr>
          <w:p>
            <w:pPr>
              <w:spacing w:after="0"/>
              <w:rPr>
                <w:sz w:val="14"/>
                <w:szCs w:val="14"/>
                <w:color w:val="auto"/>
              </w:rPr>
            </w:pPr>
          </w:p>
        </w:tc>
        <w:tc>
          <w:tcPr>
            <w:tcW w:w="16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7"/>
              </w:rPr>
              <w:t>Subsidiaries(a)</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flows provided by (used in):</w:t>
            </w:r>
          </w:p>
        </w:tc>
        <w:tc>
          <w:tcPr>
            <w:tcW w:w="9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200"/>
              <w:spacing w:after="0"/>
              <w:rPr>
                <w:sz w:val="20"/>
                <w:szCs w:val="20"/>
                <w:color w:val="auto"/>
              </w:rPr>
            </w:pPr>
            <w:r>
              <w:rPr>
                <w:rFonts w:ascii="Arial" w:cs="Arial" w:eastAsia="Arial" w:hAnsi="Arial"/>
                <w:sz w:val="18"/>
                <w:szCs w:val="18"/>
                <w:color w:val="auto"/>
              </w:rPr>
              <w:t>Operating activities</w:t>
            </w:r>
          </w:p>
        </w:tc>
        <w:tc>
          <w:tcPr>
            <w:tcW w:w="11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1,534</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Investing activities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(677)</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200"/>
              <w:spacing w:after="0"/>
              <w:rPr>
                <w:sz w:val="20"/>
                <w:szCs w:val="20"/>
                <w:color w:val="auto"/>
              </w:rPr>
            </w:pPr>
            <w:r>
              <w:rPr>
                <w:rFonts w:ascii="Arial" w:cs="Arial" w:eastAsia="Arial" w:hAnsi="Arial"/>
                <w:sz w:val="18"/>
                <w:szCs w:val="18"/>
                <w:color w:val="auto"/>
              </w:rPr>
              <w:t>Financing activities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(857)</w:t>
            </w:r>
          </w:p>
        </w:tc>
        <w:tc>
          <w:tcPr>
            <w:tcW w:w="32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Effect of exchange rate changes on cash and cash</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equivalents</w:t>
            </w: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200"/>
              <w:spacing w:after="0"/>
              <w:rPr>
                <w:sz w:val="20"/>
                <w:szCs w:val="20"/>
                <w:color w:val="auto"/>
              </w:rPr>
            </w:pPr>
            <w:r>
              <w:rPr>
                <w:rFonts w:ascii="Arial" w:cs="Arial" w:eastAsia="Arial" w:hAnsi="Arial"/>
                <w:sz w:val="18"/>
                <w:szCs w:val="18"/>
                <w:color w:val="auto"/>
              </w:rPr>
              <w:t>Intercompany activity</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1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120" w:type="dxa"/>
            <w:vAlign w:val="bottom"/>
            <w:gridSpan w:val="7"/>
          </w:tcPr>
          <w:p>
            <w:pPr>
              <w:ind w:left="380"/>
              <w:spacing w:after="0"/>
              <w:rPr>
                <w:sz w:val="20"/>
                <w:szCs w:val="20"/>
                <w:color w:val="auto"/>
              </w:rPr>
            </w:pPr>
            <w:r>
              <w:rPr>
                <w:rFonts w:ascii="Arial" w:cs="Arial" w:eastAsia="Arial" w:hAnsi="Arial"/>
                <w:sz w:val="18"/>
                <w:szCs w:val="18"/>
                <w:b w:val="1"/>
                <w:bCs w:val="1"/>
                <w:color w:val="auto"/>
                <w:w w:val="97"/>
              </w:rPr>
              <w:t>Six Months Ended June 30, 2016</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ind w:left="60"/>
              <w:spacing w:after="0"/>
              <w:rPr>
                <w:sz w:val="20"/>
                <w:szCs w:val="20"/>
                <w:color w:val="auto"/>
              </w:rPr>
            </w:pPr>
            <w:r>
              <w:rPr>
                <w:rFonts w:ascii="Arial" w:cs="Arial" w:eastAsia="Arial" w:hAnsi="Arial"/>
                <w:sz w:val="18"/>
                <w:szCs w:val="18"/>
                <w:b w:val="1"/>
                <w:bCs w:val="1"/>
                <w:color w:val="auto"/>
              </w:rPr>
              <w:t>(Unaudited)</w:t>
            </w: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24"/>
                <w:szCs w:val="2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WM(a)</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Holdings(a)</w:t>
            </w:r>
          </w:p>
        </w:tc>
        <w:tc>
          <w:tcPr>
            <w:tcW w:w="280" w:type="dxa"/>
            <w:vAlign w:val="bottom"/>
          </w:tcPr>
          <w:p>
            <w:pPr>
              <w:spacing w:after="0"/>
              <w:rPr>
                <w:sz w:val="14"/>
                <w:szCs w:val="14"/>
                <w:color w:val="auto"/>
              </w:rPr>
            </w:pPr>
          </w:p>
        </w:tc>
        <w:tc>
          <w:tcPr>
            <w:tcW w:w="16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7"/>
              </w:rPr>
              <w:t>Subsidiaries(a)</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flows provided by (used in):</w:t>
            </w:r>
          </w:p>
        </w:tc>
        <w:tc>
          <w:tcPr>
            <w:tcW w:w="9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200"/>
              <w:spacing w:after="0"/>
              <w:rPr>
                <w:sz w:val="20"/>
                <w:szCs w:val="20"/>
                <w:color w:val="auto"/>
              </w:rPr>
            </w:pPr>
            <w:r>
              <w:rPr>
                <w:rFonts w:ascii="Arial" w:cs="Arial" w:eastAsia="Arial" w:hAnsi="Arial"/>
                <w:sz w:val="18"/>
                <w:szCs w:val="18"/>
                <w:color w:val="auto"/>
              </w:rPr>
              <w:t>Operating activities</w:t>
            </w:r>
          </w:p>
        </w:tc>
        <w:tc>
          <w:tcPr>
            <w:tcW w:w="11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1,494</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Investing activities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(1,186)</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200"/>
              <w:spacing w:after="0"/>
              <w:rPr>
                <w:sz w:val="20"/>
                <w:szCs w:val="20"/>
                <w:color w:val="auto"/>
              </w:rPr>
            </w:pPr>
            <w:r>
              <w:rPr>
                <w:rFonts w:ascii="Arial" w:cs="Arial" w:eastAsia="Arial" w:hAnsi="Arial"/>
                <w:sz w:val="18"/>
                <w:szCs w:val="18"/>
                <w:color w:val="auto"/>
              </w:rPr>
              <w:t>Financing activities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(309)</w:t>
            </w:r>
          </w:p>
        </w:tc>
        <w:tc>
          <w:tcPr>
            <w:tcW w:w="32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Effect of exchange rate changes on cash and cash</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equivalents</w:t>
            </w: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200"/>
              <w:spacing w:after="0"/>
              <w:rPr>
                <w:sz w:val="20"/>
                <w:szCs w:val="20"/>
                <w:color w:val="auto"/>
              </w:rPr>
            </w:pPr>
            <w:r>
              <w:rPr>
                <w:rFonts w:ascii="Arial" w:cs="Arial" w:eastAsia="Arial" w:hAnsi="Arial"/>
                <w:sz w:val="18"/>
                <w:szCs w:val="18"/>
                <w:color w:val="auto"/>
              </w:rPr>
              <w:t>Intercompany activity</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1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receipts and payments of WM and WM Holdings are transacted by Non-Guarantor Subsidiaries. We have revised the prior year presentation to reflect all relevant cash flow activities in the Non-Guarantor Subsidiaries column.</w:t>
      </w:r>
    </w:p>
    <w:p>
      <w:pPr>
        <w:spacing w:after="0" w:line="248"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Standards Pending Adoption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In October 2016, the FASB issued ASU 2016-16 associated with the timing of recognition of income taxes for intra-entity transfers of</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other than inventory. The amended guidance requires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recognition of income taxes when the transfer of the asset occurs, which replaces current GAAP that defers the recognition of income taxes until the transferred asset is sold to a third party or otherwise recovered through use. The amended guidance is effective for the Company on January 1, 2018. We are assessing the provisions of this amended guidance; however, we currently do not expect that the adoption of this amended guidance will have a material impact on our consolidated financial statements.</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Statement of Cash Flows — </w:t>
      </w:r>
      <w:r>
        <w:rPr>
          <w:rFonts w:ascii="Arial" w:cs="Arial" w:eastAsia="Arial" w:hAnsi="Arial"/>
          <w:sz w:val="16"/>
          <w:szCs w:val="16"/>
          <w:color w:val="auto"/>
        </w:rPr>
        <w:t>In August 2016, the FASB issued ASU 2016-15 associated with the classification of certain cash receipts and cash payments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statement of cash flows. In November 2016, the FASB issued ASU 2016-18 associated with the presentation of restricted cash and cash equivalents in the statement of cash flows. The objective of both amendments was to reduce existing diversity in practice. The amended guidance is effective for the Company on January 1, 2018. We are assessing the provisions of this amended guidance; however, we currently do not expect that the adoption of this amended guidance will have a material impact on our consolidated financial statements.</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Financial Instrument Credit Losses — </w:t>
      </w:r>
      <w:r>
        <w:rPr>
          <w:rFonts w:ascii="Arial" w:cs="Arial" w:eastAsia="Arial" w:hAnsi="Arial"/>
          <w:sz w:val="16"/>
          <w:szCs w:val="16"/>
          <w:color w:val="auto"/>
        </w:rPr>
        <w:t>In June 2016, the FASB issued ASU 2016-13 associated with the measurement of credit losses on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The amended guidance replaces the current incurred loss impairment methodology of recognizing credit losses when a loss is probable, with a methodology that reflects expected credit losses and requires consideration of a broader range of reasonable and supportable information to assess credit loss estimates. The amended guidance is effective for the Company on January 1, 2020, with early adoption permitted beginning January 1, 2019. We are assessing the provisions of this amended guidance and evaluating the impact on our consolidated financial statements.</w:t>
      </w:r>
    </w:p>
    <w:p>
      <w:pPr>
        <w:spacing w:after="0" w:line="11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 In February 2016, the FASB issued ASU 2016-02 associated with lease accounting. The amended guidance requires the recognition of lease</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lease liabilities on the balance sheet for those leases with terms in excess of 12 months and currently classified as operating leases. The disclosure of key information about leasing arrangements will also be required. The amended guidance is effective for the Company on January 1, 2019, with early adoption permitted. We are assessing the provisions of this amended guidance and we have (i) formed an implementation work team; (ii) performed training for the various organizations that will be most affected by the new standard and (iii) evaluated certain software solutions available to manage and account for leases under the new standard. We are still evaluating the impact of this amended guidance on our consolidated financial statements.</w:t>
      </w:r>
    </w:p>
    <w:p>
      <w:pPr>
        <w:spacing w:after="0" w:line="12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 In January 2016, the FASB issued ASU 2016-01 associated with the recognition and measurement of financial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The amended guidance will require certain equity investments that are not consolidated to be measured at fair value with changes in fair value recognized in net income rather than as a component of accumulated other comprehensive income. The amended guidance is effective for the Company on January 1, 2018. We are assessing the provisions of this amended guidance; however, we currently do not expect that the adoption of this amended guidance will have a material impact on our consolidated financial statements.</w:t>
      </w:r>
    </w:p>
    <w:p>
      <w:pPr>
        <w:spacing w:after="0" w:line="143"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In May 2014, the FASB issued ASU 2014-09 associated with revenue recognition. The amended guidance requires companies to</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 revenue to depict the transfer of promised goods or services to customers in an amount that reflects the consideration to which the entity expects to be entitled in exchange for those goods or services. Additionally, the amendments will require enhanced qualitative and quantitative disclosures regarding customer contracts. The amended guidance associated with revenue recognition is effective for the Company on January 1, 2018. The amended guidance may be applied retrospectively for all periods presented (“full retrospective method”) or retrospectively with the cumulative effect of initially applying the amended guidance recognized at the date of initial adoption (“modified retrospective method”). The Company is currently planning to adopt the amended guidance using the modified retrospective method as of January 1, 2018.</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To assess the impact of the standard, we utilized internal resources to lead the implementation effort and supplemented them with external resources. Our internal resources read the amended guidance, attended trainings and consulted with other accounting professionals to assist with interpretation of the amended guidance. Surveys were sent to and returned by all operating segments to assess the potential impact of the amended guidance and to tailor specific procedures to evaluate the potential impact. Based on the results of these surveys, we judgmentally selected a sample of contracts based on size and specifically identified contract traits that could be accounted for differently under the amended guidance. We also selected a representative sample of contracts to corroborate the survey results. We have completed our preliminary review and analysis of all contracts selected for testing and we are in the process of performing additional analysis on certain contractual provisions, including provisions that could impact the classification of certain revenue streams and costs that are currently reported on a gross basis.</w:t>
      </w:r>
    </w:p>
    <w:p>
      <w:pPr>
        <w:spacing w:after="0" w:line="118" w:lineRule="exact"/>
        <w:rPr>
          <w:sz w:val="20"/>
          <w:szCs w:val="20"/>
          <w:color w:val="auto"/>
        </w:rPr>
      </w:pPr>
    </w:p>
    <w:p>
      <w:pPr>
        <w:jc w:val="both"/>
        <w:ind w:firstLine="456"/>
        <w:spacing w:after="0" w:line="318" w:lineRule="auto"/>
        <w:rPr>
          <w:sz w:val="20"/>
          <w:szCs w:val="20"/>
          <w:color w:val="auto"/>
        </w:rPr>
      </w:pPr>
      <w:r>
        <w:rPr>
          <w:rFonts w:ascii="Arial" w:cs="Arial" w:eastAsia="Arial" w:hAnsi="Arial"/>
          <w:sz w:val="15"/>
          <w:szCs w:val="15"/>
          <w:color w:val="auto"/>
        </w:rPr>
        <w:t>Based on our work to date, we believe we have identified all material contract types and costs that may be impacted by this amended guidance. We expect to quantify and disclose the expected impact, if any, of adopting this amended guidance in the Quarterly Report on Form 10-Q for the third quarter of 2017. While we are still evaluating the impact of the amended guidance, we currently do not expect it to have a material impact on operating revenues. However, upon adoption of the amended guidance, we anticipate recognizing an asset from the capitalization of sales incentives as contract acquisitions costs. Under the amended guidance, sales incentives will be capitalized and amortized to selling, general and administrative expense over the expected life of the customer relationship.</w:t>
      </w:r>
    </w:p>
    <w:p>
      <w:pPr>
        <w:spacing w:after="0" w:line="10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noted above, we are still evaluating the possible impacts on our consolidated financial statements, including (i) potential changes in the classification of certain revenue streams and costs currently reported on a gross basis (e.g., franchise fees paid to municipalities); (ii) the amount of sales incentives that will be capitalized and (iii) additional disclosure requirements.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0" w:name="page31"/>
    <w:bookmarkEnd w:id="30"/>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2016.</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a similar nature and generally include statements containing:</w:t>
      </w:r>
    </w:p>
    <w:p>
      <w:pPr>
        <w:spacing w:after="0" w:line="62"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projections about accounting and finances;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projections or estimates about assumptions relating to our performance;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opinions, views or beliefs about the effects of current or future events, circumstances or performance.</w:t>
      </w:r>
    </w:p>
    <w:p>
      <w:pPr>
        <w:spacing w:after="0" w:line="17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You should view these statements with caution. These statements are not guarantees of future performance, circumstances or events. They are based on facts and circumstances known to us as of the date the statements are made. All aspects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Some of the risks that we believe could affect our business and financial statements for 2017 and beyond and that could cause actual results to be materially different from those that may be set forth in forward-looking statements made by the Company include the following:</w:t>
      </w:r>
    </w:p>
    <w:p>
      <w:pPr>
        <w:spacing w:after="0" w:line="51" w:lineRule="exact"/>
        <w:rPr>
          <w:sz w:val="20"/>
          <w:szCs w:val="20"/>
          <w:color w:val="auto"/>
        </w:rPr>
      </w:pPr>
    </w:p>
    <w:p>
      <w:pPr>
        <w:ind w:left="900" w:hanging="446"/>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competition may negatively affect our profitability or cash flows, our pricing strategy may have negative effects on volumes, and inability to execute our pricing strategy while retaining and attracting customers may negatively affect our average yield on collection and disposal lines of business;</w:t>
      </w:r>
    </w:p>
    <w:p>
      <w:pPr>
        <w:spacing w:after="0" w:line="4" w:lineRule="exact"/>
        <w:rPr>
          <w:rFonts w:ascii="Arial" w:cs="Arial" w:eastAsia="Arial" w:hAnsi="Arial"/>
          <w:sz w:val="16"/>
          <w:szCs w:val="16"/>
          <w:color w:val="auto"/>
        </w:rPr>
      </w:pPr>
    </w:p>
    <w:p>
      <w:pPr>
        <w:jc w:val="both"/>
        <w:ind w:left="900" w:hanging="446"/>
        <w:spacing w:after="0" w:line="25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fail in implementing or maintaining our cost saving, optimization and growth initiatives and overall business strategy, which could adversely impact our financial performance and growth, and implementation of our initiatives and strategy may have associated negative consequences, such as increased indebtedness, asset impairments, business disruption, exposure to purported class action lawsuits related to our customer service agreements and regulatory issues;</w:t>
      </w:r>
    </w:p>
    <w:p>
      <w:pPr>
        <w:spacing w:after="0" w:line="62"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key element of our strategy is yield management through focus on price leadership, which has presented challenges to keep existing business and win new business at reasonable returns; the loss of volumes as a result of price increases and our unwillingness to pursue lower margin volumes may negatively affect our cash flows or results of operations;</w:t>
      </w:r>
    </w:p>
    <w:p>
      <w:pPr>
        <w:spacing w:after="0" w:line="59"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identify desirable acquisition targets, negotiate advantageous transactions or realize the benefits expected from such transactions, which could adversely impact our growth strategy, earnings and cash flow;</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integration of acquisitions and/or new service offerings could increase our exposure to environmental liabilities for past operations and the risk of inadvertent noncompliance with laws and regulations;</w:t>
      </w:r>
    </w:p>
    <w:p>
      <w:pPr>
        <w:spacing w:after="0" w:line="5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compliance with existing or increased future regulations may impact our business by, among other things, restricting our operations, increasing operating costs or requiring additional capital expenditures, and a decrease in regulation may lower barriers to entry for our competitors;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1" w:name="page32"/>
    <w:bookmarkEnd w:id="31"/>
    <w:p>
      <w:pPr>
        <w:ind w:left="446" w:hanging="446"/>
        <w:spacing w:after="0" w:line="268" w:lineRule="auto"/>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possible changes in our estimates of costs for site remediation requirements, final capping, closure and post-closure obligations, compliance and regulatory developments may increase our expenses and future cash outflows;</w:t>
      </w:r>
    </w:p>
    <w:p>
      <w:pPr>
        <w:spacing w:after="0" w:line="50" w:lineRule="exact"/>
        <w:rPr>
          <w:rFonts w:ascii="Arial" w:cs="Arial" w:eastAsia="Arial" w:hAnsi="Arial"/>
          <w:sz w:val="18"/>
          <w:szCs w:val="18"/>
          <w:color w:val="auto"/>
        </w:rPr>
      </w:pPr>
    </w:p>
    <w:p>
      <w:pPr>
        <w:jc w:val="both"/>
        <w:ind w:left="446" w:hanging="446"/>
        <w:spacing w:after="0" w:line="259" w:lineRule="auto"/>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materials processed by our recycling operations are subject to significant commodity price fluctuations, as are methane gas, electricity and other energy-related products marketed and sold by our landfill gas recovery operations; fluctuations in commodity prices may have negative effects on our operating results;</w:t>
      </w:r>
    </w:p>
    <w:p>
      <w:pPr>
        <w:spacing w:after="0" w:line="59"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significant portion of the recycled fiber we market is shipped to export markets across the globe, particularly China; changes in international or domestic regulations, restrictions or tariffs on exports could increase operating expense;</w:t>
      </w:r>
    </w:p>
    <w:p>
      <w:pPr>
        <w:spacing w:after="0" w:line="50" w:lineRule="exact"/>
        <w:rPr>
          <w:rFonts w:ascii="Arial" w:cs="Arial" w:eastAsia="Arial" w:hAnsi="Arial"/>
          <w:sz w:val="18"/>
          <w:szCs w:val="18"/>
          <w:color w:val="auto"/>
        </w:rPr>
      </w:pPr>
    </w:p>
    <w:p>
      <w:pPr>
        <w:ind w:left="446" w:right="20" w:hanging="446"/>
        <w:spacing w:after="0" w:line="268" w:lineRule="auto"/>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oil and gas prices and drilling activity, and changes in applicable regulations, could adversely affect our Energy and Environmental Services organization;</w:t>
      </w:r>
    </w:p>
    <w:p>
      <w:pPr>
        <w:spacing w:after="0" w:line="50" w:lineRule="exact"/>
        <w:rPr>
          <w:rFonts w:ascii="Arial" w:cs="Arial" w:eastAsia="Arial" w:hAnsi="Arial"/>
          <w:sz w:val="18"/>
          <w:szCs w:val="18"/>
          <w:color w:val="auto"/>
        </w:rPr>
      </w:pPr>
    </w:p>
    <w:p>
      <w:pPr>
        <w:jc w:val="both"/>
        <w:ind w:left="446" w:hanging="446"/>
        <w:spacing w:after="0" w:line="259" w:lineRule="auto"/>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traditional disposal, government mandates supporting diversion of waste and recycling and prohibiting disposal of certain types of waste, and overall reduction of waste generated could continue to have a negative effect on volumes of waste going to our landfills;</w:t>
      </w:r>
    </w:p>
    <w:p>
      <w:pPr>
        <w:spacing w:after="0" w:line="59"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50" w:lineRule="exact"/>
        <w:rPr>
          <w:rFonts w:ascii="Arial" w:cs="Arial" w:eastAsia="Arial" w:hAnsi="Arial"/>
          <w:sz w:val="18"/>
          <w:szCs w:val="18"/>
          <w:color w:val="auto"/>
        </w:rPr>
      </w:pPr>
    </w:p>
    <w:p>
      <w:pPr>
        <w:ind w:left="446" w:hanging="446"/>
        <w:spacing w:after="0" w:line="332" w:lineRule="auto"/>
        <w:tabs>
          <w:tab w:leader="none" w:pos="446"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4" w:lineRule="exact"/>
        <w:rPr>
          <w:rFonts w:ascii="Arial" w:cs="Arial" w:eastAsia="Arial" w:hAnsi="Arial"/>
          <w:sz w:val="16"/>
          <w:szCs w:val="16"/>
          <w:color w:val="auto"/>
        </w:rPr>
      </w:pPr>
    </w:p>
    <w:p>
      <w:pPr>
        <w:ind w:left="446" w:hanging="446"/>
        <w:spacing w:after="0" w:line="268" w:lineRule="auto"/>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investing in technologies to provide enhanced customer service and/or disposal alternatives; such technologies may not perform as intended or may experience other difficulties or delays that prevent us from realizing a return on our investment;</w:t>
      </w:r>
    </w:p>
    <w:p>
      <w:pPr>
        <w:spacing w:after="0" w:line="50" w:lineRule="exact"/>
        <w:rPr>
          <w:rFonts w:ascii="Arial" w:cs="Arial" w:eastAsia="Arial" w:hAnsi="Arial"/>
          <w:sz w:val="18"/>
          <w:szCs w:val="18"/>
          <w:color w:val="auto"/>
        </w:rPr>
      </w:pPr>
    </w:p>
    <w:p>
      <w:pPr>
        <w:jc w:val="both"/>
        <w:ind w:left="446" w:hanging="446"/>
        <w:spacing w:after="0" w:line="259" w:lineRule="auto"/>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59"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is a risk of incurring significant environmental liabilities in the use, treatment, storage, transfer and disposal of waste materials; any substantial liability for environmental damage could have a material adverse effect on our financial condition and cash flows;</w:t>
      </w:r>
    </w:p>
    <w:p>
      <w:pPr>
        <w:spacing w:after="0" w:line="5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 and demand for post-consumer fiber and metals processed by our recycling operations;</w:t>
      </w:r>
    </w:p>
    <w:p>
      <w:pPr>
        <w:spacing w:after="0" w:line="50" w:lineRule="exact"/>
        <w:rPr>
          <w:rFonts w:ascii="Arial" w:cs="Arial" w:eastAsia="Arial" w:hAnsi="Arial"/>
          <w:sz w:val="18"/>
          <w:szCs w:val="18"/>
          <w:color w:val="auto"/>
        </w:rPr>
      </w:pPr>
    </w:p>
    <w:p>
      <w:pPr>
        <w:ind w:left="446" w:right="20" w:hanging="446"/>
        <w:spacing w:after="0" w:line="268" w:lineRule="auto"/>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50" w:lineRule="exact"/>
        <w:rPr>
          <w:rFonts w:ascii="Arial" w:cs="Arial" w:eastAsia="Arial" w:hAnsi="Arial"/>
          <w:sz w:val="18"/>
          <w:szCs w:val="18"/>
          <w:color w:val="auto"/>
        </w:rPr>
      </w:pPr>
    </w:p>
    <w:p>
      <w:pPr>
        <w:ind w:left="446" w:right="20" w:hanging="446"/>
        <w:spacing w:after="0" w:line="268" w:lineRule="auto"/>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diesel fuel price increases or diesel fuel supply shortages may increase our expenses and restrict our ability to operate;</w:t>
      </w:r>
    </w:p>
    <w:p>
      <w:pPr>
        <w:spacing w:after="0" w:line="9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increasingly dependent on the availability of natural gas and fueling infrastructure and vulnerable to natural gas prices; difficulty obtaining natural gas and increases in natural gas prices could increase our operating costs;</w:t>
      </w:r>
    </w:p>
    <w:p>
      <w:pPr>
        <w:spacing w:after="0" w:line="11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6"/>
          </w:cols>
          <w:pgMar w:left="694" w:top="280" w:right="239" w:bottom="1440" w:gutter="0" w:footer="0" w:header="0"/>
        </w:sectPr>
      </w:pPr>
    </w:p>
    <w:bookmarkStart w:id="32" w:name="page33"/>
    <w:bookmarkEnd w:id="32"/>
    <w:p>
      <w:pPr>
        <w:ind w:left="90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problems with the operation of current information technology or the development and deployment of new information systems could decrease our efficiencies and increase our costs;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cybersecurity incident could negatively impact our business and our relationships with customers and expose us to litigation risk;</w:t>
      </w:r>
    </w:p>
    <w:p>
      <w:pPr>
        <w:spacing w:after="0" w:line="9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face significant liability for our past and current participation in multiemployer pension plans;</w:t>
      </w:r>
    </w:p>
    <w:p>
      <w:pPr>
        <w:spacing w:after="0" w:line="90" w:lineRule="exact"/>
        <w:rPr>
          <w:rFonts w:ascii="Arial" w:cs="Arial" w:eastAsia="Arial" w:hAnsi="Arial"/>
          <w:sz w:val="18"/>
          <w:szCs w:val="18"/>
          <w:color w:val="auto"/>
        </w:rPr>
      </w:pPr>
    </w:p>
    <w:p>
      <w:pPr>
        <w:jc w:val="both"/>
        <w:ind w:left="900" w:hanging="446"/>
        <w:spacing w:after="0" w:line="255"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subject to operational and safety risks; we closely monitor and manage landfills to minimize the risk of waste mass instability and releases of hazardous materials and odors, as well as risks presented by the potential for subsurface heat reactions causing elevated temperatures and increased production of leachate. These and other such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increased costs for financial assurance or the inadequacy of our insurance coverage could negatively impact our liquidity and increase our liabilities;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possible charges as a result of shut-down operations, uncompleted development or expansion projects or other events may negatively affect earnings;</w:t>
      </w:r>
    </w:p>
    <w:p>
      <w:pPr>
        <w:spacing w:after="0" w:line="124" w:lineRule="exact"/>
        <w:rPr>
          <w:rFonts w:ascii="Arial" w:cs="Arial" w:eastAsia="Arial" w:hAnsi="Arial"/>
          <w:sz w:val="15"/>
          <w:szCs w:val="15"/>
          <w:color w:val="auto"/>
        </w:rPr>
      </w:pPr>
    </w:p>
    <w:p>
      <w:pPr>
        <w:ind w:left="90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reduce or suspend capital expenditures, acquisition activity, dividend declarations or share repurchases if we suffer a significant reduction in cash flows;</w:t>
      </w:r>
    </w:p>
    <w:p>
      <w:pPr>
        <w:spacing w:after="0" w:line="5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climate change legislation, including possible limits on carbon emissions, may negatively impact our results of operations by increasing expenses;</w:t>
      </w:r>
    </w:p>
    <w:p>
      <w:pPr>
        <w:spacing w:after="0" w:line="113"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weather conditions and other event driven special projects cause our results to fluctuate, and harsh weather or natural disasters may cause us to temporarily suspend operations; these seasonal or event driven items can result in interim variations in our results;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 or third parties with whom we have relationships, were to fail to comply with United States or foreign laws or regulations;</w:t>
      </w:r>
    </w:p>
    <w:p>
      <w:pPr>
        <w:spacing w:after="0" w:line="50" w:lineRule="exact"/>
        <w:rPr>
          <w:rFonts w:ascii="Arial" w:cs="Arial" w:eastAsia="Arial" w:hAnsi="Arial"/>
          <w:sz w:val="18"/>
          <w:szCs w:val="18"/>
          <w:color w:val="auto"/>
        </w:rPr>
      </w:pPr>
    </w:p>
    <w:p>
      <w:pPr>
        <w:jc w:val="both"/>
        <w:ind w:left="900" w:hanging="446"/>
        <w:spacing w:after="0" w:line="323" w:lineRule="auto"/>
        <w:tabs>
          <w:tab w:leader="none" w:pos="9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we are subject to various lawsuits, proceedings and disputes; claims asserted against us include property damage, commercial, customer and employment-related matters, including purported class action lawsuits related to alleged environmental contamination, sales and marketing practices, customer service agreements, prices and fees and federal and state wage and hour laws. Such lawsuits and proceedings may increase our costs, limit our ability to conduct or expand our operations, limit our ability to execute our business plans and strategies and adversely affect our liquidity; and</w:t>
      </w:r>
    </w:p>
    <w:p>
      <w:pPr>
        <w:spacing w:after="0" w:line="16" w:lineRule="exact"/>
        <w:rPr>
          <w:rFonts w:ascii="Arial" w:cs="Arial" w:eastAsia="Arial" w:hAnsi="Arial"/>
          <w:sz w:val="15"/>
          <w:szCs w:val="15"/>
          <w:color w:val="auto"/>
        </w:rPr>
      </w:pPr>
    </w:p>
    <w:p>
      <w:pPr>
        <w:ind w:left="900" w:right="2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principal executive offices are located at 1001 Fannin Street, Houston, Texas 77002. Our telephone number is (713) 512-6200. Our website address is www.wm.com. Our annual reports on Form 10-K, quarterly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33" w:name="page34"/>
    <w:bookmarkEnd w:id="33"/>
    <w:p>
      <w:pPr>
        <w:jc w:val="both"/>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reports on Form 10-Q and current reports on Form 8-K are all available, free of charge, on our website as soon as practicable after we file the reports with the SEC. Our stock is traded on the New York Stock Exchange under the symbol “WM.”</w:t>
      </w:r>
    </w:p>
    <w:p>
      <w:pPr>
        <w:spacing w:after="0" w:line="13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disposal, and recycling and resource recovery services. Our “Traditional Solid Waste” business excludes our recycling and resource recovery services. Through our subsidiaries, we are also a leading developer, operator and owner of landfill gas-to-energy facilities in the United States.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Company’s goals are targeted at serving our customers, our employees, the environment, the communities in which we work and our stockholders. Increasingly, customers want more of their waste materials recovered, while waste streams are becoming more complex, and our aim is to address the current needs, while anticipating the expanding and evolving needs, of our customers.</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believe we are uniquely equipped to meet the challenges of the changing waste industry and our customers’ waste management needs, both today and as we work together to envision and create a more sustainable future. As the waste industry leader, we have the expertise necessary to collect and handle our customers’ waste efficiently and responsibly by delivering environmental performance — maximizing resource value, while minimizing environmental impact — so that both our economy and our environment can thrive.</w:t>
      </w:r>
    </w:p>
    <w:p>
      <w:pPr>
        <w:spacing w:after="0" w:line="143"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Our fundamental strategy has not changed; we remain dedicated to providing long-term value to our stockholders by successfully executing our core strategy of focused differentiation and continuous improvement, with the current state of our strategy taking into account economic conditions, the regulatory environment, asset and resource availability and current technology. We believe that focused differentiation in our industry, driven by capitalizing on our extensive, well-placed network of assets, will deliver profitable growth and competitive advantages. Simultaneously, we believe the combination of cost control, process improvement and operational efficiency will deliver on the Company’s strategy of continuous improvement and yield an attractive total cost structure and enhanced service quality. While we will continue to monitor emerging diversion technologies that may generate additional value and related market dynamics, our current attention will be on improving existing diversion technologies, such as our recycling operations. We believe that execution of our strategy will deliver shareholder value and leadership in a dynamic industry.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Key items of our financial results for the current quarter include:</w:t>
      </w:r>
    </w:p>
    <w:p>
      <w:pPr>
        <w:spacing w:after="0" w:line="90" w:lineRule="exact"/>
        <w:rPr>
          <w:sz w:val="20"/>
          <w:szCs w:val="20"/>
          <w:color w:val="auto"/>
        </w:rPr>
      </w:pPr>
    </w:p>
    <w:p>
      <w:pPr>
        <w:jc w:val="both"/>
        <w:ind w:left="900" w:hanging="446"/>
        <w:spacing w:after="0" w:line="286"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Revenues of $3,677 million compared with $3,425 million in the prior year period, an increase of $252 million, or 7.4%. This increase is primarily attributable to (i) yield and volume growth in our collection and disposal lines of business, which increased our revenues by $158 million and</w:t>
      </w:r>
    </w:p>
    <w:p>
      <w:pPr>
        <w:ind w:left="900" w:hanging="1"/>
        <w:spacing w:after="0" w:line="261" w:lineRule="auto"/>
        <w:tabs>
          <w:tab w:leader="none" w:pos="1173" w:val="left"/>
        </w:tabs>
        <w:numPr>
          <w:ilvl w:val="1"/>
          <w:numId w:val="26"/>
        </w:numPr>
        <w:rPr>
          <w:rFonts w:ascii="Arial" w:cs="Arial" w:eastAsia="Arial" w:hAnsi="Arial"/>
          <w:sz w:val="18"/>
          <w:szCs w:val="18"/>
          <w:color w:val="auto"/>
        </w:rPr>
      </w:pPr>
      <w:r>
        <w:rPr>
          <w:rFonts w:ascii="Arial" w:cs="Arial" w:eastAsia="Arial" w:hAnsi="Arial"/>
          <w:sz w:val="18"/>
          <w:szCs w:val="18"/>
          <w:color w:val="auto"/>
        </w:rPr>
        <w:t>higher market prices for recycling commodities and volume growth, which contributed $90 million of revenue growth in our recycling line of business;</w:t>
      </w:r>
    </w:p>
    <w:p>
      <w:pPr>
        <w:spacing w:after="0" w:line="56" w:lineRule="exact"/>
        <w:rPr>
          <w:rFonts w:ascii="Arial" w:cs="Arial" w:eastAsia="Arial" w:hAnsi="Arial"/>
          <w:sz w:val="18"/>
          <w:szCs w:val="18"/>
          <w:color w:val="auto"/>
        </w:rPr>
      </w:pPr>
    </w:p>
    <w:p>
      <w:pPr>
        <w:jc w:val="both"/>
        <w:ind w:left="900" w:hanging="446"/>
        <w:spacing w:after="0" w:line="256"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expenses of $2,290 million, or 62.3% of revenues, compared with $2,130 million, or 62.2% of revenues, in the prior year period. This increase of $160 million is primarily attributable to (i) increased cost of goods sold primarily related to higher market prices for recycling commodities; (ii) higher volumes; (iii) increased maintenance and repair costs; (iv) increased fuel costs due to higher fuel prices and the expiration of certain natural gas fuel excise tax credits and (v) merit increases;</w:t>
      </w:r>
    </w:p>
    <w:p>
      <w:pPr>
        <w:spacing w:after="0" w:line="62"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Selling, general and administrative expenses of $353 million, or 9.6% of revenues, compared with $340 million, or 9.9% of revenues, in the prior year period. This increase of $13 million is primarily due to higher incentive compensation costs and certain other variable costs due to revenue growth;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4" w:name="page35"/>
    <w:bookmarkEnd w:id="34"/>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Income from operations of $673 million, or 18.3% of revenues, compared with $611 million, or 17.8% of revenues, in the prior year period; and</w:t>
      </w:r>
    </w:p>
    <w:p>
      <w:pPr>
        <w:spacing w:after="0" w:line="113"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income attributable to Waste Management, Inc. of $362 million, or $0.81 per diluted share, compared with $287 million, or $0.64 per diluted share, in the prior year period.</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second quarter 2016 results were affected by the recognition of pre-tax charges of $45 million primarily related to impairments of minority-owned investments in waste diversion technology companies. These impairments were substantially nondeductible for income taxes and had a negative impact of $0.10 on our diluted earnings per share.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Free Cash Flow</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However, we believe free cash flow gives investors useful insight into how we view our liquidity. Nonetheless, the use of free cash flow as a liquidity measure has material limitations because it excludes certain expenditures that are required or that we have committed to, such as declared dividend payments and debt service requirements.</w:t>
      </w:r>
    </w:p>
    <w:p>
      <w:pPr>
        <w:spacing w:after="0" w:line="11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calculation of free cash flow and reconciliation to net cash provided by operating activities is shown in the table below (in millions), and may not be calculated the same as similarly-titled measures presented by other companies: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7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14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7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4"/>
                <w:szCs w:val="14"/>
                <w:color w:val="auto"/>
              </w:rPr>
            </w:pPr>
          </w:p>
        </w:tc>
        <w:tc>
          <w:tcPr>
            <w:tcW w:w="920" w:type="dxa"/>
            <w:vAlign w:val="bottom"/>
            <w:gridSpan w:val="4"/>
          </w:tcPr>
          <w:p>
            <w:pPr>
              <w:jc w:val="center"/>
              <w:ind w:left="241"/>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00" w:type="dxa"/>
            <w:vAlign w:val="bottom"/>
            <w:tcBorders>
              <w:bottom w:val="single" w:sz="8" w:color="CCEEFF"/>
            </w:tcBorders>
          </w:tcPr>
          <w:p>
            <w:pPr>
              <w:spacing w:after="0"/>
              <w:rPr>
                <w:sz w:val="12"/>
                <w:szCs w:val="12"/>
                <w:color w:val="auto"/>
              </w:rPr>
            </w:pPr>
          </w:p>
        </w:tc>
        <w:tc>
          <w:tcPr>
            <w:tcW w:w="668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3"/>
              </w:rPr>
              <w:t>2017</w:t>
            </w:r>
          </w:p>
        </w:tc>
        <w:tc>
          <w:tcPr>
            <w:tcW w:w="4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 (a)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$ 813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$ 762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1,534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840" w:type="dxa"/>
            <w:vAlign w:val="bottom"/>
            <w:gridSpan w:val="3"/>
          </w:tcPr>
          <w:p>
            <w:pPr>
              <w:jc w:val="right"/>
              <w:ind w:right="292"/>
              <w:spacing w:after="0"/>
              <w:rPr>
                <w:sz w:val="20"/>
                <w:szCs w:val="20"/>
                <w:color w:val="auto"/>
              </w:rPr>
            </w:pPr>
            <w:r>
              <w:rPr>
                <w:rFonts w:ascii="Arial" w:cs="Arial" w:eastAsia="Arial" w:hAnsi="Arial"/>
                <w:sz w:val="18"/>
                <w:szCs w:val="18"/>
                <w:color w:val="auto"/>
              </w:rPr>
              <w:t>(299)</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820" w:type="dxa"/>
            <w:vAlign w:val="bottom"/>
            <w:gridSpan w:val="2"/>
          </w:tcPr>
          <w:p>
            <w:pPr>
              <w:jc w:val="right"/>
              <w:ind w:right="292"/>
              <w:spacing w:after="0"/>
              <w:rPr>
                <w:sz w:val="20"/>
                <w:szCs w:val="20"/>
                <w:color w:val="auto"/>
              </w:rPr>
            </w:pPr>
            <w:r>
              <w:rPr>
                <w:rFonts w:ascii="Arial" w:cs="Arial" w:eastAsia="Arial" w:hAnsi="Arial"/>
                <w:sz w:val="18"/>
                <w:szCs w:val="18"/>
                <w:color w:val="auto"/>
              </w:rPr>
              <w:t>(631)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Free cash flow (a)</w:t>
            </w: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80" w:type="dxa"/>
            <w:vAlign w:val="bottom"/>
            <w:gridSpan w:val="2"/>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$ 520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$ 461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916</w:t>
            </w:r>
          </w:p>
        </w:tc>
        <w:tc>
          <w:tcPr>
            <w:tcW w:w="4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500" w:type="dxa"/>
            <w:vAlign w:val="bottom"/>
            <w:tcBorders>
              <w:bottom w:val="single" w:sz="8" w:color="auto"/>
            </w:tcBorders>
          </w:tcPr>
          <w:p>
            <w:pPr>
              <w:spacing w:after="0"/>
              <w:rPr>
                <w:sz w:val="8"/>
                <w:szCs w:val="8"/>
                <w:color w:val="auto"/>
              </w:rPr>
            </w:pPr>
          </w:p>
        </w:tc>
        <w:tc>
          <w:tcPr>
            <w:tcW w:w="6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33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Prior year information has been revised to reflect the adoption of Accounting Standards Update (“ASU”) 2016-09, which is discussed below in </w:t>
      </w:r>
      <w:r>
        <w:rPr>
          <w:rFonts w:ascii="Arial" w:cs="Arial" w:eastAsia="Arial" w:hAnsi="Arial"/>
          <w:sz w:val="16"/>
          <w:szCs w:val="16"/>
          <w:i w:val="1"/>
          <w:iCs w:val="1"/>
          <w:color w:val="auto"/>
        </w:rPr>
        <w:t>Adoption of</w:t>
      </w:r>
      <w:r>
        <w:rPr>
          <w:rFonts w:ascii="Arial" w:cs="Arial" w:eastAsia="Arial" w:hAnsi="Arial"/>
          <w:sz w:val="16"/>
          <w:szCs w:val="16"/>
          <w:color w:val="auto"/>
        </w:rPr>
        <w:t xml:space="preserve"> </w:t>
      </w:r>
      <w:r>
        <w:rPr>
          <w:rFonts w:ascii="Arial" w:cs="Arial" w:eastAsia="Arial" w:hAnsi="Arial"/>
          <w:sz w:val="16"/>
          <w:szCs w:val="16"/>
          <w:i w:val="1"/>
          <w:iCs w:val="1"/>
          <w:color w:val="auto"/>
        </w:rPr>
        <w:t>New Accounting Standards</w:t>
      </w:r>
      <w:r>
        <w:rPr>
          <w:rFonts w:ascii="Arial" w:cs="Arial" w:eastAsia="Arial" w:hAnsi="Arial"/>
          <w:sz w:val="16"/>
          <w:szCs w:val="16"/>
          <w:color w:val="auto"/>
        </w:rPr>
        <w:t>, and conform to our current year presentation. See Note 1 to the Condensed Consolidated Financial Statements.</w:t>
      </w:r>
    </w:p>
    <w:p>
      <w:pPr>
        <w:spacing w:after="0" w:line="85"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Our net cash provided by operating activities increased by $51 million and $40 million for the three and six months ended June 30, 2017, respectively, as compared with the prior year periods. The three and six months ended June 30, 2017 were impacted by (i) higher earnings from our Traditional Solid Waste and recycling businesses; (ii) net favorable changes in our assets and liabilities, net of effects from business acquisitions and divestitures, exclusive of items noted separately and (iii) higher income tax payments. The six months ended June 30, 2017 was further impacted by (i) cash proceeds of $67 million from the termination of our cross-currency swaps during the three months ended March 31, 2016 and (ii) higher annual incentive plan cash payments of $41 million in the current year period.</w:t>
      </w:r>
    </w:p>
    <w:p>
      <w:pPr>
        <w:spacing w:after="0" w:line="144"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Capital expenditures for the three and six months ended June 30, 2017 were comparable to the prior year periods. The Company continues to maintain a disciplined focus on capital management, and fluctuations in 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capital expenditures are a result of new business opportunities, growth in our existing business and timing of replacement of aging assets.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Southern Waste Systems/Sun Recyclin</w:t>
      </w:r>
      <w:r>
        <w:rPr>
          <w:rFonts w:ascii="Arial" w:cs="Arial" w:eastAsia="Arial" w:hAnsi="Arial"/>
          <w:sz w:val="18"/>
          <w:szCs w:val="18"/>
          <w:color w:val="auto"/>
        </w:rPr>
        <w:t>g</w:t>
      </w:r>
      <w:r>
        <w:rPr>
          <w:rFonts w:ascii="Arial" w:cs="Arial" w:eastAsia="Arial" w:hAnsi="Arial"/>
          <w:sz w:val="18"/>
          <w:szCs w:val="18"/>
          <w:i w:val="1"/>
          <w:iCs w:val="1"/>
          <w:color w:val="auto"/>
        </w:rPr>
        <w:t xml:space="preserve"> (“SWS”) </w:t>
      </w:r>
      <w:r>
        <w:rPr>
          <w:rFonts w:ascii="Arial" w:cs="Arial" w:eastAsia="Arial" w:hAnsi="Arial"/>
          <w:sz w:val="18"/>
          <w:szCs w:val="18"/>
          <w:color w:val="auto"/>
        </w:rPr>
        <w:t>— On January 8, 2016, Waste Management Inc. of Florida, an indirect wholly-owned subsidiary of WM,</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certain operations and business assets of SWS in Southern Florida for total consideration of $525 million. The acquired business assets include residential, commercial and industrial solid waste collection, processing/recycling and transfer operations, equipment, vehicles, real estate and customer agreements.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Equity-Based Compensation — </w:t>
      </w:r>
      <w:r>
        <w:rPr>
          <w:rFonts w:ascii="Arial" w:cs="Arial" w:eastAsia="Arial" w:hAnsi="Arial"/>
          <w:sz w:val="18"/>
          <w:szCs w:val="18"/>
          <w:color w:val="auto"/>
        </w:rPr>
        <w:t>In March 2016, the Financial Accounting Standards Board (“FASB”) issued ASU 2016-09 associated with equity-based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as part of its simplification initiative to reduce the cost and complexity of compliance with U.S. Generally Accepted Accounting Principles (“GAAP”), while maintaining or improving the usefulness of the information provided. This amended guidance was effective for the Company on January 1, 2017 and required the following changes to the presentation of our financial statements:</w:t>
      </w:r>
    </w:p>
    <w:p>
      <w:pPr>
        <w:spacing w:after="0" w:line="62" w:lineRule="exact"/>
        <w:rPr>
          <w:sz w:val="20"/>
          <w:szCs w:val="20"/>
          <w:color w:val="auto"/>
        </w:rPr>
      </w:pPr>
    </w:p>
    <w:p>
      <w:pPr>
        <w:jc w:val="both"/>
        <w:ind w:left="900" w:hanging="325"/>
        <w:spacing w:after="0" w:line="298"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Excess tax benefits or deficiencies for share-based payments are now recorded as a discrete item in the period shares vest or stock options are exercised as an adjustment to income tax expense or benefit rather than additional paid-in capital. This change was applied prospectively as of January 1, 2017. The Company did not have any excess tax benefits that were not previously recognized as of January 1, 2017. See Note 4 to the Condensed Consolidated Financial Statements for discussion of the current year impact;</w:t>
      </w:r>
    </w:p>
    <w:p>
      <w:pPr>
        <w:spacing w:after="0" w:line="31" w:lineRule="exact"/>
        <w:rPr>
          <w:rFonts w:ascii="Arial" w:cs="Arial" w:eastAsia="Arial" w:hAnsi="Arial"/>
          <w:sz w:val="16"/>
          <w:szCs w:val="16"/>
          <w:color w:val="auto"/>
        </w:rPr>
      </w:pPr>
    </w:p>
    <w:p>
      <w:pPr>
        <w:ind w:left="900" w:hanging="325"/>
        <w:spacing w:after="0" w:line="33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 of January 1, 2017, the calculation of diluted weighted average shares outstanding was changed prospectively to no longer include excess tax benefits as assumed proceeds. This change did not have a material impact on our current year diluted earnings per share;</w:t>
      </w:r>
    </w:p>
    <w:p>
      <w:pPr>
        <w:spacing w:after="0" w:line="4" w:lineRule="exact"/>
        <w:rPr>
          <w:rFonts w:ascii="Arial" w:cs="Arial" w:eastAsia="Arial" w:hAnsi="Arial"/>
          <w:sz w:val="16"/>
          <w:szCs w:val="16"/>
          <w:color w:val="auto"/>
        </w:rPr>
      </w:pPr>
    </w:p>
    <w:p>
      <w:pPr>
        <w:jc w:val="both"/>
        <w:ind w:left="900" w:hanging="325"/>
        <w:spacing w:after="0" w:line="306"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Cash flows related to excess tax benefits or deficiencies are included in net cash provided by operating activities rather than as a financing activity. The Company adopted this change retrospectively, which resulted in an increase to net cash provided by operating activities and a corresponding increase to net cash used in financing activities of $17 million for the six months ended June 30, 2016;</w:t>
      </w:r>
    </w:p>
    <w:p>
      <w:pPr>
        <w:spacing w:after="0" w:line="25" w:lineRule="exact"/>
        <w:rPr>
          <w:rFonts w:ascii="Arial" w:cs="Arial" w:eastAsia="Arial" w:hAnsi="Arial"/>
          <w:sz w:val="16"/>
          <w:szCs w:val="16"/>
          <w:color w:val="auto"/>
        </w:rPr>
      </w:pPr>
    </w:p>
    <w:p>
      <w:pPr>
        <w:jc w:val="both"/>
        <w:ind w:left="900" w:hanging="325"/>
        <w:spacing w:after="0" w:line="298"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Cash paid to taxing authorities when withholding shares from an employee’s vesting or exercise of equity-based compensation awards for tax-withholding purposes is now considered a repurchase of the Company’s equity instruments and is classified as net cash used in financing activities rather than as an operating activity. The Company adopted this change retrospectively, which resulted in an increase to net cash provided by operating activities and a corresponding increase to net cash used in financing activities of $23 million for the six months ended June 30, 2016;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has elected to continue to estimate forfeitures rather than account for forfeitures as they occur.</w:t>
      </w:r>
    </w:p>
    <w:p>
      <w:pPr>
        <w:spacing w:after="0" w:line="17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Goodwill Impairment Testing — </w:t>
      </w:r>
      <w:r>
        <w:rPr>
          <w:rFonts w:ascii="Arial" w:cs="Arial" w:eastAsia="Arial" w:hAnsi="Arial"/>
          <w:sz w:val="16"/>
          <w:szCs w:val="16"/>
          <w:color w:val="auto"/>
        </w:rPr>
        <w:t>In January 2017, the FASB issued ASU 2017-04 which simplifies the goodwill impairment test by eliminating Step 2 of</w:t>
      </w:r>
      <w:r>
        <w:rPr>
          <w:rFonts w:ascii="Arial" w:cs="Arial" w:eastAsia="Arial" w:hAnsi="Arial"/>
          <w:sz w:val="16"/>
          <w:szCs w:val="16"/>
          <w:i w:val="1"/>
          <w:iCs w:val="1"/>
          <w:color w:val="auto"/>
        </w:rPr>
        <w:t xml:space="preserve"> </w:t>
      </w:r>
      <w:r>
        <w:rPr>
          <w:rFonts w:ascii="Arial" w:cs="Arial" w:eastAsia="Arial" w:hAnsi="Arial"/>
          <w:sz w:val="16"/>
          <w:szCs w:val="16"/>
          <w:color w:val="auto"/>
        </w:rPr>
        <w:t>the quantitative assessment and should reduce the cost and complexity of evaluating goodwill for impairment. Under the amended guidance, when a quantitative assessment is required, an entity will perform a goodwill impairment test by comparing the fair value of a reporting unit with its carrying amount. An impairment charge will be measured as the amount by which the carrying amount exceeds the reporting unit’s fair value, not to exceed the total amount of recorded goodwill. This amended guidance, effective for the Company on January 1, 2020, permits early adoption. The Company’s early adoption on January 1, 2017 did not have an impact on our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36" w:name="page37"/>
    <w:bookmarkEnd w:id="36"/>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Critical Accounting Estimates and Assumptions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and reserves associated with our insured and self-insured claims, as described in Item 7 of our Annual Report on Form 10-K for the year ended December 31, 2016. Actual results could differ materially from the estimates and assumptions that we use in the preparation of our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9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We evaluate, oversee and manage the financial performance of our Solid Waste business subsidiaries through our 17 Areas. We also provide additional services that are not managed through our Solid Waste business, including services provided by our Strategic Business Solutions (“WMSBS”) and Energy and Environmental Services organizations, recycling brokerage services, landfill gas-to-energy services and expanded service offerings and solutions. Our expanded service offerings and solutions include (i) portable self-storage and long distance moving services; (ii) fluorescent bulb and universal waste mail-back through our LampTracker</w:t>
      </w:r>
      <w:r>
        <w:rPr>
          <w:rFonts w:ascii="Arial" w:cs="Arial" w:eastAsia="Arial" w:hAnsi="Arial"/>
          <w:sz w:val="11"/>
          <w:szCs w:val="11"/>
          <w:color w:val="auto"/>
        </w:rPr>
        <w:t>®</w:t>
      </w:r>
      <w:r>
        <w:rPr>
          <w:rFonts w:ascii="Arial" w:cs="Arial" w:eastAsia="Arial" w:hAnsi="Arial"/>
          <w:sz w:val="18"/>
          <w:szCs w:val="18"/>
          <w:color w:val="auto"/>
        </w:rPr>
        <w:t xml:space="preserve"> program; (iii) portable restroom servicing under the name Port-o-Let</w:t>
      </w:r>
      <w:r>
        <w:rPr>
          <w:rFonts w:ascii="Arial" w:cs="Arial" w:eastAsia="Arial" w:hAnsi="Arial"/>
          <w:sz w:val="11"/>
          <w:szCs w:val="11"/>
          <w:color w:val="auto"/>
        </w:rPr>
        <w:t>®</w:t>
      </w:r>
      <w:r>
        <w:rPr>
          <w:rFonts w:ascii="Arial" w:cs="Arial" w:eastAsia="Arial" w:hAnsi="Arial"/>
          <w:sz w:val="18"/>
          <w:szCs w:val="18"/>
          <w:color w:val="auto"/>
        </w:rPr>
        <w:t xml:space="preserve"> and (iv) street and parking lot sweeping services. In addition, we hold interests in oil and gas producing properties. These operations are presented as “Other” in the table below. The following table summarizes revenues during each period (in millions):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8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30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w:t>
            </w: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w:t>
            </w: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540" w:type="dxa"/>
            <w:vAlign w:val="bottom"/>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2"/>
                <w:szCs w:val="12"/>
                <w:color w:val="auto"/>
              </w:rPr>
            </w:pPr>
          </w:p>
        </w:tc>
        <w:tc>
          <w:tcPr>
            <w:tcW w:w="56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ind w:right="66"/>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2"/>
                <w:szCs w:val="12"/>
                <w:color w:val="auto"/>
              </w:rPr>
            </w:pPr>
          </w:p>
        </w:tc>
        <w:tc>
          <w:tcPr>
            <w:tcW w:w="58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Solid Waste</w:t>
            </w:r>
          </w:p>
        </w:tc>
        <w:tc>
          <w:tcPr>
            <w:tcW w:w="3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$ 3,759</w:t>
            </w:r>
          </w:p>
        </w:tc>
        <w:tc>
          <w:tcPr>
            <w:tcW w:w="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$ 3,519</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$ 7,268</w:t>
            </w:r>
          </w:p>
        </w:tc>
        <w:tc>
          <w:tcPr>
            <w:tcW w:w="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$ 6,801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Other</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657</w:t>
            </w:r>
          </w:p>
        </w:tc>
        <w:tc>
          <w:tcPr>
            <w:tcW w:w="5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572</w:t>
            </w:r>
          </w:p>
        </w:tc>
        <w:tc>
          <w:tcPr>
            <w:tcW w:w="320" w:type="dxa"/>
            <w:vAlign w:val="bottom"/>
          </w:tcPr>
          <w:p>
            <w:pPr>
              <w:spacing w:after="0"/>
              <w:rPr>
                <w:sz w:val="18"/>
                <w:szCs w:val="18"/>
                <w:color w:val="auto"/>
              </w:rPr>
            </w:pPr>
          </w:p>
        </w:tc>
        <w:tc>
          <w:tcPr>
            <w:tcW w:w="1400" w:type="dxa"/>
            <w:vAlign w:val="bottom"/>
            <w:gridSpan w:val="3"/>
          </w:tcPr>
          <w:p>
            <w:pPr>
              <w:jc w:val="right"/>
              <w:ind w:right="512"/>
              <w:spacing w:after="0"/>
              <w:rPr>
                <w:sz w:val="20"/>
                <w:szCs w:val="20"/>
                <w:color w:val="auto"/>
              </w:rPr>
            </w:pPr>
            <w:r>
              <w:rPr>
                <w:rFonts w:ascii="Arial" w:cs="Arial" w:eastAsia="Arial" w:hAnsi="Arial"/>
                <w:sz w:val="18"/>
                <w:szCs w:val="18"/>
                <w:color w:val="auto"/>
              </w:rPr>
              <w:t>1,260</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3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(739)</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(666)</w:t>
            </w:r>
          </w:p>
        </w:tc>
        <w:tc>
          <w:tcPr>
            <w:tcW w:w="1400" w:type="dxa"/>
            <w:vAlign w:val="bottom"/>
            <w:gridSpan w:val="3"/>
            <w:shd w:val="clear" w:color="auto" w:fill="CCEEFF"/>
          </w:tcPr>
          <w:p>
            <w:pPr>
              <w:jc w:val="right"/>
              <w:ind w:right="452"/>
              <w:spacing w:after="0"/>
              <w:rPr>
                <w:sz w:val="20"/>
                <w:szCs w:val="20"/>
                <w:color w:val="auto"/>
              </w:rPr>
            </w:pPr>
            <w:r>
              <w:rPr>
                <w:rFonts w:ascii="Arial" w:cs="Arial" w:eastAsia="Arial" w:hAnsi="Arial"/>
                <w:sz w:val="18"/>
                <w:szCs w:val="18"/>
                <w:color w:val="auto"/>
              </w:rPr>
              <w:t>(1,411)</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0"/>
        </w:trPr>
        <w:tc>
          <w:tcPr>
            <w:tcW w:w="30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3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080" w:type="dxa"/>
            <w:vAlign w:val="bottom"/>
            <w:vMerge w:val="continue"/>
          </w:tcPr>
          <w:p>
            <w:pPr>
              <w:spacing w:after="0"/>
              <w:rPr>
                <w:sz w:val="19"/>
                <w:szCs w:val="19"/>
                <w:color w:val="auto"/>
              </w:rPr>
            </w:pPr>
          </w:p>
        </w:tc>
        <w:tc>
          <w:tcPr>
            <w:tcW w:w="3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$ 3,677</w:t>
            </w:r>
          </w:p>
        </w:tc>
        <w:tc>
          <w:tcPr>
            <w:tcW w:w="5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$ 3,425</w:t>
            </w:r>
          </w:p>
        </w:tc>
        <w:tc>
          <w:tcPr>
            <w:tcW w:w="320" w:type="dxa"/>
            <w:vAlign w:val="bottom"/>
          </w:tcPr>
          <w:p>
            <w:pPr>
              <w:spacing w:after="0"/>
              <w:rPr>
                <w:sz w:val="19"/>
                <w:szCs w:val="19"/>
                <w:color w:val="auto"/>
              </w:rPr>
            </w:pPr>
          </w:p>
        </w:tc>
        <w:tc>
          <w:tcPr>
            <w:tcW w:w="1400" w:type="dxa"/>
            <w:vAlign w:val="bottom"/>
            <w:gridSpan w:val="3"/>
          </w:tcPr>
          <w:p>
            <w:pPr>
              <w:jc w:val="right"/>
              <w:ind w:right="512"/>
              <w:spacing w:after="0"/>
              <w:rPr>
                <w:sz w:val="20"/>
                <w:szCs w:val="20"/>
                <w:color w:val="auto"/>
              </w:rPr>
            </w:pPr>
            <w:r>
              <w:rPr>
                <w:rFonts w:ascii="Arial" w:cs="Arial" w:eastAsia="Arial" w:hAnsi="Arial"/>
                <w:sz w:val="18"/>
                <w:szCs w:val="18"/>
                <w:color w:val="auto"/>
              </w:rPr>
              <w:t>$ 7,117</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$ 6,601</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340" w:type="dxa"/>
            <w:vAlign w:val="bottom"/>
            <w:vMerge w:val="restart"/>
          </w:tcPr>
          <w:p>
            <w:pPr>
              <w:jc w:val="right"/>
              <w:ind w:right="992"/>
              <w:spacing w:after="0"/>
              <w:rPr>
                <w:sz w:val="20"/>
                <w:szCs w:val="20"/>
                <w:color w:val="auto"/>
              </w:rPr>
            </w:pPr>
            <w:r>
              <w:rPr>
                <w:rFonts w:ascii="Arial" w:cs="Arial" w:eastAsia="Arial" w:hAnsi="Arial"/>
                <w:sz w:val="18"/>
                <w:szCs w:val="18"/>
                <w:color w:val="auto"/>
              </w:rPr>
              <w:t>37</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8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7" w:name="page38"/>
    <w:bookmarkEnd w:id="37"/>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mix of operating revenues from our major lines of business is reflected in the table below (in millions):</w:t>
      </w:r>
    </w:p>
    <w:p>
      <w:pPr>
        <w:spacing w:after="0" w:line="195"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4"/>
                <w:szCs w:val="14"/>
                <w:color w:val="auto"/>
              </w:rPr>
            </w:pPr>
          </w:p>
        </w:tc>
        <w:tc>
          <w:tcPr>
            <w:tcW w:w="18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38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w:t>
            </w: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8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2017</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2016</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2"/>
                <w:szCs w:val="12"/>
                <w:color w:val="auto"/>
              </w:rPr>
            </w:pPr>
          </w:p>
        </w:tc>
        <w:tc>
          <w:tcPr>
            <w:tcW w:w="58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210"/>
        </w:trPr>
        <w:tc>
          <w:tcPr>
            <w:tcW w:w="3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Commercial</w:t>
            </w:r>
          </w:p>
        </w:tc>
        <w:tc>
          <w:tcPr>
            <w:tcW w:w="2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$ 1,828</w:t>
            </w:r>
          </w:p>
        </w:tc>
        <w:tc>
          <w:tcPr>
            <w:tcW w:w="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Residential</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632</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622</w:t>
            </w:r>
          </w:p>
        </w:tc>
        <w:tc>
          <w:tcPr>
            <w:tcW w:w="320" w:type="dxa"/>
            <w:vAlign w:val="bottom"/>
          </w:tcPr>
          <w:p>
            <w:pPr>
              <w:spacing w:after="0"/>
              <w:rPr>
                <w:sz w:val="18"/>
                <w:szCs w:val="18"/>
                <w:color w:val="auto"/>
              </w:rPr>
            </w:pPr>
          </w:p>
        </w:tc>
        <w:tc>
          <w:tcPr>
            <w:tcW w:w="1400" w:type="dxa"/>
            <w:vAlign w:val="bottom"/>
            <w:gridSpan w:val="3"/>
          </w:tcPr>
          <w:p>
            <w:pPr>
              <w:jc w:val="right"/>
              <w:ind w:right="512"/>
              <w:spacing w:after="0"/>
              <w:rPr>
                <w:sz w:val="20"/>
                <w:szCs w:val="20"/>
                <w:color w:val="auto"/>
              </w:rPr>
            </w:pPr>
            <w:r>
              <w:rPr>
                <w:rFonts w:ascii="Arial" w:cs="Arial" w:eastAsia="Arial" w:hAnsi="Arial"/>
                <w:sz w:val="18"/>
                <w:szCs w:val="18"/>
                <w:color w:val="auto"/>
              </w:rPr>
              <w:t>1,253</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1,232</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3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1,257</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1,174</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Other</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123</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512"/>
              <w:spacing w:after="0"/>
              <w:rPr>
                <w:sz w:val="20"/>
                <w:szCs w:val="20"/>
                <w:color w:val="auto"/>
              </w:rPr>
            </w:pPr>
            <w:r>
              <w:rPr>
                <w:rFonts w:ascii="Arial" w:cs="Arial" w:eastAsia="Arial" w:hAnsi="Arial"/>
                <w:sz w:val="18"/>
                <w:szCs w:val="18"/>
                <w:color w:val="auto"/>
              </w:rPr>
              <w:t>223</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207</w:t>
            </w:r>
          </w:p>
        </w:tc>
      </w:tr>
      <w:tr>
        <w:trPr>
          <w:trHeight w:val="27"/>
        </w:trPr>
        <w:tc>
          <w:tcPr>
            <w:tcW w:w="38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2,326</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2,211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4,561</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4,324</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Landfill</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864</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792</w:t>
            </w:r>
          </w:p>
        </w:tc>
        <w:tc>
          <w:tcPr>
            <w:tcW w:w="320" w:type="dxa"/>
            <w:vAlign w:val="bottom"/>
          </w:tcPr>
          <w:p>
            <w:pPr>
              <w:spacing w:after="0"/>
              <w:rPr>
                <w:sz w:val="18"/>
                <w:szCs w:val="18"/>
                <w:color w:val="auto"/>
              </w:rPr>
            </w:pPr>
          </w:p>
        </w:tc>
        <w:tc>
          <w:tcPr>
            <w:tcW w:w="1400" w:type="dxa"/>
            <w:vAlign w:val="bottom"/>
            <w:gridSpan w:val="3"/>
          </w:tcPr>
          <w:p>
            <w:pPr>
              <w:jc w:val="right"/>
              <w:ind w:right="512"/>
              <w:spacing w:after="0"/>
              <w:rPr>
                <w:sz w:val="20"/>
                <w:szCs w:val="20"/>
                <w:color w:val="auto"/>
              </w:rPr>
            </w:pPr>
            <w:r>
              <w:rPr>
                <w:rFonts w:ascii="Arial" w:cs="Arial" w:eastAsia="Arial" w:hAnsi="Arial"/>
                <w:sz w:val="18"/>
                <w:szCs w:val="18"/>
                <w:color w:val="auto"/>
              </w:rPr>
              <w:t>1,603</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1,499</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3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780</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737</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Recycling</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375</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290</w:t>
            </w:r>
          </w:p>
        </w:tc>
        <w:tc>
          <w:tcPr>
            <w:tcW w:w="320" w:type="dxa"/>
            <w:vAlign w:val="bottom"/>
          </w:tcPr>
          <w:p>
            <w:pPr>
              <w:spacing w:after="0"/>
              <w:rPr>
                <w:sz w:val="18"/>
                <w:szCs w:val="18"/>
                <w:color w:val="auto"/>
              </w:rPr>
            </w:pPr>
          </w:p>
        </w:tc>
        <w:tc>
          <w:tcPr>
            <w:tcW w:w="1400" w:type="dxa"/>
            <w:vAlign w:val="bottom"/>
            <w:gridSpan w:val="3"/>
          </w:tcPr>
          <w:p>
            <w:pPr>
              <w:jc w:val="right"/>
              <w:ind w:right="512"/>
              <w:spacing w:after="0"/>
              <w:rPr>
                <w:sz w:val="20"/>
                <w:szCs w:val="20"/>
                <w:color w:val="auto"/>
              </w:rPr>
            </w:pPr>
            <w:r>
              <w:rPr>
                <w:rFonts w:ascii="Arial" w:cs="Arial" w:eastAsia="Arial" w:hAnsi="Arial"/>
                <w:sz w:val="18"/>
                <w:szCs w:val="18"/>
                <w:color w:val="auto"/>
              </w:rPr>
              <w:t>747</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558</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3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837</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755</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Intercompany</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52"/>
              <w:spacing w:after="0"/>
              <w:rPr>
                <w:sz w:val="20"/>
                <w:szCs w:val="20"/>
                <w:color w:val="auto"/>
              </w:rPr>
            </w:pPr>
            <w:r>
              <w:rPr>
                <w:rFonts w:ascii="Arial" w:cs="Arial" w:eastAsia="Arial" w:hAnsi="Arial"/>
                <w:sz w:val="18"/>
                <w:szCs w:val="18"/>
                <w:color w:val="auto"/>
              </w:rPr>
              <w:t>(739)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(666)</w:t>
            </w:r>
          </w:p>
        </w:tc>
        <w:tc>
          <w:tcPr>
            <w:tcW w:w="1400" w:type="dxa"/>
            <w:vAlign w:val="bottom"/>
            <w:gridSpan w:val="3"/>
          </w:tcPr>
          <w:p>
            <w:pPr>
              <w:jc w:val="right"/>
              <w:ind w:right="452"/>
              <w:spacing w:after="0"/>
              <w:rPr>
                <w:sz w:val="20"/>
                <w:szCs w:val="20"/>
                <w:color w:val="auto"/>
              </w:rPr>
            </w:pPr>
            <w:r>
              <w:rPr>
                <w:rFonts w:ascii="Arial" w:cs="Arial" w:eastAsia="Arial" w:hAnsi="Arial"/>
                <w:sz w:val="18"/>
                <w:szCs w:val="18"/>
                <w:color w:val="auto"/>
              </w:rPr>
              <w:t>(1,411)</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(1,272)</w:t>
            </w:r>
          </w:p>
        </w:tc>
      </w:tr>
      <w:tr>
        <w:trPr>
          <w:trHeight w:val="27"/>
        </w:trPr>
        <w:tc>
          <w:tcPr>
            <w:tcW w:w="38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3,677</w:t>
            </w:r>
          </w:p>
        </w:tc>
        <w:tc>
          <w:tcPr>
            <w:tcW w:w="5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3,425</w:t>
            </w:r>
          </w:p>
        </w:tc>
        <w:tc>
          <w:tcPr>
            <w:tcW w:w="3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$ 7,117</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$ 6,601</w:t>
            </w:r>
          </w:p>
        </w:tc>
      </w:tr>
      <w:tr>
        <w:trPr>
          <w:trHeight w:val="20"/>
        </w:trPr>
        <w:tc>
          <w:tcPr>
            <w:tcW w:w="3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following table provides details associated with the period-to-period change in revenues (dollars in millions):</w:t>
      </w:r>
    </w:p>
    <w:p>
      <w:pPr>
        <w:spacing w:after="0" w:line="195"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gridSpan w:val="4"/>
          </w:tcPr>
          <w:p>
            <w:pPr>
              <w:jc w:val="center"/>
              <w:ind w:right="1340"/>
              <w:spacing w:after="0"/>
              <w:rPr>
                <w:sz w:val="20"/>
                <w:szCs w:val="20"/>
                <w:color w:val="auto"/>
              </w:rPr>
            </w:pPr>
            <w:r>
              <w:rPr>
                <w:rFonts w:ascii="Arial" w:cs="Arial" w:eastAsia="Arial" w:hAnsi="Arial"/>
                <w:sz w:val="14"/>
                <w:szCs w:val="14"/>
                <w:b w:val="1"/>
                <w:bCs w:val="1"/>
                <w:color w:val="auto"/>
                <w:w w:val="89"/>
              </w:rPr>
              <w:t>Period-to-Period</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87"/>
              </w:rPr>
              <w:t>Period-to-Period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gridSpan w:val="3"/>
          </w:tcPr>
          <w:p>
            <w:pPr>
              <w:jc w:val="center"/>
              <w:ind w:right="140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80" w:type="dxa"/>
            <w:vAlign w:val="bottom"/>
            <w:gridSpan w:val="5"/>
          </w:tcPr>
          <w:p>
            <w:pPr>
              <w:jc w:val="center"/>
              <w:ind w:right="102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140" w:type="dxa"/>
            <w:vAlign w:val="bottom"/>
          </w:tcPr>
          <w:p>
            <w:pPr>
              <w:spacing w:after="0"/>
              <w:rPr>
                <w:sz w:val="12"/>
                <w:szCs w:val="12"/>
                <w:color w:val="auto"/>
              </w:rPr>
            </w:pPr>
          </w:p>
        </w:tc>
        <w:tc>
          <w:tcPr>
            <w:tcW w:w="204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0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7"/>
              </w:rPr>
              <w:t>2017 vs. 2016</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4"/>
              </w:rPr>
              <w:t>2017 vs. 2016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8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Company(a)</w:t>
            </w:r>
          </w:p>
        </w:tc>
        <w:tc>
          <w:tcPr>
            <w:tcW w:w="8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Company(a)</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Average yield (b)</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153</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Volume</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115</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80" w:type="dxa"/>
            <w:vAlign w:val="bottom"/>
            <w:gridSpan w:val="2"/>
          </w:tcPr>
          <w:p>
            <w:pPr>
              <w:jc w:val="right"/>
              <w:ind w:right="86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Internal revenue growth</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268</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2300" w:type="dxa"/>
            <w:vAlign w:val="bottom"/>
            <w:gridSpan w:val="3"/>
          </w:tcPr>
          <w:p>
            <w:pPr>
              <w:jc w:val="right"/>
              <w:ind w:right="86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Divestitures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3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300" w:type="dxa"/>
            <w:vAlign w:val="bottom"/>
            <w:gridSpan w:val="3"/>
          </w:tcPr>
          <w:p>
            <w:pPr>
              <w:jc w:val="right"/>
              <w:ind w:right="80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90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252</w:t>
            </w:r>
          </w:p>
        </w:tc>
        <w:tc>
          <w:tcPr>
            <w:tcW w:w="6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46" w:hanging="446"/>
        <w:spacing w:after="0" w:line="332" w:lineRule="auto"/>
        <w:tabs>
          <w:tab w:leader="none" w:pos="446" w:val="left"/>
        </w:tabs>
        <w:numPr>
          <w:ilvl w:val="0"/>
          <w:numId w:val="30"/>
        </w:numPr>
        <w:rPr>
          <w:rFonts w:ascii="Arial" w:cs="Arial" w:eastAsia="Arial" w:hAnsi="Arial"/>
          <w:sz w:val="16"/>
          <w:szCs w:val="16"/>
          <w:color w:val="auto"/>
        </w:rPr>
      </w:pPr>
      <w:r>
        <w:rPr>
          <w:rFonts w:ascii="Arial" w:cs="Arial" w:eastAsia="Arial" w:hAnsi="Arial"/>
          <w:sz w:val="16"/>
          <w:szCs w:val="16"/>
          <w:color w:val="auto"/>
        </w:rPr>
        <w:t>Calculated by dividing the amount of current year period increase or decrease by the prior year period’s total Company revenue adjusted to exclude the impacts of divestitures for the current year period ($3,408 million and $6,584 million for the three and six months, respectively).</w:t>
      </w:r>
    </w:p>
    <w:p>
      <w:pPr>
        <w:spacing w:after="0" w:line="7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6"/>
          </w:cols>
          <w:pgMar w:left="694" w:top="280" w:right="239" w:bottom="1440" w:gutter="0" w:footer="0" w:header="0"/>
        </w:sectPr>
      </w:pPr>
    </w:p>
    <w:bookmarkStart w:id="38" w:name="page39"/>
    <w:bookmarkEnd w:id="38"/>
    <w:p>
      <w:pPr>
        <w:jc w:val="both"/>
        <w:ind w:left="900" w:hanging="446"/>
        <w:spacing w:after="0" w:line="256"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amounts reported herein represent the changes in our revenue attributable to average yield for the total Company. We also analyze the changes in average yield in terms of related business revenues to differentiate the changes in yield attributable to our pricing strategies from the changes that are caused by market-driven price changes in commodities. The following table summarizes changes in revenues from average yield on a related business basis (dollars in millions):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5"/>
          </w:tcPr>
          <w:p>
            <w:pPr>
              <w:jc w:val="center"/>
              <w:ind w:right="980"/>
              <w:spacing w:after="0"/>
              <w:rPr>
                <w:sz w:val="20"/>
                <w:szCs w:val="20"/>
                <w:color w:val="auto"/>
              </w:rPr>
            </w:pPr>
            <w:r>
              <w:rPr>
                <w:rFonts w:ascii="Arial" w:cs="Arial" w:eastAsia="Arial" w:hAnsi="Arial"/>
                <w:sz w:val="14"/>
                <w:szCs w:val="14"/>
                <w:b w:val="1"/>
                <w:bCs w:val="1"/>
                <w:color w:val="auto"/>
                <w:w w:val="87"/>
              </w:rPr>
              <w:t>Period-to-Period</w:t>
            </w:r>
          </w:p>
        </w:tc>
        <w:tc>
          <w:tcPr>
            <w:tcW w:w="160" w:type="dxa"/>
            <w:vAlign w:val="bottom"/>
          </w:tcPr>
          <w:p>
            <w:pPr>
              <w:spacing w:after="0"/>
              <w:rPr>
                <w:sz w:val="14"/>
                <w:szCs w:val="14"/>
                <w:color w:val="auto"/>
              </w:rPr>
            </w:pPr>
          </w:p>
        </w:tc>
        <w:tc>
          <w:tcPr>
            <w:tcW w:w="19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9"/>
              </w:rPr>
              <w:t>Period-to-Period</w:t>
            </w:r>
          </w:p>
        </w:tc>
      </w:tr>
      <w:tr>
        <w:trPr>
          <w:trHeight w:val="149"/>
        </w:trPr>
        <w:tc>
          <w:tcPr>
            <w:tcW w:w="11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gridSpan w:val="3"/>
          </w:tcPr>
          <w:p>
            <w:pPr>
              <w:jc w:val="center"/>
              <w:ind w:right="130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Change for the</w:t>
            </w:r>
          </w:p>
        </w:tc>
      </w:tr>
      <w:tr>
        <w:trPr>
          <w:trHeight w:val="149"/>
        </w:trPr>
        <w:tc>
          <w:tcPr>
            <w:tcW w:w="11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00" w:type="dxa"/>
            <w:vAlign w:val="bottom"/>
            <w:gridSpan w:val="5"/>
          </w:tcPr>
          <w:p>
            <w:pPr>
              <w:jc w:val="center"/>
              <w:ind w:right="980"/>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160" w:type="dxa"/>
            <w:vAlign w:val="bottom"/>
          </w:tcPr>
          <w:p>
            <w:pPr>
              <w:spacing w:after="0"/>
              <w:rPr>
                <w:sz w:val="12"/>
                <w:szCs w:val="12"/>
                <w:color w:val="auto"/>
              </w:rPr>
            </w:pPr>
          </w:p>
        </w:tc>
        <w:tc>
          <w:tcPr>
            <w:tcW w:w="190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Six Months Ended</w:t>
            </w:r>
          </w:p>
        </w:tc>
      </w:tr>
      <w:tr>
        <w:trPr>
          <w:trHeight w:val="149"/>
        </w:trPr>
        <w:tc>
          <w:tcPr>
            <w:tcW w:w="11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gridSpan w:val="3"/>
          </w:tcPr>
          <w:p>
            <w:pPr>
              <w:jc w:val="center"/>
              <w:ind w:right="1320"/>
              <w:spacing w:after="0" w:line="149"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June 30,</w:t>
            </w:r>
          </w:p>
        </w:tc>
      </w:tr>
      <w:tr>
        <w:trPr>
          <w:trHeight w:val="161"/>
        </w:trPr>
        <w:tc>
          <w:tcPr>
            <w:tcW w:w="11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4"/>
              </w:rPr>
              <w:t>2017 vs. 2016</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4"/>
              </w:rPr>
              <w:t>2017 vs. 2016</w:t>
            </w:r>
          </w:p>
        </w:tc>
      </w:tr>
      <w:tr>
        <w:trPr>
          <w:trHeight w:val="129"/>
        </w:trPr>
        <w:tc>
          <w:tcPr>
            <w:tcW w:w="114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As a % of</w:t>
            </w:r>
          </w:p>
        </w:tc>
        <w:tc>
          <w:tcPr>
            <w:tcW w:w="8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200" w:type="dxa"/>
            <w:vAlign w:val="bottom"/>
          </w:tcPr>
          <w:p>
            <w:pPr>
              <w:spacing w:after="0"/>
              <w:rPr>
                <w:sz w:val="11"/>
                <w:szCs w:val="11"/>
                <w:color w:val="auto"/>
              </w:rPr>
            </w:pPr>
          </w:p>
        </w:tc>
      </w:tr>
      <w:tr>
        <w:trPr>
          <w:trHeight w:val="149"/>
        </w:trPr>
        <w:tc>
          <w:tcPr>
            <w:tcW w:w="11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Related</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Related</w:t>
            </w:r>
          </w:p>
        </w:tc>
      </w:tr>
      <w:tr>
        <w:trPr>
          <w:trHeight w:val="161"/>
        </w:trPr>
        <w:tc>
          <w:tcPr>
            <w:tcW w:w="1140" w:type="dxa"/>
            <w:vAlign w:val="bottom"/>
            <w:tcBorders>
              <w:bottom w:val="single" w:sz="8" w:color="CCEEFF"/>
            </w:tcBorders>
          </w:tcPr>
          <w:p>
            <w:pPr>
              <w:spacing w:after="0"/>
              <w:rPr>
                <w:sz w:val="14"/>
                <w:szCs w:val="14"/>
                <w:color w:val="auto"/>
              </w:rPr>
            </w:pPr>
          </w:p>
        </w:tc>
        <w:tc>
          <w:tcPr>
            <w:tcW w:w="37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Business(i)</w:t>
            </w:r>
          </w:p>
        </w:tc>
        <w:tc>
          <w:tcPr>
            <w:tcW w:w="8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7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Business(i)</w:t>
            </w:r>
          </w:p>
        </w:tc>
        <w:tc>
          <w:tcPr>
            <w:tcW w:w="200" w:type="dxa"/>
            <w:vAlign w:val="bottom"/>
            <w:tcBorders>
              <w:bottom w:val="single" w:sz="8" w:color="CCEEFF"/>
            </w:tcBorders>
          </w:tcPr>
          <w:p>
            <w:pPr>
              <w:spacing w:after="0"/>
              <w:rPr>
                <w:sz w:val="14"/>
                <w:szCs w:val="14"/>
                <w:color w:val="auto"/>
              </w:rPr>
            </w:pPr>
          </w:p>
        </w:tc>
      </w:tr>
      <w:tr>
        <w:trPr>
          <w:trHeight w:val="210"/>
        </w:trPr>
        <w:tc>
          <w:tcPr>
            <w:tcW w:w="4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Collection and disposal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114</w:t>
            </w:r>
          </w:p>
        </w:tc>
        <w:tc>
          <w:tcPr>
            <w:tcW w:w="7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Recycling commodities</w:t>
            </w:r>
          </w:p>
        </w:tc>
        <w:tc>
          <w:tcPr>
            <w:tcW w:w="1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2160" w:type="dxa"/>
            <w:vAlign w:val="bottom"/>
            <w:gridSpan w:val="3"/>
          </w:tcPr>
          <w:p>
            <w:pPr>
              <w:jc w:val="right"/>
              <w:ind w:right="820"/>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187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8"/>
                <w:szCs w:val="18"/>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surcharge and mandated fees</w:t>
            </w:r>
          </w:p>
        </w:tc>
        <w:tc>
          <w:tcPr>
            <w:tcW w:w="1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18.2</w:t>
            </w:r>
          </w:p>
        </w:tc>
        <w:tc>
          <w:tcPr>
            <w:tcW w:w="1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r>
      <w:tr>
        <w:trPr>
          <w:trHeight w:val="222"/>
        </w:trPr>
        <w:tc>
          <w:tcPr>
            <w:tcW w:w="48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153</w:t>
            </w:r>
          </w:p>
        </w:tc>
        <w:tc>
          <w:tcPr>
            <w:tcW w:w="2160" w:type="dxa"/>
            <w:vAlign w:val="bottom"/>
            <w:gridSpan w:val="3"/>
          </w:tcPr>
          <w:p>
            <w:pPr>
              <w:jc w:val="right"/>
              <w:ind w:right="660"/>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340</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5.2%</w:t>
            </w:r>
          </w:p>
        </w:tc>
      </w:tr>
      <w:tr>
        <w:trPr>
          <w:trHeight w:val="20"/>
        </w:trPr>
        <w:tc>
          <w:tcPr>
            <w:tcW w:w="1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3"/>
        </w:trPr>
        <w:tc>
          <w:tcPr>
            <w:tcW w:w="1140" w:type="dxa"/>
            <w:vAlign w:val="bottom"/>
            <w:tcBorders>
              <w:bottom w:val="single" w:sz="8" w:color="auto"/>
            </w:tcBorders>
          </w:tcPr>
          <w:p>
            <w:pPr>
              <w:spacing w:after="0"/>
              <w:rPr>
                <w:sz w:val="8"/>
                <w:szCs w:val="8"/>
                <w:color w:val="auto"/>
              </w:rPr>
            </w:pPr>
          </w:p>
        </w:tc>
        <w:tc>
          <w:tcPr>
            <w:tcW w:w="3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ind w:left="1480" w:hanging="567"/>
        <w:spacing w:after="0" w:line="268"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related business revenue, adjusted to exclude the impacts of divestitures for the current year period.</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revenues increased $252 million, or 7.4%, and $516 million, or 7.8%, for the three and six months ended June 30, 2017, respectively, as compared with the prior year periods, driven by (i) higher volumes; (ii) higher market prices of the recycling commodities we sell; (iii) revenue growth from yield on our collection and disposal lines of business; (iv) higher revenues from our fuel surcharge program due to higher diesel fuel prices and (v) acquisitions. Partially offsetting these revenue increases were (i) divestitures and (ii) foreign currency translation, which affects revenues from our Canadian operations.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provides further details associated with our period-to-period change in revenues: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Average Yield</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Collection and Disposal Average Yield </w:t>
      </w:r>
      <w:r>
        <w:rPr>
          <w:rFonts w:ascii="Arial" w:cs="Arial" w:eastAsia="Arial" w:hAnsi="Arial"/>
          <w:sz w:val="16"/>
          <w:szCs w:val="16"/>
          <w:color w:val="auto"/>
        </w:rPr>
        <w:t>— This measure reflects the effect on our revenue from the pricing activities of our collection, transfer and landfill</w:t>
      </w:r>
      <w:r>
        <w:rPr>
          <w:rFonts w:ascii="Arial" w:cs="Arial" w:eastAsia="Arial" w:hAnsi="Arial"/>
          <w:sz w:val="16"/>
          <w:szCs w:val="16"/>
          <w:i w:val="1"/>
          <w:iCs w:val="1"/>
          <w:color w:val="auto"/>
        </w:rPr>
        <w:t xml:space="preserve"> </w:t>
      </w:r>
      <w:r>
        <w:rPr>
          <w:rFonts w:ascii="Arial" w:cs="Arial" w:eastAsia="Arial" w:hAnsi="Arial"/>
          <w:sz w:val="16"/>
          <w:szCs w:val="16"/>
          <w:color w:val="auto"/>
        </w:rPr>
        <w:t>lines of business, exclusive of volume changes. Revenue growth from collection and disposal average yield includes not only base rate changes and environmental and service fee increases, but also (i) certain average price changes related to the overall mix of services, which are due to the types of services provided; (ii) changes in average price from new and lost business and (iii) price decreases to retain customers.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39" w:name="page40"/>
    <w:bookmarkEnd w:id="39"/>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 growth from collection and disposal average yield was $57 million, or 1.9%, and $114 million, or 1.9%, for the three and six months ended June 30, 2017, respectively. We experienced growth in all of our collection and disposal lines of business in the current year periods. The details are as follows (dollars in millions):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7"/>
              </w:rPr>
              <w:t>Period-to-Period</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7"/>
              </w:rPr>
              <w:t>Period-to-Period</w:t>
            </w:r>
          </w:p>
        </w:tc>
      </w:tr>
      <w:tr>
        <w:trPr>
          <w:trHeight w:val="149"/>
        </w:trPr>
        <w:tc>
          <w:tcPr>
            <w:tcW w:w="4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gridSpan w:val="3"/>
          </w:tcPr>
          <w:p>
            <w:pPr>
              <w:jc w:val="center"/>
              <w:ind w:right="92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Change for the</w:t>
            </w:r>
          </w:p>
        </w:tc>
      </w:tr>
      <w:tr>
        <w:trPr>
          <w:trHeight w:val="149"/>
        </w:trPr>
        <w:tc>
          <w:tcPr>
            <w:tcW w:w="4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4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87"/>
              </w:rPr>
              <w:t>June 30, 2017</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7"/>
              </w:rPr>
              <w:t>June 30, 2017</w:t>
            </w:r>
          </w:p>
        </w:tc>
      </w:tr>
      <w:tr>
        <w:trPr>
          <w:trHeight w:val="129"/>
        </w:trPr>
        <w:tc>
          <w:tcPr>
            <w:tcW w:w="4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As a %</w:t>
            </w:r>
          </w:p>
        </w:tc>
        <w:tc>
          <w:tcPr>
            <w:tcW w:w="200" w:type="dxa"/>
            <w:vAlign w:val="bottom"/>
          </w:tcPr>
          <w:p>
            <w:pPr>
              <w:spacing w:after="0"/>
              <w:rPr>
                <w:sz w:val="11"/>
                <w:szCs w:val="11"/>
                <w:color w:val="auto"/>
              </w:rPr>
            </w:pPr>
          </w:p>
        </w:tc>
      </w:tr>
      <w:tr>
        <w:trPr>
          <w:trHeight w:val="149"/>
        </w:trPr>
        <w:tc>
          <w:tcPr>
            <w:tcW w:w="4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As a % of</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5"/>
              </w:rPr>
              <w:t>of</w:t>
            </w:r>
          </w:p>
        </w:tc>
      </w:tr>
      <w:tr>
        <w:trPr>
          <w:trHeight w:val="149"/>
        </w:trPr>
        <w:tc>
          <w:tcPr>
            <w:tcW w:w="4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Related</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Related</w:t>
            </w:r>
          </w:p>
        </w:tc>
      </w:tr>
      <w:tr>
        <w:trPr>
          <w:trHeight w:val="161"/>
        </w:trPr>
        <w:tc>
          <w:tcPr>
            <w:tcW w:w="410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7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Business</w:t>
            </w:r>
          </w:p>
        </w:tc>
        <w:tc>
          <w:tcPr>
            <w:tcW w:w="4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7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Business</w:t>
            </w:r>
          </w:p>
        </w:tc>
        <w:tc>
          <w:tcPr>
            <w:tcW w:w="200" w:type="dxa"/>
            <w:vAlign w:val="bottom"/>
            <w:tcBorders>
              <w:bottom w:val="single" w:sz="8" w:color="CCEEFF"/>
            </w:tcBorders>
          </w:tcPr>
          <w:p>
            <w:pPr>
              <w:spacing w:after="0"/>
              <w:rPr>
                <w:sz w:val="14"/>
                <w:szCs w:val="14"/>
                <w:color w:val="auto"/>
              </w:rPr>
            </w:pPr>
          </w:p>
        </w:tc>
      </w:tr>
      <w:tr>
        <w:trPr>
          <w:trHeight w:val="210"/>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7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3.1%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Industrial</w:t>
            </w: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1820" w:type="dxa"/>
            <w:vAlign w:val="bottom"/>
            <w:gridSpan w:val="3"/>
          </w:tcPr>
          <w:p>
            <w:pPr>
              <w:ind w:left="114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1240" w:type="dxa"/>
            <w:vAlign w:val="bottom"/>
            <w:gridSpan w:val="2"/>
          </w:tcPr>
          <w:p>
            <w:pPr>
              <w:ind w:left="1020"/>
              <w:spacing w:after="0"/>
              <w:rPr>
                <w:sz w:val="20"/>
                <w:szCs w:val="20"/>
                <w:color w:val="auto"/>
              </w:rPr>
            </w:pPr>
            <w:r>
              <w:rPr>
                <w:rFonts w:ascii="Arial" w:cs="Arial" w:eastAsia="Arial" w:hAnsi="Arial"/>
                <w:sz w:val="18"/>
                <w:szCs w:val="18"/>
                <w:color w:val="auto"/>
                <w:w w:val="79"/>
              </w:rPr>
              <w:t>2.7</w:t>
            </w:r>
          </w:p>
        </w:tc>
        <w:tc>
          <w:tcPr>
            <w:tcW w:w="20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18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2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79"/>
              </w:rPr>
              <w:t>1.6</w:t>
            </w:r>
          </w:p>
        </w:tc>
        <w:tc>
          <w:tcPr>
            <w:tcW w:w="200" w:type="dxa"/>
            <w:vAlign w:val="bottom"/>
            <w:shd w:val="clear" w:color="auto" w:fill="CCEEFF"/>
          </w:tcPr>
          <w:p>
            <w:pPr>
              <w:spacing w:after="0"/>
              <w:rPr>
                <w:sz w:val="18"/>
                <w:szCs w:val="18"/>
                <w:color w:val="auto"/>
              </w:rPr>
            </w:pPr>
          </w:p>
        </w:tc>
      </w:tr>
      <w:tr>
        <w:trPr>
          <w:trHeight w:val="221"/>
        </w:trPr>
        <w:tc>
          <w:tcPr>
            <w:tcW w:w="4100" w:type="dxa"/>
            <w:vAlign w:val="bottom"/>
          </w:tcPr>
          <w:p>
            <w:pPr>
              <w:ind w:left="220"/>
              <w:spacing w:after="0"/>
              <w:rPr>
                <w:sz w:val="20"/>
                <w:szCs w:val="20"/>
                <w:color w:val="auto"/>
              </w:rPr>
            </w:pPr>
            <w:r>
              <w:rPr>
                <w:rFonts w:ascii="Arial" w:cs="Arial" w:eastAsia="Arial" w:hAnsi="Arial"/>
                <w:sz w:val="18"/>
                <w:szCs w:val="18"/>
                <w:color w:val="auto"/>
              </w:rPr>
              <w:t>Total collection</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1820" w:type="dxa"/>
            <w:vAlign w:val="bottom"/>
            <w:gridSpan w:val="3"/>
          </w:tcPr>
          <w:p>
            <w:pPr>
              <w:ind w:left="114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100</w:t>
            </w:r>
          </w:p>
        </w:tc>
        <w:tc>
          <w:tcPr>
            <w:tcW w:w="1240" w:type="dxa"/>
            <w:vAlign w:val="bottom"/>
            <w:gridSpan w:val="2"/>
          </w:tcPr>
          <w:p>
            <w:pPr>
              <w:ind w:left="1020"/>
              <w:spacing w:after="0"/>
              <w:rPr>
                <w:sz w:val="20"/>
                <w:szCs w:val="20"/>
                <w:color w:val="auto"/>
              </w:rPr>
            </w:pPr>
            <w:r>
              <w:rPr>
                <w:rFonts w:ascii="Arial" w:cs="Arial" w:eastAsia="Arial" w:hAnsi="Arial"/>
                <w:sz w:val="18"/>
                <w:szCs w:val="18"/>
                <w:color w:val="auto"/>
                <w:w w:val="79"/>
              </w:rPr>
              <w:t>2.4</w:t>
            </w:r>
          </w:p>
        </w:tc>
        <w:tc>
          <w:tcPr>
            <w:tcW w:w="200" w:type="dxa"/>
            <w:vAlign w:val="bottom"/>
          </w:tcPr>
          <w:p>
            <w:pPr>
              <w:spacing w:after="0"/>
              <w:rPr>
                <w:sz w:val="19"/>
                <w:szCs w:val="19"/>
                <w:color w:val="auto"/>
              </w:rPr>
            </w:pPr>
          </w:p>
        </w:tc>
      </w:tr>
      <w:tr>
        <w:trPr>
          <w:trHeight w:val="218"/>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Landfill</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2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79"/>
              </w:rPr>
              <w:t>0.7</w:t>
            </w:r>
          </w:p>
        </w:tc>
        <w:tc>
          <w:tcPr>
            <w:tcW w:w="200" w:type="dxa"/>
            <w:vAlign w:val="bottom"/>
            <w:shd w:val="clear" w:color="auto" w:fill="CCEEFF"/>
          </w:tcPr>
          <w:p>
            <w:pPr>
              <w:spacing w:after="0"/>
              <w:rPr>
                <w:sz w:val="18"/>
                <w:szCs w:val="18"/>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Transfer</w:t>
            </w:r>
          </w:p>
        </w:tc>
        <w:tc>
          <w:tcPr>
            <w:tcW w:w="18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20" w:type="dxa"/>
            <w:vAlign w:val="bottom"/>
            <w:gridSpan w:val="3"/>
          </w:tcPr>
          <w:p>
            <w:pPr>
              <w:ind w:left="114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40" w:type="dxa"/>
            <w:vAlign w:val="bottom"/>
            <w:gridSpan w:val="2"/>
          </w:tcPr>
          <w:p>
            <w:pPr>
              <w:ind w:left="1020"/>
              <w:spacing w:after="0"/>
              <w:rPr>
                <w:sz w:val="20"/>
                <w:szCs w:val="20"/>
                <w:color w:val="auto"/>
              </w:rPr>
            </w:pPr>
            <w:r>
              <w:rPr>
                <w:rFonts w:ascii="Arial" w:cs="Arial" w:eastAsia="Arial" w:hAnsi="Arial"/>
                <w:sz w:val="18"/>
                <w:szCs w:val="18"/>
                <w:color w:val="auto"/>
                <w:w w:val="79"/>
              </w:rPr>
              <w:t>1.9</w:t>
            </w:r>
          </w:p>
        </w:tc>
        <w:tc>
          <w:tcPr>
            <w:tcW w:w="200" w:type="dxa"/>
            <w:vAlign w:val="bottom"/>
          </w:tcPr>
          <w:p>
            <w:pPr>
              <w:spacing w:after="0"/>
              <w:rPr>
                <w:sz w:val="19"/>
                <w:szCs w:val="19"/>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collection and disposal</w:t>
            </w:r>
          </w:p>
        </w:tc>
        <w:tc>
          <w:tcPr>
            <w:tcW w:w="206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2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1.9%</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114</w:t>
            </w:r>
          </w:p>
        </w:tc>
        <w:tc>
          <w:tcPr>
            <w:tcW w:w="144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w w:val="97"/>
              </w:rPr>
              <w:t>1.9%</w:t>
            </w:r>
          </w:p>
        </w:tc>
      </w:tr>
      <w:tr>
        <w:trPr>
          <w:trHeight w:val="20"/>
        </w:trPr>
        <w:tc>
          <w:tcPr>
            <w:tcW w:w="4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Revenues from our environmental fee contributed $17 million and $34 million for the three and six months ended June 30, 2017, respectively, to our collection and disposal average yield.</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Recycling Commodities </w:t>
      </w:r>
      <w:r>
        <w:rPr>
          <w:rFonts w:ascii="Arial" w:cs="Arial" w:eastAsia="Arial" w:hAnsi="Arial"/>
          <w:sz w:val="18"/>
          <w:szCs w:val="18"/>
          <w:color w:val="auto"/>
        </w:rPr>
        <w:t>— Our revenues increased $76 million and $187 million for the three and six months ended June 30, 2017, respectively,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the prior year periods, due to the continued strong year-over-year increase in the market prices of the recycling commodities we sell at our recycling facilities and through our recycling brokerage business.</w:t>
      </w:r>
    </w:p>
    <w:p>
      <w:pPr>
        <w:spacing w:after="0" w:line="14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Fuel Surcharge and Mandated Fees — </w:t>
      </w:r>
      <w:r>
        <w:rPr>
          <w:rFonts w:ascii="Arial" w:cs="Arial" w:eastAsia="Arial" w:hAnsi="Arial"/>
          <w:sz w:val="16"/>
          <w:szCs w:val="16"/>
          <w:color w:val="auto"/>
        </w:rPr>
        <w:t>These revenues, which are predominantly generated by our fuel surcharge program, increased $20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$39 million for the three and six months ended June 30, 2017, respectively, as compared with the prior year periods. These revenues fluctuate in response to changes in the national average prices for diesel fuel on which our surcharge is based. Market prices for diesel fuel increased approximately 11% and 17% for the three and six months ended June 30, 2017, respectively, as compared with the prior year periods, which contributed to the revenue growth in our fuel surcharge program. The mandated fees included in this line item are primarily related to pass-through fees and taxes assessed by various state, county and municipal government agencies at our landfills and transfer stations. These fees did not have a significant impact on the comparability of the periods.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Volume</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revenues increased $115 million, or 3.4%, and $174 million, or 2.6%, for the three and six months ended June 30, 2017, respectively, as compared with the prior year periods, due to higher volumes. The year-over-year comparison does not include volumes from acquisitions.</w:t>
      </w:r>
    </w:p>
    <w:p>
      <w:pPr>
        <w:spacing w:after="0" w:line="13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experienced higher volumes in all of our lines of business, except for our residential line of business, due to (i) reduced customer churn and improved sales performance supported by our focus on disciplined growth; (ii) improving market conditions and (iii) an additional workday for the six months ended June 30, 2017. The most significant contributors to our volume growth in the current year periods were commercial and industrial collection; municipal solid waste and construction and demolition landfills; transfer stations; our recycling brokerage business and our WMSBS organization. Our residential line of business experienced volume declines in the current year periods because of our continued focus on renegotiating existing contracts and winning new contracts with reasonable rates of returns.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40" w:name="page41"/>
    <w:bookmarkEnd w:id="40"/>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Acquisitions and Divestitures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Revenues increased $9 million and $21 million for the three and six months ended June 30, 2017, respectively, as compared with the prior year periods, due to acquisitions. These revenues were offset by revenue decreases due to divestitures of $17 million for both the three and six months ended June 30, 2017 as compared with the prior year periods.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major components of our operating expenses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9"/>
              </w:rPr>
              <w:t>Three Months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Six Months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left="218"/>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Period-to-</w:t>
            </w:r>
          </w:p>
        </w:tc>
        <w:tc>
          <w:tcPr>
            <w:tcW w:w="12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Period-to-</w:t>
            </w:r>
          </w:p>
        </w:tc>
      </w:tr>
      <w:tr>
        <w:trPr>
          <w:trHeight w:val="161"/>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4"/>
                <w:szCs w:val="14"/>
                <w:color w:val="auto"/>
              </w:rPr>
            </w:pPr>
          </w:p>
        </w:tc>
        <w:tc>
          <w:tcPr>
            <w:tcW w:w="11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7"/>
              </w:rPr>
              <w:t>Period</w:t>
            </w:r>
          </w:p>
        </w:tc>
        <w:tc>
          <w:tcPr>
            <w:tcW w:w="12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left="117"/>
              <w:spacing w:after="0"/>
              <w:rPr>
                <w:sz w:val="20"/>
                <w:szCs w:val="20"/>
                <w:color w:val="auto"/>
              </w:rPr>
            </w:pPr>
            <w:r>
              <w:rPr>
                <w:rFonts w:ascii="Arial" w:cs="Arial" w:eastAsia="Arial" w:hAnsi="Arial"/>
                <w:sz w:val="14"/>
                <w:szCs w:val="14"/>
                <w:b w:val="1"/>
                <w:bCs w:val="1"/>
                <w:color w:val="auto"/>
                <w:w w:val="87"/>
              </w:rPr>
              <w:t>Period</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2017</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2016</w:t>
            </w: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jc w:val="center"/>
              <w:ind w:right="12"/>
              <w:spacing w:after="0" w:line="142" w:lineRule="exact"/>
              <w:rPr>
                <w:sz w:val="20"/>
                <w:szCs w:val="20"/>
                <w:color w:val="auto"/>
              </w:rPr>
            </w:pPr>
            <w:r>
              <w:rPr>
                <w:rFonts w:ascii="Arial" w:cs="Arial" w:eastAsia="Arial" w:hAnsi="Arial"/>
                <w:sz w:val="14"/>
                <w:szCs w:val="14"/>
                <w:b w:val="1"/>
                <w:bCs w:val="1"/>
                <w:color w:val="auto"/>
                <w:w w:val="85"/>
              </w:rPr>
              <w:t>Change</w:t>
            </w: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center"/>
              <w:ind w:right="12"/>
              <w:spacing w:after="0" w:line="142" w:lineRule="exact"/>
              <w:rPr>
                <w:sz w:val="20"/>
                <w:szCs w:val="20"/>
                <w:color w:val="auto"/>
              </w:rPr>
            </w:pPr>
            <w:r>
              <w:rPr>
                <w:rFonts w:ascii="Arial" w:cs="Arial" w:eastAsia="Arial" w:hAnsi="Arial"/>
                <w:sz w:val="14"/>
                <w:szCs w:val="14"/>
                <w:b w:val="1"/>
                <w:bCs w:val="1"/>
                <w:color w:val="auto"/>
                <w:w w:val="85"/>
              </w:rPr>
              <w:t>Change</w:t>
            </w:r>
          </w:p>
        </w:tc>
        <w:tc>
          <w:tcPr>
            <w:tcW w:w="200" w:type="dxa"/>
            <w:vAlign w:val="bottom"/>
            <w:tcBorders>
              <w:bottom w:val="single" w:sz="8" w:color="CCEEFF"/>
            </w:tcBorders>
          </w:tcPr>
          <w:p>
            <w:pPr>
              <w:spacing w:after="0"/>
              <w:rPr>
                <w:sz w:val="12"/>
                <w:szCs w:val="12"/>
                <w:color w:val="auto"/>
              </w:rPr>
            </w:pPr>
          </w:p>
        </w:tc>
      </w:tr>
      <w:tr>
        <w:trPr>
          <w:trHeight w:val="210"/>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$1,224</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490</w:t>
            </w:r>
          </w:p>
        </w:tc>
        <w:tc>
          <w:tcPr>
            <w:tcW w:w="500" w:type="dxa"/>
            <w:vAlign w:val="bottom"/>
          </w:tcPr>
          <w:p>
            <w:pPr>
              <w:jc w:val="right"/>
              <w:spacing w:after="0"/>
              <w:rPr>
                <w:sz w:val="20"/>
                <w:szCs w:val="20"/>
                <w:color w:val="auto"/>
              </w:rPr>
            </w:pPr>
            <w:r>
              <w:rPr>
                <w:rFonts w:ascii="Arial" w:cs="Arial" w:eastAsia="Arial" w:hAnsi="Arial"/>
                <w:sz w:val="18"/>
                <w:szCs w:val="18"/>
                <w:color w:val="auto"/>
              </w:rPr>
              <w:t>483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567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Subcontractor costs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7.4</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605</w:t>
            </w:r>
          </w:p>
        </w:tc>
        <w:tc>
          <w:tcPr>
            <w:tcW w:w="500" w:type="dxa"/>
            <w:vAlign w:val="bottom"/>
          </w:tcPr>
          <w:p>
            <w:pPr>
              <w:jc w:val="right"/>
              <w:spacing w:after="0"/>
              <w:rPr>
                <w:sz w:val="20"/>
                <w:szCs w:val="20"/>
                <w:color w:val="auto"/>
              </w:rPr>
            </w:pPr>
            <w:r>
              <w:rPr>
                <w:rFonts w:ascii="Arial" w:cs="Arial" w:eastAsia="Arial" w:hAnsi="Arial"/>
                <w:sz w:val="18"/>
                <w:szCs w:val="18"/>
                <w:color w:val="auto"/>
              </w:rPr>
              <w:t>571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34</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79"/>
              </w:rPr>
              <w:t>103</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26.3</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Fuel</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23.0</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183</w:t>
            </w:r>
          </w:p>
        </w:tc>
        <w:tc>
          <w:tcPr>
            <w:tcW w:w="500" w:type="dxa"/>
            <w:vAlign w:val="bottom"/>
          </w:tcPr>
          <w:p>
            <w:pPr>
              <w:jc w:val="right"/>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45</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32.6</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169</w:t>
            </w:r>
          </w:p>
        </w:tc>
        <w:tc>
          <w:tcPr>
            <w:tcW w:w="500" w:type="dxa"/>
            <w:vAlign w:val="bottom"/>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(2.3)</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244</w:t>
            </w:r>
          </w:p>
        </w:tc>
        <w:tc>
          <w:tcPr>
            <w:tcW w:w="500" w:type="dxa"/>
            <w:vAlign w:val="bottom"/>
          </w:tcPr>
          <w:p>
            <w:pPr>
              <w:jc w:val="right"/>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26</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11.9</w:t>
            </w:r>
          </w:p>
        </w:tc>
      </w:tr>
      <w:tr>
        <w:trPr>
          <w:trHeight w:val="27"/>
        </w:trPr>
        <w:tc>
          <w:tcPr>
            <w:tcW w:w="5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2,290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2,130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4,456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4,123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79"/>
              </w:rPr>
              <w:t>333</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r>
      <w:tr>
        <w:trPr>
          <w:trHeight w:val="20"/>
        </w:trPr>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Our operating expenses increased $160 million, or 7.5%, and $333 million, or 8.1%, for the three and six months ended June 30, 2017, respectively, as compared with the prior year periods. Our operating expenses as a percentage of revenues increased slightly to 62.3% for the three months ended June 30, 2017 from 62.2% for the three months ended June 30, 2016, and to 62.6% for the six months ended June 30, 2017 from 62.5% for the six months ended June 30, 2016.</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experienced higher operating costs for the three and six months ended June 30, 2017 when compared to the prior year periods, primarily related to:</w:t>
      </w:r>
    </w:p>
    <w:p>
      <w:pPr>
        <w:spacing w:after="0" w:line="113"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market prices for recycling commodities, which increased cost of goods sold; and</w:t>
      </w:r>
    </w:p>
    <w:p>
      <w:pPr>
        <w:spacing w:after="0" w:line="9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Higher volumes, as discussed above in </w:t>
      </w:r>
      <w:r>
        <w:rPr>
          <w:rFonts w:ascii="Arial" w:cs="Arial" w:eastAsia="Arial" w:hAnsi="Arial"/>
          <w:sz w:val="16"/>
          <w:szCs w:val="16"/>
          <w:i w:val="1"/>
          <w:iCs w:val="1"/>
          <w:color w:val="auto"/>
        </w:rPr>
        <w:t>Operating Revenues</w:t>
      </w:r>
      <w:r>
        <w:rPr>
          <w:rFonts w:ascii="Arial" w:cs="Arial" w:eastAsia="Arial" w:hAnsi="Arial"/>
          <w:sz w:val="16"/>
          <w:szCs w:val="16"/>
          <w:color w:val="auto"/>
        </w:rPr>
        <w:t>, which increased operating expenses, most significantly (i) subcontractor costs; (ii) disposal and franchise fees and taxes; (iii) labor and related benefits costs and (iv) maintenance and repairs costs.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significant items affecting the comparability of operating expenses for the periods presented include: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The increase in labor and related benefits costs was also due to merit increases.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Maintenance and Repairs </w:t>
      </w:r>
      <w:r>
        <w:rPr>
          <w:rFonts w:ascii="Arial" w:cs="Arial" w:eastAsia="Arial" w:hAnsi="Arial"/>
          <w:sz w:val="18"/>
          <w:szCs w:val="18"/>
          <w:color w:val="auto"/>
        </w:rPr>
        <w:t>— The increase in maintenance and repairs costs was also due to (i) higher labor costs due to increased headcount, merit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and retention and training efforts and (ii) higher third-party repairs and parts costs.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41" w:name="page42"/>
    <w:bookmarkEnd w:id="41"/>
    <w:p>
      <w:pPr>
        <w:jc w:val="both"/>
        <w:ind w:right="20" w:firstLine="456"/>
        <w:spacing w:after="0" w:line="33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Fuel — </w:t>
      </w:r>
      <w:r>
        <w:rPr>
          <w:rFonts w:ascii="Arial" w:cs="Arial" w:eastAsia="Arial" w:hAnsi="Arial"/>
          <w:sz w:val="16"/>
          <w:szCs w:val="16"/>
          <w:color w:val="auto"/>
        </w:rPr>
        <w:t>The increase in fuel costs was primarily due to (i) higher fuel prices and (ii) the expiration of certain natural gas fuel excise tax credits as of</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2016. These cost increases were offset, in part, by lower costs resulting from the ongoing conversion of our fleet to natural gas vehicles.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major components of our selling, general and administrative expenses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Six Months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42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Ended</w:t>
            </w:r>
          </w:p>
        </w:tc>
        <w:tc>
          <w:tcPr>
            <w:tcW w:w="100" w:type="dxa"/>
            <w:vAlign w:val="bottom"/>
          </w:tcPr>
          <w:p>
            <w:pPr>
              <w:spacing w:after="0"/>
              <w:rPr>
                <w:sz w:val="12"/>
                <w:szCs w:val="12"/>
                <w:color w:val="auto"/>
              </w:rPr>
            </w:pPr>
          </w:p>
        </w:tc>
        <w:tc>
          <w:tcPr>
            <w:tcW w:w="11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Period-to-</w:t>
            </w: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114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Period-to-</w:t>
            </w:r>
          </w:p>
        </w:tc>
      </w:tr>
      <w:tr>
        <w:trPr>
          <w:trHeight w:val="161"/>
        </w:trPr>
        <w:tc>
          <w:tcPr>
            <w:tcW w:w="4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4"/>
                <w:szCs w:val="14"/>
                <w:color w:val="auto"/>
              </w:rPr>
            </w:pPr>
          </w:p>
        </w:tc>
        <w:tc>
          <w:tcPr>
            <w:tcW w:w="11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Period</w:t>
            </w: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7"/>
              </w:rPr>
              <w:t>Period</w:t>
            </w:r>
          </w:p>
        </w:tc>
      </w:tr>
      <w:tr>
        <w:trPr>
          <w:trHeight w:val="142"/>
        </w:trPr>
        <w:tc>
          <w:tcPr>
            <w:tcW w:w="4220" w:type="dxa"/>
            <w:vAlign w:val="bottom"/>
            <w:tcBorders>
              <w:bottom w:val="single" w:sz="8" w:color="CCEEFF"/>
            </w:tcBorders>
          </w:tcPr>
          <w:p>
            <w:pPr>
              <w:spacing w:after="0"/>
              <w:rPr>
                <w:sz w:val="12"/>
                <w:szCs w:val="12"/>
                <w:color w:val="auto"/>
              </w:rPr>
            </w:pPr>
          </w:p>
        </w:tc>
        <w:tc>
          <w:tcPr>
            <w:tcW w:w="236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26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center"/>
              <w:ind w:right="12"/>
              <w:spacing w:after="0" w:line="142" w:lineRule="exact"/>
              <w:rPr>
                <w:sz w:val="20"/>
                <w:szCs w:val="20"/>
                <w:color w:val="auto"/>
              </w:rPr>
            </w:pPr>
            <w:r>
              <w:rPr>
                <w:rFonts w:ascii="Arial" w:cs="Arial" w:eastAsia="Arial" w:hAnsi="Arial"/>
                <w:sz w:val="14"/>
                <w:szCs w:val="14"/>
                <w:b w:val="1"/>
                <w:bCs w:val="1"/>
                <w:color w:val="auto"/>
                <w:w w:val="85"/>
              </w:rPr>
              <w:t>Change</w:t>
            </w:r>
          </w:p>
        </w:tc>
        <w:tc>
          <w:tcPr>
            <w:tcW w:w="4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2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2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200" w:type="dxa"/>
            <w:vAlign w:val="bottom"/>
            <w:tcBorders>
              <w:bottom w:val="single" w:sz="8" w:color="CCEEFF"/>
            </w:tcBorders>
          </w:tcPr>
          <w:p>
            <w:pPr>
              <w:spacing w:after="0"/>
              <w:rPr>
                <w:sz w:val="12"/>
                <w:szCs w:val="12"/>
                <w:color w:val="auto"/>
              </w:rPr>
            </w:pPr>
          </w:p>
        </w:tc>
      </w:tr>
      <w:tr>
        <w:trPr>
          <w:trHeight w:val="210"/>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23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$241</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$517</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$476</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79"/>
              </w:rPr>
              <w:t>$41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Professional fees</w:t>
            </w:r>
          </w:p>
        </w:tc>
        <w:tc>
          <w:tcPr>
            <w:tcW w:w="2980" w:type="dxa"/>
            <w:vAlign w:val="bottom"/>
            <w:gridSpan w:val="3"/>
          </w:tcPr>
          <w:p>
            <w:pPr>
              <w:jc w:val="right"/>
              <w:ind w:right="260"/>
              <w:spacing w:after="0"/>
              <w:rPr>
                <w:sz w:val="20"/>
                <w:szCs w:val="20"/>
                <w:color w:val="auto"/>
              </w:rPr>
            </w:pPr>
            <w:r>
              <w:rPr>
                <w:rFonts w:ascii="Arial" w:cs="Arial" w:eastAsia="Arial" w:hAnsi="Arial"/>
                <w:sz w:val="18"/>
                <w:szCs w:val="18"/>
                <w:color w:val="auto"/>
              </w:rPr>
              <w:t>25</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1</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4.2</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36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8"/>
                <w:szCs w:val="18"/>
                <w:color w:val="auto"/>
              </w:rPr>
            </w:pP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2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42.9</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4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Other</w:t>
            </w:r>
          </w:p>
        </w:tc>
        <w:tc>
          <w:tcPr>
            <w:tcW w:w="236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77</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1</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1.3</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160</w:t>
            </w:r>
          </w:p>
        </w:tc>
        <w:tc>
          <w:tcPr>
            <w:tcW w:w="360" w:type="dxa"/>
            <w:vAlign w:val="bottom"/>
          </w:tcPr>
          <w:p>
            <w:pPr>
              <w:jc w:val="right"/>
              <w:spacing w:after="0"/>
              <w:rPr>
                <w:sz w:val="20"/>
                <w:szCs w:val="20"/>
                <w:color w:val="auto"/>
              </w:rPr>
            </w:pPr>
            <w:r>
              <w:rPr>
                <w:rFonts w:ascii="Arial" w:cs="Arial" w:eastAsia="Arial" w:hAnsi="Arial"/>
                <w:sz w:val="18"/>
                <w:szCs w:val="18"/>
                <w:color w:val="auto"/>
              </w:rPr>
              <w:t>162</w:t>
            </w:r>
          </w:p>
        </w:tc>
        <w:tc>
          <w:tcPr>
            <w:tcW w:w="740" w:type="dxa"/>
            <w:vAlign w:val="bottom"/>
            <w:gridSpan w:val="3"/>
          </w:tcPr>
          <w:p>
            <w:pPr>
              <w:jc w:val="right"/>
              <w:ind w:right="92"/>
              <w:spacing w:after="0"/>
              <w:rPr>
                <w:sz w:val="20"/>
                <w:szCs w:val="20"/>
                <w:color w:val="auto"/>
              </w:rPr>
            </w:pPr>
            <w:r>
              <w:rPr>
                <w:rFonts w:ascii="Arial" w:cs="Arial" w:eastAsia="Arial" w:hAnsi="Arial"/>
                <w:sz w:val="18"/>
                <w:szCs w:val="18"/>
                <w:color w:val="auto"/>
              </w:rPr>
              <w:t>(2)</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r>
      <w:tr>
        <w:trPr>
          <w:trHeight w:val="27"/>
        </w:trPr>
        <w:tc>
          <w:tcPr>
            <w:tcW w:w="4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2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353</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13</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743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702</w:t>
            </w:r>
          </w:p>
        </w:tc>
        <w:tc>
          <w:tcPr>
            <w:tcW w:w="74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r>
      <w:tr>
        <w:trPr>
          <w:trHeight w:val="20"/>
        </w:trPr>
        <w:tc>
          <w:tcPr>
            <w:tcW w:w="4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selling, general and administrative expenses increased by $13 million, or 3.8%, and $41 million, or 5.8%, for the three and six months ended June 30, 2017, respectively, as compared with the prior year periods. As a percentage of revenue, our selling, general and administrative expenses decreased to 9.6% for the three months ended June 30, 2017 from 9.9% for the three months ended June 30, 2016, and decreased to 10.4% for the six months ended June 30, 2017 from 10.6% for the six months ended June 30, 2016.</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Selling, general and administrative expenses increased primarily due to (i) higher incentive compensation costs and certain other variable costs due to revenue growth and (ii) merit increases. Additionally, severance costs for former executives contributed to the increase in labor and related benefits costs for the six months ended June 30, 2017 compared to the prior year period.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components of our depreciation and amortization expenses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Three Months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8"/>
              </w:rPr>
              <w:t>Six Months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left="222"/>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Period-to-</w:t>
            </w:r>
          </w:p>
        </w:tc>
        <w:tc>
          <w:tcPr>
            <w:tcW w:w="120" w:type="dxa"/>
            <w:vAlign w:val="bottom"/>
          </w:tcPr>
          <w:p>
            <w:pPr>
              <w:spacing w:after="0"/>
              <w:rPr>
                <w:sz w:val="12"/>
                <w:szCs w:val="12"/>
                <w:color w:val="auto"/>
              </w:rPr>
            </w:pPr>
          </w:p>
        </w:tc>
        <w:tc>
          <w:tcPr>
            <w:tcW w:w="800" w:type="dxa"/>
            <w:vAlign w:val="bottom"/>
            <w:gridSpan w:val="3"/>
          </w:tcPr>
          <w:p>
            <w:pPr>
              <w:jc w:val="center"/>
              <w:ind w:left="222"/>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Period-to-</w:t>
            </w:r>
          </w:p>
        </w:tc>
        <w:tc>
          <w:tcPr>
            <w:tcW w:w="0" w:type="dxa"/>
            <w:vAlign w:val="bottom"/>
          </w:tcPr>
          <w:p>
            <w:pPr>
              <w:spacing w:after="0"/>
              <w:rPr>
                <w:sz w:val="1"/>
                <w:szCs w:val="1"/>
                <w:color w:val="auto"/>
              </w:rPr>
            </w:pPr>
          </w:p>
        </w:tc>
      </w:tr>
      <w:tr>
        <w:trPr>
          <w:trHeight w:val="161"/>
        </w:trPr>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center"/>
              <w:ind w:left="202"/>
              <w:spacing w:after="0"/>
              <w:rPr>
                <w:sz w:val="20"/>
                <w:szCs w:val="20"/>
                <w:color w:val="auto"/>
              </w:rPr>
            </w:pPr>
            <w:r>
              <w:rPr>
                <w:rFonts w:ascii="Arial" w:cs="Arial" w:eastAsia="Arial" w:hAnsi="Arial"/>
                <w:sz w:val="14"/>
                <w:szCs w:val="14"/>
                <w:b w:val="1"/>
                <w:bCs w:val="1"/>
                <w:color w:val="auto"/>
                <w:w w:val="85"/>
              </w:rPr>
              <w:t>June 30,</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7"/>
              </w:rPr>
              <w:t>Period</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center"/>
              <w:ind w:left="242"/>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3"/>
              </w:rPr>
              <w:t>2017</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76"/>
              </w:rPr>
              <w:t>2016</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4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3"/>
              </w:rPr>
              <w:t>2017</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2016</w:t>
            </w:r>
          </w:p>
        </w:tc>
        <w:tc>
          <w:tcPr>
            <w:tcW w:w="2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of tangible property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0"/>
              </w:rPr>
              <w:t>$ (2)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21</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215</w:t>
            </w:r>
          </w:p>
        </w:tc>
        <w:tc>
          <w:tcPr>
            <w:tcW w:w="26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4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line="20" w:lineRule="exact"/>
              <w:rPr>
                <w:sz w:val="1"/>
                <w:szCs w:val="1"/>
                <w:color w:val="auto"/>
              </w:rPr>
            </w:pPr>
          </w:p>
        </w:tc>
      </w:tr>
      <w:tr>
        <w:trPr>
          <w:trHeight w:val="222"/>
        </w:trPr>
        <w:tc>
          <w:tcPr>
            <w:tcW w:w="57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356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340</w:t>
            </w:r>
          </w:p>
        </w:tc>
        <w:tc>
          <w:tcPr>
            <w:tcW w:w="56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w:t>
            </w:r>
          </w:p>
        </w:tc>
        <w:tc>
          <w:tcPr>
            <w:tcW w:w="86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684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652</w:t>
            </w:r>
          </w:p>
        </w:tc>
        <w:tc>
          <w:tcPr>
            <w:tcW w:w="26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32</w:t>
            </w:r>
          </w:p>
        </w:tc>
        <w:tc>
          <w:tcPr>
            <w:tcW w:w="22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increase in amortization of landfill airspace during the three and six months ended June 30, 2017, compared to the prior year periods, was primarily due to increased volumes at our landfills and changes in our landfill estimates.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42" w:name="page43"/>
    <w:bookmarkEnd w:id="42"/>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Income from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income from operations for our reportable segments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Ended</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Period-to-</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right"/>
              <w:ind w:right="3"/>
              <w:spacing w:after="0" w:line="149" w:lineRule="exact"/>
              <w:rPr>
                <w:sz w:val="20"/>
                <w:szCs w:val="20"/>
                <w:color w:val="auto"/>
              </w:rPr>
            </w:pPr>
            <w:r>
              <w:rPr>
                <w:rFonts w:ascii="Arial" w:cs="Arial" w:eastAsia="Arial" w:hAnsi="Arial"/>
                <w:sz w:val="14"/>
                <w:szCs w:val="14"/>
                <w:b w:val="1"/>
                <w:bCs w:val="1"/>
                <w:color w:val="auto"/>
              </w:rPr>
              <w:t>Ended</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Period-to-</w:t>
            </w: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7"/>
              </w:rPr>
              <w:t>Period</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tcPr>
          <w:p>
            <w:pPr>
              <w:jc w:val="center"/>
              <w:ind w:right="280"/>
              <w:spacing w:after="0" w:line="142" w:lineRule="exact"/>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2017</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2016</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tcPr>
          <w:p>
            <w:pPr>
              <w:jc w:val="center"/>
              <w:ind w:right="300"/>
              <w:spacing w:after="0" w:line="142"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5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Solid Waste:</w:t>
            </w: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Tier 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395</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$ 33</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761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696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Tier 3</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1,583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1,441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142</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(36)</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line="20" w:lineRule="exact"/>
              <w:rPr>
                <w:sz w:val="1"/>
                <w:szCs w:val="1"/>
                <w:color w:val="auto"/>
              </w:rPr>
            </w:pPr>
          </w:p>
        </w:tc>
      </w:tr>
      <w:tr>
        <w:trPr>
          <w:trHeight w:val="222"/>
        </w:trPr>
        <w:tc>
          <w:tcPr>
            <w:tcW w:w="53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611</w:t>
            </w:r>
          </w:p>
        </w:tc>
        <w:tc>
          <w:tcPr>
            <w:tcW w:w="2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$ 62</w:t>
            </w:r>
          </w:p>
        </w:tc>
        <w:tc>
          <w:tcPr>
            <w:tcW w:w="16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1,231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1,119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112</w:t>
            </w: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reportable segments are discussed further in Note 7 to the Condensed Consolidated Financial Statements.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Solid Waste </w:t>
      </w:r>
      <w:r>
        <w:rPr>
          <w:rFonts w:ascii="Arial" w:cs="Arial" w:eastAsia="Arial" w:hAnsi="Arial"/>
          <w:sz w:val="16"/>
          <w:szCs w:val="16"/>
          <w:color w:val="auto"/>
        </w:rPr>
        <w:t>— The most significant items affecting the results of operations of our Solid Waste business during the three and six months ended June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2017 as compared with the prior year periods are summarized below:</w:t>
      </w:r>
    </w:p>
    <w:p>
      <w:pPr>
        <w:spacing w:after="0" w:line="84"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Traditional Solid Waste business benefited from internal revenue growth;</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recycling line of business was favorable compared to the prior year periods principally due to higher market prices for recycling commodities;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labor and related benefits costs in the current year periods primarily due to merit increases;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Higher landfill amortization expense related to increased volumes at our landfills and changes in our landfill estimates, primarily in Tiers 1 and 3;</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Lower leachate management expenses in Tier 2;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maintenance and repair costs.</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Significant items affecting the comparison of the remaining components of our results of operations for the three and six months ended June 30, 2017 with the comparable prior year periods are summarized below:</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i w:val="1"/>
          <w:iCs w:val="1"/>
          <w:color w:val="auto"/>
        </w:rPr>
        <w:t xml:space="preserve">Corporate and Other </w:t>
      </w:r>
      <w:r>
        <w:rPr>
          <w:rFonts w:ascii="Arial" w:cs="Arial" w:eastAsia="Arial" w:hAnsi="Arial"/>
          <w:sz w:val="16"/>
          <w:szCs w:val="16"/>
          <w:color w:val="auto"/>
        </w:rPr>
        <w:t>— Higher labor and related benefits costs in the current year periods were primarily related to higher incentive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costs. In addition, severance costs for former executives contributed to the higher costs for the six months ended June 30, 2017, compared to the prior year period.</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 xml:space="preserve">We recognized equity in net losses of unconsolidated entities of $13 million and $45 million during the three and six months ended June 30, 2017, respectively, compared with $16 million and $23 million during the three and six months ended June 30, 2016, respectively. During the six months ended June 30, 2017, we recognized $28 million of charges to write down equity method investments in waste diversion technology companies to their estimated fair values. The remaining losses for each period are primarily related to our noncontrolling interests in entities established to invest in and manage low-income housing properties and a refined coal facility. The tax impacts realized as a result of these investments are discussed below in </w:t>
      </w:r>
      <w:r>
        <w:rPr>
          <w:rFonts w:ascii="Arial" w:cs="Arial" w:eastAsia="Arial" w:hAnsi="Arial"/>
          <w:sz w:val="16"/>
          <w:szCs w:val="16"/>
          <w:i w:val="1"/>
          <w:iCs w:val="1"/>
          <w:color w:val="auto"/>
        </w:rPr>
        <w:t>Income Tax Expense.</w:t>
      </w:r>
      <w:r>
        <w:rPr>
          <w:rFonts w:ascii="Arial" w:cs="Arial" w:eastAsia="Arial" w:hAnsi="Arial"/>
          <w:sz w:val="16"/>
          <w:szCs w:val="16"/>
          <w:color w:val="auto"/>
        </w:rPr>
        <w:t xml:space="preserve"> Refer to Notes 4 and 13 to the Condensed Consolidated Financial Statements for more information related to these investments.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43" w:name="page44"/>
    <w:bookmarkEnd w:id="43"/>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Net</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recognized other, net expense of $43 million and $53 million for the three and six months ended June 30, 2016, respectively, primarily related to impairment charges of $41 million to write down minority-owned investments in waste diversion technology companies to their estimated fair values during the three months ended June 30, 2016. In addition, we recognized $8 million of expense during the three months ended March 31, 2016 associated with the termination of our cross-currency swaps, which is discussed further in Note 3 to the Condensed Consolidated Financial Statements.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recorded income tax expense of $209 million and $346 million during the three and six months ended June 30, 2017, respectively, compared with $173 million and $313 million during the three and six months ended June 30, 2016, respectively. Our effective income tax rate was 36.6% and 34.4% for the three and six months ended June 30, 2017, respectively, compared with 37.6% and 36.5% for the three and six months ended June 30, 2016, respectively.</w:t>
      </w:r>
    </w:p>
    <w:p>
      <w:pPr>
        <w:spacing w:after="0" w:line="10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income tax expense and effective income tax rate for the three months ended June 30, 2017 was unfavorably impacted primarily by state and local income taxes offset, in part, by the favorable impact of federal tax credits. Our income tax expense and effective income tax rate for the six months ended June 30, 2017 was favorably impacted primarily by excess tax benefits related to equity-based compensation and federal tax credits offset, in part, by the unfavorable impact of state and local income taxes and the tax implications of impairments. Our income tax expense and effective income tax rate for the three and six months ended June 30, 2016 was unfavorably impacted primarily by the tax implications of impairments and state and local income taxes offset, in part, by the favorable impact of federal tax credits and tax audit settlements.</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excess tax benefits related to the vesting or exercise of equity-based compensation awards reduced our income tax expense by $2 million and $34 million for the three and six months ended June 30, 2017, respectively. See Note 1 to the Condensed Consolidated Financial Statements for discussion of our adoption of ASU 2016-09.</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investments in low-income housing properties and the refined coal facility reduced our income tax expense by $14 million for the three months ended June 30, 2017 and 2016 and by $25 million for the six months ended June 30, 2017 and 2016. Refer to Note 4 to the Condensed Consolidated Financial Statements for more information related to these investments.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cash and cash equivalents, restricted trust and escrow accounts and debt balances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742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2017</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20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color w:val="auto"/>
              </w:rPr>
              <w:t>Restricted trust and escrow accounts:</w:t>
            </w: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214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7420" w:type="dxa"/>
            <w:vAlign w:val="bottom"/>
          </w:tcPr>
          <w:p>
            <w:pPr>
              <w:ind w:left="220"/>
              <w:spacing w:after="0"/>
              <w:rPr>
                <w:sz w:val="20"/>
                <w:szCs w:val="20"/>
                <w:color w:val="auto"/>
              </w:rPr>
            </w:pPr>
            <w:r>
              <w:rPr>
                <w:rFonts w:ascii="Arial" w:cs="Arial" w:eastAsia="Arial" w:hAnsi="Arial"/>
                <w:sz w:val="18"/>
                <w:szCs w:val="18"/>
                <w:color w:val="auto"/>
              </w:rPr>
              <w:t>Other</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restricted trust and escrow accounts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color w:val="auto"/>
              </w:rPr>
              <w:t>Debt:</w:t>
            </w: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w:t>
            </w:r>
          </w:p>
        </w:tc>
        <w:tc>
          <w:tcPr>
            <w:tcW w:w="214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390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7420" w:type="dxa"/>
            <w:vAlign w:val="bottom"/>
          </w:tcPr>
          <w:p>
            <w:pPr>
              <w:ind w:left="220"/>
              <w:spacing w:after="0"/>
              <w:rPr>
                <w:sz w:val="20"/>
                <w:szCs w:val="20"/>
                <w:color w:val="auto"/>
              </w:rPr>
            </w:pPr>
            <w:r>
              <w:rPr>
                <w:rFonts w:ascii="Arial" w:cs="Arial" w:eastAsia="Arial" w:hAnsi="Arial"/>
                <w:sz w:val="18"/>
                <w:szCs w:val="18"/>
                <w:color w:val="auto"/>
              </w:rPr>
              <w:t>Long-term portion</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8,667</w:t>
            </w: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8,893</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debt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9,057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9,310</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As of June 30, 2017, the current portion of our long-term debt balance of $390 million includes (i) $184 million of short-term borrowings under our commercial paper program and (ii) $206 million of other debt with scheduled maturities within the next 12 months, including $148 million of tax-exempt bonds.</w:t>
      </w:r>
    </w:p>
    <w:p>
      <w:pPr>
        <w:spacing w:after="0" w:line="8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June 30, 2017, we have classified (i) $590 million of 6.1% senior notes that mature in March 2018 and (ii) $69 million of short-term borrowings under our commercial paper program as long-term because we have the intent and ability to refinance these borrowings on a long-term basis as supported by the forecasted available capacity under our long-term U.S. revolving credit facility (“$2.25 billion revolving credit facility”).</w:t>
      </w:r>
    </w:p>
    <w:p>
      <w:pPr>
        <w:spacing w:after="0" w:line="10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addition, we have $561 million of tax-exempt bonds with term interest rate periods that expire within the next 12 months and an additional $471 million of variable-rate tax-exempt bonds that are supported by letters of credit. The interest rates on our variable-rate tax-exempt bonds are generally reset on either a daily or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intent and ability to refinance these bonds on a long-term basis as supported by the forecasted available capacity under our $2.25 billion revolving credit facility. Accordingly, we have also classified these borrowings as long-term in our Condensed Consolidated Balance Sheet as of June 30, 2017.</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cash flows for the six months ended June 30 (in millions):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140" w:type="dxa"/>
            <w:vAlign w:val="bottom"/>
            <w:tcBorders>
              <w:bottom w:val="single" w:sz="8" w:color="CCEEFF"/>
            </w:tcBorders>
          </w:tcPr>
          <w:p>
            <w:pPr>
              <w:spacing w:after="0"/>
              <w:rPr>
                <w:sz w:val="14"/>
                <w:szCs w:val="14"/>
                <w:color w:val="auto"/>
              </w:rPr>
            </w:pPr>
          </w:p>
        </w:tc>
        <w:tc>
          <w:tcPr>
            <w:tcW w:w="3960" w:type="dxa"/>
            <w:vAlign w:val="bottom"/>
            <w:tcBorders>
              <w:bottom w:val="single" w:sz="8" w:color="CCEEFF"/>
            </w:tcBorders>
          </w:tcPr>
          <w:p>
            <w:pPr>
              <w:spacing w:after="0"/>
              <w:rPr>
                <w:sz w:val="14"/>
                <w:szCs w:val="14"/>
                <w:color w:val="auto"/>
              </w:rPr>
            </w:pPr>
          </w:p>
        </w:tc>
        <w:tc>
          <w:tcPr>
            <w:tcW w:w="19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2017</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 (a)</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1,534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00" w:type="dxa"/>
            <w:vAlign w:val="bottom"/>
            <w:gridSpan w:val="2"/>
            <w:vMerge w:val="continue"/>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(677)</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(1,186)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 (a)</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40" w:type="dxa"/>
            <w:vAlign w:val="bottom"/>
            <w:tcBorders>
              <w:bottom w:val="single" w:sz="8" w:color="auto"/>
            </w:tcBorders>
          </w:tcPr>
          <w:p>
            <w:pPr>
              <w:spacing w:after="0"/>
              <w:rPr>
                <w:sz w:val="8"/>
                <w:szCs w:val="8"/>
                <w:color w:val="auto"/>
              </w:rPr>
            </w:pPr>
          </w:p>
        </w:tc>
        <w:tc>
          <w:tcPr>
            <w:tcW w:w="39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820" w:hanging="448"/>
        <w:spacing w:after="0" w:line="268" w:lineRule="auto"/>
        <w:tabs>
          <w:tab w:leader="none" w:pos="1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Prior year information has been revised to reflect the adoption of ASU 2016-09 and conform to our current year presentation. See Note 1 to the Condensed Consolidated Financial Statements for further discussion.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45" w:name="page46"/>
    <w:bookmarkEnd w:id="45"/>
    <w:p>
      <w:pPr>
        <w:ind w:left="46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Net Cash Provided by Operating Activities </w:t>
      </w:r>
      <w:r>
        <w:rPr>
          <w:rFonts w:ascii="Arial" w:cs="Arial" w:eastAsia="Arial" w:hAnsi="Arial"/>
          <w:sz w:val="16"/>
          <w:szCs w:val="16"/>
          <w:color w:val="auto"/>
        </w:rPr>
        <w:t>— The most significant items affecting the comparison of our operating cash flows for the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2017, compared with the prior year period, are summarized below:</w:t>
      </w:r>
    </w:p>
    <w:p>
      <w:pPr>
        <w:spacing w:after="0" w:line="84" w:lineRule="exact"/>
        <w:rPr>
          <w:sz w:val="20"/>
          <w:szCs w:val="20"/>
          <w:color w:val="auto"/>
        </w:rPr>
      </w:pPr>
    </w:p>
    <w:p>
      <w:pPr>
        <w:ind w:left="90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Increase in Earnings — </w:t>
      </w:r>
      <w:r>
        <w:rPr>
          <w:rFonts w:ascii="Arial" w:cs="Arial" w:eastAsia="Arial" w:hAnsi="Arial"/>
          <w:sz w:val="18"/>
          <w:szCs w:val="18"/>
          <w:color w:val="auto"/>
        </w:rPr>
        <w:t>Our income from operations, excluding depreciation and amortization, increased by $144 million on a year-over-year basis,</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driven by higher earnings from our Traditional Solid Waste and recycling businesses.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Increase in Income Tax Payments </w:t>
      </w:r>
      <w:r>
        <w:rPr>
          <w:rFonts w:ascii="Arial" w:cs="Arial" w:eastAsia="Arial" w:hAnsi="Arial"/>
          <w:sz w:val="18"/>
          <w:szCs w:val="18"/>
          <w:color w:val="auto"/>
        </w:rPr>
        <w:t>— Cash paid for income taxes was $83 million higher on a year-over-year basis, largely driven by higher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current year and timing of income tax payments.</w:t>
      </w:r>
    </w:p>
    <w:p>
      <w:pPr>
        <w:spacing w:after="0" w:line="50" w:lineRule="exact"/>
        <w:rPr>
          <w:rFonts w:ascii="Arial" w:cs="Arial" w:eastAsia="Arial" w:hAnsi="Arial"/>
          <w:sz w:val="18"/>
          <w:szCs w:val="18"/>
          <w:color w:val="auto"/>
        </w:rPr>
      </w:pPr>
    </w:p>
    <w:p>
      <w:pPr>
        <w:jc w:val="both"/>
        <w:ind w:left="900" w:hanging="446"/>
        <w:spacing w:after="0" w:line="256"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Cross-Currency Swaps </w:t>
      </w:r>
      <w:r>
        <w:rPr>
          <w:rFonts w:ascii="Arial" w:cs="Arial" w:eastAsia="Arial" w:hAnsi="Arial"/>
          <w:sz w:val="18"/>
          <w:szCs w:val="18"/>
          <w:color w:val="auto"/>
        </w:rPr>
        <w:t>— During the three months ended March 31, 2016, we terminated our cross-currency swaps associated with the anticipated</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flows of intercompany loans between WM Holdings and its wholly-owned Canadian subsidiaries, as discussed further in Note 3 to the Condensed Consolidated Financial Statements. In connection with the termination, we received cash proceeds of $67 million, which were classified as a change in other current assets and other assets.</w:t>
      </w:r>
    </w:p>
    <w:p>
      <w:pPr>
        <w:spacing w:after="0" w:line="62"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Increase in Annual Incentive Plan Cash Payments — </w:t>
      </w:r>
      <w:r>
        <w:rPr>
          <w:rFonts w:ascii="Arial" w:cs="Arial" w:eastAsia="Arial" w:hAnsi="Arial"/>
          <w:sz w:val="18"/>
          <w:szCs w:val="18"/>
          <w:color w:val="auto"/>
        </w:rPr>
        <w:t>Payments for our annual incentive plans are typically made in the first quarter of the year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prior year performance. Our net cash provided by operating activities was unfavorably impacted by $41 million on a year-over-year basis, due to higher annual incentive cash payments made in the current year period.</w:t>
      </w:r>
    </w:p>
    <w:p>
      <w:pPr>
        <w:spacing w:after="0" w:line="59"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Changes in Assets and Liabilities, Net of Effects from Business Acquisitions and Divestitures — </w:t>
      </w:r>
      <w:r>
        <w:rPr>
          <w:rFonts w:ascii="Arial" w:cs="Arial" w:eastAsia="Arial" w:hAnsi="Arial"/>
          <w:sz w:val="16"/>
          <w:szCs w:val="16"/>
          <w:color w:val="auto"/>
        </w:rPr>
        <w:t>Our net cash provided by operating activities was</w:t>
      </w:r>
      <w:r>
        <w:rPr>
          <w:rFonts w:ascii="Arial" w:cs="Arial" w:eastAsia="Arial" w:hAnsi="Arial"/>
          <w:sz w:val="16"/>
          <w:szCs w:val="16"/>
          <w:i w:val="1"/>
          <w:iCs w:val="1"/>
          <w:color w:val="auto"/>
        </w:rPr>
        <w:t xml:space="preserve"> </w:t>
      </w:r>
      <w:r>
        <w:rPr>
          <w:rFonts w:ascii="Arial" w:cs="Arial" w:eastAsia="Arial" w:hAnsi="Arial"/>
          <w:sz w:val="16"/>
          <w:szCs w:val="16"/>
          <w:color w:val="auto"/>
        </w:rPr>
        <w:t>favorably impacted on a year-over-year basis by net changes in our assets and liabilities, exclusive of the items noted above.</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18"/>
          <w:szCs w:val="18"/>
          <w:color w:val="auto"/>
        </w:rPr>
        <w:t>— The most significant items included in our investing cash flows for the six months ended June 30, 2017 and 2016</w:t>
      </w:r>
      <w:r>
        <w:rPr>
          <w:rFonts w:ascii="Arial" w:cs="Arial" w:eastAsia="Arial" w:hAnsi="Arial"/>
          <w:sz w:val="18"/>
          <w:szCs w:val="18"/>
          <w:i w:val="1"/>
          <w:iCs w:val="1"/>
          <w:color w:val="auto"/>
        </w:rPr>
        <w:t xml:space="preserve"> </w:t>
      </w:r>
      <w:r>
        <w:rPr>
          <w:rFonts w:ascii="Arial" w:cs="Arial" w:eastAsia="Arial" w:hAnsi="Arial"/>
          <w:sz w:val="18"/>
          <w:szCs w:val="18"/>
          <w:color w:val="auto"/>
        </w:rPr>
        <w:t>are summarized below:</w:t>
      </w:r>
    </w:p>
    <w:p>
      <w:pPr>
        <w:spacing w:after="0" w:line="51" w:lineRule="exact"/>
        <w:rPr>
          <w:sz w:val="20"/>
          <w:szCs w:val="20"/>
          <w:color w:val="auto"/>
        </w:rPr>
      </w:pPr>
    </w:p>
    <w:p>
      <w:pPr>
        <w:jc w:val="both"/>
        <w:ind w:left="90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 </w:t>
      </w:r>
      <w:r>
        <w:rPr>
          <w:rFonts w:ascii="Arial" w:cs="Arial" w:eastAsia="Arial" w:hAnsi="Arial"/>
          <w:sz w:val="18"/>
          <w:szCs w:val="18"/>
          <w:color w:val="auto"/>
        </w:rPr>
        <w:t>We spent $51 million and $572 million on acquisitions during the six months ended June 30, 2017 and 2016, respectively. In 2016,</w:t>
      </w:r>
      <w:r>
        <w:rPr>
          <w:rFonts w:ascii="Arial" w:cs="Arial" w:eastAsia="Arial" w:hAnsi="Arial"/>
          <w:sz w:val="18"/>
          <w:szCs w:val="18"/>
          <w:i w:val="1"/>
          <w:iCs w:val="1"/>
          <w:color w:val="auto"/>
        </w:rPr>
        <w:t xml:space="preserve"> </w:t>
      </w:r>
      <w:r>
        <w:rPr>
          <w:rFonts w:ascii="Arial" w:cs="Arial" w:eastAsia="Arial" w:hAnsi="Arial"/>
          <w:sz w:val="18"/>
          <w:szCs w:val="18"/>
          <w:color w:val="auto"/>
        </w:rPr>
        <w:t>our acquisitions consisted primarily of certain operations and business assets of SWS as discussed in Note 8 to the Condensed Consolidated Financial Statements.</w:t>
      </w:r>
    </w:p>
    <w:p>
      <w:pPr>
        <w:spacing w:after="0" w:line="59" w:lineRule="exact"/>
        <w:rPr>
          <w:rFonts w:ascii="Arial" w:cs="Arial" w:eastAsia="Arial" w:hAnsi="Arial"/>
          <w:sz w:val="18"/>
          <w:szCs w:val="18"/>
          <w:color w:val="auto"/>
        </w:rPr>
      </w:pPr>
    </w:p>
    <w:p>
      <w:pPr>
        <w:jc w:val="both"/>
        <w:ind w:left="900" w:hanging="446"/>
        <w:spacing w:after="0" w:line="306"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 We used $631 million and $629 million for capital expenditures during the six months ended June 30, 2017 and 2016,</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The Company continues to maintain a disciplined focus on capital management, and fluctuations in our capital expenditures are a result of new business opportunities, growth in our existing business and the timing of replacement of aging assets.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46" w:name="page47"/>
    <w:bookmarkEnd w:id="46"/>
    <w:p>
      <w:pPr>
        <w:ind w:left="46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Net Cash Used in Financing Activities — </w:t>
      </w:r>
      <w:r>
        <w:rPr>
          <w:rFonts w:ascii="Arial" w:cs="Arial" w:eastAsia="Arial" w:hAnsi="Arial"/>
          <w:sz w:val="16"/>
          <w:szCs w:val="16"/>
          <w:color w:val="auto"/>
        </w:rPr>
        <w:t>The most significant items affecting the comparison of our financing cash flows for the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2017 and 2016 are summarized below:</w:t>
      </w:r>
    </w:p>
    <w:p>
      <w:pPr>
        <w:spacing w:after="0" w:line="84" w:lineRule="exact"/>
        <w:rPr>
          <w:sz w:val="20"/>
          <w:szCs w:val="20"/>
          <w:color w:val="auto"/>
        </w:rPr>
      </w:pPr>
    </w:p>
    <w:p>
      <w:pPr>
        <w:ind w:left="90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Debt Borrowings (Repayments) </w:t>
      </w:r>
      <w:r>
        <w:rPr>
          <w:rFonts w:ascii="Arial" w:cs="Arial" w:eastAsia="Arial" w:hAnsi="Arial"/>
          <w:sz w:val="18"/>
          <w:szCs w:val="18"/>
          <w:color w:val="auto"/>
        </w:rPr>
        <w:t>— The following summarizes our cash borrowings and debt repayments (excluding our commercial paper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discussed below) for the six months ended June 30 (in millions):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1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$2.25 billion revolving credit facility</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Canadian term loan and revolving credit facility</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Senior notes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Tax-exempt bonds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Other debt</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$2.25 billion revolving credit facility</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(451)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Canadian term loan and revolving credit facility</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Senior notes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Tax-exempt bonds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debt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(627)</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(1,517)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borrowings (repayments)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(541)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Refer to Note 3 to the Condensed Consolidated Financial Statements for additional information related to our debt borrowings and repayments.</w:t>
      </w:r>
    </w:p>
    <w:p>
      <w:pPr>
        <w:spacing w:after="0" w:line="113" w:lineRule="exact"/>
        <w:rPr>
          <w:sz w:val="20"/>
          <w:szCs w:val="20"/>
          <w:color w:val="auto"/>
        </w:rPr>
      </w:pPr>
    </w:p>
    <w:p>
      <w:pPr>
        <w:ind w:left="900" w:hanging="325"/>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Commercial Paper Program </w:t>
      </w:r>
      <w:r>
        <w:rPr>
          <w:rFonts w:ascii="Arial" w:cs="Arial" w:eastAsia="Arial" w:hAnsi="Arial"/>
          <w:sz w:val="16"/>
          <w:szCs w:val="16"/>
          <w:color w:val="auto"/>
        </w:rPr>
        <w:t>— During the six months ended June 30, 2017, we had net borrowings of $253 million under our commercial paper</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Refer to Note 3 to the Condensed Consolidated Financial Statements for additional information related to our commercial paper program.</w:t>
      </w:r>
    </w:p>
    <w:p>
      <w:pPr>
        <w:spacing w:after="0" w:line="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Common Stock Repurchase Program </w:t>
      </w:r>
      <w:r>
        <w:rPr>
          <w:rFonts w:ascii="Arial" w:cs="Arial" w:eastAsia="Arial" w:hAnsi="Arial"/>
          <w:sz w:val="18"/>
          <w:szCs w:val="18"/>
          <w:color w:val="auto"/>
        </w:rPr>
        <w:t>— We paid $250 million and $500 million for share repurchases during the six months ended June 30, 2017 and</w:t>
      </w:r>
      <w:r>
        <w:rPr>
          <w:rFonts w:ascii="Arial" w:cs="Arial" w:eastAsia="Arial" w:hAnsi="Arial"/>
          <w:sz w:val="18"/>
          <w:szCs w:val="18"/>
          <w:i w:val="1"/>
          <w:iCs w:val="1"/>
          <w:color w:val="auto"/>
        </w:rPr>
        <w:t xml:space="preserve"> </w:t>
      </w:r>
      <w:r>
        <w:rPr>
          <w:rFonts w:ascii="Arial" w:cs="Arial" w:eastAsia="Arial" w:hAnsi="Arial"/>
          <w:sz w:val="18"/>
          <w:szCs w:val="18"/>
          <w:color w:val="auto"/>
        </w:rPr>
        <w:t>2016, respectively. See Note 11 to the Condensed Consolidated Financial Statements for additional information.</w:t>
      </w:r>
    </w:p>
    <w:p>
      <w:pPr>
        <w:spacing w:after="0" w:line="5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Cash Dividends — </w:t>
      </w:r>
      <w:r>
        <w:rPr>
          <w:rFonts w:ascii="Arial" w:cs="Arial" w:eastAsia="Arial" w:hAnsi="Arial"/>
          <w:sz w:val="16"/>
          <w:szCs w:val="16"/>
          <w:color w:val="auto"/>
        </w:rPr>
        <w:t>We paid cash dividends of $381 million and $364 million during the six months ended June 30, 2017 and 2016, respectively.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dividend payments is primarily due to our quarterly per share dividend declared increasing from $0.41 in 2016 to $0.425 in 2017.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We have financial interests in unconsolidated variable interest entities as discussed in Note 13 to the Condensed Consolidated Financial Statements. Additionally, we are party to guarantee arrangements with unconsolidated entities as discussed in the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section of Note 6 to the Condensed Consolidated Financial Statements. These arrangements have not materially affected our financial position, results of operations or liquidity during the six months ended June 30, 2017, nor are they expected to have a material impact on our future financial position, results of operations or liquidity.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Pending Adoption</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In October 2016, the FASB issued ASU 2016-16 associated with the timing of recognition of income taxes for intra-entity transfers of</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other than inventory. The amended guidance requires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47" w:name="page48"/>
    <w:bookmarkEnd w:id="47"/>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recognition of income taxes when the transfer of the asset occurs, which replaces current GAAP that defers the recognition of income taxes until the transferred asset is sold to a third party or otherwise recovered through use. The amended guidance is effective for the Company on January 1, 2018. We are assessing the provisions of this amended guidance; however, we currently do not expect that the adoption of this amended guidance will have a material impact on our consolidated financial statements.</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Statement of Cash Flows — </w:t>
      </w:r>
      <w:r>
        <w:rPr>
          <w:rFonts w:ascii="Arial" w:cs="Arial" w:eastAsia="Arial" w:hAnsi="Arial"/>
          <w:sz w:val="16"/>
          <w:szCs w:val="16"/>
          <w:color w:val="auto"/>
        </w:rPr>
        <w:t>In August 2016, the FASB issued ASU 2016-15 associated with the classification of certain cash receipts and cash payments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statement of cash flows. In November 2016, the FASB issued ASU 2016-18 associated with the presentation of restricted cash and cash equivalents in the statement of cash flows. The objective of both amendments was to reduce existing diversity in practice. The amended guidance is effective for the Company on January 1, 2018. We are assessing the provisions of this amended guidance; however, we currently do not expect that the adoption of this amended guidance will have a material impact on our consolidated financial statements.</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Financial Instrument Credit Losses — </w:t>
      </w:r>
      <w:r>
        <w:rPr>
          <w:rFonts w:ascii="Arial" w:cs="Arial" w:eastAsia="Arial" w:hAnsi="Arial"/>
          <w:sz w:val="16"/>
          <w:szCs w:val="16"/>
          <w:color w:val="auto"/>
        </w:rPr>
        <w:t>In June 2016, the FASB issued ASU 2016-13 associated with the measurement of credit losses on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The amended guidance replaces the current incurred loss impairment methodology of recognizing credit losses when a loss is probable, with a methodology that reflects expected credit losses and requires consideration of a broader range of reasonable and supportable information to assess credit loss estimates. The amended guidance is effective for the Company on January 1, 2020, with early adoption permitted beginning January 1, 2019. We are assessing the provisions of this amended guidance and evaluating the impact on our consolidated financial statements.</w:t>
      </w:r>
    </w:p>
    <w:p>
      <w:pPr>
        <w:spacing w:after="0" w:line="11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 In February 2016, the FASB issued ASU 2016-02 associated with lease accounting. The amended guidance requires the recognition of lease</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lease liabilities on the balance sheet for those leases with terms in excess of 12 months and currently classified as operating leases. The disclosure of key information about leasing arrangements will also be required. The amended guidance is effective for the Company on January 1, 2019, with early adoption permitted. We are assessing the provisions of this amended guidance and we have (i) formed an implementation work team; (ii) performed training for the various organizations that will be most affected by the new standard and (iii) evaluated certain software solutions available to manage and account for leases under the new standard. We are still evaluating the impact of this amended guidance on our consolidated financial statements.</w:t>
      </w:r>
    </w:p>
    <w:p>
      <w:pPr>
        <w:spacing w:after="0" w:line="12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 In January 2016, the FASB issued ASU 2016-01 associated with the recognition and measurement of financial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The amended guidance will require certain equity investments that are not consolidated to be measured at fair value with changes in fair value recognized in net income rather than as a component of accumulated other comprehensive income. The amended guidance is effective for the Company on January 1, 2018. We are assessing the provisions of this amended guidance; however, we currently do not expect that the adoption of this amended guidance will have a material impact on our consolidated financial statements.</w:t>
      </w:r>
    </w:p>
    <w:p>
      <w:pPr>
        <w:spacing w:after="0" w:line="143"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In May 2014, the FASB issued ASU 2014-09 associated with revenue recognition. The amended guidance requires companies to</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 revenue to depict the transfer of promised goods or services to customers in an amount that reflects the consideration to which the entity expects to be entitled in exchange for those goods or services. Additionally, the amendments will require enhanced qualitative and quantitative disclosures regarding customer contracts. The amended guidance associated with revenue recognition is effective for the Company on January 1, 2018. The amended guidance may be applied retrospectively for all periods presented (“full retrospective method”) or retrospectively with the cumulative effect of initially applying the amended guidance recognized at the date of initial adoption (“modified retrospective method”). The Company is currently planning to adopt the amended guidance using the modified retrospective method as of January 1, 2018.</w:t>
      </w:r>
    </w:p>
    <w:p>
      <w:pPr>
        <w:spacing w:after="0" w:line="118"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To assess the impact of the standard, we utilized internal resources to lead the implementation effort and supplemented them with external resources. Our internal resources read the amended guidance, attended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48" w:name="page49"/>
    <w:bookmarkEnd w:id="48"/>
    <w:p>
      <w:pPr>
        <w:jc w:val="both"/>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trainings and consulted with other accounting professionals to assist with interpretation of the amended guidance. Surveys were sent to and returned by all operating segments to assess the potential impact of the amended guidance and to tailor specific procedures to evaluate the potential impact. Based on the results of these surveys, we judgmentally selected a sample of contracts based on size and specifically identified contract traits that could be accounted for differently under the amended guidance. We also selected a representative sample of contracts to corroborate the survey results. We have completed our preliminary review and analysis of all contracts selected for testing and we are in the process of performing additional analysis on certain contractual provisions, including provisions that could impact the classification of certain revenue streams and costs that are currently reported on a gross basis.</w:t>
      </w:r>
    </w:p>
    <w:p>
      <w:pPr>
        <w:spacing w:after="0" w:line="120" w:lineRule="exact"/>
        <w:rPr>
          <w:sz w:val="20"/>
          <w:szCs w:val="20"/>
          <w:color w:val="auto"/>
        </w:rPr>
      </w:pPr>
    </w:p>
    <w:p>
      <w:pPr>
        <w:jc w:val="both"/>
        <w:ind w:firstLine="456"/>
        <w:spacing w:after="0" w:line="318" w:lineRule="auto"/>
        <w:rPr>
          <w:sz w:val="20"/>
          <w:szCs w:val="20"/>
          <w:color w:val="auto"/>
        </w:rPr>
      </w:pPr>
      <w:r>
        <w:rPr>
          <w:rFonts w:ascii="Arial" w:cs="Arial" w:eastAsia="Arial" w:hAnsi="Arial"/>
          <w:sz w:val="15"/>
          <w:szCs w:val="15"/>
          <w:color w:val="auto"/>
        </w:rPr>
        <w:t>Based on our work to date, we believe we have identified all material contract types and costs that may be impacted by this amended guidance. We expect to quantify and disclose the expected impact, if any, of adopting this amended guidance in the Quarterly Report on Form 10-Q for the third quarter of 2017. While we are still evaluating the impact of the amended guidance, we currently do not expect it to have a material impact on operating revenues. However, upon adoption of the amended guidance, we anticipate recognizing an asset from the capitalization of sales incentives as contract acquisitions costs. Under the amended guidance, sales incentives will be capitalized and amortized to selling, general and administrative expense over the expected life of the customer relationship.</w:t>
      </w:r>
    </w:p>
    <w:p>
      <w:pPr>
        <w:spacing w:after="0" w:line="10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noted above, we are still evaluating the possible impacts on our consolidated financial statements, including (i) potential changes in the classification of certain revenue streams and costs currently reported on a gross basis (e.g., franchise fees paid to municipalities); (ii) the amount of sales incentives that will be capitalized and (iii) additional disclosure requirements.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4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Service disruptions caused by severe storms, extended periods of inclement weather or climate extremes resulting from climate change can significantly affect the operating results of the Areas affected. On the other hand, certain destructive weather conditions that tend to occur during the second half of the year, such as the hurricanes that most often impact our operations in the Southern and Eastern United States, can increase our revenues in the Areas affected. While weather conditions and other event driven special projects can boost revenues through additional work for a limited time, as a result of significant start-up costs and other factors, such revenue can generate earnings at comparatively lower margins.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While inflationary increases in costs can affect our income from operations margins, we believe that inflation generally has not had, and in the near future is not expected to have, any material adverse effect on our results of operations. However, a portion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Information about market risks as of June 30, 2017, does not differ materially from that discussed under Item 7A in our Annual Report on Form 10-K for the year ended December 31, 2016.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Item 4.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June 30, 2017 (the end of the period covered by this Quarterly Report on Form 10-Q).</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June 30, 2017. We determined that there were no changes in our internal control over financial reporting during the quarter ended June 30, 2017 that have materially affected, or are reasonably likely to materially affect, our internal control over financial reporting.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Information regarding our legal proceedings can be found under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6 to the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There have been no material changes to the risk factors previously disclosed in our Annual Report on Form 10-K for the year ended December 31, 2016 in response to Item 1A to Part I of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common stock repurchases made during the second quarter of 2017 (shares in millions):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Total</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Approximate Maximum</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880" w:type="dxa"/>
            <w:vAlign w:val="bottom"/>
          </w:tcPr>
          <w:p>
            <w:pPr>
              <w:spacing w:after="0"/>
              <w:rPr>
                <w:sz w:val="12"/>
                <w:szCs w:val="12"/>
                <w:color w:val="auto"/>
              </w:rPr>
            </w:pPr>
          </w:p>
        </w:tc>
        <w:tc>
          <w:tcPr>
            <w:tcW w:w="154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Average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Dollar Value of Shares that</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4060" w:type="dxa"/>
            <w:vAlign w:val="bottom"/>
            <w:vMerge w:val="restart"/>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880" w:type="dxa"/>
            <w:vAlign w:val="bottom"/>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Paid</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 Plans or</w:t>
            </w:r>
          </w:p>
        </w:tc>
        <w:tc>
          <w:tcPr>
            <w:tcW w:w="900" w:type="dxa"/>
            <w:vAlign w:val="bottom"/>
          </w:tcPr>
          <w:p>
            <w:pPr>
              <w:spacing w:after="0"/>
              <w:rPr>
                <w:sz w:val="12"/>
                <w:szCs w:val="12"/>
                <w:color w:val="auto"/>
              </w:rPr>
            </w:pPr>
          </w:p>
        </w:tc>
        <w:tc>
          <w:tcPr>
            <w:tcW w:w="1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May Yet be Purchased Under</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4060" w:type="dxa"/>
            <w:vAlign w:val="bottom"/>
            <w:vMerge w:val="continue"/>
          </w:tcPr>
          <w:p>
            <w:pPr>
              <w:spacing w:after="0"/>
              <w:rPr>
                <w:sz w:val="14"/>
                <w:szCs w:val="14"/>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Purchased</w:t>
            </w:r>
          </w:p>
        </w:tc>
        <w:tc>
          <w:tcPr>
            <w:tcW w:w="880" w:type="dxa"/>
            <w:vAlign w:val="bottom"/>
          </w:tcPr>
          <w:p>
            <w:pPr>
              <w:spacing w:after="0"/>
              <w:rPr>
                <w:sz w:val="14"/>
                <w:szCs w:val="14"/>
                <w:color w:val="auto"/>
              </w:rPr>
            </w:pPr>
          </w:p>
        </w:tc>
        <w:tc>
          <w:tcPr>
            <w:tcW w:w="1540" w:type="dxa"/>
            <w:vAlign w:val="bottom"/>
            <w:gridSpan w:val="3"/>
          </w:tcPr>
          <w:p>
            <w:pPr>
              <w:jc w:val="center"/>
              <w:ind w:right="900"/>
              <w:spacing w:after="0" w:line="148" w:lineRule="exact"/>
              <w:rPr>
                <w:sz w:val="20"/>
                <w:szCs w:val="20"/>
                <w:color w:val="auto"/>
              </w:rPr>
            </w:pPr>
            <w:r>
              <w:rPr>
                <w:rFonts w:ascii="Arial" w:cs="Arial" w:eastAsia="Arial" w:hAnsi="Arial"/>
                <w:sz w:val="14"/>
                <w:szCs w:val="14"/>
                <w:b w:val="1"/>
                <w:bCs w:val="1"/>
                <w:color w:val="auto"/>
                <w:w w:val="86"/>
              </w:rPr>
              <w:t>per Share</w:t>
            </w:r>
          </w:p>
        </w:tc>
        <w:tc>
          <w:tcPr>
            <w:tcW w:w="12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Programs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5"/>
              </w:rPr>
              <w:t>the Plans or Programs</w:t>
            </w:r>
          </w:p>
        </w:tc>
        <w:tc>
          <w:tcPr>
            <w:tcW w:w="0" w:type="dxa"/>
            <w:vAlign w:val="bottom"/>
          </w:tcPr>
          <w:p>
            <w:pPr>
              <w:spacing w:after="0"/>
              <w:rPr>
                <w:sz w:val="1"/>
                <w:szCs w:val="1"/>
                <w:color w:val="auto"/>
              </w:rPr>
            </w:pPr>
          </w:p>
        </w:tc>
      </w:tr>
      <w:tr>
        <w:trPr>
          <w:trHeight w:val="203"/>
        </w:trPr>
        <w:tc>
          <w:tcPr>
            <w:tcW w:w="44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April 1 — 30</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ind w:left="840"/>
              <w:spacing w:after="0" w:line="203" w:lineRule="exact"/>
              <w:rPr>
                <w:sz w:val="20"/>
                <w:szCs w:val="20"/>
                <w:color w:val="auto"/>
              </w:rPr>
            </w:pPr>
            <w:r>
              <w:rPr>
                <w:rFonts w:ascii="Arial" w:cs="Arial" w:eastAsia="Arial" w:hAnsi="Arial"/>
                <w:sz w:val="18"/>
                <w:szCs w:val="18"/>
                <w:color w:val="auto"/>
                <w:w w:val="90"/>
              </w:rPr>
              <w:t>750 million</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May 1 — 31</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900"/>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ind w:left="840"/>
              <w:spacing w:after="0"/>
              <w:rPr>
                <w:sz w:val="20"/>
                <w:szCs w:val="20"/>
                <w:color w:val="auto"/>
              </w:rPr>
            </w:pPr>
            <w:r>
              <w:rPr>
                <w:rFonts w:ascii="Arial" w:cs="Arial" w:eastAsia="Arial" w:hAnsi="Arial"/>
                <w:sz w:val="18"/>
                <w:szCs w:val="18"/>
                <w:color w:val="auto"/>
                <w:w w:val="97"/>
              </w:rPr>
              <w:t>750 million</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 30</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73.46</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98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7"/>
              </w:rPr>
              <w:t>500 million</w:t>
            </w:r>
          </w:p>
        </w:tc>
        <w:tc>
          <w:tcPr>
            <w:tcW w:w="0" w:type="dxa"/>
            <w:vAlign w:val="bottom"/>
          </w:tcPr>
          <w:p>
            <w:pPr>
              <w:spacing w:after="0"/>
              <w:rPr>
                <w:sz w:val="1"/>
                <w:szCs w:val="1"/>
                <w:color w:val="auto"/>
              </w:rPr>
            </w:pPr>
          </w:p>
        </w:tc>
      </w:tr>
      <w:tr>
        <w:trPr>
          <w:trHeight w:val="222"/>
        </w:trPr>
        <w:tc>
          <w:tcPr>
            <w:tcW w:w="44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900"/>
              <w:spacing w:after="0"/>
              <w:rPr>
                <w:sz w:val="20"/>
                <w:szCs w:val="20"/>
                <w:color w:val="auto"/>
              </w:rPr>
            </w:pPr>
            <w:r>
              <w:rPr>
                <w:rFonts w:ascii="Arial" w:cs="Arial" w:eastAsia="Arial" w:hAnsi="Arial"/>
                <w:sz w:val="18"/>
                <w:szCs w:val="18"/>
                <w:color w:val="auto"/>
              </w:rPr>
              <w:t>73.46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June 2017, we entered into an accelerated share repurchase (“ASR”) agreement to repurchase $250 million of our common stock. At the beginning of the repurchase period, we delivered $250 million in cash and received 2.7 million shares based on a stock price of $73.46. The final number of shares to be repurchased and the final average price per share under the ASR agreement will depend on the volume-weighted average price of our stock, less a discount, during the term of the agreement. Purchases under the ASR agreement are expected to be completed in August 2017.</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Any future share repurchases pursuant to the authorization of our Board of Directors will be made at the discretion of management and will depend on factors similar to those considered by the Board of Directors in making dividend declarations, including our net earnings, financial condition and cash required for future business plans.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Item 6. </w:t>
      </w:r>
      <w:r>
        <w:rPr>
          <w:rFonts w:ascii="Arial" w:cs="Arial" w:eastAsia="Arial" w:hAnsi="Arial"/>
          <w:sz w:val="16"/>
          <w:szCs w:val="16"/>
          <w:b w:val="1"/>
          <w:bCs w:val="1"/>
          <w:i w:val="1"/>
          <w:iCs w:val="1"/>
          <w:color w:val="auto"/>
        </w:rPr>
        <w:t>Exhibits.</w:t>
      </w:r>
    </w:p>
    <w:p>
      <w:pPr>
        <w:sectPr>
          <w:pgSz w:w="11900" w:h="16838" w:orient="portrait"/>
          <w:cols w:equalWidth="0" w:num="1">
            <w:col w:w="11420"/>
          </w:cols>
          <w:pgMar w:left="240" w:top="274" w:right="239" w:bottom="1440" w:gutter="0" w:footer="0" w:header="0"/>
        </w:sectPr>
      </w:pPr>
    </w:p>
    <w:p>
      <w:pPr>
        <w:spacing w:after="0" w:line="236" w:lineRule="exact"/>
        <w:rPr>
          <w:sz w:val="20"/>
          <w:szCs w:val="20"/>
          <w:color w:val="auto"/>
        </w:rPr>
      </w:pPr>
    </w:p>
    <w:p>
      <w:pPr>
        <w:jc w:val="center"/>
        <w:ind w:right="454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54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3771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Description</w:t>
      </w:r>
    </w:p>
    <w:p>
      <w:pPr>
        <w:spacing w:after="0" w:line="136" w:lineRule="exact"/>
        <w:rPr>
          <w:sz w:val="20"/>
          <w:szCs w:val="20"/>
          <w:color w:val="auto"/>
        </w:rPr>
      </w:pPr>
    </w:p>
    <w:p>
      <w:pPr>
        <w:sectPr>
          <w:pgSz w:w="11900" w:h="16838" w:orient="portrait"/>
          <w:cols w:equalWidth="0" w:num="2">
            <w:col w:w="5220" w:space="720"/>
            <w:col w:w="5480"/>
          </w:cols>
          <w:pgMar w:left="240" w:top="274" w:right="239" w:bottom="1440" w:gutter="0" w:footer="0" w:header="0"/>
          <w:type w:val="continuous"/>
        </w:sectPr>
      </w:pPr>
    </w:p>
    <w:p>
      <w:pPr>
        <w:ind w:left="760" w:hanging="1133"/>
        <w:spacing w:after="0" w:line="268" w:lineRule="auto"/>
        <w:tabs>
          <w:tab w:leader="none" w:pos="7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 Certification Pursuant to Rules 13a-14(a) and 15d-14(a) under the Securities Exchange Act of 1934, as amended, of James C. Fish, Jr., President and Chief Executive Officer.</w:t>
      </w:r>
    </w:p>
    <w:p>
      <w:pPr>
        <w:spacing w:after="0" w:line="78" w:lineRule="exact"/>
        <w:rPr>
          <w:sz w:val="20"/>
          <w:szCs w:val="20"/>
          <w:color w:val="auto"/>
        </w:rPr>
      </w:pPr>
    </w:p>
    <w:p>
      <w:pPr>
        <w:ind w:left="760" w:right="20" w:hanging="1133"/>
        <w:spacing w:after="0" w:line="268" w:lineRule="auto"/>
        <w:tabs>
          <w:tab w:leader="none" w:pos="7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 Certification Pursuant to Rules 13a-14(a) and 15d-14(a) under the Securities Exchange Act of 1934, as amended, of Devina A. Rankin, Senior Vice President, Chief Financial Officer and Treasurer.</w:t>
      </w:r>
    </w:p>
    <w:p>
      <w:pPr>
        <w:spacing w:after="0" w:line="78" w:lineRule="exact"/>
        <w:rPr>
          <w:sz w:val="20"/>
          <w:szCs w:val="20"/>
          <w:color w:val="auto"/>
        </w:rPr>
      </w:pPr>
    </w:p>
    <w:p>
      <w:pPr>
        <w:spacing w:after="0"/>
        <w:tabs>
          <w:tab w:leader="none" w:pos="740" w:val="left"/>
          <w:tab w:leader="none" w:pos="11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Certification Pursuant to 18 U.S.C. §1350 of James C. Fish, Jr., President and Chief Executive Officer.</w:t>
      </w:r>
    </w:p>
    <w:p>
      <w:pPr>
        <w:spacing w:after="0" w:line="117" w:lineRule="exact"/>
        <w:rPr>
          <w:sz w:val="20"/>
          <w:szCs w:val="20"/>
          <w:color w:val="auto"/>
        </w:rPr>
      </w:pPr>
    </w:p>
    <w:p>
      <w:pPr>
        <w:spacing w:after="0"/>
        <w:tabs>
          <w:tab w:leader="none" w:pos="740" w:val="left"/>
          <w:tab w:leader="none" w:pos="11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Certification Pursuant to 18 U.S.C. §1350 of Devina A. Rankin, Senior Vice President, Chief Financial Officer and Treasurer.</w:t>
      </w:r>
    </w:p>
    <w:p>
      <w:pPr>
        <w:spacing w:after="0" w:line="117" w:lineRule="exact"/>
        <w:rPr>
          <w:sz w:val="20"/>
          <w:szCs w:val="20"/>
          <w:color w:val="auto"/>
        </w:rPr>
      </w:pPr>
    </w:p>
    <w:p>
      <w:pPr>
        <w:ind w:right="8360" w:firstLine="8"/>
        <w:spacing w:after="0" w:line="375" w:lineRule="auto"/>
        <w:tabs>
          <w:tab w:leader="none" w:pos="756" w:val="left"/>
        </w:tabs>
        <w:numPr>
          <w:ilvl w:val="0"/>
          <w:numId w:val="40"/>
        </w:numPr>
        <w:rPr>
          <w:rFonts w:ascii="Arial" w:cs="Arial" w:eastAsia="Arial" w:hAnsi="Arial"/>
          <w:sz w:val="18"/>
          <w:szCs w:val="18"/>
          <w:color w:val="auto"/>
        </w:rPr>
      </w:pPr>
      <w:r>
        <w:rPr>
          <w:rFonts w:ascii="Arial" w:cs="Arial" w:eastAsia="Arial" w:hAnsi="Arial"/>
          <w:sz w:val="18"/>
          <w:szCs w:val="18"/>
          <w:color w:val="auto"/>
        </w:rPr>
        <w:t>— Mine Safety Disclosures. 101.INS — XBRL Instance Document.</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101.SCH —  XBRL Taxonomy Extension Schema Document.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101.CAL —  XBRL Taxonomy Extension Calculation Linkbase Document.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101.DEF  —  XBRL Taxonomy Extension Definition Linkbase Document.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101.LAB —  XBRL Taxonomy Extension Labels Linkbase Document.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101.PRE  —  XBRL Taxonomy Extension Presentation Linkbase Document.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type w:val="continuous"/>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6860"/>
        <w:spacing w:after="0"/>
        <w:tabs>
          <w:tab w:leader="none" w:pos="8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Devina A. Rankin</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Senior Vice President, Chief Financial Officer and</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Treasurer</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(Principal Financial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6860"/>
        <w:spacing w:after="0"/>
        <w:tabs>
          <w:tab w:leader="none" w:pos="8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DARREN K. SHADE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Darren K. Shade</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Vice President and</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(Principal Accounting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2017</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James C. Fish, Jr., certify that: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225" w:lineRule="exact"/>
        <w:rPr>
          <w:sz w:val="20"/>
          <w:szCs w:val="20"/>
          <w:color w:val="auto"/>
        </w:rPr>
      </w:pPr>
    </w:p>
    <w:p>
      <w:pPr>
        <w:ind w:right="300" w:firstLine="464"/>
        <w:spacing w:after="0" w:line="342" w:lineRule="auto"/>
        <w:tabs>
          <w:tab w:leader="none" w:pos="646"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64"/>
        <w:spacing w:after="0" w:line="277" w:lineRule="auto"/>
        <w:tabs>
          <w:tab w:leader="none" w:pos="697"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464"/>
        <w:spacing w:after="0" w:line="264" w:lineRule="auto"/>
        <w:tabs>
          <w:tab w:leader="none" w:pos="6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73" w:lineRule="exact"/>
        <w:rPr>
          <w:rFonts w:ascii="Arial" w:cs="Arial" w:eastAsia="Arial" w:hAnsi="Arial"/>
          <w:sz w:val="18"/>
          <w:szCs w:val="18"/>
          <w:color w:val="auto"/>
        </w:rPr>
      </w:pPr>
    </w:p>
    <w:p>
      <w:pPr>
        <w:ind w:left="460" w:right="80" w:firstLine="443"/>
        <w:spacing w:after="0" w:line="264" w:lineRule="auto"/>
        <w:tabs>
          <w:tab w:leader="none" w:pos="111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0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108"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60" w:right="80" w:firstLine="443"/>
        <w:spacing w:after="0" w:line="264" w:lineRule="auto"/>
        <w:tabs>
          <w:tab w:leader="none" w:pos="111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464"/>
        <w:spacing w:after="0" w:line="277" w:lineRule="auto"/>
        <w:tabs>
          <w:tab w:leader="none" w:pos="62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2" w:lineRule="exact"/>
        <w:rPr>
          <w:rFonts w:ascii="Arial" w:cs="Arial" w:eastAsia="Arial" w:hAnsi="Arial"/>
          <w:sz w:val="18"/>
          <w:szCs w:val="18"/>
          <w:color w:val="auto"/>
        </w:rPr>
      </w:pPr>
    </w:p>
    <w:p>
      <w:pPr>
        <w:ind w:left="460" w:right="740" w:firstLine="443"/>
        <w:spacing w:after="0" w:line="308" w:lineRule="auto"/>
        <w:tabs>
          <w:tab w:leader="none" w:pos="1118"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520" w:firstLine="443"/>
        <w:spacing w:after="0" w:line="277" w:lineRule="auto"/>
        <w:tabs>
          <w:tab w:leader="none" w:pos="110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James C. Fish, Jr.</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2017</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Devina A. Rankin, certify that: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225" w:lineRule="exact"/>
        <w:rPr>
          <w:sz w:val="20"/>
          <w:szCs w:val="20"/>
          <w:color w:val="auto"/>
        </w:rPr>
      </w:pPr>
    </w:p>
    <w:p>
      <w:pPr>
        <w:ind w:right="300" w:firstLine="464"/>
        <w:spacing w:after="0" w:line="342" w:lineRule="auto"/>
        <w:tabs>
          <w:tab w:leader="none" w:pos="646"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64"/>
        <w:spacing w:after="0" w:line="277" w:lineRule="auto"/>
        <w:tabs>
          <w:tab w:leader="none" w:pos="697"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464"/>
        <w:spacing w:after="0" w:line="264" w:lineRule="auto"/>
        <w:tabs>
          <w:tab w:leader="none" w:pos="6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73" w:lineRule="exact"/>
        <w:rPr>
          <w:rFonts w:ascii="Arial" w:cs="Arial" w:eastAsia="Arial" w:hAnsi="Arial"/>
          <w:sz w:val="18"/>
          <w:szCs w:val="18"/>
          <w:color w:val="auto"/>
        </w:rPr>
      </w:pPr>
    </w:p>
    <w:p>
      <w:pPr>
        <w:ind w:left="460" w:right="80" w:firstLine="443"/>
        <w:spacing w:after="0" w:line="264" w:lineRule="auto"/>
        <w:tabs>
          <w:tab w:leader="none" w:pos="111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0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108"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60" w:right="80" w:firstLine="443"/>
        <w:spacing w:after="0" w:line="264" w:lineRule="auto"/>
        <w:tabs>
          <w:tab w:leader="none" w:pos="111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464"/>
        <w:spacing w:after="0" w:line="277" w:lineRule="auto"/>
        <w:tabs>
          <w:tab w:leader="none" w:pos="62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2" w:lineRule="exact"/>
        <w:rPr>
          <w:rFonts w:ascii="Arial" w:cs="Arial" w:eastAsia="Arial" w:hAnsi="Arial"/>
          <w:sz w:val="18"/>
          <w:szCs w:val="18"/>
          <w:color w:val="auto"/>
        </w:rPr>
      </w:pPr>
    </w:p>
    <w:p>
      <w:pPr>
        <w:ind w:left="460" w:right="740" w:firstLine="443"/>
        <w:spacing w:after="0" w:line="308" w:lineRule="auto"/>
        <w:tabs>
          <w:tab w:leader="none" w:pos="1118"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520" w:firstLine="443"/>
        <w:spacing w:after="0" w:line="277" w:lineRule="auto"/>
        <w:tabs>
          <w:tab w:leader="none" w:pos="110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Devina A. Rankin</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i w:val="1"/>
          <w:iCs w:val="1"/>
          <w:color w:val="auto"/>
        </w:rPr>
        <w:t>Senior Vice President, Chief Financial Officer and</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i w:val="1"/>
          <w:iCs w:val="1"/>
          <w:color w:val="auto"/>
        </w:rPr>
        <w:t>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2017</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June 30, 2017 as filed with the Securities and Exchange Commission on the date hereof (the “Report”), I, James C. Fish, Jr., Chief Executive Officer of the Company, certify, pursuant to 18 U.S.C. § 1350, as adopted pursuant to § 906 of the Sarbanes-Oxley Act of 2002, that:</w:t>
      </w:r>
    </w:p>
    <w:p>
      <w:pPr>
        <w:spacing w:after="0" w:line="73" w:lineRule="exact"/>
        <w:rPr>
          <w:sz w:val="20"/>
          <w:szCs w:val="20"/>
          <w:color w:val="auto"/>
        </w:rPr>
      </w:pPr>
    </w:p>
    <w:p>
      <w:pPr>
        <w:ind w:left="1160" w:hanging="257"/>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00" w:firstLine="443"/>
        <w:spacing w:after="0" w:line="277" w:lineRule="auto"/>
        <w:tabs>
          <w:tab w:leader="none" w:pos="115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0"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James C. Fish, Jr.</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26, 2017</w:t>
      </w:r>
    </w:p>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June 30, 2017 as filed with the Securities and Exchange Commission on the date hereof (the “Report”), I, Devina A. Rankin, Chief Financial Officer of the Company, certify, pursuant to 18 U.S.C. § 1350, as adopted pursuant to § 906 of the Sarbanes-Oxley Act of 2002, that:</w:t>
      </w:r>
    </w:p>
    <w:p>
      <w:pPr>
        <w:spacing w:after="0" w:line="73" w:lineRule="exact"/>
        <w:rPr>
          <w:sz w:val="20"/>
          <w:szCs w:val="20"/>
          <w:color w:val="auto"/>
        </w:rPr>
      </w:pPr>
    </w:p>
    <w:p>
      <w:pPr>
        <w:ind w:left="1160" w:hanging="257"/>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00" w:firstLine="443"/>
        <w:spacing w:after="0" w:line="277" w:lineRule="auto"/>
        <w:tabs>
          <w:tab w:leader="none" w:pos="115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Devina A. Rankin</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Senior Vice President, Chief Financial Officer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26, 2017</w:t>
      </w:r>
    </w:p>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8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During the quarter ended June 30, 2017,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78"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In addition, during the quarter ended June 30, 2017,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decimal"/>
      <w:start w:val="2"/>
    </w:lvl>
  </w:abstractNum>
  <w:abstractNum w:abstractNumId="5">
    <w:nsid w:val="79838CB2"/>
    <w:multiLevelType w:val="hybridMultilevel"/>
    <w:lvl w:ilvl="0">
      <w:lvlJc w:val="left"/>
      <w:lvlText w:val="%1."/>
      <w:numFmt w:val="decimal"/>
      <w:start w:val="3"/>
    </w:lvl>
  </w:abstractNum>
  <w:abstractNum w:abstractNumId="6">
    <w:nsid w:val="4353D0CD"/>
    <w:multiLevelType w:val="hybridMultilevel"/>
    <w:lvl w:ilvl="0">
      <w:lvlJc w:val="left"/>
      <w:lvlText w:val="%1."/>
      <w:numFmt w:val="decimal"/>
      <w:start w:val="4"/>
    </w:lvl>
  </w:abstractNum>
  <w:abstractNum w:abstractNumId="7">
    <w:nsid w:val="B03E0C6"/>
    <w:multiLevelType w:val="hybridMultilevel"/>
    <w:lvl w:ilvl="0">
      <w:lvlJc w:val="left"/>
      <w:lvlText w:val="%1."/>
      <w:numFmt w:val="decimal"/>
      <w:start w:val="5"/>
    </w:lvl>
  </w:abstractNum>
  <w:abstractNum w:abstractNumId="8">
    <w:nsid w:val="189A769B"/>
    <w:multiLevelType w:val="hybridMultilevel"/>
    <w:lvl w:ilvl="0">
      <w:lvlJc w:val="left"/>
      <w:lvlText w:val="(%1)"/>
      <w:numFmt w:val="lowerLetter"/>
      <w:start w:val="1"/>
    </w:lvl>
  </w:abstractNum>
  <w:abstractNum w:abstractNumId="9">
    <w:nsid w:val="54E49EB4"/>
    <w:multiLevelType w:val="hybridMultilevel"/>
    <w:lvl w:ilvl="0">
      <w:lvlJc w:val="left"/>
      <w:lvlText w:val="%1."/>
      <w:numFmt w:val="decimal"/>
      <w:start w:val="6"/>
    </w:lvl>
  </w:abstractNum>
  <w:abstractNum w:abstractNumId="10">
    <w:nsid w:val="71F32454"/>
    <w:multiLevelType w:val="hybridMultilevel"/>
    <w:lvl w:ilvl="0">
      <w:lvlJc w:val="left"/>
      <w:lvlText w:val="%1."/>
      <w:numFmt w:val="decimal"/>
      <w:start w:val="7"/>
    </w:lvl>
  </w:abstractNum>
  <w:abstractNum w:abstractNumId="11">
    <w:nsid w:val="2CA88611"/>
    <w:multiLevelType w:val="hybridMultilevel"/>
    <w:lvl w:ilvl="0">
      <w:lvlJc w:val="left"/>
      <w:lvlText w:val="%1."/>
      <w:numFmt w:val="decimal"/>
      <w:start w:val="8"/>
    </w:lvl>
  </w:abstractNum>
  <w:abstractNum w:abstractNumId="12">
    <w:nsid w:val="836C40E"/>
    <w:multiLevelType w:val="hybridMultilevel"/>
    <w:lvl w:ilvl="0">
      <w:lvlJc w:val="left"/>
      <w:lvlText w:val="%1."/>
      <w:numFmt w:val="decimal"/>
      <w:start w:val="9"/>
    </w:lvl>
  </w:abstractNum>
  <w:abstractNum w:abstractNumId="13">
    <w:nsid w:val="2901D82"/>
    <w:multiLevelType w:val="hybridMultilevel"/>
    <w:lvl w:ilvl="0">
      <w:lvlJc w:val="left"/>
      <w:lvlText w:val="%1."/>
      <w:numFmt w:val="decimal"/>
      <w:start w:val="10"/>
    </w:lvl>
  </w:abstractNum>
  <w:abstractNum w:abstractNumId="14">
    <w:nsid w:val="3A95F874"/>
    <w:multiLevelType w:val="hybridMultilevel"/>
    <w:lvl w:ilvl="0">
      <w:lvlJc w:val="left"/>
      <w:lvlText w:val="%1."/>
      <w:numFmt w:val="decimal"/>
      <w:start w:val="11"/>
    </w:lvl>
  </w:abstractNum>
  <w:abstractNum w:abstractNumId="15">
    <w:nsid w:val="8138641"/>
    <w:multiLevelType w:val="hybridMultilevel"/>
    <w:lvl w:ilvl="0">
      <w:lvlJc w:val="left"/>
      <w:lvlText w:val="%1."/>
      <w:numFmt w:val="decimal"/>
      <w:start w:val="12"/>
    </w:lvl>
  </w:abstractNum>
  <w:abstractNum w:abstractNumId="16">
    <w:nsid w:val="1E7FF521"/>
    <w:multiLevelType w:val="hybridMultilevel"/>
    <w:lvl w:ilvl="0">
      <w:lvlJc w:val="left"/>
      <w:lvlText w:val="(%1)"/>
      <w:numFmt w:val="lowerLetter"/>
      <w:start w:val="1"/>
    </w:lvl>
  </w:abstractNum>
  <w:abstractNum w:abstractNumId="17">
    <w:nsid w:val="7C3DBD3D"/>
    <w:multiLevelType w:val="hybridMultilevel"/>
    <w:lvl w:ilvl="0">
      <w:lvlJc w:val="left"/>
      <w:lvlText w:val="%1."/>
      <w:numFmt w:val="decimal"/>
      <w:start w:val="13"/>
    </w:lvl>
  </w:abstractNum>
  <w:abstractNum w:abstractNumId="18">
    <w:nsid w:val="737B8DDC"/>
    <w:multiLevelType w:val="hybridMultilevel"/>
    <w:lvl w:ilvl="0">
      <w:lvlJc w:val="left"/>
      <w:lvlText w:val="%1."/>
      <w:numFmt w:val="decimal"/>
      <w:start w:val="14"/>
    </w:lvl>
  </w:abstractNum>
  <w:abstractNum w:abstractNumId="19">
    <w:nsid w:val="6CEAF087"/>
    <w:multiLevelType w:val="hybridMultilevel"/>
    <w:lvl w:ilvl="0">
      <w:lvlJc w:val="left"/>
      <w:lvlText w:val="(%1)"/>
      <w:numFmt w:val="lowerLetter"/>
      <w:start w:val="1"/>
    </w:lvl>
  </w:abstractNum>
  <w:abstractNum w:abstractNumId="20">
    <w:nsid w:val="22221A70"/>
    <w:multiLevelType w:val="hybridMultilevel"/>
    <w:lvl w:ilvl="0">
      <w:lvlJc w:val="left"/>
      <w:lvlText w:val="%1."/>
      <w:numFmt w:val="decimal"/>
      <w:start w:val="15"/>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lvl w:ilvl="1">
      <w:lvlJc w:val="left"/>
      <w:lvlText w:val="(%2)"/>
      <w:numFmt w:val="lowerRoman"/>
      <w:start w:val="2"/>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1)"/>
      <w:numFmt w:val="lowerLetter"/>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1)"/>
      <w:numFmt w:val="lowerLetter"/>
      <w:start w:val="1"/>
    </w:lvl>
  </w:abstractNum>
  <w:abstractNum w:abstractNumId="30">
    <w:nsid w:val="7724C67E"/>
    <w:multiLevelType w:val="hybridMultilevel"/>
    <w:lvl w:ilvl="0">
      <w:lvlJc w:val="left"/>
      <w:lvlText w:val="(%1)"/>
      <w:numFmt w:val="lowerLetter"/>
      <w:start w:val="2"/>
    </w:lvl>
  </w:abstractNum>
  <w:abstractNum w:abstractNumId="31">
    <w:nsid w:val="5C482A97"/>
    <w:multiLevelType w:val="hybridMultilevel"/>
    <w:lvl w:ilvl="0">
      <w:lvlJc w:val="left"/>
      <w:lvlText w:val="(%1)"/>
      <w:numFmt w:val="lowerRoman"/>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1)"/>
      <w:numFmt w:val="lowerLetter"/>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1"/>
      <w:numFmt w:val="decimal"/>
      <w:start w:val="95"/>
    </w:lvl>
  </w:abstractNum>
  <w:abstractNum w:abstractNumId="40">
    <w:nsid w:val="6A2342EC"/>
    <w:multiLevelType w:val="hybridMultilevel"/>
    <w:lvl w:ilvl="0">
      <w:lvlJc w:val="left"/>
      <w:lvlText w:val="%1."/>
      <w:numFmt w:val="lowerRoman"/>
      <w:start w:val="2"/>
    </w:lvl>
    <w:lvl w:ilvl="1">
      <w:lvlJc w:val="left"/>
      <w:lvlText w:val="%2."/>
      <w:numFmt w:val="upperLetter"/>
      <w:start w:val="1"/>
    </w:lvl>
  </w:abstractNum>
  <w:abstractNum w:abstractNumId="41">
    <w:nsid w:val="2A487CB0"/>
    <w:multiLevelType w:val="hybridMultilevel"/>
    <w:lvl w:ilvl="0">
      <w:lvlJc w:val="left"/>
      <w:lvlText w:val="%1."/>
      <w:numFmt w:val="lowerRoman"/>
      <w:start w:val="2"/>
    </w:lvl>
    <w:lvl w:ilvl="1">
      <w:lvlJc w:val="left"/>
      <w:lvlText w:val="%2."/>
      <w:numFmt w:val="upp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2019-12-05T15:53:21Z</dcterms:created>
  <dcterms:modified xsi:type="dcterms:W3CDTF">2019-12-05T15:53:21Z</dcterms:modified>
</cp:coreProperties>
</file>