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24,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quarter ended March 31, 2014,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10543459.</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such non-GAAP measures and reconciliations of such measures to their most comparable GAAP measures in the footnote and schedules to the press release.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April 24, 2014</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0" w:right="3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24, 2014</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Rick L Wittenbraker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General Counsel</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8"/>
              </w:rPr>
              <w:t>Press Release dated April 24, 2014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6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Waste Management Announces First Quarter Earnings</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Net Income Grows More Than 35 Percent and Income from Operations Margin Grows 170 Basis Points</w:t>
      </w:r>
    </w:p>
    <w:p>
      <w:pPr>
        <w:spacing w:after="0" w:line="28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HOUSTON — April 24, 2014</w:t>
      </w:r>
      <w:r>
        <w:rPr>
          <w:rFonts w:ascii="Arial" w:cs="Arial" w:eastAsia="Arial" w:hAnsi="Arial"/>
          <w:sz w:val="18"/>
          <w:szCs w:val="18"/>
          <w:color w:val="auto"/>
        </w:rPr>
        <w:t>— Waste Management, Inc. (NYSE: WM) today announced financial results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quarter ended March 31, 2014. Revenues for the first quarter of 2014 were $3.40 billion compared with $3.34 billion for the same 2013 period. Net income </w:t>
      </w:r>
      <w:r>
        <w:rPr>
          <w:rFonts w:ascii="Arial" w:cs="Arial" w:eastAsia="Arial" w:hAnsi="Arial"/>
          <w:sz w:val="15"/>
          <w:szCs w:val="15"/>
          <w:color w:val="auto"/>
        </w:rPr>
        <w:t>(a)</w:t>
      </w:r>
      <w:r>
        <w:rPr>
          <w:rFonts w:ascii="Arial" w:cs="Arial" w:eastAsia="Arial" w:hAnsi="Arial"/>
          <w:sz w:val="18"/>
          <w:szCs w:val="18"/>
          <w:color w:val="auto"/>
        </w:rPr>
        <w:t xml:space="preserve"> for the quarter was $228 million, or $0.49 per diluted share, compared with $168 million, or $0.36 per diluted share, for the first quarter of 2013. In the first quarter of 2013, adjusted net income was $186 million, or $0.40 per diluted share. </w:t>
      </w:r>
      <w:r>
        <w:rPr>
          <w:rFonts w:ascii="Arial" w:cs="Arial" w:eastAsia="Arial" w:hAnsi="Arial"/>
          <w:sz w:val="15"/>
          <w:szCs w:val="15"/>
          <w:color w:val="auto"/>
        </w:rPr>
        <w:t>(b)</w:t>
      </w:r>
    </w:p>
    <w:p>
      <w:pPr>
        <w:spacing w:after="0" w:line="21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David P. Steiner, President and Chief Executive Officer of Waste Management, commented, “We saw continued and strong momentum in both yield and cost controls in the first quarter of 2014 that helped drive a more than 35% improvement in reported net income, and more than 22% growth in earnings per share when looking at first quarter 2013 adjusted results. We also saw an increase of 170 basis points in our reported income from operations margin, or 140 basis points when compared to our first quarter 2013 adjusted results. Our yield was 2.6%, the highest level since 2011 and the fourth consecutive quarter over 2.0%. We also achieved SG&amp;A cost savings of $15 million compared to the first quarter of 2013. During the first quarter, our net cash provided by operations improved to $584 million, our capital expenditures were constant at $266 million, and we had $166 million of divestiture proceeds, all of which resulted in free cash flow of $484 million, our highest amount since 2008.” </w:t>
      </w:r>
      <w:r>
        <w:rPr>
          <w:rFonts w:ascii="Arial" w:cs="Arial" w:eastAsia="Arial" w:hAnsi="Arial"/>
          <w:sz w:val="13"/>
          <w:szCs w:val="13"/>
          <w:color w:val="auto"/>
        </w:rPr>
        <w:t>(b)</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FIRST QUARTER 2014</w:t>
      </w:r>
    </w:p>
    <w:p>
      <w:pPr>
        <w:spacing w:after="0" w:line="135" w:lineRule="exact"/>
        <w:rPr>
          <w:sz w:val="20"/>
          <w:szCs w:val="20"/>
          <w:color w:val="auto"/>
        </w:rPr>
      </w:pPr>
    </w:p>
    <w:p>
      <w:pPr>
        <w:ind w:left="720" w:hanging="262"/>
        <w:spacing w:after="0" w:line="277" w:lineRule="auto"/>
        <w:tabs>
          <w:tab w:leader="none" w:pos="693"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increased by 1.8%, or $60 million; excluding a negative $17 million in foreign currency translation, revenue would have increased 2.3%.</w:t>
      </w:r>
    </w:p>
    <w:p>
      <w:pPr>
        <w:spacing w:after="0" w:line="75" w:lineRule="exact"/>
        <w:rPr>
          <w:rFonts w:ascii="Arial" w:cs="Arial" w:eastAsia="Arial" w:hAnsi="Arial"/>
          <w:sz w:val="18"/>
          <w:szCs w:val="18"/>
          <w:color w:val="auto"/>
        </w:rPr>
      </w:pPr>
    </w:p>
    <w:p>
      <w:pPr>
        <w:ind w:left="700" w:hanging="24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revenue growth from yield for collection and disposal operations was 2.6%.</w:t>
      </w:r>
    </w:p>
    <w:p>
      <w:pPr>
        <w:spacing w:after="0" w:line="130" w:lineRule="exact"/>
        <w:rPr>
          <w:rFonts w:ascii="Arial" w:cs="Arial" w:eastAsia="Arial" w:hAnsi="Arial"/>
          <w:sz w:val="18"/>
          <w:szCs w:val="18"/>
          <w:color w:val="auto"/>
        </w:rPr>
      </w:pPr>
    </w:p>
    <w:p>
      <w:pPr>
        <w:ind w:left="720" w:right="500" w:hanging="262"/>
        <w:spacing w:after="0" w:line="277" w:lineRule="auto"/>
        <w:tabs>
          <w:tab w:leader="none" w:pos="69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Core price, which consists of price increases and fees, other than the Company’s fuel surcharge, net of rollbacks, was 4.2%, up from 3.2% in the first quarter of 2013.</w:t>
      </w:r>
    </w:p>
    <w:p>
      <w:pPr>
        <w:spacing w:after="0" w:line="75" w:lineRule="exact"/>
        <w:rPr>
          <w:rFonts w:ascii="Arial" w:cs="Arial" w:eastAsia="Arial" w:hAnsi="Arial"/>
          <w:sz w:val="18"/>
          <w:szCs w:val="18"/>
          <w:color w:val="auto"/>
        </w:rPr>
      </w:pPr>
    </w:p>
    <w:p>
      <w:pPr>
        <w:ind w:left="720" w:right="100" w:hanging="262"/>
        <w:spacing w:after="0" w:line="277" w:lineRule="auto"/>
        <w:tabs>
          <w:tab w:leader="none" w:pos="693"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revenue growth from volume was negative 1.8%, a 40 basis point sequential improvement from the fourth quarter of 2013.</w:t>
      </w:r>
    </w:p>
    <w:p>
      <w:pPr>
        <w:spacing w:after="0" w:line="75" w:lineRule="exact"/>
        <w:rPr>
          <w:rFonts w:ascii="Arial" w:cs="Arial" w:eastAsia="Arial" w:hAnsi="Arial"/>
          <w:sz w:val="18"/>
          <w:szCs w:val="18"/>
          <w:color w:val="auto"/>
        </w:rPr>
      </w:pPr>
    </w:p>
    <w:p>
      <w:pPr>
        <w:jc w:val="both"/>
        <w:ind w:left="720" w:right="140" w:hanging="262"/>
        <w:spacing w:after="0" w:line="264" w:lineRule="auto"/>
        <w:tabs>
          <w:tab w:leader="none" w:pos="683" w:val="left"/>
        </w:tabs>
        <w:numPr>
          <w:ilvl w:val="0"/>
          <w:numId w:val="2"/>
        </w:numPr>
        <w:rPr>
          <w:rFonts w:ascii="Arial" w:cs="Arial" w:eastAsia="Arial" w:hAnsi="Arial"/>
          <w:sz w:val="18"/>
          <w:szCs w:val="18"/>
          <w:color w:val="auto"/>
        </w:rPr>
      </w:pPr>
      <w:r>
        <w:rPr>
          <w:rFonts w:ascii="Arial" w:cs="Arial" w:eastAsia="Arial" w:hAnsi="Arial"/>
          <w:sz w:val="18"/>
          <w:szCs w:val="18"/>
          <w:color w:val="auto"/>
        </w:rPr>
        <w:t>Average recycling commodity prices were approximately 1.8% lower in the first quarter of 2014 compared with the prior year period. In total, recycling operations negatively affected earnings by less than $0.01 per diluted share when compared to the prior year period.</w:t>
      </w:r>
    </w:p>
    <w:p>
      <w:pPr>
        <w:spacing w:after="0" w:line="86" w:lineRule="exact"/>
        <w:rPr>
          <w:rFonts w:ascii="Arial" w:cs="Arial" w:eastAsia="Arial" w:hAnsi="Arial"/>
          <w:sz w:val="18"/>
          <w:szCs w:val="18"/>
          <w:color w:val="auto"/>
        </w:rPr>
      </w:pPr>
    </w:p>
    <w:p>
      <w:pPr>
        <w:ind w:left="720" w:right="40" w:hanging="262"/>
        <w:spacing w:after="0" w:line="259" w:lineRule="auto"/>
        <w:tabs>
          <w:tab w:leader="none" w:pos="693"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increased by $23 million compared to the prior year period. The majority of the increase relates to operating costs within acquired operations, primarily the Company’s Montreal acquisition. As a percent of revenue, operating expenses were 65.7% in the first quarter of 2014, as compared to 66.2% in the first quarter of 2013, an improvement of 50 basis points.</w:t>
      </w:r>
    </w:p>
    <w:p>
      <w:pPr>
        <w:spacing w:after="0" w:line="92" w:lineRule="exact"/>
        <w:rPr>
          <w:rFonts w:ascii="Arial" w:cs="Arial" w:eastAsia="Arial" w:hAnsi="Arial"/>
          <w:sz w:val="18"/>
          <w:szCs w:val="18"/>
          <w:color w:val="auto"/>
        </w:rPr>
      </w:pPr>
    </w:p>
    <w:p>
      <w:pPr>
        <w:ind w:left="720" w:right="20" w:hanging="262"/>
        <w:spacing w:after="0" w:line="277" w:lineRule="auto"/>
        <w:tabs>
          <w:tab w:leader="none" w:pos="693" w:val="left"/>
        </w:tabs>
        <w:numPr>
          <w:ilvl w:val="0"/>
          <w:numId w:val="2"/>
        </w:numPr>
        <w:rPr>
          <w:rFonts w:ascii="Arial" w:cs="Arial" w:eastAsia="Arial" w:hAnsi="Arial"/>
          <w:sz w:val="18"/>
          <w:szCs w:val="18"/>
          <w:color w:val="auto"/>
        </w:rPr>
      </w:pPr>
      <w:r>
        <w:rPr>
          <w:rFonts w:ascii="Arial" w:cs="Arial" w:eastAsia="Arial" w:hAnsi="Arial"/>
          <w:sz w:val="18"/>
          <w:szCs w:val="18"/>
          <w:color w:val="auto"/>
        </w:rPr>
        <w:t>SG&amp;A expenses improved by $15 million compared with the first quarter of 2013 and improved to 11.0% of revenue from 11.7% in the prior year period.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8560" w:space="360"/>
            <w:col w:w="2500"/>
          </w:cols>
          <w:pgMar w:left="240" w:top="121" w:right="239" w:bottom="1440" w:gutter="0" w:footer="0" w:header="0"/>
        </w:sectPr>
      </w:pPr>
    </w:p>
    <w:bookmarkStart w:id="5" w:name="page6"/>
    <w:bookmarkEnd w:id="5"/>
    <w:p>
      <w:pPr>
        <w:ind w:left="720" w:right="2079" w:hanging="262"/>
        <w:spacing w:after="0" w:line="297" w:lineRule="auto"/>
        <w:tabs>
          <w:tab w:leader="none" w:pos="693"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cash provided by operating activities was $584 million, an improvement of $7 million when compared to the first quarter of 2013, despite over $100 million in working capital headwinds from the payment of incentive compensation and the maturity of interest rate swaps related to a planned senior note issuance. Capital expenditures were $266 million. The Company had $166 million of divestiture proceeds in the quarter, primarily related to the sale of its China waste-to-energy joint venture.</w:t>
      </w:r>
    </w:p>
    <w:p>
      <w:pPr>
        <w:spacing w:after="0" w:line="63" w:lineRule="exact"/>
        <w:rPr>
          <w:rFonts w:ascii="Arial" w:cs="Arial" w:eastAsia="Arial" w:hAnsi="Arial"/>
          <w:sz w:val="16"/>
          <w:szCs w:val="16"/>
          <w:color w:val="auto"/>
        </w:rPr>
      </w:pPr>
    </w:p>
    <w:p>
      <w:pPr>
        <w:ind w:left="700" w:hanging="24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increased $136 million to $484 million in the first quarter of 2014.</w:t>
      </w:r>
      <w:r>
        <w:rPr>
          <w:rFonts w:ascii="Arial" w:cs="Arial" w:eastAsia="Arial" w:hAnsi="Arial"/>
          <w:sz w:val="15"/>
          <w:szCs w:val="15"/>
          <w:color w:val="auto"/>
        </w:rPr>
        <w:t>(b)</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returned $174 million to shareholders in the form of dividends.</w:t>
      </w:r>
    </w:p>
    <w:p>
      <w:pPr>
        <w:spacing w:after="0" w:line="130" w:lineRule="exact"/>
        <w:rPr>
          <w:rFonts w:ascii="Arial" w:cs="Arial" w:eastAsia="Arial" w:hAnsi="Arial"/>
          <w:sz w:val="18"/>
          <w:szCs w:val="18"/>
          <w:color w:val="auto"/>
        </w:rPr>
      </w:pPr>
    </w:p>
    <w:p>
      <w:pPr>
        <w:ind w:left="720" w:right="1999" w:hanging="262"/>
        <w:spacing w:after="0" w:line="259" w:lineRule="auto"/>
        <w:tabs>
          <w:tab w:leader="none" w:pos="69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 tax rate was approximately 29.6%. This rate was lower compared to the prior year due to a non-cash adjustment to deferred taxes resulting from a change in state tax law. The net effect of the benefit was a positive $0.02 per diluted share in the first quarter when compared to the first quarter of 2013.</w:t>
      </w:r>
    </w:p>
    <w:p>
      <w:pPr>
        <w:spacing w:after="0" w:line="92" w:lineRule="exact"/>
        <w:rPr>
          <w:sz w:val="20"/>
          <w:szCs w:val="20"/>
          <w:color w:val="auto"/>
        </w:rPr>
      </w:pPr>
    </w:p>
    <w:p>
      <w:pPr>
        <w:ind w:right="2079"/>
        <w:spacing w:after="0" w:line="291" w:lineRule="auto"/>
        <w:rPr>
          <w:sz w:val="20"/>
          <w:szCs w:val="20"/>
          <w:color w:val="auto"/>
        </w:rPr>
      </w:pPr>
      <w:r>
        <w:rPr>
          <w:rFonts w:ascii="Arial" w:cs="Arial" w:eastAsia="Arial" w:hAnsi="Arial"/>
          <w:sz w:val="16"/>
          <w:szCs w:val="16"/>
          <w:color w:val="auto"/>
        </w:rPr>
        <w:t xml:space="preserve">Steiner concluded, “We are on target through the first quarter and encouraged by the positive momentum in our business. At the beginning of the year, we gave guidance that our 2014 free cash flow would exceed $1.3 billion. With our strong first quarter, we now expect to generate between $1.4 billion and $1.5 billion of free cash flow. With respect to the other elements of our initial full-year guidance, it is difficult to predict underlying business trends in the first quarter due to winter seasonality. However, early April volumes indicate a normal seasonal upturn, but it is only three weeks. After we see the effect on results from our seasonality through the full second quarter, we will likely refine our full-year guidance to reflect any underlying business trends.” </w:t>
      </w: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531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61" w:lineRule="exact"/>
        <w:rPr>
          <w:sz w:val="20"/>
          <w:szCs w:val="20"/>
          <w:color w:val="auto"/>
        </w:rPr>
      </w:pPr>
    </w:p>
    <w:p>
      <w:pPr>
        <w:ind w:left="360" w:right="2239" w:hanging="35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spacing w:after="0" w:line="75" w:lineRule="exact"/>
        <w:rPr>
          <w:rFonts w:ascii="Arial" w:cs="Arial" w:eastAsia="Arial" w:hAnsi="Arial"/>
          <w:sz w:val="18"/>
          <w:szCs w:val="18"/>
          <w:color w:val="auto"/>
        </w:rPr>
      </w:pPr>
    </w:p>
    <w:p>
      <w:pPr>
        <w:ind w:left="360" w:right="1959" w:hanging="352"/>
        <w:spacing w:after="0" w:line="290" w:lineRule="auto"/>
        <w:tabs>
          <w:tab w:leader="none" w:pos="38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press release includes adjusted net income and adjusted earnings per diluted share for the first quarter of 2013, which are non-GAAP measures as defined in Regulation G of the Securities Exchange Act of 1934, as amended, as well as a comparisons to first quarter of 2013 adjusted earnings per diluted share and adjusted income from operations margin.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our results of operations and (ii) financial measures the Company uses in the management of its business.</w:t>
      </w:r>
    </w:p>
    <w:p>
      <w:pPr>
        <w:spacing w:after="0" w:line="72" w:lineRule="exact"/>
        <w:rPr>
          <w:sz w:val="20"/>
          <w:szCs w:val="20"/>
          <w:color w:val="auto"/>
        </w:rPr>
      </w:pPr>
    </w:p>
    <w:p>
      <w:pPr>
        <w:ind w:left="360" w:right="1879"/>
        <w:spacing w:after="0" w:line="270" w:lineRule="auto"/>
        <w:rPr>
          <w:sz w:val="20"/>
          <w:szCs w:val="20"/>
          <w:color w:val="auto"/>
        </w:rPr>
      </w:pPr>
      <w:r>
        <w:rPr>
          <w:rFonts w:ascii="Arial" w:cs="Arial" w:eastAsia="Arial" w:hAnsi="Arial"/>
          <w:sz w:val="17"/>
          <w:szCs w:val="17"/>
          <w:color w:val="auto"/>
        </w:rPr>
        <w:t>The Company’s projected full year 2014 earnings per diluted share are not based on GAAP net earnings per diluted share and are anticipated to be adjusted to exclude the effects of events or circumstances in 2014 that are not representative or indicative of the Company’s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87" w:lineRule="exact"/>
        <w:rPr>
          <w:sz w:val="20"/>
          <w:szCs w:val="20"/>
          <w:color w:val="auto"/>
        </w:rPr>
      </w:pPr>
    </w:p>
    <w:p>
      <w:pPr>
        <w:ind w:left="360" w:right="1919"/>
        <w:spacing w:after="0" w:line="288" w:lineRule="auto"/>
        <w:rPr>
          <w:sz w:val="20"/>
          <w:szCs w:val="20"/>
          <w:color w:val="auto"/>
        </w:rPr>
      </w:pPr>
      <w:r>
        <w:rPr>
          <w:rFonts w:ascii="Arial" w:cs="Arial" w:eastAsia="Arial" w:hAnsi="Arial"/>
          <w:sz w:val="16"/>
          <w:szCs w:val="16"/>
          <w:color w:val="auto"/>
        </w:rPr>
        <w:t>The Company also discusses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Company’s definition of free cash flow may not be comparable to similarly titled measures presented by other companies, and therefore is not subject to comparison. The Company defines free cash flow as:</w:t>
      </w:r>
    </w:p>
    <w:p>
      <w:pPr>
        <w:spacing w:after="0" w:line="75" w:lineRule="exact"/>
        <w:rPr>
          <w:sz w:val="20"/>
          <w:szCs w:val="20"/>
          <w:color w:val="auto"/>
        </w:rPr>
      </w:pPr>
    </w:p>
    <w:p>
      <w:pPr>
        <w:ind w:left="700" w:hanging="24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color w:val="auto"/>
        </w:rPr>
      </w:pPr>
    </w:p>
    <w:p>
      <w:pPr>
        <w:ind w:left="700" w:hanging="24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proceeds from divestitures of businesses and other assets (net of cash divested).</w:t>
      </w:r>
    </w:p>
    <w:p>
      <w:pPr>
        <w:sectPr>
          <w:pgSz w:w="11900" w:h="16838" w:orient="portrait"/>
          <w:cols w:equalWidth="0" w:num="1">
            <w:col w:w="10219"/>
          </w:cols>
          <w:pgMar w:left="240" w:top="395" w:right="1440" w:bottom="1440" w:gutter="0" w:footer="0" w:header="0"/>
        </w:sectPr>
      </w:pPr>
    </w:p>
    <w:bookmarkStart w:id="6" w:name="page7"/>
    <w:bookmarkEnd w:id="6"/>
    <w:p>
      <w:pPr>
        <w:ind w:left="360" w:right="1919"/>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quantitative reconciliations of free cash flow for the quarter and adjusted first quarter of 2013 net income, earnings per diluted share, and income from operations margin to the most comparable GAAP measures are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pacing w:after="0" w:line="200" w:lineRule="exact"/>
        <w:rPr>
          <w:sz w:val="20"/>
          <w:szCs w:val="20"/>
          <w:color w:val="auto"/>
        </w:rPr>
      </w:pPr>
    </w:p>
    <w:p>
      <w:pPr>
        <w:ind w:right="1919"/>
        <w:spacing w:after="0" w:line="264" w:lineRule="auto"/>
        <w:rPr>
          <w:sz w:val="20"/>
          <w:szCs w:val="20"/>
          <w:color w:val="auto"/>
        </w:rPr>
      </w:pPr>
      <w:r>
        <w:rPr>
          <w:rFonts w:ascii="Arial" w:cs="Arial" w:eastAsia="Arial" w:hAnsi="Arial"/>
          <w:sz w:val="18"/>
          <w:szCs w:val="18"/>
          <w:color w:val="auto"/>
        </w:rPr>
        <w:t>The Company will host a conference call at 10:00 AM (Eastern) today to discuss the first quarter 2014 results. Information contained within this press release will be referenced and should be considered in conjunction with the call.</w:t>
      </w:r>
    </w:p>
    <w:p>
      <w:pPr>
        <w:spacing w:after="0" w:line="208" w:lineRule="exact"/>
        <w:rPr>
          <w:sz w:val="20"/>
          <w:szCs w:val="20"/>
          <w:color w:val="auto"/>
        </w:rPr>
      </w:pPr>
    </w:p>
    <w:p>
      <w:pPr>
        <w:ind w:right="2059"/>
        <w:spacing w:after="0" w:line="302" w:lineRule="auto"/>
        <w:rPr>
          <w:sz w:val="20"/>
          <w:szCs w:val="20"/>
          <w:color w:val="auto"/>
        </w:rPr>
      </w:pPr>
      <w:r>
        <w:rPr>
          <w:rFonts w:ascii="Arial" w:cs="Arial" w:eastAsia="Arial" w:hAnsi="Arial"/>
          <w:sz w:val="16"/>
          <w:szCs w:val="16"/>
          <w:color w:val="auto"/>
        </w:rPr>
        <w:t xml:space="preserve">The conference call will be webcast live from the Investor Relations section of Waste Management’s website </w:t>
      </w:r>
      <w:r>
        <w:rPr>
          <w:rFonts w:ascii="Arial" w:cs="Arial" w:eastAsia="Arial" w:hAnsi="Arial"/>
          <w:sz w:val="16"/>
          <w:szCs w:val="16"/>
          <w:u w:val="single" w:color="auto"/>
          <w:color w:val="auto"/>
        </w:rPr>
        <w:t>www.wm.com</w:t>
      </w:r>
      <w:r>
        <w:rPr>
          <w:rFonts w:ascii="Arial" w:cs="Arial" w:eastAsia="Arial" w:hAnsi="Arial"/>
          <w:sz w:val="16"/>
          <w:szCs w:val="16"/>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10543459 when prompted by the conference call operator.</w:t>
      </w:r>
    </w:p>
    <w:p>
      <w:pPr>
        <w:spacing w:after="0" w:line="181" w:lineRule="exact"/>
        <w:rPr>
          <w:sz w:val="20"/>
          <w:szCs w:val="20"/>
          <w:color w:val="auto"/>
        </w:rPr>
      </w:pPr>
    </w:p>
    <w:p>
      <w:pPr>
        <w:jc w:val="both"/>
        <w:ind w:right="1919"/>
        <w:spacing w:after="0" w:line="279" w:lineRule="auto"/>
        <w:rPr>
          <w:sz w:val="20"/>
          <w:szCs w:val="20"/>
          <w:color w:val="auto"/>
        </w:rPr>
      </w:pPr>
      <w:r>
        <w:rPr>
          <w:rFonts w:ascii="Arial" w:cs="Arial" w:eastAsia="Arial" w:hAnsi="Arial"/>
          <w:sz w:val="17"/>
          <w:szCs w:val="17"/>
          <w:color w:val="auto"/>
        </w:rPr>
        <w:t xml:space="preserve">A replay of the conference call will be available on the Company’s website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and by telephone from approximately 1:00 PM (Eastern) Thursday, April 24, 2014 through 5:00 PM (Eastern) on Thursday, May 8, 2014. To access the replay telephonically, please dial (855) 859-2056, or from outside of the United States or Canada dial (404) 537-3406, and use the replay conference ID number 10543459.</w:t>
      </w:r>
    </w:p>
    <w:p>
      <w:pPr>
        <w:spacing w:after="0" w:line="198" w:lineRule="exact"/>
        <w:rPr>
          <w:sz w:val="20"/>
          <w:szCs w:val="20"/>
          <w:color w:val="auto"/>
        </w:rPr>
      </w:pPr>
    </w:p>
    <w:p>
      <w:pPr>
        <w:ind w:right="1899"/>
        <w:spacing w:after="0" w:line="267" w:lineRule="auto"/>
        <w:rPr>
          <w:sz w:val="20"/>
          <w:szCs w:val="20"/>
          <w:color w:val="auto"/>
        </w:rPr>
      </w:pPr>
      <w:r>
        <w:rPr>
          <w:rFonts w:ascii="Arial" w:cs="Arial" w:eastAsia="Arial" w:hAnsi="Arial"/>
          <w:sz w:val="17"/>
          <w:szCs w:val="17"/>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2014 earnings per diluted share and earnings growth or improvement; 2014 free cash flow; second quarter of 2014 trends and results; future revisions to full-year guidance; and future results from pricing, capital discipline and cost control and reduction initiatives.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right="1999"/>
        <w:spacing w:after="0" w:line="273" w:lineRule="auto"/>
        <w:rPr>
          <w:sz w:val="20"/>
          <w:szCs w:val="20"/>
          <w:color w:val="auto"/>
        </w:rPr>
      </w:pPr>
      <w:r>
        <w:rPr>
          <w:rFonts w:ascii="Arial" w:cs="Arial" w:eastAsia="Arial" w:hAnsi="Arial"/>
          <w:sz w:val="17"/>
          <w:szCs w:val="17"/>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www.thinkgreen.com.</w:t>
      </w:r>
    </w:p>
    <w:p>
      <w:pPr>
        <w:spacing w:after="0" w:line="20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9"/>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Costs and expenses: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465.2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0.365</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5600"/>
              <w:spacing w:after="0"/>
              <w:rPr>
                <w:sz w:val="20"/>
                <w:szCs w:val="20"/>
                <w:color w:val="auto"/>
              </w:rPr>
            </w:pPr>
            <w:r>
              <w:rPr>
                <w:rFonts w:ascii="Arial" w:cs="Arial" w:eastAsia="Arial" w:hAnsi="Arial"/>
                <w:sz w:val="18"/>
                <w:szCs w:val="18"/>
                <w:color w:val="auto"/>
              </w:rPr>
              <w:t>(1)</w:t>
            </w: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320" w:type="dxa"/>
            <w:vAlign w:val="bottom"/>
          </w:tcPr>
          <w:p>
            <w:pPr>
              <w:spacing w:after="0"/>
              <w:rPr>
                <w:sz w:val="18"/>
                <w:szCs w:val="18"/>
                <w:color w:val="auto"/>
              </w:rPr>
            </w:pP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340"/>
              <w:spacing w:after="0" w:line="201" w:lineRule="exact"/>
              <w:rPr>
                <w:sz w:val="20"/>
                <w:szCs w:val="20"/>
                <w:color w:val="auto"/>
              </w:rPr>
            </w:pPr>
            <w:r>
              <w:rPr>
                <w:rFonts w:ascii="Arial" w:cs="Arial" w:eastAsia="Arial" w:hAnsi="Arial"/>
                <w:sz w:val="18"/>
                <w:szCs w:val="18"/>
                <w:color w:val="auto"/>
                <w:w w:val="96"/>
              </w:rPr>
              <w:t>Dilutive effect of equity-based compensation awards and other contingently</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ind w:left="520"/>
              <w:spacing w:after="0"/>
              <w:rPr>
                <w:sz w:val="20"/>
                <w:szCs w:val="20"/>
                <w:color w:val="auto"/>
              </w:rPr>
            </w:pPr>
            <w:r>
              <w:rPr>
                <w:rFonts w:ascii="Arial" w:cs="Arial" w:eastAsia="Arial" w:hAnsi="Arial"/>
                <w:sz w:val="18"/>
                <w:szCs w:val="18"/>
                <w:color w:val="auto"/>
              </w:rPr>
              <w:t>issuable shares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jc w:val="right"/>
              <w:ind w:right="16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200" w:type="dxa"/>
            <w:vAlign w:val="bottom"/>
            <w:gridSpan w:val="2"/>
            <w:shd w:val="clear" w:color="auto" w:fill="CCEEFF"/>
          </w:tcPr>
          <w:p>
            <w:pPr>
              <w:ind w:left="40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3"/>
        </w:trPr>
        <w:tc>
          <w:tcPr>
            <w:tcW w:w="51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4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Goodwill</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6,068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assets</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22,442</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w w:val="99"/>
              </w:rPr>
              <w:t>Accounts payable, accrued liabilities, and deferred revenues</w:t>
            </w:r>
          </w:p>
        </w:tc>
        <w:tc>
          <w:tcPr>
            <w:tcW w:w="420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2,141</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3"/>
        </w:trPr>
        <w:tc>
          <w:tcPr>
            <w:tcW w:w="51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4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liabilities</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4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Waste Management, Inc. stockholders’ equity</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40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040" w:type="dxa"/>
            <w:vAlign w:val="bottom"/>
            <w:vMerge w:val="restart"/>
          </w:tcPr>
          <w:p>
            <w:pPr>
              <w:jc w:val="right"/>
              <w:ind w:right="329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9"/>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Investments in unconsolidated entities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913</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(928)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Cash dividends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jc w:val="right"/>
              <w:ind w:right="2270"/>
              <w:spacing w:after="0"/>
              <w:rPr>
                <w:sz w:val="20"/>
                <w:szCs w:val="20"/>
                <w:color w:val="auto"/>
              </w:rPr>
            </w:pPr>
            <w:r>
              <w:rPr>
                <w:rFonts w:ascii="Arial" w:cs="Arial" w:eastAsia="Arial" w:hAnsi="Arial"/>
                <w:sz w:val="18"/>
                <w:szCs w:val="18"/>
                <w:color w:val="auto"/>
              </w:rPr>
              <w:t>(4)</w:t>
            </w: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52"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8"/>
          </w:tcPr>
          <w:p>
            <w:pPr>
              <w:jc w:val="right"/>
              <w:ind w:right="128"/>
              <w:spacing w:after="0"/>
              <w:rPr>
                <w:sz w:val="20"/>
                <w:szCs w:val="20"/>
                <w:color w:val="auto"/>
              </w:rPr>
            </w:pPr>
            <w:r>
              <w:rPr>
                <w:rFonts w:ascii="Arial" w:cs="Arial" w:eastAsia="Arial" w:hAnsi="Arial"/>
                <w:sz w:val="14"/>
                <w:szCs w:val="14"/>
                <w:b w:val="1"/>
                <w:bCs w:val="1"/>
                <w:color w:val="auto"/>
              </w:rPr>
              <w:t>Quarters Ended</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7"/>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6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2013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5"/>
          </w:tcPr>
          <w:p>
            <w:pPr>
              <w:jc w:val="right"/>
              <w:ind w:right="10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3180" w:type="dxa"/>
            <w:vAlign w:val="bottom"/>
            <w:tcBorders>
              <w:top w:val="single" w:sz="8" w:color="CCEEFF"/>
              <w:bottom w:val="single" w:sz="8" w:color="auto"/>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1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6"/>
          </w:tcPr>
          <w:p>
            <w:pPr>
              <w:ind w:left="360"/>
              <w:spacing w:after="0"/>
              <w:rPr>
                <w:sz w:val="20"/>
                <w:szCs w:val="20"/>
                <w:color w:val="auto"/>
              </w:rPr>
            </w:pPr>
            <w:r>
              <w:rPr>
                <w:rFonts w:ascii="Arial" w:cs="Arial" w:eastAsia="Arial" w:hAnsi="Arial"/>
                <w:sz w:val="18"/>
                <w:szCs w:val="18"/>
                <w:color w:val="auto"/>
              </w:rPr>
              <w:t>Collection</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left="275"/>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gridSpan w:val="4"/>
          </w:tcPr>
          <w:p>
            <w:pPr>
              <w:ind w:left="240"/>
              <w:spacing w:after="0"/>
              <w:rPr>
                <w:sz w:val="20"/>
                <w:szCs w:val="20"/>
                <w:color w:val="auto"/>
              </w:rPr>
            </w:pPr>
            <w:r>
              <w:rPr>
                <w:rFonts w:ascii="Arial" w:cs="Arial" w:eastAsia="Arial" w:hAnsi="Arial"/>
                <w:sz w:val="18"/>
                <w:szCs w:val="18"/>
                <w:color w:val="auto"/>
              </w:rPr>
              <w:t>Residential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645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Industrial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4"/>
          </w:tcPr>
          <w:p>
            <w:pPr>
              <w:ind w:left="2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Total Collection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2,055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6"/>
          </w:tcPr>
          <w:p>
            <w:pPr>
              <w:ind w:left="360"/>
              <w:spacing w:after="0"/>
              <w:rPr>
                <w:sz w:val="20"/>
                <w:szCs w:val="20"/>
                <w:color w:val="auto"/>
              </w:rPr>
            </w:pPr>
            <w:r>
              <w:rPr>
                <w:rFonts w:ascii="Arial" w:cs="Arial" w:eastAsia="Arial" w:hAnsi="Arial"/>
                <w:sz w:val="18"/>
                <w:szCs w:val="18"/>
                <w:color w:val="auto"/>
              </w:rPr>
              <w:t>Landfill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632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628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Transfer</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6"/>
          </w:tcPr>
          <w:p>
            <w:pPr>
              <w:ind w:left="360"/>
              <w:spacing w:after="0"/>
              <w:rPr>
                <w:sz w:val="20"/>
                <w:szCs w:val="20"/>
                <w:color w:val="auto"/>
              </w:rPr>
            </w:pPr>
            <w:r>
              <w:rPr>
                <w:rFonts w:ascii="Arial" w:cs="Arial" w:eastAsia="Arial" w:hAnsi="Arial"/>
                <w:sz w:val="18"/>
                <w:szCs w:val="18"/>
                <w:color w:val="auto"/>
              </w:rPr>
              <w:t>Wheelabrator</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Recycling</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6"/>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4"/>
          </w:tcPr>
          <w:p>
            <w:pPr>
              <w:ind w:left="240"/>
              <w:spacing w:after="0"/>
              <w:rPr>
                <w:sz w:val="20"/>
                <w:szCs w:val="20"/>
                <w:color w:val="auto"/>
              </w:rPr>
            </w:pPr>
            <w:r>
              <w:rPr>
                <w:rFonts w:ascii="Arial" w:cs="Arial" w:eastAsia="Arial" w:hAnsi="Arial"/>
                <w:sz w:val="18"/>
                <w:szCs w:val="18"/>
                <w:color w:val="auto"/>
              </w:rPr>
              <w:t>Operating revenues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3,336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9"/>
          </w:tcPr>
          <w:p>
            <w:pPr>
              <w:jc w:val="right"/>
              <w:ind w:right="368"/>
              <w:spacing w:after="0"/>
              <w:rPr>
                <w:sz w:val="20"/>
                <w:szCs w:val="20"/>
                <w:color w:val="auto"/>
              </w:rPr>
            </w:pPr>
            <w:r>
              <w:rPr>
                <w:rFonts w:ascii="Arial" w:cs="Arial" w:eastAsia="Arial" w:hAnsi="Arial"/>
                <w:sz w:val="14"/>
                <w:szCs w:val="14"/>
                <w:b w:val="1"/>
                <w:bCs w:val="1"/>
                <w:color w:val="auto"/>
                <w:w w:val="93"/>
              </w:rPr>
              <w:t>Quarters Ended</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w w:val="98"/>
              </w:rPr>
              <w:t>March 31, 2014</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8"/>
          </w:tcPr>
          <w:p>
            <w:pPr>
              <w:ind w:left="40"/>
              <w:spacing w:after="0" w:line="142" w:lineRule="exact"/>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4"/>
          </w:tcPr>
          <w:p>
            <w:pPr>
              <w:jc w:val="center"/>
              <w:ind w:left="68"/>
              <w:spacing w:after="0" w:line="123" w:lineRule="exact"/>
              <w:rPr>
                <w:sz w:val="20"/>
                <w:szCs w:val="20"/>
                <w:color w:val="auto"/>
              </w:rPr>
            </w:pPr>
            <w:r>
              <w:rPr>
                <w:rFonts w:ascii="Arial" w:cs="Arial" w:eastAsia="Arial" w:hAnsi="Arial"/>
                <w:sz w:val="14"/>
                <w:szCs w:val="14"/>
                <w:color w:val="auto"/>
                <w:w w:val="93"/>
              </w:rPr>
              <w:t>As a % of</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tcPr>
          <w:p>
            <w:pPr>
              <w:jc w:val="center"/>
              <w:ind w:right="80"/>
              <w:spacing w:after="0" w:line="123" w:lineRule="exact"/>
              <w:rPr>
                <w:sz w:val="20"/>
                <w:szCs w:val="20"/>
                <w:color w:val="auto"/>
              </w:rPr>
            </w:pPr>
            <w:r>
              <w:rPr>
                <w:rFonts w:ascii="Arial" w:cs="Arial" w:eastAsia="Arial" w:hAnsi="Arial"/>
                <w:sz w:val="14"/>
                <w:szCs w:val="14"/>
                <w:color w:val="auto"/>
                <w:w w:val="96"/>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340" w:type="dxa"/>
            <w:vAlign w:val="bottom"/>
            <w:gridSpan w:val="8"/>
          </w:tcPr>
          <w:p>
            <w:pPr>
              <w:jc w:val="center"/>
              <w:ind w:right="460"/>
              <w:spacing w:after="0"/>
              <w:rPr>
                <w:sz w:val="20"/>
                <w:szCs w:val="20"/>
                <w:color w:val="auto"/>
              </w:rPr>
            </w:pPr>
            <w:r>
              <w:rPr>
                <w:rFonts w:ascii="Arial" w:cs="Arial" w:eastAsia="Arial" w:hAnsi="Arial"/>
                <w:sz w:val="14"/>
                <w:szCs w:val="14"/>
                <w:color w:val="auto"/>
                <w:w w:val="92"/>
              </w:rPr>
              <w:t>Total Company</w:t>
            </w:r>
          </w:p>
        </w:tc>
        <w:tc>
          <w:tcPr>
            <w:tcW w:w="2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4"/>
                <w:szCs w:val="14"/>
                <w:color w:val="auto"/>
              </w:rPr>
              <w:t>Amount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6"/>
          </w:tcPr>
          <w:p>
            <w:pPr>
              <w:jc w:val="center"/>
              <w:ind w:right="200"/>
              <w:spacing w:after="0"/>
              <w:rPr>
                <w:sz w:val="20"/>
                <w:szCs w:val="20"/>
                <w:color w:val="auto"/>
              </w:rPr>
            </w:pPr>
            <w:r>
              <w:rPr>
                <w:rFonts w:ascii="Arial" w:cs="Arial" w:eastAsia="Arial" w:hAnsi="Arial"/>
                <w:sz w:val="14"/>
                <w:szCs w:val="14"/>
                <w:color w:val="auto"/>
                <w:w w:val="94"/>
              </w:rPr>
              <w:t>Total Company</w:t>
            </w:r>
          </w:p>
        </w:tc>
        <w:tc>
          <w:tcPr>
            <w:tcW w:w="0" w:type="dxa"/>
            <w:vAlign w:val="bottom"/>
          </w:tcPr>
          <w:p>
            <w:pPr>
              <w:spacing w:after="0"/>
              <w:rPr>
                <w:sz w:val="1"/>
                <w:szCs w:val="1"/>
                <w:color w:val="auto"/>
              </w:rPr>
            </w:pPr>
          </w:p>
        </w:tc>
      </w:tr>
      <w:tr>
        <w:trPr>
          <w:trHeight w:val="176"/>
        </w:trPr>
        <w:tc>
          <w:tcPr>
            <w:tcW w:w="4760" w:type="dxa"/>
            <w:vAlign w:val="bottom"/>
            <w:tcBorders>
              <w:top w:val="single" w:sz="8" w:color="CCEEFF"/>
            </w:tcBorders>
            <w:gridSpan w:val="7"/>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Analysis of Change in Year Over Year Revenues</w:t>
            </w:r>
          </w:p>
        </w:tc>
        <w:tc>
          <w:tcPr>
            <w:tcW w:w="9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5"/>
          </w:tcPr>
          <w:p>
            <w:pPr>
              <w:ind w:left="26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0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86</w:t>
            </w: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CCEEFF"/>
            </w:tcBorders>
            <w:gridSpan w:val="3"/>
          </w:tcPr>
          <w:p>
            <w:pPr>
              <w:jc w:val="right"/>
              <w:ind w:right="48"/>
              <w:spacing w:after="0"/>
              <w:rPr>
                <w:sz w:val="20"/>
                <w:szCs w:val="20"/>
                <w:color w:val="auto"/>
              </w:rPr>
            </w:pPr>
            <w:r>
              <w:rPr>
                <w:rFonts w:ascii="Arial" w:cs="Arial" w:eastAsia="Arial" w:hAnsi="Arial"/>
                <w:sz w:val="18"/>
                <w:szCs w:val="18"/>
                <w:color w:val="auto"/>
              </w:rPr>
              <w:t>14</w:t>
            </w: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5"/>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300" w:type="dxa"/>
            <w:vAlign w:val="bottom"/>
            <w:gridSpan w:val="6"/>
            <w:shd w:val="clear" w:color="auto" w:fill="CCEEFF"/>
          </w:tcPr>
          <w:p>
            <w:pPr>
              <w:ind w:left="260"/>
              <w:spacing w:after="0"/>
              <w:rPr>
                <w:sz w:val="20"/>
                <w:szCs w:val="20"/>
                <w:color w:val="auto"/>
              </w:rPr>
            </w:pPr>
            <w:r>
              <w:rPr>
                <w:rFonts w:ascii="Arial" w:cs="Arial" w:eastAsia="Arial" w:hAnsi="Arial"/>
                <w:sz w:val="18"/>
                <w:szCs w:val="18"/>
                <w:color w:val="auto"/>
              </w:rPr>
              <w:t>Volume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00" w:type="dxa"/>
            <w:vAlign w:val="bottom"/>
            <w:gridSpan w:val="6"/>
            <w:vMerge w:val="restart"/>
          </w:tcPr>
          <w:p>
            <w:pPr>
              <w:ind w:left="260"/>
              <w:spacing w:after="0"/>
              <w:rPr>
                <w:sz w:val="20"/>
                <w:szCs w:val="20"/>
                <w:color w:val="auto"/>
              </w:rPr>
            </w:pPr>
            <w:r>
              <w:rPr>
                <w:rFonts w:ascii="Arial" w:cs="Arial" w:eastAsia="Arial" w:hAnsi="Arial"/>
                <w:sz w:val="18"/>
                <w:szCs w:val="18"/>
                <w:color w:val="auto"/>
              </w:rPr>
              <w:t>Internal revenue growth</w:t>
            </w: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4300" w:type="dxa"/>
            <w:vAlign w:val="bottom"/>
            <w:gridSpan w:val="6"/>
            <w:vMerge w:val="continue"/>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300" w:type="dxa"/>
            <w:vAlign w:val="bottom"/>
            <w:gridSpan w:val="6"/>
            <w:shd w:val="clear" w:color="auto" w:fill="CCEEFF"/>
          </w:tcPr>
          <w:p>
            <w:pPr>
              <w:ind w:left="260"/>
              <w:spacing w:after="0"/>
              <w:rPr>
                <w:sz w:val="20"/>
                <w:szCs w:val="20"/>
                <w:color w:val="auto"/>
              </w:rPr>
            </w:pPr>
            <w:r>
              <w:rPr>
                <w:rFonts w:ascii="Arial" w:cs="Arial" w:eastAsia="Arial" w:hAnsi="Arial"/>
                <w:sz w:val="18"/>
                <w:szCs w:val="18"/>
                <w:color w:val="auto"/>
              </w:rPr>
              <w:t>Acquisition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6"/>
          </w:tcPr>
          <w:p>
            <w:pPr>
              <w:ind w:left="260"/>
              <w:spacing w:after="0"/>
              <w:rPr>
                <w:sz w:val="20"/>
                <w:szCs w:val="20"/>
                <w:color w:val="auto"/>
              </w:rPr>
            </w:pPr>
            <w:r>
              <w:rPr>
                <w:rFonts w:ascii="Arial" w:cs="Arial" w:eastAsia="Arial" w:hAnsi="Arial"/>
                <w:sz w:val="18"/>
                <w:szCs w:val="18"/>
                <w:color w:val="auto"/>
              </w:rPr>
              <w:t>Divestitures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300" w:type="dxa"/>
            <w:vAlign w:val="bottom"/>
            <w:gridSpan w:val="6"/>
            <w:shd w:val="clear" w:color="auto" w:fill="CCEEFF"/>
          </w:tcPr>
          <w:p>
            <w:pPr>
              <w:ind w:left="260"/>
              <w:spacing w:after="0"/>
              <w:rPr>
                <w:sz w:val="20"/>
                <w:szCs w:val="20"/>
                <w:color w:val="auto"/>
              </w:rPr>
            </w:pPr>
            <w:r>
              <w:rPr>
                <w:rFonts w:ascii="Arial" w:cs="Arial" w:eastAsia="Arial" w:hAnsi="Arial"/>
                <w:sz w:val="18"/>
                <w:szCs w:val="18"/>
                <w:color w:val="auto"/>
              </w:rPr>
              <w:t>Foreign currency translation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68"/>
              <w:spacing w:after="0"/>
              <w:rPr>
                <w:sz w:val="20"/>
                <w:szCs w:val="20"/>
                <w:color w:val="auto"/>
              </w:rPr>
            </w:pPr>
            <w:r>
              <w:rPr>
                <w:rFonts w:ascii="Arial" w:cs="Arial" w:eastAsia="Arial" w:hAnsi="Arial"/>
                <w:sz w:val="14"/>
                <w:szCs w:val="14"/>
                <w:color w:val="auto"/>
                <w:w w:val="93"/>
              </w:rPr>
              <w:t>As a % of</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5"/>
          </w:tcPr>
          <w:p>
            <w:pPr>
              <w:jc w:val="center"/>
              <w:ind w:right="280"/>
              <w:spacing w:after="0"/>
              <w:rPr>
                <w:sz w:val="20"/>
                <w:szCs w:val="20"/>
                <w:color w:val="auto"/>
              </w:rPr>
            </w:pPr>
            <w:r>
              <w:rPr>
                <w:rFonts w:ascii="Arial" w:cs="Arial" w:eastAsia="Arial" w:hAnsi="Arial"/>
                <w:sz w:val="14"/>
                <w:szCs w:val="14"/>
                <w:color w:val="auto"/>
                <w:w w:val="96"/>
              </w:rPr>
              <w:t>As a %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center"/>
              <w:ind w:left="68"/>
              <w:spacing w:after="0" w:line="149" w:lineRule="exact"/>
              <w:rPr>
                <w:sz w:val="20"/>
                <w:szCs w:val="20"/>
                <w:color w:val="auto"/>
              </w:rPr>
            </w:pPr>
            <w:r>
              <w:rPr>
                <w:rFonts w:ascii="Arial" w:cs="Arial" w:eastAsia="Arial" w:hAnsi="Arial"/>
                <w:sz w:val="14"/>
                <w:szCs w:val="14"/>
                <w:color w:val="auto"/>
                <w:w w:val="91"/>
              </w:rPr>
              <w:t>Related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right="38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740" w:type="dxa"/>
            <w:vAlign w:val="bottom"/>
            <w:gridSpan w:val="4"/>
          </w:tcPr>
          <w:p>
            <w:pPr>
              <w:jc w:val="center"/>
              <w:ind w:left="68"/>
              <w:spacing w:after="0"/>
              <w:rPr>
                <w:sz w:val="20"/>
                <w:szCs w:val="20"/>
                <w:color w:val="auto"/>
              </w:rPr>
            </w:pPr>
            <w:r>
              <w:rPr>
                <w:rFonts w:ascii="Arial" w:cs="Arial" w:eastAsia="Arial" w:hAnsi="Arial"/>
                <w:sz w:val="14"/>
                <w:szCs w:val="14"/>
                <w:color w:val="auto"/>
                <w:w w:val="91"/>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4"/>
                <w:szCs w:val="14"/>
                <w:color w:val="auto"/>
              </w:rPr>
              <w:t>Amount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tcPr>
          <w:p>
            <w:pPr>
              <w:jc w:val="center"/>
              <w:ind w:right="400"/>
              <w:spacing w:after="0"/>
              <w:rPr>
                <w:sz w:val="20"/>
                <w:szCs w:val="20"/>
                <w:color w:val="auto"/>
              </w:rPr>
            </w:pPr>
            <w:r>
              <w:rPr>
                <w:rFonts w:ascii="Arial" w:cs="Arial" w:eastAsia="Arial" w:hAnsi="Arial"/>
                <w:sz w:val="14"/>
                <w:szCs w:val="14"/>
                <w:color w:val="auto"/>
                <w:w w:val="87"/>
              </w:rPr>
              <w:t>Business</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gridSpan w:val="7"/>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gridSpan w:val="4"/>
          </w:tcPr>
          <w:p>
            <w:pPr>
              <w:ind w:left="500"/>
              <w:spacing w:after="0"/>
              <w:rPr>
                <w:sz w:val="20"/>
                <w:szCs w:val="20"/>
                <w:color w:val="auto"/>
              </w:rPr>
            </w:pPr>
            <w:r>
              <w:rPr>
                <w:rFonts w:ascii="Arial" w:cs="Arial" w:eastAsia="Arial" w:hAnsi="Arial"/>
                <w:sz w:val="18"/>
                <w:szCs w:val="18"/>
                <w:color w:val="auto"/>
              </w:rPr>
              <w:t>Collection, landfill and transfer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ind w:right="48"/>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2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Waste-to-energy disposal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4"/>
          </w:tcPr>
          <w:p>
            <w:pPr>
              <w:ind w:left="140"/>
              <w:spacing w:after="0"/>
              <w:rPr>
                <w:sz w:val="20"/>
                <w:szCs w:val="20"/>
                <w:color w:val="auto"/>
              </w:rPr>
            </w:pPr>
            <w:r>
              <w:rPr>
                <w:rFonts w:ascii="Arial" w:cs="Arial" w:eastAsia="Arial" w:hAnsi="Arial"/>
                <w:sz w:val="18"/>
                <w:szCs w:val="18"/>
                <w:color w:val="auto"/>
              </w:rPr>
              <w:t>Collection and disposal</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Recycling commodities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gridSpan w:val="4"/>
          </w:tcPr>
          <w:p>
            <w:pPr>
              <w:ind w:left="140"/>
              <w:spacing w:after="0"/>
              <w:rPr>
                <w:sz w:val="20"/>
                <w:szCs w:val="20"/>
                <w:color w:val="auto"/>
              </w:rPr>
            </w:pPr>
            <w:r>
              <w:rPr>
                <w:rFonts w:ascii="Arial" w:cs="Arial" w:eastAsia="Arial" w:hAnsi="Arial"/>
                <w:sz w:val="18"/>
                <w:szCs w:val="18"/>
                <w:color w:val="auto"/>
              </w:rPr>
              <w:t>Electricity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7"/>
              </w:rPr>
              <w:t>37.5%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48"/>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Fuel surcharges and mandated fees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300" w:type="dxa"/>
            <w:vAlign w:val="bottom"/>
            <w:gridSpan w:val="6"/>
          </w:tcPr>
          <w:p>
            <w:pPr>
              <w:ind w:left="26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2"/>
          </w:tcPr>
          <w:p>
            <w:pPr>
              <w:ind w:left="100"/>
              <w:spacing w:after="0"/>
              <w:rPr>
                <w:sz w:val="20"/>
                <w:szCs w:val="20"/>
                <w:color w:val="auto"/>
              </w:rPr>
            </w:pPr>
            <w:r>
              <w:rPr>
                <w:rFonts w:ascii="Arial" w:cs="Arial" w:eastAsia="Arial" w:hAnsi="Arial"/>
                <w:sz w:val="14"/>
                <w:szCs w:val="14"/>
                <w:b w:val="1"/>
                <w:bCs w:val="1"/>
                <w:color w:val="auto"/>
              </w:rPr>
              <w:t>Quarters Ended March 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Free Cash Flow Analysis (b)</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14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center"/>
              <w:ind w:left="215"/>
              <w:spacing w:after="0"/>
              <w:rPr>
                <w:sz w:val="20"/>
                <w:szCs w:val="20"/>
                <w:color w:val="auto"/>
              </w:rPr>
            </w:pPr>
            <w:r>
              <w:rPr>
                <w:rFonts w:ascii="Arial" w:cs="Arial" w:eastAsia="Arial" w:hAnsi="Arial"/>
                <w:sz w:val="18"/>
                <w:szCs w:val="18"/>
                <w:color w:val="auto"/>
                <w:w w:val="86"/>
              </w:rPr>
              <w:t>577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left="95"/>
              <w:spacing w:after="0"/>
              <w:rPr>
                <w:sz w:val="20"/>
                <w:szCs w:val="20"/>
                <w:color w:val="auto"/>
              </w:rPr>
            </w:pPr>
            <w:r>
              <w:rPr>
                <w:rFonts w:ascii="Arial" w:cs="Arial" w:eastAsia="Arial" w:hAnsi="Arial"/>
                <w:sz w:val="18"/>
                <w:szCs w:val="18"/>
                <w:color w:val="auto"/>
                <w:w w:val="90"/>
              </w:rPr>
              <w:t>(266)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gridSpan w:val="9"/>
          </w:tcPr>
          <w:p>
            <w:pPr>
              <w:spacing w:after="0"/>
              <w:rPr>
                <w:sz w:val="20"/>
                <w:szCs w:val="20"/>
                <w:color w:val="auto"/>
              </w:rPr>
            </w:pPr>
            <w:r>
              <w:rPr>
                <w:rFonts w:ascii="Arial" w:cs="Arial" w:eastAsia="Arial" w:hAnsi="Arial"/>
                <w:sz w:val="18"/>
                <w:szCs w:val="18"/>
                <w:color w:val="auto"/>
                <w:w w:val="88"/>
              </w:rPr>
              <w:t>Proceeds from divestitures of businesses and other assets (net of cash divested)</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color w:val="auto"/>
                <w:w w:val="79"/>
              </w:rPr>
              <w:t>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center"/>
              <w:ind w:left="215"/>
              <w:spacing w:after="0"/>
              <w:rPr>
                <w:sz w:val="20"/>
                <w:szCs w:val="20"/>
                <w:color w:val="auto"/>
              </w:rPr>
            </w:pPr>
            <w:r>
              <w:rPr>
                <w:rFonts w:ascii="Arial" w:cs="Arial" w:eastAsia="Arial" w:hAnsi="Arial"/>
                <w:sz w:val="18"/>
                <w:szCs w:val="18"/>
                <w:color w:val="auto"/>
                <w:w w:val="86"/>
              </w:rPr>
              <w:t>348</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34" w:lineRule="exact"/>
        <w:rPr>
          <w:rFonts w:ascii="Arial" w:cs="Arial" w:eastAsia="Arial" w:hAnsi="Arial"/>
          <w:sz w:val="17"/>
          <w:szCs w:val="17"/>
          <w:color w:val="auto"/>
        </w:rPr>
      </w:pPr>
    </w:p>
    <w:p>
      <w:pPr>
        <w:ind w:left="452" w:hanging="452"/>
        <w:spacing w:after="0" w:line="255"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2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32"/>
          </w:cols>
          <w:pgMar w:left="248" w:top="270" w:right="319" w:bottom="1440" w:gutter="0" w:footer="0" w:header="0"/>
        </w:sectPr>
      </w:pPr>
    </w:p>
    <w:bookmarkStart w:id="12" w:name="page13"/>
    <w:bookmarkEnd w:id="12"/>
    <w:p>
      <w:pPr>
        <w:jc w:val="center"/>
        <w:ind w:right="-1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Quarters Ended</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4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Balance Sheet Data</w:t>
            </w:r>
          </w:p>
        </w:tc>
        <w:tc>
          <w:tcPr>
            <w:tcW w:w="4320" w:type="dxa"/>
            <w:vAlign w:val="bottom"/>
            <w:tcBorders>
              <w:bottom w:val="single" w:sz="8" w:color="CCEEFF"/>
            </w:tcBorders>
            <w:gridSpan w:val="4"/>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339</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58</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40" w:type="dxa"/>
            <w:vAlign w:val="bottom"/>
            <w:gridSpan w:val="5"/>
          </w:tcPr>
          <w:p>
            <w:pPr>
              <w:ind w:left="180"/>
              <w:spacing w:after="0"/>
              <w:rPr>
                <w:sz w:val="20"/>
                <w:szCs w:val="20"/>
                <w:color w:val="auto"/>
              </w:rPr>
            </w:pPr>
            <w:r>
              <w:rPr>
                <w:rFonts w:ascii="Arial" w:cs="Arial" w:eastAsia="Arial" w:hAnsi="Arial"/>
                <w:sz w:val="18"/>
                <w:szCs w:val="18"/>
                <w:color w:val="auto"/>
              </w:rPr>
              <w:t>Long-term indebtedness, including current portion</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w w:val="90"/>
              </w:rPr>
              <w:t>10,194</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10,226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10,009</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640" w:type="dxa"/>
            <w:vAlign w:val="bottom"/>
            <w:gridSpan w:val="5"/>
          </w:tcPr>
          <w:p>
            <w:pPr>
              <w:ind w:left="540"/>
              <w:spacing w:after="0"/>
              <w:rPr>
                <w:sz w:val="20"/>
                <w:szCs w:val="20"/>
                <w:color w:val="auto"/>
              </w:rPr>
            </w:pPr>
            <w:r>
              <w:rPr>
                <w:rFonts w:ascii="Arial" w:cs="Arial" w:eastAsia="Arial" w:hAnsi="Arial"/>
                <w:sz w:val="18"/>
                <w:szCs w:val="18"/>
                <w:color w:val="auto"/>
              </w:rPr>
              <w:t>Total capital</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16,233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16,725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shd w:val="clear" w:color="auto" w:fill="CCEEFF"/>
          </w:tcPr>
          <w:p>
            <w:pPr>
              <w:spacing w:after="0"/>
              <w:rPr>
                <w:sz w:val="18"/>
                <w:szCs w:val="18"/>
                <w:color w:val="auto"/>
              </w:rPr>
            </w:pPr>
          </w:p>
        </w:tc>
        <w:tc>
          <w:tcPr>
            <w:tcW w:w="56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Debt-to-total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582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6"/>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20" w:type="dxa"/>
            <w:vAlign w:val="bottom"/>
            <w:gridSpan w:val="6"/>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640" w:type="dxa"/>
            <w:vAlign w:val="bottom"/>
            <w:gridSpan w:val="5"/>
          </w:tcPr>
          <w:p>
            <w:pPr>
              <w:ind w:left="180"/>
              <w:spacing w:after="0"/>
              <w:rPr>
                <w:sz w:val="20"/>
                <w:szCs w:val="20"/>
                <w:color w:val="auto"/>
              </w:rPr>
            </w:pPr>
            <w:r>
              <w:rPr>
                <w:rFonts w:ascii="Arial" w:cs="Arial" w:eastAsia="Arial" w:hAnsi="Arial"/>
                <w:sz w:val="18"/>
                <w:szCs w:val="18"/>
                <w:color w:val="auto"/>
              </w:rPr>
              <w:t>Gross annualized revenue acquired</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9</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shd w:val="clear" w:color="auto" w:fill="CCEEFF"/>
          </w:tcPr>
          <w:p>
            <w:pPr>
              <w:spacing w:after="0"/>
              <w:rPr>
                <w:sz w:val="18"/>
                <w:szCs w:val="18"/>
                <w:color w:val="auto"/>
              </w:rPr>
            </w:pPr>
          </w:p>
        </w:tc>
        <w:tc>
          <w:tcPr>
            <w:tcW w:w="56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40" w:type="dxa"/>
            <w:vAlign w:val="bottom"/>
            <w:gridSpan w:val="5"/>
            <w:vMerge w:val="restart"/>
          </w:tcPr>
          <w:p>
            <w:pPr>
              <w:ind w:left="180"/>
              <w:spacing w:after="0"/>
              <w:rPr>
                <w:sz w:val="20"/>
                <w:szCs w:val="20"/>
                <w:color w:val="auto"/>
              </w:rPr>
            </w:pPr>
            <w:r>
              <w:rPr>
                <w:rFonts w:ascii="Arial" w:cs="Arial" w:eastAsia="Arial" w:hAnsi="Arial"/>
                <w:sz w:val="18"/>
                <w:szCs w:val="18"/>
                <w:color w:val="auto"/>
              </w:rPr>
              <w:t>Cash paid for acquisitions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64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6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3"/>
              </w:rPr>
              <w:t>Other Operational Data</w:t>
            </w:r>
          </w:p>
        </w:tc>
        <w:tc>
          <w:tcPr>
            <w:tcW w:w="3960" w:type="dxa"/>
            <w:vAlign w:val="bottom"/>
            <w:tcBorders>
              <w:bottom w:val="single" w:sz="8" w:color="CCEEFF"/>
            </w:tcBorders>
            <w:gridSpan w:val="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20" w:type="dxa"/>
            <w:vAlign w:val="bottom"/>
            <w:gridSpan w:val="6"/>
          </w:tcPr>
          <w:p>
            <w:pPr>
              <w:spacing w:after="0"/>
              <w:rPr>
                <w:sz w:val="20"/>
                <w:szCs w:val="20"/>
                <w:color w:val="auto"/>
              </w:rPr>
            </w:pPr>
            <w:r>
              <w:rPr>
                <w:rFonts w:ascii="Arial" w:cs="Arial" w:eastAsia="Arial" w:hAnsi="Arial"/>
                <w:sz w:val="18"/>
                <w:szCs w:val="18"/>
                <w:color w:val="auto"/>
              </w:rPr>
              <w:t>Internalization of waste, based on disposal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67.0%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5820" w:type="dxa"/>
            <w:vAlign w:val="bottom"/>
            <w:gridSpan w:val="6"/>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Total disposal volumes (tons in millions)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582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6"/>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58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2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auto"/>
            </w:tcBorders>
          </w:tcPr>
          <w:p>
            <w:pPr>
              <w:spacing w:after="0"/>
              <w:rPr>
                <w:sz w:val="17"/>
                <w:szCs w:val="17"/>
                <w:color w:val="auto"/>
              </w:rPr>
            </w:pPr>
          </w:p>
        </w:tc>
        <w:tc>
          <w:tcPr>
            <w:tcW w:w="50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in Operating Groups: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40" w:type="dxa"/>
            <w:vAlign w:val="bottom"/>
            <w:gridSpan w:val="5"/>
          </w:tcPr>
          <w:p>
            <w:pPr>
              <w:ind w:left="180"/>
              <w:spacing w:after="0"/>
              <w:rPr>
                <w:sz w:val="20"/>
                <w:szCs w:val="20"/>
                <w:color w:val="auto"/>
              </w:rPr>
            </w:pPr>
            <w:r>
              <w:rPr>
                <w:rFonts w:ascii="Arial" w:cs="Arial" w:eastAsia="Arial" w:hAnsi="Arial"/>
                <w:sz w:val="18"/>
                <w:szCs w:val="18"/>
                <w:color w:val="auto"/>
              </w:rPr>
              <w:t>Cost basis of landfill assets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73.5</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84.3</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6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640" w:type="dxa"/>
            <w:vAlign w:val="bottom"/>
            <w:gridSpan w:val="5"/>
          </w:tcPr>
          <w:p>
            <w:pPr>
              <w:ind w:left="540"/>
              <w:spacing w:after="0"/>
              <w:rPr>
                <w:sz w:val="20"/>
                <w:szCs w:val="20"/>
                <w:color w:val="auto"/>
              </w:rPr>
            </w:pPr>
            <w:r>
              <w:rPr>
                <w:rFonts w:ascii="Arial" w:cs="Arial" w:eastAsia="Arial" w:hAnsi="Arial"/>
                <w:sz w:val="18"/>
                <w:szCs w:val="18"/>
                <w:color w:val="auto"/>
              </w:rPr>
              <w:t>Total landfill amortization expense (b) (c)</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640" w:type="dxa"/>
            <w:vAlign w:val="bottom"/>
            <w:gridSpan w:val="5"/>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line="258"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 w:lineRule="exact"/>
        <w:rPr>
          <w:rFonts w:ascii="Arial" w:cs="Arial" w:eastAsia="Arial" w:hAnsi="Arial"/>
          <w:sz w:val="18"/>
          <w:szCs w:val="18"/>
          <w:color w:val="auto"/>
        </w:rPr>
      </w:pPr>
    </w:p>
    <w:p>
      <w:pPr>
        <w:ind w:left="452" w:right="40" w:hanging="452"/>
        <w:spacing w:after="0" w:line="281" w:lineRule="auto"/>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quarter ended March 31, 2014 as compared to the quarter ended December 31, 2013 reflects a decrease in amortization expense of approximately $3.7 million, primarily due to changes in landfill estimates identified in both quarters and by a decrease in volumes primarily due to seasonality.</w:t>
      </w:r>
    </w:p>
    <w:p>
      <w:pPr>
        <w:spacing w:after="0" w:line="1" w:lineRule="exact"/>
        <w:rPr>
          <w:rFonts w:ascii="Arial" w:cs="Arial" w:eastAsia="Arial" w:hAnsi="Arial"/>
          <w:sz w:val="16"/>
          <w:szCs w:val="16"/>
          <w:color w:val="auto"/>
        </w:rPr>
      </w:pPr>
    </w:p>
    <w:p>
      <w:pPr>
        <w:ind w:left="452" w:right="300" w:hanging="452"/>
        <w:spacing w:after="0" w:line="261" w:lineRule="auto"/>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 ended March 31, 2014 as compared to the quarter ended March 31, 2013 reflects a decrease in amortization expense of approximately $12.1 million due to changes in landfill estimates identified in both quarters.</w:t>
      </w:r>
    </w:p>
    <w:p>
      <w:pPr>
        <w:spacing w:after="0" w:line="116"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72"/>
          </w:cols>
          <w:pgMar w:left="248" w:top="270" w:right="379" w:bottom="1440" w:gutter="0" w:footer="0" w:header="0"/>
        </w:sectPr>
      </w:pPr>
    </w:p>
    <w:bookmarkStart w:id="13" w:name="page14"/>
    <w:bookmarkEnd w:id="1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8832"/>
        <w:spacing w:after="0"/>
        <w:rPr>
          <w:sz w:val="20"/>
          <w:szCs w:val="20"/>
          <w:color w:val="auto"/>
        </w:rPr>
      </w:pPr>
      <w:r>
        <w:rPr>
          <w:rFonts w:ascii="Arial" w:cs="Arial" w:eastAsia="Arial" w:hAnsi="Arial"/>
          <w:sz w:val="14"/>
          <w:szCs w:val="14"/>
          <w:b w:val="1"/>
          <w:bCs w:val="1"/>
          <w:color w:val="auto"/>
        </w:rPr>
        <w:t>Quarter Ended</w:t>
      </w:r>
    </w:p>
    <w:p>
      <w:pPr>
        <w:ind w:left="8832"/>
        <w:spacing w:after="0" w:line="236"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tbl>
      <w:tblPr>
        <w:tblLayout w:type="fixed"/>
        <w:tblInd w:w="912" w:type="dxa"/>
        <w:tblCellMar>
          <w:top w:w="0" w:type="dxa"/>
          <w:left w:w="0" w:type="dxa"/>
          <w:bottom w:w="0" w:type="dxa"/>
          <w:right w:w="0" w:type="dxa"/>
        </w:tblCellMar>
      </w:tblPr>
      <w:tr>
        <w:trPr>
          <w:trHeight w:val="119"/>
        </w:trPr>
        <w:tc>
          <w:tcPr>
            <w:tcW w:w="6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After-tax</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5"/>
              </w:rPr>
              <w:t>Per Share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64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Amount</w:t>
            </w:r>
          </w:p>
        </w:tc>
        <w:tc>
          <w:tcPr>
            <w:tcW w:w="520" w:type="dxa"/>
            <w:vAlign w:val="bottom"/>
            <w:tcBorders>
              <w:bottom w:val="single" w:sz="8" w:color="CCEEFF"/>
            </w:tcBorders>
            <w:gridSpan w:val="2"/>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CCEEFF"/>
            </w:tcBorders>
            <w:gridSpan w:val="2"/>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228</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80"/>
              <w:spacing w:after="0"/>
              <w:rPr>
                <w:sz w:val="20"/>
                <w:szCs w:val="20"/>
                <w:color w:val="auto"/>
              </w:rPr>
            </w:pPr>
            <w:r>
              <w:rPr>
                <w:rFonts w:ascii="Arial" w:cs="Arial" w:eastAsia="Arial" w:hAnsi="Arial"/>
                <w:sz w:val="18"/>
                <w:szCs w:val="18"/>
                <w:b w:val="1"/>
                <w:bCs w:val="1"/>
                <w:color w:val="auto"/>
                <w:w w:val="94"/>
              </w:rPr>
              <w:t>0.49(a)</w:t>
            </w:r>
          </w:p>
        </w:tc>
      </w:tr>
      <w:tr>
        <w:trPr>
          <w:trHeight w:val="369"/>
        </w:trPr>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March 31, 2013</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420" w:type="dxa"/>
            <w:vAlign w:val="bottom"/>
          </w:tcPr>
          <w:p>
            <w:pPr>
              <w:spacing w:after="0"/>
              <w:rPr>
                <w:sz w:val="10"/>
                <w:szCs w:val="10"/>
                <w:color w:val="auto"/>
              </w:rPr>
            </w:pPr>
          </w:p>
        </w:tc>
        <w:tc>
          <w:tcPr>
            <w:tcW w:w="74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After-</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Tax</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Per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tax</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(Expense)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Share</w:t>
            </w:r>
          </w:p>
        </w:tc>
      </w:tr>
      <w:tr>
        <w:trPr>
          <w:trHeight w:val="171"/>
        </w:trPr>
        <w:tc>
          <w:tcPr>
            <w:tcW w:w="64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 Benefit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Net Income and Earnings Per Diluted Share</w:t>
            </w: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Net Income and Diluted EPS, as reported</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3"/>
          </w:tcPr>
          <w:p>
            <w:pPr>
              <w:ind w:left="280"/>
              <w:spacing w:after="0"/>
              <w:rPr>
                <w:sz w:val="20"/>
                <w:szCs w:val="20"/>
                <w:color w:val="auto"/>
              </w:rPr>
            </w:pPr>
            <w:r>
              <w:rPr>
                <w:rFonts w:ascii="Arial" w:cs="Arial" w:eastAsia="Arial" w:hAnsi="Arial"/>
                <w:sz w:val="18"/>
                <w:szCs w:val="18"/>
                <w:b w:val="1"/>
                <w:bCs w:val="1"/>
                <w:color w:val="auto"/>
                <w:w w:val="99"/>
              </w:rPr>
              <w:t>$</w:t>
            </w:r>
          </w:p>
        </w:tc>
        <w:tc>
          <w:tcPr>
            <w:tcW w:w="540" w:type="dxa"/>
            <w:vAlign w:val="bottom"/>
            <w:gridSpan w:val="2"/>
          </w:tcPr>
          <w:p>
            <w:pPr>
              <w:ind w:left="80"/>
              <w:spacing w:after="0"/>
              <w:rPr>
                <w:sz w:val="20"/>
                <w:szCs w:val="20"/>
                <w:color w:val="auto"/>
              </w:rPr>
            </w:pPr>
            <w:r>
              <w:rPr>
                <w:rFonts w:ascii="Arial" w:cs="Arial" w:eastAsia="Arial" w:hAnsi="Arial"/>
                <w:sz w:val="18"/>
                <w:szCs w:val="18"/>
                <w:b w:val="1"/>
                <w:bCs w:val="1"/>
                <w:color w:val="auto"/>
              </w:rPr>
              <w:t>0.36</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Adjustments to Net Income and Diluted EPS: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ind w:left="720"/>
              <w:spacing w:after="0"/>
              <w:rPr>
                <w:sz w:val="20"/>
                <w:szCs w:val="20"/>
                <w:color w:val="auto"/>
              </w:rPr>
            </w:pPr>
            <w:r>
              <w:rPr>
                <w:rFonts w:ascii="Arial" w:cs="Arial" w:eastAsia="Arial" w:hAnsi="Arial"/>
                <w:sz w:val="18"/>
                <w:szCs w:val="18"/>
                <w:color w:val="auto"/>
              </w:rPr>
              <w:t xml:space="preserve">Asset impairments and unusual items </w:t>
            </w:r>
            <w:r>
              <w:rPr>
                <w:rFonts w:ascii="Arial" w:cs="Arial" w:eastAsia="Arial" w:hAnsi="Arial"/>
                <w:sz w:val="18"/>
                <w:szCs w:val="18"/>
                <w:b w:val="1"/>
                <w:bCs w:val="1"/>
                <w:color w:val="auto"/>
              </w:rPr>
              <w:t>(b)</w:t>
            </w: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0.04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and Diluted EPS, as adjusted</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3"/>
            <w:shd w:val="clear" w:color="auto" w:fill="CCEEFF"/>
          </w:tcPr>
          <w:p>
            <w:pPr>
              <w:ind w:left="80"/>
              <w:spacing w:after="0"/>
              <w:rPr>
                <w:sz w:val="20"/>
                <w:szCs w:val="20"/>
                <w:color w:val="auto"/>
              </w:rPr>
            </w:pPr>
            <w:r>
              <w:rPr>
                <w:rFonts w:ascii="Arial" w:cs="Arial" w:eastAsia="Arial" w:hAnsi="Arial"/>
                <w:sz w:val="18"/>
                <w:szCs w:val="18"/>
                <w:b w:val="1"/>
                <w:bCs w:val="1"/>
                <w:color w:val="auto"/>
                <w:w w:val="94"/>
              </w:rPr>
              <w:t>0.40(a)</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Scenario 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Scenario 2</w:t>
            </w: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 xml:space="preserve">Full Year 2014 Free Cash Flow Reconciliation </w:t>
            </w:r>
            <w:r>
              <w:rPr>
                <w:rFonts w:ascii="Arial" w:cs="Arial" w:eastAsia="Arial" w:hAnsi="Arial"/>
                <w:sz w:val="18"/>
                <w:szCs w:val="18"/>
                <w:b w:val="1"/>
                <w:bCs w:val="1"/>
                <w:color w:val="auto"/>
              </w:rPr>
              <w:t>(c)</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2,475</w:t>
            </w:r>
          </w:p>
        </w:tc>
        <w:tc>
          <w:tcPr>
            <w:tcW w:w="40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2,525</w:t>
            </w:r>
          </w:p>
        </w:tc>
      </w:tr>
      <w:tr>
        <w:trPr>
          <w:trHeight w:val="216"/>
        </w:trPr>
        <w:tc>
          <w:tcPr>
            <w:tcW w:w="6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4"/>
              </w:rPr>
              <w:t>(1,250)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8"/>
              </w:rPr>
              <w:t>(1,300)</w:t>
            </w:r>
          </w:p>
        </w:tc>
      </w:tr>
      <w:tr>
        <w:trPr>
          <w:trHeight w:val="216"/>
        </w:trPr>
        <w:tc>
          <w:tcPr>
            <w:tcW w:w="6420" w:type="dxa"/>
            <w:vAlign w:val="bottom"/>
          </w:tcPr>
          <w:p>
            <w:pPr>
              <w:ind w:left="720"/>
              <w:spacing w:after="0"/>
              <w:rPr>
                <w:sz w:val="20"/>
                <w:szCs w:val="20"/>
                <w:color w:val="auto"/>
              </w:rPr>
            </w:pPr>
            <w:r>
              <w:rPr>
                <w:rFonts w:ascii="Arial" w:cs="Arial" w:eastAsia="Arial" w:hAnsi="Arial"/>
                <w:sz w:val="18"/>
                <w:szCs w:val="18"/>
                <w:color w:val="auto"/>
                <w:w w:val="88"/>
              </w:rPr>
              <w:t>Proceeds from divestitures of businesses and other assets (net of cash divested)</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275</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1,400</w:t>
            </w: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1,500</w:t>
            </w: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right="240" w:hanging="452"/>
        <w:spacing w:after="0" w:line="258"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More than 22% growth in as-reported earnings per diluted share in the first quarter of 2014 over adjusted earnings per diluted share in first quarter of 2013.</w:t>
      </w:r>
    </w:p>
    <w:p>
      <w:pPr>
        <w:spacing w:after="0" w:line="1" w:lineRule="exact"/>
        <w:rPr>
          <w:rFonts w:ascii="Arial" w:cs="Arial" w:eastAsia="Arial" w:hAnsi="Arial"/>
          <w:sz w:val="18"/>
          <w:szCs w:val="18"/>
          <w:b w:val="1"/>
          <w:bCs w:val="1"/>
          <w:color w:val="auto"/>
        </w:rPr>
      </w:pPr>
    </w:p>
    <w:p>
      <w:pPr>
        <w:ind w:left="452" w:right="40" w:hanging="452"/>
        <w:spacing w:after="0" w:line="250"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Includes impairment charges associated with certain of our investments in unconsolidated entities that are included in the “Other, net” financial caption, as well as net charges in the “Asset Impairments and Unusual Items” financial caption.</w:t>
      </w:r>
    </w:p>
    <w:p>
      <w:pPr>
        <w:ind w:left="452" w:hanging="452"/>
        <w:spacing w:after="0" w:line="290" w:lineRule="auto"/>
        <w:tabs>
          <w:tab w:leader="none" w:pos="452"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reconciliation illustrates two scenarios that show our projected free cash flow for 2014. The amounts used in the reconciliations are subject to many variables, some of which are not under our control, and are not necessarily representative or indicative of full year results.</w:t>
      </w:r>
    </w:p>
    <w:p>
      <w:pPr>
        <w:spacing w:after="0" w:line="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0" w:right="239" w:bottom="1440" w:gutter="0" w:footer="0" w:header="0"/>
        </w:sectPr>
      </w:pPr>
    </w:p>
    <w:bookmarkStart w:id="14" w:name="page15"/>
    <w:bookmarkEnd w:id="14"/>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tcPr>
          <w:p>
            <w:pPr>
              <w:ind w:left="32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tcPr>
          <w:p>
            <w:pPr>
              <w:ind w:left="320"/>
              <w:spacing w:after="0"/>
              <w:rPr>
                <w:sz w:val="20"/>
                <w:szCs w:val="20"/>
                <w:color w:val="auto"/>
              </w:rPr>
            </w:pPr>
            <w:r>
              <w:rPr>
                <w:rFonts w:ascii="Arial" w:cs="Arial" w:eastAsia="Arial" w:hAnsi="Arial"/>
                <w:sz w:val="14"/>
                <w:szCs w:val="14"/>
                <w:b w:val="1"/>
                <w:bCs w:val="1"/>
                <w:color w:val="auto"/>
              </w:rPr>
              <w:t>March 31, 2014</w:t>
            </w: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106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tcBorders>
            <w:gridSpan w:val="2"/>
          </w:tcPr>
          <w:p>
            <w:pPr>
              <w:ind w:left="300"/>
              <w:spacing w:after="0" w:line="119" w:lineRule="exact"/>
              <w:rPr>
                <w:sz w:val="20"/>
                <w:szCs w:val="20"/>
                <w:color w:val="auto"/>
              </w:rPr>
            </w:pPr>
            <w:r>
              <w:rPr>
                <w:rFonts w:ascii="Arial" w:cs="Arial" w:eastAsia="Arial" w:hAnsi="Arial"/>
                <w:sz w:val="13"/>
                <w:szCs w:val="13"/>
                <w:b w:val="1"/>
                <w:bCs w:val="1"/>
                <w:color w:val="auto"/>
              </w:rPr>
              <w:t>As a %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82"/>
        </w:trPr>
        <w:tc>
          <w:tcPr>
            <w:tcW w:w="6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i w:val="1"/>
                <w:iCs w:val="1"/>
                <w:color w:val="auto"/>
                <w:w w:val="99"/>
              </w:rPr>
              <w:t>Income from Operations as a percent of Revenues and Operating EBITDA</w:t>
            </w: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as a percent of Revenues</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6"/>
              </w:rPr>
              <w:t>$ 3,396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469(a)</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13.8%(a)</w:t>
            </w:r>
          </w:p>
        </w:tc>
        <w:tc>
          <w:tcPr>
            <w:tcW w:w="0" w:type="dxa"/>
            <w:vAlign w:val="bottom"/>
          </w:tcPr>
          <w:p>
            <w:pPr>
              <w:spacing w:after="0"/>
              <w:rPr>
                <w:sz w:val="1"/>
                <w:szCs w:val="1"/>
                <w:color w:val="auto"/>
              </w:rPr>
            </w:pPr>
          </w:p>
        </w:tc>
      </w:tr>
      <w:tr>
        <w:trPr>
          <w:trHeight w:val="223"/>
        </w:trPr>
        <w:tc>
          <w:tcPr>
            <w:tcW w:w="62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317</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b w:val="1"/>
                <w:bCs w:val="1"/>
                <w:color w:val="auto"/>
              </w:rPr>
              <w:t>Operating EBITDA and Operating EBITDA as a percent of</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Revenues, as reported</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786(b)</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23.1%(b)</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ind w:left="32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tcPr>
          <w:p>
            <w:pPr>
              <w:ind w:left="320"/>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106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tcBorders>
            <w:gridSpan w:val="2"/>
          </w:tcPr>
          <w:p>
            <w:pPr>
              <w:ind w:left="300"/>
              <w:spacing w:after="0" w:line="119" w:lineRule="exact"/>
              <w:rPr>
                <w:sz w:val="20"/>
                <w:szCs w:val="20"/>
                <w:color w:val="auto"/>
              </w:rPr>
            </w:pPr>
            <w:r>
              <w:rPr>
                <w:rFonts w:ascii="Arial" w:cs="Arial" w:eastAsia="Arial" w:hAnsi="Arial"/>
                <w:sz w:val="13"/>
                <w:szCs w:val="13"/>
                <w:b w:val="1"/>
                <w:bCs w:val="1"/>
                <w:color w:val="auto"/>
              </w:rPr>
              <w:t>As a %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82"/>
        </w:trPr>
        <w:tc>
          <w:tcPr>
            <w:tcW w:w="6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i w:val="1"/>
                <w:iCs w:val="1"/>
                <w:color w:val="auto"/>
                <w:w w:val="98"/>
              </w:rPr>
              <w:t>Adjusted Income from Operations as a percent of Revenues and Adjusted</w:t>
            </w: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Operating EBITDA as a percent of Revenues</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6"/>
              </w:rPr>
              <w:t>$ 3,336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402</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b w:val="1"/>
                <w:bCs w:val="1"/>
                <w:color w:val="auto"/>
              </w:rPr>
              <w:t>Adjustments to Income from operations: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Asset impairments and unusual items</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72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360"/>
              <w:spacing w:after="0"/>
              <w:rPr>
                <w:sz w:val="20"/>
                <w:szCs w:val="20"/>
                <w:color w:val="auto"/>
              </w:rPr>
            </w:pPr>
            <w:r>
              <w:rPr>
                <w:rFonts w:ascii="Arial" w:cs="Arial" w:eastAsia="Arial" w:hAnsi="Arial"/>
                <w:sz w:val="18"/>
                <w:szCs w:val="18"/>
                <w:b w:val="1"/>
                <w:bCs w:val="1"/>
                <w:color w:val="auto"/>
              </w:rPr>
              <w:t>Income from operations, as adjusted</w:t>
            </w:r>
          </w:p>
        </w:tc>
        <w:tc>
          <w:tcPr>
            <w:tcW w:w="18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414(a)</w:t>
            </w:r>
          </w:p>
        </w:tc>
        <w:tc>
          <w:tcPr>
            <w:tcW w:w="300" w:type="dxa"/>
            <w:vAlign w:val="bottom"/>
          </w:tcPr>
          <w:p>
            <w:pPr>
              <w:spacing w:after="0"/>
              <w:rPr>
                <w:sz w:val="19"/>
                <w:szCs w:val="19"/>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b w:val="1"/>
                <w:bCs w:val="1"/>
                <w:color w:val="auto"/>
              </w:rPr>
              <w:t>12.4%(a)</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260" w:type="dxa"/>
            <w:vAlign w:val="bottom"/>
          </w:tcPr>
          <w:p>
            <w:pPr>
              <w:ind w:left="360"/>
              <w:spacing w:after="0" w:line="205" w:lineRule="exact"/>
              <w:rPr>
                <w:sz w:val="20"/>
                <w:szCs w:val="20"/>
                <w:color w:val="auto"/>
              </w:rPr>
            </w:pPr>
            <w:r>
              <w:rPr>
                <w:rFonts w:ascii="Arial" w:cs="Arial" w:eastAsia="Arial" w:hAnsi="Arial"/>
                <w:sz w:val="18"/>
                <w:szCs w:val="18"/>
                <w:b w:val="1"/>
                <w:bCs w:val="1"/>
                <w:color w:val="auto"/>
              </w:rPr>
              <w:t>Adjusted Operating EBITDA and Adjusted Operating EBITDA as a</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60" w:type="dxa"/>
            <w:vAlign w:val="bottom"/>
          </w:tcPr>
          <w:p>
            <w:pPr>
              <w:ind w:left="540"/>
              <w:spacing w:after="0"/>
              <w:rPr>
                <w:sz w:val="20"/>
                <w:szCs w:val="20"/>
                <w:color w:val="auto"/>
              </w:rPr>
            </w:pPr>
            <w:r>
              <w:rPr>
                <w:rFonts w:ascii="Arial" w:cs="Arial" w:eastAsia="Arial" w:hAnsi="Arial"/>
                <w:sz w:val="18"/>
                <w:szCs w:val="18"/>
                <w:b w:val="1"/>
                <w:bCs w:val="1"/>
                <w:color w:val="auto"/>
              </w:rPr>
              <w:t>percent of Revenues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tcPr>
          <w:p>
            <w:pPr>
              <w:ind w:left="100"/>
              <w:spacing w:after="0"/>
              <w:rPr>
                <w:sz w:val="20"/>
                <w:szCs w:val="20"/>
                <w:color w:val="auto"/>
              </w:rPr>
            </w:pPr>
            <w:r>
              <w:rPr>
                <w:rFonts w:ascii="Arial" w:cs="Arial" w:eastAsia="Arial" w:hAnsi="Arial"/>
                <w:sz w:val="18"/>
                <w:szCs w:val="18"/>
                <w:b w:val="1"/>
                <w:bCs w:val="1"/>
                <w:color w:val="auto"/>
              </w:rPr>
              <w:t>737(b)</w:t>
            </w:r>
          </w:p>
        </w:tc>
        <w:tc>
          <w:tcPr>
            <w:tcW w:w="300" w:type="dxa"/>
            <w:vAlign w:val="bottom"/>
          </w:tcPr>
          <w:p>
            <w:pPr>
              <w:spacing w:after="0"/>
              <w:rPr>
                <w:sz w:val="20"/>
                <w:szCs w:val="20"/>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b w:val="1"/>
                <w:bCs w:val="1"/>
                <w:color w:val="auto"/>
              </w:rPr>
              <w:t>22.1%(b)</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right="280" w:hanging="452"/>
        <w:spacing w:after="0" w:line="258" w:lineRule="auto"/>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Income from operations for the first quarter of 2014 increased $55 million, or more than 13%, and income from operations as a percent of revenues increased 140 basis points, in each case as compared with adjusted results for the same period prior year.</w:t>
      </w:r>
    </w:p>
    <w:p>
      <w:pPr>
        <w:spacing w:after="0" w:line="1" w:lineRule="exact"/>
        <w:rPr>
          <w:rFonts w:ascii="Arial" w:cs="Arial" w:eastAsia="Arial" w:hAnsi="Arial"/>
          <w:sz w:val="18"/>
          <w:szCs w:val="18"/>
          <w:b w:val="1"/>
          <w:bCs w:val="1"/>
          <w:color w:val="auto"/>
        </w:rPr>
      </w:pPr>
    </w:p>
    <w:p>
      <w:pPr>
        <w:ind w:left="452" w:hanging="452"/>
        <w:spacing w:after="0" w:line="261" w:lineRule="auto"/>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Operating EBITDA for the first quarter of 2014 grew $49 million, or 6.6%, and operating EBITDA as a percent of revenues increased 100 basis points, in each case as compared with adjusted results for the same period prior year.</w:t>
      </w:r>
    </w:p>
    <w:p>
      <w:pPr>
        <w:spacing w:after="0" w:line="75" w:lineRule="exact"/>
        <w:rPr>
          <w:rFonts w:ascii="Arial" w:cs="Arial" w:eastAsia="Arial" w:hAnsi="Arial"/>
          <w:sz w:val="18"/>
          <w:szCs w:val="18"/>
          <w:b w:val="1"/>
          <w:bCs w:val="1"/>
          <w:color w:val="auto"/>
        </w:rPr>
      </w:pPr>
    </w:p>
    <w:p>
      <w:pPr>
        <w:ind w:left="452" w:right="1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defines Operating EBITDA as income from operations before depreciation and amortization, and the Company’s Adjusted Operating EBITDA for the first quarter of 2013 excludes the items noted above. This measure may not be comparable to similarly titled measures reported by other companies. Management uses Operating EBITDA as an indicator of the Company’s operating performance and ability to pay dividends, fund acquisitions, capital expenditures and other investments and, in the absence of refinancing, to repay debt obligations. Management believes Adjusted Operating EBITDA is helpful to investors evaluating the Company’s operating performance because certain non-cash costs and other items that management believes are not representative of our performance or indicative of our results of operations are excluded. Operating EBITDA and Adjusted Operating EBITDA are supplemental non-GAAP measures and should not be considered an alternative to net income, income from operations, or net cash provided by operating activities.</w:t>
      </w:r>
    </w:p>
    <w:p>
      <w:pPr>
        <w:spacing w:after="0" w:line="11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sectPr>
      <w:pgSz w:w="11900" w:h="16838" w:orient="portrait"/>
      <w:cols w:equalWidth="0" w:num="1">
        <w:col w:w="11352"/>
      </w:cols>
      <w:pgMar w:left="248"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2019-12-06T01:00:24Z</dcterms:created>
  <dcterms:modified xsi:type="dcterms:W3CDTF">2019-12-06T01:00:24Z</dcterms:modified>
</cp:coreProperties>
</file>