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2"/>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ROBERTSON GREG A</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140" w:type="dxa"/>
            <w:vAlign w:val="bottom"/>
            <w:tcBorders>
              <w:bottom w:val="single" w:sz="8" w:color="0000EE"/>
            </w:tcBorders>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6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6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980" w:type="dxa"/>
            <w:vAlign w:val="bottom"/>
          </w:tcPr>
          <w:p>
            <w:pPr>
              <w:ind w:left="12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9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01/26/2007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VP, Chief Accounting Officer</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6"/>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01/26/2007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1,780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4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80" w:type="dxa"/>
            <w:vAlign w:val="bottom"/>
            <w:tcBorders>
              <w:bottom w:val="single" w:sz="8" w:color="2C2C2C"/>
            </w:tcBorders>
            <w:gridSpan w:val="3"/>
          </w:tcPr>
          <w:p>
            <w:pPr>
              <w:ind w:left="380"/>
              <w:spacing w:after="0"/>
              <w:rPr>
                <w:sz w:val="20"/>
                <w:szCs w:val="20"/>
                <w:color w:val="auto"/>
              </w:rPr>
            </w:pPr>
            <w:r>
              <w:rPr>
                <w:rFonts w:ascii="Arial" w:cs="Arial" w:eastAsia="Arial" w:hAnsi="Arial"/>
                <w:sz w:val="18"/>
                <w:szCs w:val="18"/>
                <w:color w:val="0000FF"/>
              </w:rPr>
              <w:t>21,232.6065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Restricted stock units granted pursuant to the Waste Management, Inc. 2004 Stock Incentive Plan. The restricted stock units vest in their entirety on the third anniversary of the date of grant.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Linda J. Smith, attorney-in-fact 01/30/2007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8365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2019-12-16T05:34:02Z</dcterms:created>
  <dcterms:modified xsi:type="dcterms:W3CDTF">2019-12-16T05:34:02Z</dcterms:modified>
</cp:coreProperties>
</file>