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483235</wp:posOffset>
            </wp:positionH>
            <wp:positionV relativeFrom="page">
              <wp:posOffset>431800</wp:posOffset>
            </wp:positionV>
            <wp:extent cx="659511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5110" cy="34290"/>
                    </a:xfrm>
                    <a:prstGeom prst="rect">
                      <a:avLst/>
                    </a:prstGeom>
                    <a:noFill/>
                  </pic:spPr>
                </pic:pic>
              </a:graphicData>
            </a:graphic>
          </wp:anchor>
        </w:drawing>
        <w:drawing>
          <wp:anchor simplePos="0" relativeHeight="251657728" behindDoc="1" locked="0" layoutInCell="0" allowOverlap="1">
            <wp:simplePos x="0" y="0"/>
            <wp:positionH relativeFrom="page">
              <wp:posOffset>483235</wp:posOffset>
            </wp:positionH>
            <wp:positionV relativeFrom="page">
              <wp:posOffset>500380</wp:posOffset>
            </wp:positionV>
            <wp:extent cx="65951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511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04" w:lineRule="exact"/>
        <w:rPr>
          <w:sz w:val="24"/>
          <w:szCs w:val="24"/>
          <w:color w:val="auto"/>
        </w:rPr>
      </w:pPr>
    </w:p>
    <w:p>
      <w:pPr>
        <w:ind w:left="500" w:right="240" w:hanging="343"/>
        <w:spacing w:after="0" w:line="262" w:lineRule="auto"/>
        <w:tabs>
          <w:tab w:leader="none" w:pos="5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92"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2019</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9" w:lineRule="exact"/>
        <w:rPr>
          <w:sz w:val="24"/>
          <w:szCs w:val="24"/>
          <w:color w:val="auto"/>
        </w:rPr>
      </w:pPr>
    </w:p>
    <w:p>
      <w:pPr>
        <w:ind w:left="500" w:right="240" w:hanging="343"/>
        <w:spacing w:after="0" w:line="262" w:lineRule="auto"/>
        <w:tabs>
          <w:tab w:leader="none" w:pos="5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2" w:lineRule="exact"/>
        <w:rPr>
          <w:sz w:val="24"/>
          <w:szCs w:val="24"/>
          <w:color w:val="auto"/>
        </w:rPr>
      </w:pPr>
    </w:p>
    <w:p>
      <w:pPr>
        <w:ind w:left="500"/>
        <w:spacing w:after="0"/>
        <w:tabs>
          <w:tab w:leader="none" w:pos="34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1-12154</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0380"/>
          </w:cols>
          <w:pgMar w:left="760" w:top="894" w:right="759" w:bottom="1440" w:gutter="0" w:footer="0" w:header="0"/>
        </w:sectPr>
      </w:pPr>
    </w:p>
    <w:p>
      <w:pPr>
        <w:spacing w:after="0" w:line="107"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Delaware</w:t>
      </w:r>
    </w:p>
    <w:p>
      <w:pPr>
        <w:ind w:left="1580"/>
        <w:spacing w:after="0" w:line="226" w:lineRule="auto"/>
        <w:rPr>
          <w:sz w:val="20"/>
          <w:szCs w:val="20"/>
          <w:color w:val="auto"/>
        </w:rPr>
      </w:pPr>
      <w:r>
        <w:rPr>
          <w:rFonts w:ascii="Times New Roman" w:cs="Times New Roman" w:eastAsia="Times New Roman" w:hAnsi="Times New Roman"/>
          <w:sz w:val="18"/>
          <w:szCs w:val="18"/>
          <w:i w:val="1"/>
          <w:iCs w:val="1"/>
          <w:color w:val="auto"/>
        </w:rPr>
        <w:t>(State or other jurisdiction of</w:t>
      </w:r>
    </w:p>
    <w:p>
      <w:pPr>
        <w:ind w:left="1520"/>
        <w:spacing w:after="0"/>
        <w:rPr>
          <w:sz w:val="20"/>
          <w:szCs w:val="20"/>
          <w:color w:val="auto"/>
        </w:rPr>
      </w:pPr>
      <w:r>
        <w:rPr>
          <w:rFonts w:ascii="Times New Roman" w:cs="Times New Roman" w:eastAsia="Times New Roman" w:hAnsi="Times New Roman"/>
          <w:sz w:val="17"/>
          <w:szCs w:val="17"/>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73-1309529</w:t>
      </w:r>
    </w:p>
    <w:p>
      <w:pPr>
        <w:jc w:val="center"/>
        <w:ind w:right="1880"/>
        <w:spacing w:after="0" w:line="226" w:lineRule="auto"/>
        <w:rPr>
          <w:sz w:val="20"/>
          <w:szCs w:val="20"/>
          <w:color w:val="auto"/>
        </w:rPr>
      </w:pPr>
      <w:r>
        <w:rPr>
          <w:rFonts w:ascii="Times New Roman" w:cs="Times New Roman" w:eastAsia="Times New Roman" w:hAnsi="Times New Roman"/>
          <w:sz w:val="18"/>
          <w:szCs w:val="18"/>
          <w:i w:val="1"/>
          <w:iCs w:val="1"/>
          <w:color w:val="auto"/>
        </w:rPr>
        <w:t>(I.R.S. Employer</w:t>
      </w:r>
    </w:p>
    <w:p>
      <w:pPr>
        <w:jc w:val="center"/>
        <w:ind w:right="1880"/>
        <w:spacing w:after="0"/>
        <w:rPr>
          <w:sz w:val="20"/>
          <w:szCs w:val="20"/>
          <w:color w:val="auto"/>
        </w:rPr>
      </w:pPr>
      <w:r>
        <w:rPr>
          <w:rFonts w:ascii="Times New Roman" w:cs="Times New Roman" w:eastAsia="Times New Roman" w:hAnsi="Times New Roman"/>
          <w:sz w:val="18"/>
          <w:szCs w:val="18"/>
          <w:i w:val="1"/>
          <w:iCs w:val="1"/>
          <w:color w:val="auto"/>
        </w:rPr>
        <w:t>Identification No.)</w:t>
      </w:r>
    </w:p>
    <w:p>
      <w:pPr>
        <w:spacing w:after="0" w:line="93" w:lineRule="exact"/>
        <w:rPr>
          <w:sz w:val="24"/>
          <w:szCs w:val="24"/>
          <w:color w:val="auto"/>
        </w:rPr>
      </w:pPr>
    </w:p>
    <w:p>
      <w:pPr>
        <w:sectPr>
          <w:pgSz w:w="11900" w:h="16838" w:orient="portrait"/>
          <w:cols w:equalWidth="0" w:num="2">
            <w:col w:w="6440" w:space="720"/>
            <w:col w:w="3220"/>
          </w:cols>
          <w:pgMar w:left="760" w:top="894" w:right="75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1001 Fannin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ectPr>
          <w:pgSz w:w="11900" w:h="16838" w:orient="portrait"/>
          <w:cols w:equalWidth="0" w:num="1">
            <w:col w:w="10380"/>
          </w:cols>
          <w:pgMar w:left="760" w:top="894" w:right="759" w:bottom="1440" w:gutter="0" w:footer="0" w:header="0"/>
          <w:type w:val="continuous"/>
        </w:sectPr>
      </w:pP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 512-6200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36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3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200" w:type="dxa"/>
            <w:vAlign w:val="bottom"/>
          </w:tcPr>
          <w:p>
            <w:pPr>
              <w:spacing w:after="0"/>
              <w:rPr>
                <w:sz w:val="15"/>
                <w:szCs w:val="15"/>
                <w:color w:val="auto"/>
              </w:rPr>
            </w:pPr>
          </w:p>
        </w:tc>
        <w:tc>
          <w:tcPr>
            <w:tcW w:w="3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WM</w:t>
            </w:r>
          </w:p>
        </w:tc>
        <w:tc>
          <w:tcPr>
            <w:tcW w:w="180" w:type="dxa"/>
            <w:vAlign w:val="bottom"/>
          </w:tcPr>
          <w:p>
            <w:pPr>
              <w:spacing w:after="0"/>
              <w:rPr>
                <w:sz w:val="15"/>
                <w:szCs w:val="15"/>
                <w:color w:val="auto"/>
              </w:rPr>
            </w:pPr>
          </w:p>
        </w:tc>
        <w:tc>
          <w:tcPr>
            <w:tcW w:w="3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15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4"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p>
    <w:p>
      <w:pPr>
        <w:ind w:left="300" w:hanging="257"/>
        <w:spacing w:after="0" w:line="207" w:lineRule="exact"/>
        <w:tabs>
          <w:tab w:leader="none" w:pos="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11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380"/>
          </w:cols>
          <w:pgMar w:left="760" w:top="894" w:right="759" w:bottom="1440" w:gutter="0" w:footer="0" w:header="0"/>
          <w:type w:val="continuous"/>
        </w:sectPr>
      </w:pPr>
    </w:p>
    <w:p>
      <w:pPr>
        <w:spacing w:after="0" w:line="9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ind w:left="76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6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22" w:lineRule="exact"/>
        <w:rPr>
          <w:sz w:val="24"/>
          <w:szCs w:val="24"/>
          <w:color w:val="auto"/>
        </w:rPr>
      </w:pPr>
    </w:p>
    <w:p>
      <w:pPr>
        <w:sectPr>
          <w:pgSz w:w="11900" w:h="16838" w:orient="portrait"/>
          <w:cols w:equalWidth="0" w:num="3">
            <w:col w:w="2300" w:space="720"/>
            <w:col w:w="4480" w:space="720"/>
            <w:col w:w="2160"/>
          </w:cols>
          <w:pgMar w:left="760" w:top="894" w:right="759" w:bottom="1440" w:gutter="0" w:footer="0" w:header="0"/>
          <w:type w:val="continuous"/>
        </w:sect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6" w:lineRule="exact"/>
        <w:rPr>
          <w:sz w:val="24"/>
          <w:szCs w:val="24"/>
          <w:color w:val="auto"/>
        </w:rPr>
      </w:pPr>
    </w:p>
    <w:p>
      <w:pPr>
        <w:spacing w:after="0" w:line="207" w:lineRule="exact"/>
        <w:tabs>
          <w:tab w:leader="none" w:pos="75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$0.01 par value, of the registrant outstanding at October 18, 2019 was 424,241,200 (excluding treasury shares of 206,041,261).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466090</wp:posOffset>
            </wp:positionV>
            <wp:extent cx="659511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9511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54610</wp:posOffset>
            </wp:positionV>
            <wp:extent cx="65951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88900</wp:posOffset>
            </wp:positionV>
            <wp:extent cx="659511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95110" cy="34290"/>
                    </a:xfrm>
                    <a:prstGeom prst="rect">
                      <a:avLst/>
                    </a:prstGeom>
                    <a:noFill/>
                  </pic:spPr>
                </pic:pic>
              </a:graphicData>
            </a:graphic>
          </wp:anchor>
        </w:drawing>
      </w:r>
    </w:p>
    <w:p>
      <w:pPr>
        <w:sectPr>
          <w:pgSz w:w="11900" w:h="16838" w:orient="portrait"/>
          <w:cols w:equalWidth="0" w:num="1">
            <w:col w:w="10380"/>
          </w:cols>
          <w:pgMar w:left="760" w:top="894" w:right="7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Par Value Amounts)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ind w:left="308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2,915</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Accounts receivable, net of allowance for doubtful accounts of $27 and $29, respectively</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receivables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Parts and supplies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assets</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Total current assets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9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Property and equipment, net of accumulated depreciation and amortization of $18,499 and $18,264,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respectively</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12,805</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6,550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intangible assets, net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7"/>
                <w:szCs w:val="17"/>
                <w:color w:val="auto"/>
              </w:rPr>
              <w:t>Restricted trust and escrow accounts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821</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assets</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27,109</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vMerge w:val="restart"/>
          </w:tcPr>
          <w:p>
            <w:pPr>
              <w:ind w:left="2320"/>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6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Accounts payable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903</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Accrued liabilities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1,358</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Deferred revenues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 less current portion</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13,147</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Landfill and environmental remediation liabilities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1,917</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938</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liabilities</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20,322</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16,374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Waste Management, Inc. stockholders’ equity:</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Common stock, $0.01 par value; 1,500,000,000 shares authorized; 630,282,461 shares issued</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Retained earnings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10,364</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Treasury stock at cost, 206,122,185 and 206,299,352 shares, respectively</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(8,578)</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Waste Management, Inc. stockholders’ equity</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equity</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6,787</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27,109</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485775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73" w:right="14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CONDENSED CONSOLIDATED STATEMENTS OF OPERATIONS (In Millions, Except per Share Amounts) (Unaudited)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6"/>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6"/>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 loss from divestitures, asset impairments and unusual items, net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9,558</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 in net losses of unconsolidated entities</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Waste Management, Inc.</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earnings per common share</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2.88</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2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16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2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2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2.86</w:t>
            </w:r>
          </w:p>
        </w:tc>
        <w:tc>
          <w:tcPr>
            <w:tcW w:w="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4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20" w:type="dxa"/>
            <w:vAlign w:val="bottom"/>
          </w:tcPr>
          <w:p>
            <w:pPr>
              <w:spacing w:after="0"/>
              <w:rPr>
                <w:sz w:val="24"/>
                <w:szCs w:val="24"/>
                <w:color w:val="auto"/>
              </w:rPr>
            </w:pPr>
          </w:p>
        </w:tc>
        <w:tc>
          <w:tcPr>
            <w:tcW w:w="8180" w:type="dxa"/>
            <w:vAlign w:val="bottom"/>
            <w:gridSpan w:val="14"/>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jc w:val="center"/>
              <w:ind w:left="345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500" w:type="dxa"/>
            <w:vAlign w:val="bottom"/>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6"/>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6"/>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Derivative instruments, net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Available-for-sale securities, net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Post-retirement benefit obligations, net</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Less: Comprehensive income (loss) attributable to noncontrolling</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interests</w:t>
            </w:r>
          </w:p>
        </w:tc>
        <w:tc>
          <w:tcPr>
            <w:tcW w:w="2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 attributable to Waste Management, Inc.</w:t>
            </w:r>
          </w:p>
        </w:tc>
        <w:tc>
          <w:tcPr>
            <w:tcW w:w="20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7" w:right="14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2"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ind w:left="756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6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net income</w:t>
            </w:r>
          </w:p>
        </w:tc>
        <w:tc>
          <w:tcPr>
            <w:tcW w:w="5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w:t>
            </w:r>
          </w:p>
        </w:tc>
        <w:tc>
          <w:tcPr>
            <w:tcW w:w="180" w:type="dxa"/>
            <w:vAlign w:val="bottom"/>
          </w:tcPr>
          <w:p>
            <w:pPr>
              <w:spacing w:after="0"/>
              <w:rPr>
                <w:sz w:val="17"/>
                <w:szCs w:val="17"/>
                <w:color w:val="auto"/>
              </w:rPr>
            </w:pPr>
          </w:p>
        </w:tc>
        <w:tc>
          <w:tcPr>
            <w:tcW w:w="22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consolidated net income to net cash provided by operating activities:</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Deferred income tax expense (benefit)</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accretion on landfill liabilities</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Provision for bad debts</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gain on disposal of assets</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(Gain) loss from divestitures, asset impairments and other, net</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Equity in net losses of unconsolidated entities, net of dividends</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Change in operating assets and liabilities, net of effects of acquisitions and divestitures:</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Receivables</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Other current assets</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6"/>
                <w:szCs w:val="16"/>
                <w:color w:val="auto"/>
              </w:rPr>
              <w:t>Deferred revenues and other liabilities</w:t>
            </w:r>
          </w:p>
        </w:tc>
        <w:tc>
          <w:tcPr>
            <w:tcW w:w="3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Acquisitions of businesses, net of cash acquired</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Capital expenditures</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divestitures of businesses and other assets (net of cash divested)</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net</w:t>
            </w:r>
          </w:p>
        </w:tc>
        <w:tc>
          <w:tcPr>
            <w:tcW w:w="3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New borrowings</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Debt repayments</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Premiums paid on early extinguishment of debt</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commercial paper borrowings (repayments)</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Common stock repurchase program</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dividends</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Tax payments associated with equity-based compensation transactions</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net</w:t>
            </w:r>
          </w:p>
        </w:tc>
        <w:tc>
          <w:tcPr>
            <w:tcW w:w="3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2,080</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 and cash equivalents</w:t>
            </w:r>
          </w:p>
        </w:tc>
        <w:tc>
          <w:tcPr>
            <w:tcW w:w="3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Increase (decrease) in cash, cash equivalents and restricted cash and cash equivalents</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and cash equivalents at beginning of period</w:t>
            </w:r>
          </w:p>
        </w:tc>
        <w:tc>
          <w:tcPr>
            <w:tcW w:w="3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0" w:type="dxa"/>
            <w:vAlign w:val="bottom"/>
          </w:tcPr>
          <w:p>
            <w:pPr>
              <w:spacing w:after="0"/>
              <w:rPr>
                <w:sz w:val="1"/>
                <w:szCs w:val="1"/>
                <w:color w:val="auto"/>
              </w:rPr>
            </w:pPr>
          </w:p>
        </w:tc>
      </w:tr>
      <w:tr>
        <w:trPr>
          <w:trHeight w:val="236"/>
        </w:trPr>
        <w:tc>
          <w:tcPr>
            <w:tcW w:w="6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and cash equivalents at end of period</w:t>
            </w:r>
          </w:p>
        </w:tc>
        <w:tc>
          <w:tcPr>
            <w:tcW w:w="320" w:type="dxa"/>
            <w:vAlign w:val="bottom"/>
          </w:tcPr>
          <w:p>
            <w:pPr>
              <w:spacing w:after="0"/>
              <w:rPr>
                <w:sz w:val="20"/>
                <w:szCs w:val="20"/>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6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Reconciliation of cash, cash equivalents and restricted cash and cash equivalents at end of period:</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2,915</w:t>
            </w:r>
          </w:p>
        </w:tc>
        <w:tc>
          <w:tcPr>
            <w:tcW w:w="1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 and cash equivalents included in other current assets</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 and cash equivalents included in restricted trust and escrow accounts</w:t>
            </w:r>
          </w:p>
        </w:tc>
        <w:tc>
          <w:tcPr>
            <w:tcW w:w="3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0" w:type="dxa"/>
            <w:vAlign w:val="bottom"/>
          </w:tcPr>
          <w:p>
            <w:pPr>
              <w:spacing w:after="0"/>
              <w:rPr>
                <w:sz w:val="1"/>
                <w:szCs w:val="1"/>
                <w:color w:val="auto"/>
              </w:rPr>
            </w:pPr>
          </w:p>
        </w:tc>
      </w:tr>
      <w:tr>
        <w:trPr>
          <w:trHeight w:val="196"/>
        </w:trPr>
        <w:tc>
          <w:tcPr>
            <w:tcW w:w="6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and cash equivalents at end of period</w:t>
            </w:r>
          </w:p>
        </w:tc>
        <w:tc>
          <w:tcPr>
            <w:tcW w:w="320" w:type="dxa"/>
            <w:vAlign w:val="bottom"/>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3,020</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7" w:right="1419" w:bottom="1440" w:gutter="0" w:footer="0" w:header="0"/>
        </w:sectPr>
      </w:pPr>
    </w:p>
    <w:bookmarkStart w:id="4" w:name="page5"/>
    <w:bookmarkEnd w:id="4"/>
    <w:p>
      <w:pPr>
        <w:ind w:left="3300"/>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5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13"/>
          </w:tcPr>
          <w:p>
            <w:pPr>
              <w:ind w:left="240"/>
              <w:spacing w:after="0"/>
              <w:rPr>
                <w:sz w:val="20"/>
                <w:szCs w:val="20"/>
                <w:color w:val="auto"/>
              </w:rPr>
            </w:pPr>
            <w:r>
              <w:rPr>
                <w:rFonts w:ascii="Times New Roman" w:cs="Times New Roman" w:eastAsia="Times New Roman" w:hAnsi="Times New Roman"/>
                <w:sz w:val="14"/>
                <w:szCs w:val="14"/>
                <w:b w:val="1"/>
                <w:bCs w:val="1"/>
                <w:color w:val="auto"/>
              </w:rPr>
              <w:t>Waste Management, Inc. Stockholders’ Equity</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140"/>
              <w:spacing w:after="0" w:line="125"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2"/>
              </w:rPr>
              <w:t>Paid-In</w:t>
            </w: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32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Noncontrolling</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4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1"/>
              </w:rPr>
              <w:t>Amounts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94"/>
              </w:rPr>
              <w:t>Capital</w:t>
            </w:r>
          </w:p>
        </w:tc>
        <w:tc>
          <w:tcPr>
            <w:tcW w:w="66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1000" w:type="dxa"/>
            <w:vAlign w:val="bottom"/>
            <w:gridSpan w:val="3"/>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Income (Loss)</w:t>
            </w:r>
          </w:p>
        </w:tc>
        <w:tc>
          <w:tcPr>
            <w:tcW w:w="700" w:type="dxa"/>
            <w:vAlign w:val="bottom"/>
            <w:tcBorders>
              <w:top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5"/>
              </w:rPr>
              <w:t>Amounts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0" w:type="dxa"/>
            <w:vAlign w:val="bottom"/>
          </w:tcPr>
          <w:p>
            <w:pPr>
              <w:spacing w:after="0"/>
              <w:rPr>
                <w:sz w:val="1"/>
                <w:szCs w:val="1"/>
                <w:color w:val="auto"/>
              </w:rPr>
            </w:pPr>
          </w:p>
        </w:tc>
      </w:tr>
      <w:tr>
        <w:trPr>
          <w:trHeight w:val="129"/>
        </w:trPr>
        <w:tc>
          <w:tcPr>
            <w:tcW w:w="2640" w:type="dxa"/>
            <w:vAlign w:val="bottom"/>
            <w:tcBorders>
              <w:top w:val="single" w:sz="8" w:color="CCEEFF"/>
            </w:tcBorders>
            <w:gridSpan w:val="3"/>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940" w:type="dxa"/>
            <w:vAlign w:val="bottom"/>
            <w:tcBorders>
              <w:top w:val="single" w:sz="8" w:color="auto"/>
            </w:tcBorders>
          </w:tcPr>
          <w:p>
            <w:pPr>
              <w:spacing w:after="0"/>
              <w:rPr>
                <w:sz w:val="11"/>
                <w:szCs w:val="11"/>
                <w:color w:val="auto"/>
              </w:rPr>
            </w:pPr>
          </w:p>
        </w:tc>
        <w:tc>
          <w:tcPr>
            <w:tcW w:w="400" w:type="dxa"/>
            <w:vAlign w:val="bottom"/>
            <w:tcBorders>
              <w:top w:val="single" w:sz="8" w:color="CCEEFF"/>
            </w:tcBorders>
          </w:tcPr>
          <w:p>
            <w:pPr>
              <w:spacing w:after="0"/>
              <w:rPr>
                <w:sz w:val="11"/>
                <w:szCs w:val="11"/>
                <w:color w:val="auto"/>
              </w:rPr>
            </w:pPr>
          </w:p>
        </w:tc>
        <w:tc>
          <w:tcPr>
            <w:tcW w:w="50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5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3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46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8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4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4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June 30, 2019</w:t>
            </w:r>
          </w:p>
        </w:tc>
        <w:tc>
          <w:tcPr>
            <w:tcW w:w="5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$ 6,467</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4,962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10,088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(22)</w:t>
            </w:r>
          </w:p>
        </w:tc>
        <w:tc>
          <w:tcPr>
            <w:tcW w:w="70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(206,482)</w:t>
            </w:r>
          </w:p>
        </w:tc>
        <w:tc>
          <w:tcPr>
            <w:tcW w:w="62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 (8,568)</w:t>
            </w: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26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495</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64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Other comprehensive income (loss), net of</w:t>
            </w:r>
          </w:p>
        </w:tc>
        <w:tc>
          <w:tcPr>
            <w:tcW w:w="5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6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w:t>
            </w:r>
          </w:p>
        </w:tc>
        <w:tc>
          <w:tcPr>
            <w:tcW w:w="56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4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 of $0.5125 per</w:t>
            </w:r>
          </w:p>
        </w:tc>
        <w:tc>
          <w:tcPr>
            <w:tcW w:w="5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(218)</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3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5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6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common share</w:t>
            </w:r>
          </w:p>
        </w:tc>
        <w:tc>
          <w:tcPr>
            <w:tcW w:w="56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Equity-based compensation transactions, net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613</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6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Common stock repurchase program</w:t>
            </w:r>
          </w:p>
        </w:tc>
        <w:tc>
          <w:tcPr>
            <w:tcW w:w="5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(254)</w:t>
            </w: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64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2"/>
        </w:trPr>
        <w:tc>
          <w:tcPr>
            <w:tcW w:w="2640" w:type="dxa"/>
            <w:vAlign w:val="bottom"/>
            <w:tcBorders>
              <w:bottom w:val="single" w:sz="8" w:color="CCEEFF"/>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Balance, September 30, 2019</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$ 6,787</w:t>
            </w:r>
          </w:p>
        </w:tc>
        <w:tc>
          <w:tcPr>
            <w:tcW w:w="60" w:type="dxa"/>
            <w:vAlign w:val="bottom"/>
            <w:tcBorders>
              <w:bottom w:val="single" w:sz="8" w:color="CCEEFF"/>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6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5,026</w:t>
            </w:r>
          </w:p>
        </w:tc>
        <w:tc>
          <w:tcPr>
            <w:tcW w:w="6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10,364</w:t>
            </w:r>
          </w:p>
        </w:tc>
        <w:tc>
          <w:tcPr>
            <w:tcW w:w="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w:t>
            </w:r>
          </w:p>
        </w:tc>
        <w:tc>
          <w:tcPr>
            <w:tcW w:w="80" w:type="dxa"/>
            <w:vAlign w:val="bottom"/>
            <w:tcBorders>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(206,122)</w:t>
            </w:r>
          </w:p>
        </w:tc>
        <w:tc>
          <w:tcPr>
            <w:tcW w:w="60" w:type="dxa"/>
            <w:vAlign w:val="bottom"/>
            <w:tcBorders>
              <w:bottom w:val="single" w:sz="8" w:color="CCEEFF"/>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(8,578)</w:t>
            </w:r>
          </w:p>
        </w:tc>
        <w:tc>
          <w:tcPr>
            <w:tcW w:w="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29"/>
        </w:trPr>
        <w:tc>
          <w:tcPr>
            <w:tcW w:w="3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 w:type="dxa"/>
            <w:vAlign w:val="bottom"/>
            <w:tcBorders>
              <w:bottom w:val="single" w:sz="8" w:color="auto"/>
            </w:tcBorders>
          </w:tcPr>
          <w:p>
            <w:pPr>
              <w:spacing w:after="0" w:line="13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1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4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June 30, 2018</w:t>
            </w:r>
          </w:p>
        </w:tc>
        <w:tc>
          <w:tcPr>
            <w:tcW w:w="5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$ 6,056</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4,935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9,166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(49)</w:t>
            </w:r>
          </w:p>
        </w:tc>
        <w:tc>
          <w:tcPr>
            <w:tcW w:w="70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(201,906)</w:t>
            </w:r>
          </w:p>
        </w:tc>
        <w:tc>
          <w:tcPr>
            <w:tcW w:w="62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 (8,004)</w:t>
            </w: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9"/>
        </w:trPr>
        <w:tc>
          <w:tcPr>
            <w:tcW w:w="26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498</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26"/>
        </w:trPr>
        <w:tc>
          <w:tcPr>
            <w:tcW w:w="264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Other comprehensive income (loss), net of</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6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6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w:t>
            </w:r>
          </w:p>
        </w:tc>
        <w:tc>
          <w:tcPr>
            <w:tcW w:w="5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4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 of $0.465 per</w:t>
            </w:r>
          </w:p>
        </w:tc>
        <w:tc>
          <w:tcPr>
            <w:tcW w:w="5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(199)</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3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5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(199)</w:t>
            </w:r>
          </w:p>
        </w:tc>
        <w:tc>
          <w:tcPr>
            <w:tcW w:w="8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6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common share</w:t>
            </w:r>
          </w:p>
        </w:tc>
        <w:tc>
          <w:tcPr>
            <w:tcW w:w="56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Equity-based compensation transactions, net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557</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6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Common stock repurchase program</w:t>
            </w: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(1,807)</w:t>
            </w: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(160)</w:t>
            </w: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64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Divestiture of noncontrolling interest</w:t>
            </w:r>
          </w:p>
        </w:tc>
        <w:tc>
          <w:tcPr>
            <w:tcW w:w="5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6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2"/>
        </w:trPr>
        <w:tc>
          <w:tcPr>
            <w:tcW w:w="2640" w:type="dxa"/>
            <w:vAlign w:val="bottom"/>
            <w:tcBorders>
              <w:top w:val="single" w:sz="8" w:color="CCEEFF"/>
              <w:bottom w:val="single" w:sz="8" w:color="CCEEFF"/>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September 30, 2018</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$ 6,241</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4,927</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9,464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(203,157)</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(8,142)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7" w:right="1419" w:bottom="1440" w:gutter="0" w:footer="0" w:header="0"/>
        </w:sectPr>
      </w:pPr>
    </w:p>
    <w:bookmarkStart w:id="5" w:name="page6"/>
    <w:bookmarkEnd w:id="5"/>
    <w:p>
      <w:pPr>
        <w:ind w:left="3300"/>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EQUITY ─ (Continued)</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Millions, Except Shares in Thousands)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13"/>
          </w:tcPr>
          <w:p>
            <w:pPr>
              <w:ind w:left="280"/>
              <w:spacing w:after="0"/>
              <w:rPr>
                <w:sz w:val="20"/>
                <w:szCs w:val="20"/>
                <w:color w:val="auto"/>
              </w:rPr>
            </w:pPr>
            <w:r>
              <w:rPr>
                <w:rFonts w:ascii="Times New Roman" w:cs="Times New Roman" w:eastAsia="Times New Roman" w:hAnsi="Times New Roman"/>
                <w:sz w:val="14"/>
                <w:szCs w:val="14"/>
                <w:b w:val="1"/>
                <w:bCs w:val="1"/>
                <w:color w:val="auto"/>
              </w:rPr>
              <w:t>Waste Management, Inc. Stockholders’ Equity</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60"/>
              <w:spacing w:after="0" w:line="125"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7"/>
              </w:rPr>
              <w:t>Paid-In</w:t>
            </w:r>
          </w:p>
        </w:tc>
        <w:tc>
          <w:tcPr>
            <w:tcW w:w="6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3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Noncontrolling</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1"/>
              </w:rPr>
              <w:t>Amounts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64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100" w:type="dxa"/>
            <w:vAlign w:val="bottom"/>
          </w:tcPr>
          <w:p>
            <w:pPr>
              <w:spacing w:after="0"/>
              <w:rPr>
                <w:sz w:val="12"/>
                <w:szCs w:val="12"/>
                <w:color w:val="auto"/>
              </w:rPr>
            </w:pPr>
          </w:p>
        </w:tc>
        <w:tc>
          <w:tcPr>
            <w:tcW w:w="98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Income (Loss)</w:t>
            </w:r>
          </w:p>
        </w:tc>
        <w:tc>
          <w:tcPr>
            <w:tcW w:w="680" w:type="dxa"/>
            <w:vAlign w:val="bottom"/>
            <w:tcBorders>
              <w:top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Amounts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0" w:type="dxa"/>
            <w:vAlign w:val="bottom"/>
          </w:tcPr>
          <w:p>
            <w:pPr>
              <w:spacing w:after="0"/>
              <w:rPr>
                <w:sz w:val="1"/>
                <w:szCs w:val="1"/>
                <w:color w:val="auto"/>
              </w:rPr>
            </w:pPr>
          </w:p>
        </w:tc>
      </w:tr>
      <w:tr>
        <w:trPr>
          <w:trHeight w:val="129"/>
        </w:trPr>
        <w:tc>
          <w:tcPr>
            <w:tcW w:w="2620" w:type="dxa"/>
            <w:vAlign w:val="bottom"/>
            <w:tcBorders>
              <w:top w:val="single" w:sz="8" w:color="CCEEFF"/>
            </w:tcBorders>
            <w:gridSpan w:val="3"/>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860" w:type="dxa"/>
            <w:vAlign w:val="bottom"/>
            <w:tcBorders>
              <w:top w:val="single" w:sz="8" w:color="auto"/>
            </w:tcBorders>
          </w:tcPr>
          <w:p>
            <w:pPr>
              <w:spacing w:after="0"/>
              <w:rPr>
                <w:sz w:val="11"/>
                <w:szCs w:val="11"/>
                <w:color w:val="auto"/>
              </w:rPr>
            </w:pPr>
          </w:p>
        </w:tc>
        <w:tc>
          <w:tcPr>
            <w:tcW w:w="460" w:type="dxa"/>
            <w:vAlign w:val="bottom"/>
            <w:tcBorders>
              <w:top w:val="single" w:sz="8" w:color="CCEEFF"/>
            </w:tcBorders>
          </w:tcPr>
          <w:p>
            <w:pPr>
              <w:spacing w:after="0"/>
              <w:rPr>
                <w:sz w:val="11"/>
                <w:szCs w:val="11"/>
                <w:color w:val="auto"/>
              </w:rPr>
            </w:pPr>
          </w:p>
        </w:tc>
        <w:tc>
          <w:tcPr>
            <w:tcW w:w="5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3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4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4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60" w:type="dxa"/>
            <w:vAlign w:val="bottom"/>
            <w:tcBorders>
              <w:top w:val="single" w:sz="8" w:color="CCEEFF"/>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2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December 31, 2018</w:t>
            </w:r>
          </w:p>
        </w:tc>
        <w:tc>
          <w:tcPr>
            <w:tcW w:w="5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$ 6,276</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4,993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9,797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(87)</w:t>
            </w:r>
          </w:p>
        </w:tc>
        <w:tc>
          <w:tcPr>
            <w:tcW w:w="68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(206,299)</w:t>
            </w: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(8,434)</w:t>
            </w:r>
          </w:p>
        </w:tc>
        <w:tc>
          <w:tcPr>
            <w:tcW w:w="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1,224</w:t>
            </w: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2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Other comprehensive income (loss), net of</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w:t>
            </w:r>
          </w:p>
        </w:tc>
        <w:tc>
          <w:tcPr>
            <w:tcW w:w="5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2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 of $1.5375 per</w:t>
            </w: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(658)</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(658)</w:t>
            </w:r>
          </w:p>
        </w:tc>
        <w:tc>
          <w:tcPr>
            <w:tcW w:w="100" w:type="dxa"/>
            <w:vAlign w:val="bottom"/>
          </w:tcPr>
          <w:p>
            <w:pPr>
              <w:spacing w:after="0"/>
              <w:rPr>
                <w:sz w:val="10"/>
                <w:szCs w:val="10"/>
                <w:color w:val="auto"/>
              </w:rPr>
            </w:pPr>
          </w:p>
        </w:tc>
        <w:tc>
          <w:tcPr>
            <w:tcW w:w="9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6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common share</w:t>
            </w:r>
          </w:p>
        </w:tc>
        <w:tc>
          <w:tcPr>
            <w:tcW w:w="58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Equity-based compensation transactions, net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2,421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Common stock repurchase program</w:t>
            </w: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(244)</w:t>
            </w: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(2,247)</w:t>
            </w:r>
          </w:p>
        </w:tc>
        <w:tc>
          <w:tcPr>
            <w:tcW w:w="12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(244)</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620" w:type="dxa"/>
            <w:vAlign w:val="bottom"/>
            <w:tcBorders>
              <w:bottom w:val="single" w:sz="8" w:color="CCEEFF"/>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Balance, September 30, 2019</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$ 6,787</w:t>
            </w:r>
          </w:p>
        </w:tc>
        <w:tc>
          <w:tcPr>
            <w:tcW w:w="80" w:type="dxa"/>
            <w:vAlign w:val="bottom"/>
            <w:tcBorders>
              <w:bottom w:val="single" w:sz="8" w:color="CCEEFF"/>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6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5,026</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10,364</w:t>
            </w:r>
          </w:p>
        </w:tc>
        <w:tc>
          <w:tcPr>
            <w:tcW w:w="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w:t>
            </w:r>
          </w:p>
        </w:tc>
        <w:tc>
          <w:tcPr>
            <w:tcW w:w="80" w:type="dxa"/>
            <w:vAlign w:val="bottom"/>
            <w:tcBorders>
              <w:bottom w:val="single" w:sz="8" w:color="CCEEFF"/>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(206,122)</w:t>
            </w:r>
          </w:p>
        </w:tc>
        <w:tc>
          <w:tcPr>
            <w:tcW w:w="6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(8,578)</w:t>
            </w:r>
          </w:p>
        </w:tc>
        <w:tc>
          <w:tcPr>
            <w:tcW w:w="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0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 w:type="dxa"/>
            <w:vAlign w:val="bottom"/>
            <w:tcBorders>
              <w:bottom w:val="single" w:sz="8" w:color="auto"/>
            </w:tcBorders>
          </w:tcPr>
          <w:p>
            <w:pPr>
              <w:spacing w:after="0" w:line="13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1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2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December 31, 2017</w:t>
            </w:r>
          </w:p>
        </w:tc>
        <w:tc>
          <w:tcPr>
            <w:tcW w:w="5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$ 6,042</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4,933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8,588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(196,964)</w:t>
            </w: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(7,516)</w:t>
            </w:r>
          </w:p>
        </w:tc>
        <w:tc>
          <w:tcPr>
            <w:tcW w:w="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Adoption of new accounting standards</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1,392</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2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Other comprehensive income (loss), net of</w:t>
            </w: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(19)</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9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(19)</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6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tax</w:t>
            </w:r>
          </w:p>
        </w:tc>
        <w:tc>
          <w:tcPr>
            <w:tcW w:w="58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2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 of $1.395 per</w:t>
            </w: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(605)</w:t>
            </w: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(605)</w:t>
            </w:r>
          </w:p>
        </w:tc>
        <w:tc>
          <w:tcPr>
            <w:tcW w:w="1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share</w:t>
            </w:r>
          </w:p>
        </w:tc>
        <w:tc>
          <w:tcPr>
            <w:tcW w:w="58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Equity-based compensation transactions, net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stock repurchase program</w:t>
            </w:r>
          </w:p>
        </w:tc>
        <w:tc>
          <w:tcPr>
            <w:tcW w:w="5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(8,375)</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(710)</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Divestiture of noncontrolling interest</w:t>
            </w: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Balance, September 30, 2018</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$ 6,241</w:t>
            </w:r>
          </w:p>
        </w:tc>
        <w:tc>
          <w:tcPr>
            <w:tcW w:w="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60" w:type="dxa"/>
            <w:vAlign w:val="bottom"/>
          </w:tcPr>
          <w:p>
            <w:pPr>
              <w:spacing w:after="0"/>
              <w:rPr>
                <w:sz w:val="12"/>
                <w:szCs w:val="12"/>
                <w:color w:val="auto"/>
              </w:rPr>
            </w:pPr>
          </w:p>
        </w:tc>
        <w:tc>
          <w:tcPr>
            <w:tcW w:w="2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4,927</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9,464</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(203,157)</w:t>
            </w: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(8,142)</w:t>
            </w: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20"/>
          </w:cols>
          <w:pgMar w:left="1420" w:top="117" w:right="1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tab/>
        <w:t>Basis of Presentation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financial statements presented in this report represent the consolidation of Waste Management, Inc., a Delaware corporation; its wholly-owned and majority-owned subsidiaries; and certain variable interest entities for which Waste Management, Inc. or its subsidiaries are the primary beneficiaries as described in Note 14. Waste Management, Inc.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and recycling and resource recovery services. Through our subsidiaries, we are also a leading developer, operator and owner of landfill gas-to-energy facilities in the United States (“U.S.”).</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evaluate, oversee and manage the financial performance of our Solid Waste business subsidiaries through our 17 Areas. We also provide additional services that are not managed through our Solid Waste business, which are presented in this report as “Other.” Additional information related to our segments is included in Note 8.</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Condensed Consolidated Financial Statements as of September 30, 2019 and for the three and nine months ended September 30, 2019 and 2018 are unaudited. In the opinion of management, these financial statements include all adjustments, which, unless otherwise disclosed, are of a normal recurring nature, necessary for a fair presentation of the financial position, results of operations, comprehensive income, cash flows, and changes in equity for the periods presented. The results for interim periods are not necessarily indicative of results for the entire year. The financial statements presented herein should be read in conjunction with the financial statements included in our Annual Report on Form 10-K for the year ended December 31, 2018.</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and reserves associated with our insured and self-insured claims. Actual results could differ materially from the estimates and assumptions that we use in the preparation of our financial statements.</w:t>
      </w:r>
    </w:p>
    <w:p>
      <w:pPr>
        <w:spacing w:after="0" w:line="18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generally recognize revenue as services are performed or products are delivered. For example, revenue typically is recognized as waste is collected, tons are received at our landfills or transfer stations, or recycling commodities are collected or delivered as product. We bill for certain services prior to performance. Such services include, among others, certain commercial and residential contracts and equipment rentals. These advance billings are included in deferred revenues and recognized as revenue in the period service is provided. Substantially all our deferred revenues during the reported periods are realized as revenues within one to three months when the related services are performed.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497840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57" w:right="14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Contract Acquisition Costs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incremental direct costs of obtaining a contract, which consist primarily of sales incentives, are generally deferred and amortized to selling, general and administrative expense over the estimated life of the relevant customer relationship, ranging from 5 to 13 years. Contract acquisition costs that are paid to the customer are deferred and amortized as a reduction in revenue over the contract life. Our contract acquisition costs are classified as current or noncurrent based on the timing of when we expect to recognize amortization and are included in other assets in our Condensed Consolidated Balance Sheet.</w:t>
      </w:r>
    </w:p>
    <w:p>
      <w:pPr>
        <w:spacing w:after="0" w:line="1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September 30, 2019 and December 31, 2018, we had $150 million and $145 million, respectively, of deferred contract costs, of which $115 million and $109 million, respectively, was related to deferred sales incentives. During the three and nine months ended September 30, 2019, we amortized $6 million and $17 million of sales incentives to selling, general and administrative expense, and $4 million and $15 million of other contract acquisition costs as a reduction in revenue, respectively. During the three and nine months ended September 30, 2018, we amortized $6 million and $17 million of sales incentives to selling, general and administrative expense, and $8 million and $27 million of other contract acquisition costs as a reduction in revenue, respectively.</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Leases — </w:t>
      </w:r>
      <w:r>
        <w:rPr>
          <w:rFonts w:ascii="Times New Roman" w:cs="Times New Roman" w:eastAsia="Times New Roman" w:hAnsi="Times New Roman"/>
          <w:sz w:val="18"/>
          <w:szCs w:val="18"/>
          <w:color w:val="auto"/>
        </w:rPr>
        <w:t>In February 2016, the Financial Accounting Standards Board (“FASB”) issued Accounting Standards Update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2016-02 associated with lease accounting. There were further amendments, including practical expedients, with the issuance of ASU 2018-01 in January 2018, ASU 2018-11 in July 2018 and ASU 2018-20 in December 2018. On January 1, 2019, we adopted these ASUs using the optional transition method which allows entities to continue to apply historical accounting guidance in the comparative periods presented in the year of adoption. Accordingly, our financial statements for the reported periods after January 1, 2019 are presented under this amended guidance, while prior period amounts are not adjusted and continue to be reported in accordance with historical accounting guidance.</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elected to apply the following package of practical expedients on a consistent basis permitting entities not to reassess: (i) whether any expired or existing contracts are or contain a lease; (ii) lease classification for any expired or existing leases and (iii) whether initial direct costs for any expired or existing leases qualify for capitalization under the amended guidance. In addition, we applied (i) the practical expedient for land easements, which allows the Company to not apply the lease standard to certain existing land easements at transition and (ii) the practical expedient to include both the lease and non-lease components as a single component and account for it as a lease.</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impact of adopting the amended guidance primarily relates to the recognition of lease assets and lease liabilities on the balance sheet for all leases previously classified as operating leases. We recognized $385 million of right-of-use assets and $385 million of related lease liabilities as of January 1, 2019 for our contracts that are classified as operating leases. Leases with an initial term of 12 months, which are not expected to be renewed beyond one year, are not recorded on the balance sheet and are recognized as lease expense on a straight-line basis over the lease term. Our accounting for financing leases, which were formerly referred to as capital leases, remained substantially unchanged. There were no other material impacts on our consolidated financial statements. See Note 4 for additional information and disclosures related to our adoption of this amended guidance.</w:t>
      </w:r>
    </w:p>
    <w:p>
      <w:pPr>
        <w:spacing w:after="0" w:line="18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 Pending Adoption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Financial Instrument Credit Losses — </w:t>
      </w:r>
      <w:r>
        <w:rPr>
          <w:rFonts w:ascii="Times New Roman" w:cs="Times New Roman" w:eastAsia="Times New Roman" w:hAnsi="Times New Roman"/>
          <w:sz w:val="18"/>
          <w:szCs w:val="18"/>
          <w:color w:val="auto"/>
        </w:rPr>
        <w:t>In June 2016, the FASB issued ASU 2016-13 associated with the measurement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losses on financial instruments. The amended guidance replaces the current incurred loss impairment methodology of recognizing credit losses when a loss is probable, with a methodology that reflects expected credit losses and requires consideration of a broader range of reasonable and supportable information to assess credit loss estimates.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57" w:right="14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amended guidance is effective for the Company on January 1, 2020. We are assessing the provisions of this amended guidance and evaluating the impact on our consolidated financial statements.</w:t>
      </w:r>
    </w:p>
    <w:p>
      <w:pPr>
        <w:spacing w:after="0" w:line="1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When necessary, reclassifications have been made to our prior period financial information to conform to the current year presentation and are not material to our consolidated financial statements.</w:t>
      </w:r>
    </w:p>
    <w:p>
      <w:pPr>
        <w:spacing w:after="0" w:line="158" w:lineRule="exact"/>
        <w:rPr>
          <w:sz w:val="20"/>
          <w:szCs w:val="20"/>
          <w:color w:val="auto"/>
        </w:rPr>
      </w:pPr>
    </w:p>
    <w:p>
      <w:pPr>
        <w:ind w:left="320" w:hanging="311"/>
        <w:spacing w:after="0"/>
        <w:tabs>
          <w:tab w:leader="none" w:pos="3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Landfill and Environmental Remediation Liabilities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Liabilities for landfill and environmental remediation costs are presented in the table below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Landfill</w:t>
            </w:r>
          </w:p>
        </w:tc>
        <w:tc>
          <w:tcPr>
            <w:tcW w:w="140" w:type="dxa"/>
            <w:vAlign w:val="bottom"/>
          </w:tcPr>
          <w:p>
            <w:pPr>
              <w:spacing w:after="0"/>
              <w:rPr>
                <w:sz w:val="10"/>
                <w:szCs w:val="10"/>
                <w:color w:val="auto"/>
              </w:rPr>
            </w:pPr>
          </w:p>
        </w:tc>
        <w:tc>
          <w:tcPr>
            <w:tcW w:w="11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Environmental</w:t>
            </w:r>
          </w:p>
        </w:tc>
        <w:tc>
          <w:tcPr>
            <w:tcW w:w="140" w:type="dxa"/>
            <w:vAlign w:val="bottom"/>
          </w:tcPr>
          <w:p>
            <w:pPr>
              <w:spacing w:after="0"/>
              <w:rPr>
                <w:sz w:val="10"/>
                <w:szCs w:val="10"/>
                <w:color w:val="auto"/>
              </w:rPr>
            </w:pPr>
          </w:p>
        </w:tc>
        <w:tc>
          <w:tcPr>
            <w:tcW w:w="56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Landfill</w:t>
            </w:r>
          </w:p>
        </w:tc>
        <w:tc>
          <w:tcPr>
            <w:tcW w:w="140" w:type="dxa"/>
            <w:vAlign w:val="bottom"/>
          </w:tcPr>
          <w:p>
            <w:pPr>
              <w:spacing w:after="0"/>
              <w:rPr>
                <w:sz w:val="10"/>
                <w:szCs w:val="10"/>
                <w:color w:val="auto"/>
              </w:rPr>
            </w:pPr>
          </w:p>
        </w:tc>
        <w:tc>
          <w:tcPr>
            <w:tcW w:w="110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Environmental</w:t>
            </w:r>
          </w:p>
        </w:tc>
        <w:tc>
          <w:tcPr>
            <w:tcW w:w="140" w:type="dxa"/>
            <w:vAlign w:val="bottom"/>
          </w:tcPr>
          <w:p>
            <w:pPr>
              <w:spacing w:after="0"/>
              <w:rPr>
                <w:sz w:val="10"/>
                <w:szCs w:val="10"/>
                <w:color w:val="auto"/>
              </w:rPr>
            </w:pPr>
          </w:p>
        </w:tc>
        <w:tc>
          <w:tcPr>
            <w:tcW w:w="58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Remediation</w:t>
            </w: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Remediation</w:t>
            </w:r>
          </w:p>
        </w:tc>
        <w:tc>
          <w:tcPr>
            <w:tcW w:w="1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 accrued liabilities)</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w:t>
            </w: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changes to landfill and environmental remediation liabilities for the nine months ended September 30, 2019 are reflected in the table below (in millions):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Landfill</w:t>
            </w:r>
          </w:p>
        </w:tc>
        <w:tc>
          <w:tcPr>
            <w:tcW w:w="20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60" w:type="dxa"/>
            <w:vAlign w:val="bottom"/>
            <w:tcBorders>
              <w:bottom w:val="single" w:sz="8" w:color="CCEEFF"/>
            </w:tcBorders>
          </w:tcPr>
          <w:p>
            <w:pPr>
              <w:spacing w:after="0"/>
              <w:rPr>
                <w:sz w:val="15"/>
                <w:szCs w:val="15"/>
                <w:color w:val="auto"/>
              </w:rPr>
            </w:pPr>
          </w:p>
        </w:tc>
        <w:tc>
          <w:tcPr>
            <w:tcW w:w="47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Remediation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Obligations incurred and capitalized</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Obligations settled</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accretion</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Revisions in estimates and interest rate assumptions (a)</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Acquisitions, divestitures and other adjustments</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4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340" w:hanging="331"/>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for our environmental remediation liabilities includes an increase of $8 million due to a decrease in the risk-free discount rate used to measure our liabilities from 2.75% at December 31, 2018 to 2.0% at September 30, 2019.</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several of our landfills, we provide financial assurance by depositing cash into restricted trust funds or escrow accounts for purposes of settling our final capping, closure, post-closure and environmental remediation obligations. Generally, these trust funds are established to comply with statutory requirements and operating agreements. See Note 14 for additional information related to these trusts.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57" w:right="14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Debt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debt as of each balance sheet date (in millions) and provides the maturities and interest rate ranges of each major category as of September 30, 2019:</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68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78"/>
        </w:trPr>
        <w:tc>
          <w:tcPr>
            <w:tcW w:w="20" w:type="dxa"/>
            <w:vAlign w:val="bottom"/>
          </w:tcPr>
          <w:p>
            <w:pPr>
              <w:spacing w:after="0"/>
              <w:rPr>
                <w:sz w:val="15"/>
                <w:szCs w:val="15"/>
                <w:color w:val="auto"/>
              </w:rPr>
            </w:pPr>
          </w:p>
        </w:tc>
        <w:tc>
          <w:tcPr>
            <w:tcW w:w="688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$2.75 billion revolving credit facility, maturing June 2023 (weighted average interest rate of</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3.1% as of December 31, 2018)</w:t>
            </w:r>
          </w:p>
        </w:tc>
        <w:tc>
          <w:tcPr>
            <w:tcW w:w="3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 program (weighted average interest rate of 2.9% as of December 31, 2018)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198"/>
        </w:trPr>
        <w:tc>
          <w:tcPr>
            <w:tcW w:w="20" w:type="dxa"/>
            <w:vAlign w:val="bottom"/>
          </w:tcPr>
          <w:p>
            <w:pPr>
              <w:spacing w:after="0"/>
              <w:rPr>
                <w:sz w:val="17"/>
                <w:szCs w:val="17"/>
                <w:color w:val="auto"/>
              </w:rPr>
            </w:pPr>
          </w:p>
        </w:tc>
        <w:tc>
          <w:tcPr>
            <w:tcW w:w="6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Senior notes, maturing through 2049, interest rates ranging from 2.4% to 7.75% (weighted</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average interest rate of 3.9% as of September 30, 2019 and 4.3% as of December 31, 2018)</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9,965</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w:t>
            </w: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Canadian senior notes, maturing September 2026, interest rate of 2.6%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0" w:type="dxa"/>
            <w:vAlign w:val="bottom"/>
          </w:tcPr>
          <w:p>
            <w:pPr>
              <w:spacing w:after="0"/>
              <w:rPr>
                <w:sz w:val="17"/>
                <w:szCs w:val="17"/>
                <w:color w:val="auto"/>
              </w:rPr>
            </w:pPr>
          </w:p>
        </w:tc>
        <w:tc>
          <w:tcPr>
            <w:tcW w:w="6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Tax-exempt bonds, maturing through 2048, fixed and variable interest rates ranging from</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1.35% to 4.3% (weighted average interest rate of 2.3% as of September 30, 2019 and 2.35%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 of December 31, 2018)</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Financing leases and other, maturing through 2071, interest rates up to 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costs, discounts and other</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0"/>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10,026</w:t>
            </w: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10"/>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9,594</w:t>
            </w: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Debt Classification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September 30, 2019, we had $1.3 billion of debt maturing within the next 12 months, including (i) $600 million of 4.75% senior notes that mature in June 2020; (ii) $529 million of tax-exempt bonds with term interest rate periods that expire within the next 12 months, which is prior to their scheduled maturities, and (iii) $211 million of other debt with scheduled maturities within the next 12 months, including $124 million of tax-exempt bonds. As of September 30, 2019, we have classified $1.1 billion of debt maturing in the next 12 months as long-term because we have the intent and ability to refinance these borrowings on a long-term basis as supported by the forecasted available capacity under our $2.75 billion long-term U.S. and Canadian revolving credit facility (“$2.75 billion revolving credit facility”), as discussed below. The remaining $211 million is classified as current obligations.</w:t>
      </w:r>
    </w:p>
    <w:p>
      <w:pPr>
        <w:spacing w:after="0" w:line="18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September 30, 2019, we also have $154 million of variable-rate tax-exempt bonds that are supported by letters of credit under our $2.75 billion revolving credit facility. The interest rates on our variable-rate tax-exempt bonds are generally reset on either a daily or weekly basis through a remarketing process. All recent tax-exempt bond remarketings have successfully placed Company bonds with investors at market-driven rates and we currently expect future remarketings to be successful. However, if the remarketing agent is unable to remarket our bonds, the remarketing agent can put the bonds to us. In the event of a failed remarketing, we have the availability under our $2.75 billion revolving credit facility to fund these bonds until they are remarketed successfully. Accordingly, we have also classified these borrowings as long-term in our Condensed Consolidated Balance Sheet as of September 30, 2019.</w:t>
      </w:r>
    </w:p>
    <w:p>
      <w:pPr>
        <w:spacing w:after="0" w:line="18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Access to and Utilization of Credit Facilities and Commercial Paper Program</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$2.75 Billion Revolving Credit Facility — </w:t>
      </w:r>
      <w:r>
        <w:rPr>
          <w:rFonts w:ascii="Times New Roman" w:cs="Times New Roman" w:eastAsia="Times New Roman" w:hAnsi="Times New Roman"/>
          <w:sz w:val="18"/>
          <w:szCs w:val="18"/>
          <w:color w:val="auto"/>
        </w:rPr>
        <w:t>Our $2.75 billion revolving credit facility provides us with credit capacity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used for either cash borrowings or to support letters of credit or commercial paper. The rates we pay for outstanding U.S. or Canadian loans are generally based on LIBOR or CDOR, respectively, plus a spread depending on the Company’s debt rating assigned by Moody’s Investors Service and Standard and Poor’s. As of September 30, 2019, we had no</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57" w:right="14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outstanding borrowings under this facility. We had $412 million of letters of credit issued which were supported by this facility, leaving unused and available credit capacity of $2.3 billion as of September 30, 2019. WM Holdings, a wholly-owned subsidiary of WM, guarantees all of the obligations under the $2.75 billion revolving credit facility.</w:t>
      </w:r>
    </w:p>
    <w:p>
      <w:pPr>
        <w:spacing w:after="0" w:line="1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Commercial Paper Program </w:t>
      </w:r>
      <w:r>
        <w:rPr>
          <w:rFonts w:ascii="Times New Roman" w:cs="Times New Roman" w:eastAsia="Times New Roman" w:hAnsi="Times New Roman"/>
          <w:sz w:val="18"/>
          <w:szCs w:val="18"/>
          <w:color w:val="auto"/>
        </w:rPr>
        <w:t>— We have a commercial paper program that enables us to borrow funds for up to 397 days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competitive interest rates. The rates we pay for outstanding borrowings are based on the term of the notes. The commercial paper program is fully supported by our $2.75 billion revolving credit facility. As of September 30, 2019, we had no outstanding borrowings under our commercial paper program.</w:t>
      </w:r>
    </w:p>
    <w:p>
      <w:pPr>
        <w:spacing w:after="0" w:line="18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Letter of Credit Facilities — </w:t>
      </w:r>
      <w:r>
        <w:rPr>
          <w:rFonts w:ascii="Times New Roman" w:cs="Times New Roman" w:eastAsia="Times New Roman" w:hAnsi="Times New Roman"/>
          <w:sz w:val="18"/>
          <w:szCs w:val="18"/>
          <w:color w:val="auto"/>
        </w:rPr>
        <w:t>As of September 30, 2019, we utilized $544 million of other letter of credit facilities,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are both committed and uncommitted, with terms maturing through December 2020.</w:t>
      </w:r>
    </w:p>
    <w:p>
      <w:pPr>
        <w:spacing w:after="0" w:line="1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Debt Borrowings and Repayments</w:t>
      </w:r>
    </w:p>
    <w:p>
      <w:pPr>
        <w:spacing w:after="0" w:line="22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$2.75 Billion Revolving Credit Facility </w:t>
      </w:r>
      <w:r>
        <w:rPr>
          <w:rFonts w:ascii="Times New Roman" w:cs="Times New Roman" w:eastAsia="Times New Roman" w:hAnsi="Times New Roman"/>
          <w:sz w:val="18"/>
          <w:szCs w:val="18"/>
          <w:color w:val="auto"/>
        </w:rPr>
        <w:t>— During the nine months ended September 30, 2019, we repaid C$15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$11 million, of Canadian borrowings under our $2.75 billion revolving credit facility with available cash.</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Senior Notes </w:t>
      </w:r>
      <w:r>
        <w:rPr>
          <w:rFonts w:ascii="Times New Roman" w:cs="Times New Roman" w:eastAsia="Times New Roman" w:hAnsi="Times New Roman"/>
          <w:sz w:val="18"/>
          <w:szCs w:val="18"/>
          <w:color w:val="auto"/>
        </w:rPr>
        <w:t>— In May 2019, WM issued $4.0 billion of senior notes consisting of:</w:t>
      </w:r>
    </w:p>
    <w:p>
      <w:pPr>
        <w:spacing w:after="0" w:line="119" w:lineRule="exact"/>
        <w:rPr>
          <w:sz w:val="20"/>
          <w:szCs w:val="20"/>
          <w:color w:val="auto"/>
        </w:rPr>
      </w:pPr>
    </w:p>
    <w:p>
      <w:pPr>
        <w:ind w:left="1000" w:hanging="316"/>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 million of 2.95% senior notes due June 15, 2024;</w:t>
      </w:r>
    </w:p>
    <w:p>
      <w:pPr>
        <w:spacing w:after="0" w:line="15" w:lineRule="exact"/>
        <w:rPr>
          <w:rFonts w:ascii="Times New Roman" w:cs="Times New Roman" w:eastAsia="Times New Roman" w:hAnsi="Times New Roman"/>
          <w:sz w:val="18"/>
          <w:szCs w:val="18"/>
          <w:color w:val="auto"/>
        </w:rPr>
      </w:pPr>
    </w:p>
    <w:p>
      <w:pPr>
        <w:ind w:left="1000" w:hanging="316"/>
        <w:spacing w:after="0" w:line="234"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 million of 3.20% senior notes due June 15, 2026;</w:t>
      </w:r>
    </w:p>
    <w:p>
      <w:pPr>
        <w:ind w:left="1000" w:hanging="316"/>
        <w:spacing w:after="0" w:line="234"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billion of 3.45% senior notes due June 15, 2029;</w:t>
      </w:r>
    </w:p>
    <w:p>
      <w:pPr>
        <w:ind w:left="1000" w:hanging="316"/>
        <w:spacing w:after="0" w:line="234"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of 4.00% senior notes due July 15, 2039; and</w:t>
      </w:r>
    </w:p>
    <w:p>
      <w:pPr>
        <w:ind w:left="1000" w:hanging="316"/>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billion of 4.15% senior notes due July 15, 2049.</w:t>
      </w:r>
    </w:p>
    <w:p>
      <w:pPr>
        <w:spacing w:after="0" w:line="178"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The net proceeds from these debt issuances were $3.97 billion. Concurrently, we used $344 million of the net proceeds from the newly issued senior notes to retire $257 million of certain high-coupon senior notes. The cash paid includes the principal amount of the debt retired, $84 million of related premiums, which are classified as loss on early extinguishment of debt in our Condensed Consolidated Statement of Operations, and $3 million of accrued interest. The principal amount of senior notes redeemed within each series was as follows:</w:t>
      </w:r>
    </w:p>
    <w:p>
      <w:pPr>
        <w:spacing w:after="0" w:line="91" w:lineRule="exact"/>
        <w:rPr>
          <w:sz w:val="20"/>
          <w:szCs w:val="20"/>
          <w:color w:val="auto"/>
        </w:rPr>
      </w:pPr>
    </w:p>
    <w:p>
      <w:pPr>
        <w:ind w:left="1000" w:hanging="316"/>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$304 million of WM Holdings 7.10% senior notes due 2026, of which $56 million were tendered;</w:t>
      </w:r>
    </w:p>
    <w:p>
      <w:pPr>
        <w:spacing w:after="0" w:line="15" w:lineRule="exact"/>
        <w:rPr>
          <w:rFonts w:ascii="Times New Roman" w:cs="Times New Roman" w:eastAsia="Times New Roman" w:hAnsi="Times New Roman"/>
          <w:sz w:val="18"/>
          <w:szCs w:val="18"/>
          <w:color w:val="auto"/>
        </w:rPr>
      </w:pPr>
    </w:p>
    <w:p>
      <w:pPr>
        <w:ind w:left="1000" w:hanging="316"/>
        <w:spacing w:after="0" w:line="234"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$395 million of WM 7.00% senior notes due 2028, of which $64 million were tendered;</w:t>
      </w:r>
    </w:p>
    <w:p>
      <w:pPr>
        <w:ind w:left="1000" w:hanging="316"/>
        <w:spacing w:after="0" w:line="234"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$139 million of WM 7.375% senior notes due 2029, of which $58 million were tendered;</w:t>
      </w:r>
    </w:p>
    <w:p>
      <w:pPr>
        <w:ind w:left="1000" w:hanging="316"/>
        <w:spacing w:after="0" w:line="234"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 million of WM 7.75% senior notes due 2032, of which $57 million were tendered; and</w:t>
      </w:r>
    </w:p>
    <w:p>
      <w:pPr>
        <w:ind w:left="1000" w:hanging="316"/>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$274 million of WM 6.125% senior notes due 2039, of which $22 million were tendered.</w:t>
      </w:r>
    </w:p>
    <w:p>
      <w:pPr>
        <w:spacing w:after="0" w:line="178"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We used a portion of the proceeds to repay our commercial paper borrowings as discussed further below. We intend to use the remaining net proceeds to pay a portion of the consideration related to our pending acquisition of Advanced Disposal Services, Inc. (“Advanced Disposal”), pursuant to an Agreement and Plan of Merger (the “Merger Agreement”) which is discussed further in Note 9, and for general corporate purposes. The newly-issued senior notes due 2024, 2026, 2029 and 2039 include a special mandatory redemption feature, which provides that if the acquisition of Advanced Disposal is not completed on or prior to July 14, 2020, or if, prior to such date, the Merger Agreement is terminated for any reason, we will be required to redeem all of the outstanding notes equal to 101% of the aggregate principal amounts of such notes, plus accrued but unpaid interest on the principal amount of such notes.</w:t>
      </w:r>
    </w:p>
    <w:p>
      <w:pPr>
        <w:spacing w:after="0" w:line="1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Canadian Senior Notes </w:t>
      </w:r>
      <w:r>
        <w:rPr>
          <w:rFonts w:ascii="Times New Roman" w:cs="Times New Roman" w:eastAsia="Times New Roman" w:hAnsi="Times New Roman"/>
          <w:sz w:val="18"/>
          <w:szCs w:val="18"/>
          <w:color w:val="auto"/>
        </w:rPr>
        <w:t>— In September 2019, Waste Management of Canada Corporation, an indirect wholly-owned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of WM, issued C$500 million, or $377 million, of 2.6% senior notes due September 23, 2026, all of which are fully and unconditionally guaranteed on a senior unsecured basis by WM and WM Holdings. The net proceeds from the debt issuance were C$496 million, or $373 million, which we intend to use for general corporate purposes.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57" w:right="14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Commercial Paper Program </w:t>
      </w:r>
      <w:r>
        <w:rPr>
          <w:rFonts w:ascii="Times New Roman" w:cs="Times New Roman" w:eastAsia="Times New Roman" w:hAnsi="Times New Roman"/>
          <w:sz w:val="18"/>
          <w:szCs w:val="18"/>
          <w:color w:val="auto"/>
        </w:rPr>
        <w:t>— During the nine months ended September 30, 2019, we made net cash repayments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 billion (net of the related discount on issuance). During the first quarter of 2019, we had net cash borrowings of $357 million (net of the related discount on issuance), which were primarily used to support our acquisition of Petro Waste Environmental LP (“Petro Waste”), which is discussed further in Note 9, and for general corporate purposes. In the second quarter of 2019, we repaid the outstanding balance with proceeds from the May 2019 issuance of senior notes discussed above.</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Tax-Exempt Bonds </w:t>
      </w:r>
      <w:r>
        <w:rPr>
          <w:rFonts w:ascii="Times New Roman" w:cs="Times New Roman" w:eastAsia="Times New Roman" w:hAnsi="Times New Roman"/>
          <w:sz w:val="18"/>
          <w:szCs w:val="18"/>
          <w:color w:val="auto"/>
        </w:rPr>
        <w:t>— We issued $115 million of new tax-exempt bonds in 2019. The proceeds from the issuance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bonds were deposited directly into a restricted trust fund and may only be used for the specific purpose for which the money was raised, which is generally to finance expenditures for landfill and solid waste disposal facility construction and development. In the third quarter of 2019, we elected to refund and reissue $99 million of tax-exempt bonds which resulted in the recognition of a $1 million loss on early extinguishment of debt in our Condensed Consolidated Statement of Operations. Additionally, during the nine months ended September 30, 2019, we repaid $94 million of our tax-exempt bonds with available cash.</w:t>
      </w:r>
    </w:p>
    <w:p>
      <w:pPr>
        <w:spacing w:after="0" w:line="183"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Financing Leases and Other </w:t>
      </w:r>
      <w:r>
        <w:rPr>
          <w:rFonts w:ascii="Times New Roman" w:cs="Times New Roman" w:eastAsia="Times New Roman" w:hAnsi="Times New Roman"/>
          <w:sz w:val="18"/>
          <w:szCs w:val="18"/>
          <w:color w:val="auto"/>
        </w:rPr>
        <w:t>— The increase in our financing leases and other debt obligations during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2019 is primarily related to (i) our new federal low-income housing investment discussed in Note 5, which increased our debt obligations by $140 million and (ii) an increase of $122 million mainly attributable to non-cash financing arrangements. These increases were offset by a net decrease of $37 million, primarily due net cash repayments of debt at maturity.</w:t>
      </w:r>
    </w:p>
    <w:p>
      <w:pPr>
        <w:spacing w:after="0" w:line="17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Leases</w:t>
      </w:r>
    </w:p>
    <w:p>
      <w:pPr>
        <w:spacing w:after="0" w:line="2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operating lease activities primarily consist of leases for real estate, landfills and operating equipment. Our financing lease activities primarily consist of leases for operating equipment, railcars and landfill assets. Leases with an initial term of 12 months or less, which are not expected to be renewed beyond one year, are not recorded on the balance sheet and are recognized as lease expense on a straight-line basis over the lease term. Most leases include one or more options to renew, with renewal terms generally ranging from one to 10 years. The exercise of lease renewal options is at our sole discretion. Certain leases also include options to purchase the leased property. The depreciable life of assets and leasehold improvements is limited by the expected lease term, unless there is a transfer of title or purchase option reasonably certain of exercise. Certain of our lease agreements include rental payments based on usage and other lease agreements include rental payments adjusted periodically for inflation; these payments are treated as variable lease payments. Our lease agreements do not contain any material residual value guarantees or material restrictive covenants.</w:t>
      </w:r>
    </w:p>
    <w:p>
      <w:pPr>
        <w:spacing w:after="0" w:line="18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When the implicit interest rate is not readily available for our operating leases, we discount future cash flows of the remaining lease payments using the current interest rate that would be paid to borrow on collateralized debt over a similar term, or incremental borrowing rate, at the commencement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57" w:right="14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balance sheet information for our leases is as follows (in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40" w:type="dxa"/>
            <w:vAlign w:val="bottom"/>
            <w:gridSpan w:val="2"/>
          </w:tcPr>
          <w:p>
            <w:pPr>
              <w:ind w:left="10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400" w:type="dxa"/>
            <w:vAlign w:val="bottom"/>
            <w:gridSpan w:val="2"/>
          </w:tcPr>
          <w:p>
            <w:pPr>
              <w:ind w:left="164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00" w:type="dxa"/>
            <w:vAlign w:val="bottom"/>
          </w:tcPr>
          <w:p>
            <w:pPr>
              <w:spacing w:after="0"/>
              <w:rPr>
                <w:sz w:val="15"/>
                <w:szCs w:val="15"/>
                <w:color w:val="auto"/>
              </w:rPr>
            </w:pP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September 30, 2019</w:t>
            </w:r>
          </w:p>
        </w:tc>
      </w:tr>
      <w:tr>
        <w:trPr>
          <w:trHeight w:val="210"/>
        </w:trPr>
        <w:tc>
          <w:tcPr>
            <w:tcW w:w="2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top w:val="single" w:sz="8" w:color="CCEEFF"/>
            </w:tcBorders>
            <w:shd w:val="clear" w:color="auto" w:fill="CCEEFF"/>
          </w:tcPr>
          <w:p>
            <w:pPr>
              <w:spacing w:after="0"/>
              <w:rPr>
                <w:sz w:val="18"/>
                <w:szCs w:val="18"/>
                <w:color w:val="auto"/>
              </w:rPr>
            </w:pPr>
          </w:p>
        </w:tc>
        <w:tc>
          <w:tcPr>
            <w:tcW w:w="4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30"/>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w:t>
            </w:r>
          </w:p>
        </w:tc>
        <w:tc>
          <w:tcPr>
            <w:tcW w:w="4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2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198"/>
        </w:trPr>
        <w:tc>
          <w:tcPr>
            <w:tcW w:w="284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Financing</w:t>
            </w:r>
          </w:p>
        </w:tc>
        <w:tc>
          <w:tcPr>
            <w:tcW w:w="4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Property and equipment, net of accumulated</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34"/>
        </w:trPr>
        <w:tc>
          <w:tcPr>
            <w:tcW w:w="25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44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10"/>
        </w:trPr>
        <w:tc>
          <w:tcPr>
            <w:tcW w:w="28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assets</w:t>
            </w:r>
          </w:p>
        </w:tc>
        <w:tc>
          <w:tcPr>
            <w:tcW w:w="4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r>
      <w:tr>
        <w:trPr>
          <w:trHeight w:val="20"/>
        </w:trPr>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97"/>
        </w:trPr>
        <w:tc>
          <w:tcPr>
            <w:tcW w:w="2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30"/>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30"/>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4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2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Financing</w:t>
            </w: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w:t>
            </w:r>
          </w:p>
        </w:tc>
        <w:tc>
          <w:tcPr>
            <w:tcW w:w="4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30"/>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30"/>
        </w:trPr>
        <w:tc>
          <w:tcPr>
            <w:tcW w:w="2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Financing</w:t>
            </w: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10"/>
        </w:trPr>
        <w:tc>
          <w:tcPr>
            <w:tcW w:w="2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r>
      <w:tr>
        <w:trPr>
          <w:trHeight w:val="20"/>
        </w:trPr>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operating lease expense for the three and nine months ended September 30, 2019 was $32 million and $104 million, respectively, and is included in operating and selling, general and administrative expenses in our Condensed Consolidated Statement of Operations. Our financing lease expense for the three and nine months ended September 30, 2019 was $11 million and $36 million, respectively, and is included in depreciation and amortization expense and interest expense, net in our Condensed Consolidated Statement of Operations.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Minimum contractual obligations for our leases (undiscounted) as of September 30, 2019 are as follows (in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400" w:type="dxa"/>
            <w:vAlign w:val="bottom"/>
          </w:tcPr>
          <w:p>
            <w:pPr>
              <w:spacing w:after="0"/>
              <w:rPr>
                <w:sz w:val="15"/>
                <w:szCs w:val="15"/>
                <w:color w:val="auto"/>
              </w:rPr>
            </w:pPr>
          </w:p>
        </w:tc>
        <w:tc>
          <w:tcPr>
            <w:tcW w:w="134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Financing</w:t>
            </w: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 (excluding nine months ended September 30, 2019)</w:t>
            </w:r>
          </w:p>
        </w:tc>
        <w:tc>
          <w:tcPr>
            <w:tcW w:w="34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4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10"/>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payments</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340" w:type="dxa"/>
            <w:vAlign w:val="bottom"/>
          </w:tcPr>
          <w:p>
            <w:pPr>
              <w:spacing w:after="0"/>
              <w:rPr>
                <w:sz w:val="19"/>
                <w:szCs w:val="19"/>
                <w:color w:val="auto"/>
              </w:rPr>
            </w:pP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(194)</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0"/>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Discounted lease liabilities</w:t>
            </w:r>
          </w:p>
        </w:tc>
        <w:tc>
          <w:tcPr>
            <w:tcW w:w="3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0"/>
        </w:trPr>
        <w:tc>
          <w:tcPr>
            <w:tcW w:w="5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Cash paid for our operating and financing leases was $66 million and $27 million, respectively, for the nine months ended September 30, 2019. Right-of-use assets obtained in exchange for lease obligations for our operating and financing leases were $146 million and $114 million, respectively, for the nine months ended September 30, 2019.</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2019, the weighted average remaining lease terms of our operating and financing leases were 16 years and 14 years, respectively. The weighted average discount rates used to determine the lease liabilities as of September 30, 2019 for our operating and financing leases were 3.51% and 4.09%,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57" w:right="141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effective income tax rate was 19.4% and 22.2% for the three and nine months ended September 30, 2019, respectively, compared with 16.6% and 18.9% for the three and nine months ended September 30, 2018, respectively. We evaluate our effective income tax rate at each interim period and adjust it as facts and circumstances warrant.</w:t>
      </w:r>
    </w:p>
    <w:p>
      <w:pPr>
        <w:spacing w:after="0" w:line="17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Investments Qualifying for Federal Tax Credits </w:t>
      </w:r>
      <w:r>
        <w:rPr>
          <w:rFonts w:ascii="Times New Roman" w:cs="Times New Roman" w:eastAsia="Times New Roman" w:hAnsi="Times New Roman"/>
          <w:sz w:val="18"/>
          <w:szCs w:val="18"/>
          <w:color w:val="auto"/>
        </w:rPr>
        <w:t>— We have significant financial interests in entities established to invest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and manage low-income housing properties and a refined coal facility. On August 28, 2019 we acquired an additional noncontrolling interest in a limited liability company established to invest in and manage low-income housing properties. Our consideration for this investment totaled $160 million, which was comprised of a $140 million note payable and an initial cash payment of $20 million. We support the operations of these entities in exchange for a pro-rata share of the tax credits they generate. The low-income housing investments and the coal facility’s refinement processes qualify for federal tax credits that we expect to realize through 2030 under Section 42, through 2024 under Section 45D, and through the end of 2019 under Section 45, of the Internal Revenue Code. We account for our investments in these entities using the equity method of accounting, recognizing our share of each entity’s results of operations and other reductions in the value of our investments in equity in net losses of unconsolidated entities, in our Condensed Consolidated Statements of Operations.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2019, we recognized $11 million and $32 million of net losses and a reduction in our income tax expense of $36 million and $69 million, respectively, primarily due to tax credits realized from these investments. In addition, during the three and nine months ended September 30, 2019, we recognized interest expense of $2 million and $6 million, respectively, associated with our investments in low-income housing properties.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2018, we recognized $5 million and $17 million of net losses and a reduction in our income tax expense of $18 million and $40 million, respectively, primarily due to tax credits realized from these investments. Interest expense associated with our investments in low-income housing properties was not material for the three and nine months ended September 30, 2018.</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14 for additional information related to these unconsolidated variable interest entities.</w:t>
      </w:r>
    </w:p>
    <w:p>
      <w:pPr>
        <w:spacing w:after="0" w:line="22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Equity-Based Compensation </w:t>
      </w:r>
      <w:r>
        <w:rPr>
          <w:rFonts w:ascii="Times New Roman" w:cs="Times New Roman" w:eastAsia="Times New Roman" w:hAnsi="Times New Roman"/>
          <w:sz w:val="18"/>
          <w:szCs w:val="18"/>
          <w:color w:val="auto"/>
        </w:rPr>
        <w:t>— During the three and nine months ended September 30, 2019, we recognized a reduction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income tax expense of $5 million and $22 million, respectively, for excess tax benefits related to the vesting or exercise of equity-based compensation awards compared with $3 million and $15 million, respectively, for the comparable prior year periods.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Adjustments to Accruals and Related Deferred Taxes </w:t>
      </w:r>
      <w:r>
        <w:rPr>
          <w:rFonts w:ascii="Times New Roman" w:cs="Times New Roman" w:eastAsia="Times New Roman" w:hAnsi="Times New Roman"/>
          <w:sz w:val="18"/>
          <w:szCs w:val="18"/>
          <w:color w:val="auto"/>
        </w:rPr>
        <w:t>— During the three and nine months ended September 30,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adjustments to our accruals and related deferred taxes due to the filing of our 2018 income tax returns and changes in state and foreign laws resulted in a reduction in our income tax expense of $13 million compared with $27 million and $35 million, respectively, for the comparable prior year periods.</w:t>
      </w:r>
    </w:p>
    <w:p>
      <w:pPr>
        <w:spacing w:after="0" w:line="180"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Enactment of Tax Reform </w:t>
      </w:r>
      <w:r>
        <w:rPr>
          <w:rFonts w:ascii="Times New Roman" w:cs="Times New Roman" w:eastAsia="Times New Roman" w:hAnsi="Times New Roman"/>
          <w:sz w:val="18"/>
          <w:szCs w:val="18"/>
          <w:color w:val="auto"/>
        </w:rPr>
        <w:t>— In accordance with the applicable accounting guidance, the Company recognized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provisional tax impacts related to the remeasurement of our deferred income tax assets and liabilities and the one-time, mandatory transition tax on deemed repatriation during the year ended December 31, 2017. In September 2018, measurement period adjustments to the provisional tax impacts due to the filing of our 2017 income tax returns resulted in a reduction in our income tax expense of $12 million.</w:t>
      </w:r>
    </w:p>
    <w:p>
      <w:pPr>
        <w:spacing w:after="0" w:line="18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Tax Audit Settlements </w:t>
      </w:r>
      <w:r>
        <w:rPr>
          <w:rFonts w:ascii="Times New Roman" w:cs="Times New Roman" w:eastAsia="Times New Roman" w:hAnsi="Times New Roman"/>
          <w:sz w:val="18"/>
          <w:szCs w:val="18"/>
          <w:color w:val="auto"/>
        </w:rPr>
        <w:t>— We are currently under audit by the IRS and various state and local taxing authorities and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audits are in various stages of completion. In June 2018, we settled various tax audits, which resulted in a reduction in our income tax expense of $33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57" w:right="14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Tax Implications of Impairment </w:t>
      </w:r>
      <w:r>
        <w:rPr>
          <w:rFonts w:ascii="Times New Roman" w:cs="Times New Roman" w:eastAsia="Times New Roman" w:hAnsi="Times New Roman"/>
          <w:sz w:val="18"/>
          <w:szCs w:val="18"/>
          <w:color w:val="auto"/>
        </w:rPr>
        <w:t>— We recognized a $52 million impairment charge in the first quarter of 2019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not deductible for tax purposes. In the third quarter of 2018, we recognized a $29 million charge to impair a landfill which was deductible for tax purposes and resulted in no impact to our effective income tax rate. See Note 10 for additional information.</w:t>
      </w:r>
    </w:p>
    <w:p>
      <w:pPr>
        <w:spacing w:after="0" w:line="178" w:lineRule="exact"/>
        <w:rPr>
          <w:sz w:val="20"/>
          <w:szCs w:val="20"/>
          <w:color w:val="auto"/>
        </w:rPr>
      </w:pPr>
    </w:p>
    <w:p>
      <w:pPr>
        <w:ind w:left="320" w:hanging="311"/>
        <w:spacing w:after="0"/>
        <w:tabs>
          <w:tab w:leader="none" w:pos="3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earnings per share were computed using the following common share data (shares in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6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8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16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80" w:type="dxa"/>
            <w:vAlign w:val="bottom"/>
            <w:gridSpan w:val="3"/>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common shares outstanding at end of period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Effect of using weighted average common shares outstanding</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2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Dilutive effect of equity-based compensation awards and other contingently</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issuable shares</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diluted common shares outstanding</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Potentially issuable shares</w:t>
            </w: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40" w:type="dxa"/>
            <w:vAlign w:val="bottom"/>
            <w:gridSpan w:val="2"/>
            <w:vMerge w:val="continue"/>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180" w:type="dxa"/>
            <w:vAlign w:val="bottom"/>
            <w:vMerge w:val="continue"/>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180" w:type="dxa"/>
            <w:vAlign w:val="bottom"/>
            <w:vMerge w:val="continue"/>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180" w:type="dxa"/>
            <w:vAlign w:val="bottom"/>
            <w:vMerge w:val="continue"/>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Number of anti-dilutive potentially issuable shares excluded from diluted</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 shares outstanding</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Commitments and Contingencies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Financial Instruments — </w:t>
      </w:r>
      <w:r>
        <w:rPr>
          <w:rFonts w:ascii="Times New Roman" w:cs="Times New Roman" w:eastAsia="Times New Roman" w:hAnsi="Times New Roman"/>
          <w:sz w:val="18"/>
          <w:szCs w:val="18"/>
          <w:color w:val="auto"/>
        </w:rPr>
        <w:t>We have obtained letters of credit, surety bonds and insurance policies and have established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 funds and issued financial guarantees to support tax-exempt bonds, contracts, performance of landfill final capping, closure and post-closure requirements, environmental remediation and other obligations. Letters of credit generally are supported by our $2.75 billion revolving credit facility and other credit facilities established for that purpose. These facilities are discussed further in Note 3. Surety bonds and insurance policies are supported by (i) a diverse group of third-party surety and insurance companies; (ii) an entity in which we have a noncontrolling financial interest or (iii) a wholly-owned insurance captive, the sole business of which is to issue surety bonds and/or insurance policies on our behalf.</w:t>
      </w:r>
    </w:p>
    <w:p>
      <w:pPr>
        <w:spacing w:after="0" w:line="18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Management does not expect that any claims against or draws on these instruments would have a material adverse effect on our financial condition, results of operations or cash flows.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18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Insurance — </w:t>
      </w:r>
      <w:r>
        <w:rPr>
          <w:rFonts w:ascii="Times New Roman" w:cs="Times New Roman" w:eastAsia="Times New Roman" w:hAnsi="Times New Roman"/>
          <w:sz w:val="18"/>
          <w:szCs w:val="18"/>
          <w:color w:val="auto"/>
        </w:rPr>
        <w:t>We carry insurance coverage for protection of our assets and operations from certain risks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liability, automobile liability, workers’ compensation, real and personal property, directors’ and officers’ liability, pollution legal liability and other coverages we believe are customary to the industry. Our exposure to loss for insurance claims is generally limited to the per incident deductible under the related insurance policy. Our exposure could increase if our insurers are unable to meet their commitments on a timely basis.</w:t>
      </w:r>
    </w:p>
    <w:p>
      <w:pPr>
        <w:spacing w:after="0" w:line="18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retained a significant portion of the risks related to our general liability, automobile liability and workers’ compensation claims programs. “General liability” refers to the self-insured portion of specific third-party claims made against us that may be covered under our commercial General Liability Insurance Policy. For our self-insured portions, the exposure for unpaid claims and associated expenses, including incurred but not reported losses, is based on an actuarial valuation or internal estimates. The accruals for these liabilities could be revised if future occurrences or loss development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57" w:right="14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significantly differ from such valuations and estimates. We use a wholly-owned insurance captive to insure the deductibles for our general liability, automobile liability and workers’ compensation claims programs.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do not expect the impact of any known casualty, property, environmental or other contingency to have a material impact on our financial condition, results of operations or cash flows.</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Guarantees — </w:t>
      </w:r>
      <w:r>
        <w:rPr>
          <w:rFonts w:ascii="Times New Roman" w:cs="Times New Roman" w:eastAsia="Times New Roman" w:hAnsi="Times New Roman"/>
          <w:sz w:val="18"/>
          <w:szCs w:val="18"/>
          <w:color w:val="auto"/>
        </w:rPr>
        <w:t>In the ordinary course of our business, WM and WM Holdings enter into guarantee agreements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their subsidiaries’ operations. Additionally, WM and WM Holdings have each guaranteed all of the senior debt of the other entity. No additional liabilities have been recorded for these intercompany guarantees because all of the underlying obligations are reflected in our Condensed Consolidated Balance Sheets. See Note 15 for additional information.</w:t>
      </w:r>
    </w:p>
    <w:p>
      <w:pPr>
        <w:spacing w:after="0" w:line="18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of September 30, 2019, we have guaranteed the obligations and certain performance requirements of third parties in connection with both consolidated and unconsolidated entities, including (i) guarantees to cover certain market value losses for approximately 850 homeowners’ properties adjacent to or near 18 of our landfills and (ii) guarantees totaling $57 million for performance obligations of our Wheelabrator business, divested in 2014. In February 2019, Wheelabrator was acquired by a third party, at which time we agreed to continue to provide such guarantees. We have also agreed to indemnify certain third-party purchasers against liabilities associated with divested operations prior to such sale. Additionally, under certain of our acquisition agreements, we have provided for additional consideration to be paid to the sellers if established financial targets or other market conditions are achieved post-closing, and we have recognized liabilities for these contingent obligations based on an estimate of the fair value of these contingencies at the time of acquisition. We do not believe that these contingent obligations will have a material adverse effect on the Company’s financial condition, results of operations or cash flows, and we do not expect the financial impact of operational and financial performance guarantees to materially exceed the recorded fair value.</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Environmental Matters — </w:t>
      </w:r>
      <w:r>
        <w:rPr>
          <w:rFonts w:ascii="Times New Roman" w:cs="Times New Roman" w:eastAsia="Times New Roman" w:hAnsi="Times New Roman"/>
          <w:sz w:val="18"/>
          <w:szCs w:val="18"/>
          <w:color w:val="auto"/>
        </w:rPr>
        <w:t>A significant portion of our operating costs and capital expenditures could be characterized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clean-up.</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environmental impact investigation. In these cases, we use the amount within the range that is our best estimate. If no amount within a range appears to be a better estimate than any other, we use the amount that is the low end of such range. If we used the high ends of such ranges, our aggregate potential liability would be approximately $145 million higher than the $239 million recorded in the Condensed Consolidated Balance Sheet as of September 30, 2019.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our balance sheet and income from operations. These adjustments could be material in any given period.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57" w:right="141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September 30, 2019, we have been notified by the government that we are a PRP in connection with 75 locations listed on the Environmental Protection Agency’s (“EPA’s”) Superfund National Priorities List (“NPL”). Of the 75 sites at which claims have been made against us, 15 are sites we own. Each of the NPL sites we own was initially developed by others as a landfill disposal facility. At each of these facilities, we are working in conjunction with the government to evaluate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60 NPL sites, which we do not own, are at various procedural stages under the Comprehensive Environmental Response, Compensation and Liability Act of 1980, as amended, known as CERCLA or Superfund.</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11, 2017, the EPA issued its Record of Decision (“ROD”) with respect to the previously proposed remediation plan for the San Jacinto waste pits in Harris County, Texas. McGinnes Industrial Maintenance Corporation (“MIMC”), an indirect wholly-owned subsidiary of WM, operated some of the waste pits from 1965 to 1966 and has been named as a site PRP. In 1998, WM acquired the stock of the parent entity of MIMC. MIMC has been working with the EPA and other named PRPs as the process of addressing the site proceeds. On April 9, 2018, MIMC and International Paper Company entered into an Administrative Order on Consent agreement with the EPA to develop a remedial design for the EPA’s selected remedy for the site. Allocation of responsibility among the PRPs for the selected remedy has not been established. As of September 30, 2019 and December 31, 2018, the recorded liability for MIMC’s estimated potential share of the EPA’s selected remedy and related costs was $56 million and $55 million, respectively. MIMC’s ultimate liability could be materially different from current estimates.</w:t>
      </w:r>
    </w:p>
    <w:p>
      <w:pPr>
        <w:spacing w:after="0" w:line="18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of less than $100,000. The following matter is disclosed in accordance with that requirement. We do not currently believe that the eventual outcome of such matter could have a material adverse effect on the Company’s business, financial condition, results of operations or cash flows.</w:t>
      </w:r>
    </w:p>
    <w:p>
      <w:pPr>
        <w:spacing w:after="0" w:line="188"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On July 10, 2013, the EPA issued a Notice of Violation ("NOV") to Waste Management of Wisconsin, Inc., an indirect wholly-owned subsidiary of WM, alleging violations of the Resource Conservation Recovery Act concerning acceptance of certain waste that was not permitted to be disposed of at the Metro Recycling &amp; Disposal Facility in Franklin, Wisconsin. The parties are exchanging information and working to resolve the NOV.</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57" w:right="141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18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Litigation — </w:t>
      </w:r>
      <w:r>
        <w:rPr>
          <w:rFonts w:ascii="Times New Roman" w:cs="Times New Roman" w:eastAsia="Times New Roman" w:hAnsi="Times New Roman"/>
          <w:sz w:val="18"/>
          <w:szCs w:val="18"/>
          <w:color w:val="auto"/>
        </w:rPr>
        <w:t>As a large company with operations across the U.S. and Canada, we are subject to various proceedings,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lawsuits, disputes and claims arising in the ordinary course of our business. Many of these actions raise complex factual and legal issues and are subject to uncertainties. Actions that have been filed against us, and that may be filed against us in the future, include personal injury, property damage, commercial, customer, and employment-related claims, including purported state and national class action lawsuits related to: alleged environmental contamination, including releases of hazardous material and odors; sales and marketing practices, customer service agreements and prices and fees; and federal and state wage and hour and other laws. The plaintiffs in some actions seek unspecified damages, injunctive relief, or both. These actions are in various procedural stages, and some are covered, in part, by insurance. We currently do not believe that the eventual outcome of any such actions will have a material adverse effect on the Company’s business, financial condition, results of operations or cash flows.</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WM’s charter and bylaws provide that WM shall indemnify against all liabilities and expenses, and upon request shall advance expenses to any person, who is subject to a pending or threatened proceeding because such person is or was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permitted to have such fees advanced under Delaware law. Additionally, the Company has direct contractual obligations to provide indemnification to each of the members of WM’s Board of Directors and each of WM’s executive officers.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Multiemployer Defined Benefit Pension Plans — </w:t>
      </w:r>
      <w:r>
        <w:rPr>
          <w:rFonts w:ascii="Times New Roman" w:cs="Times New Roman" w:eastAsia="Times New Roman" w:hAnsi="Times New Roman"/>
          <w:sz w:val="18"/>
          <w:szCs w:val="18"/>
          <w:color w:val="auto"/>
        </w:rPr>
        <w:t>About 20% of our workforce is covered by collective bargaining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with various local unions across the U.S. and Canada. As a result of some of these agreements, certain of our subsidiaries are participating employers in a number of trustee-managed multiemployer defined benefit pension plans (“Multiemployer Pension Plans”) for the covered employees. In connection with our ongoing renegotiation of various collective bargaining agreements, we may discuss and negotiate for the complete or partial withdrawal from one or more of these Multiemployer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w:t>
      </w:r>
    </w:p>
    <w:p>
      <w:pPr>
        <w:spacing w:after="0" w:line="19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do not believe that any future liability relating to our past or current participation in, or withdrawals from, the Multiemployer Pension Plans to which we contribute will have a material adverse effect on our business, financial condition or liquidity. However, liability for future withdrawals could have a material adverse effect on our results of operations or cash flows for a particular reporting period, depending on the number of employees withdrawn and the financial condition of the Multiemployer Pension Plan(s) at the time of such withdrawal(s).</w:t>
      </w:r>
    </w:p>
    <w:p>
      <w:pPr>
        <w:spacing w:after="0" w:line="18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Tax Matters — </w:t>
      </w:r>
      <w:r>
        <w:rPr>
          <w:rFonts w:ascii="Times New Roman" w:cs="Times New Roman" w:eastAsia="Times New Roman" w:hAnsi="Times New Roman"/>
          <w:sz w:val="18"/>
          <w:szCs w:val="18"/>
          <w:color w:val="auto"/>
        </w:rPr>
        <w:t>We participate in the IRS’s Compliance Assurance Process, which means we work with the IRS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throughout the year towards resolving any material issues prior to the filing of our annual tax return. Any unresolved issues as of the tax return filing date are subject to routine examination procedures. We are currently in the examination phase of IRS audits for the 2017 through 2019 tax years and expect these audits to be completed within the next 18 months. We are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57" w:right="141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also currently undergoing audits by various state and local jurisdictions for tax years that date back to 2013. We maintain a liability for uncertain tax positions, the balance of which management believes is adequate. Results of audit assessments by taxing authorities are not currently expected to have a material adverse effect on our financial condition, results of operations or cash flows.</w:t>
      </w:r>
    </w:p>
    <w:p>
      <w:pPr>
        <w:spacing w:after="0" w:line="1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Segment and Related Information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evaluate, oversee and manage the financial performance of our Solid Waste business subsidiaries through our 17 Areas. The 17 Areas constitute our operating segments and we have evaluated the aggregation criteria and concluded that, based on the similarities between our Areas, including the fact that our Solid Waste business is homogenous across geographies with the same services offered across the Areas, aggregation of our Areas is appropriate for purposes of presenting our reportable segments. Accordingly, we have aggregated our 17 Areas into three tiers that we believe have similar economic characteristics and future prospects based in large part on a review of the Areas’ income from operations margins. The economic variations experienced by our Areas are attributable to a variety of factors, including regulatory environment of the Area; economic environment of the Area, including level of commercial and industrial activity; population density; service offering mix and disposal logistics, with no one factor being singularly determinative of an Area’s current or future economic performance.</w:t>
      </w:r>
    </w:p>
    <w:p>
      <w:pPr>
        <w:spacing w:after="0" w:line="1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Tier 1 is comprised of our operations across the Southern U.S., with the exception of Southern California and the Florida peninsula, and also includes the New England states, the tri-state area of Michigan, Indiana and Ohio, and Western Canada. Tier 2 includes Southern California, Eastern Canada, Wisconsin and Minnesota. Tier 3 encompasses all the remaining operations including the Pacific Northwest, Northern California, the Mid-Atlantic region of the U.S., the Florida peninsula, Illinois and Missouri.</w:t>
      </w:r>
    </w:p>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operating segments not evaluated and overseen through the 17 Areas are presented herein as “Other” as these operating segments do not meet the criteria to be aggregated with other operating segments and do not meet the quantitative criteria to be separately reported.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57" w:right="141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Summarized financial information concerning our reportable segments is shown in the following table (in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60" w:type="dxa"/>
            <w:vAlign w:val="bottom"/>
          </w:tcPr>
          <w:p>
            <w:pPr>
              <w:spacing w:after="0"/>
              <w:rPr>
                <w:sz w:val="13"/>
                <w:szCs w:val="13"/>
                <w:color w:val="auto"/>
              </w:rPr>
            </w:pPr>
          </w:p>
        </w:tc>
        <w:tc>
          <w:tcPr>
            <w:tcW w:w="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3"/>
                <w:szCs w:val="13"/>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0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8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2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0" w:type="dxa"/>
            <w:vAlign w:val="bottom"/>
          </w:tcPr>
          <w:p>
            <w:pPr>
              <w:spacing w:after="0"/>
              <w:rPr>
                <w:sz w:val="1"/>
                <w:szCs w:val="1"/>
                <w:color w:val="auto"/>
              </w:rPr>
            </w:pPr>
          </w:p>
        </w:tc>
      </w:tr>
      <w:tr>
        <w:trPr>
          <w:trHeight w:val="173"/>
        </w:trPr>
        <w:tc>
          <w:tcPr>
            <w:tcW w:w="2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0" w:type="dxa"/>
            <w:vAlign w:val="bottom"/>
          </w:tcPr>
          <w:p>
            <w:pPr>
              <w:spacing w:after="0"/>
              <w:rPr>
                <w:sz w:val="1"/>
                <w:szCs w:val="1"/>
                <w:color w:val="auto"/>
              </w:rPr>
            </w:pPr>
          </w:p>
        </w:tc>
      </w:tr>
      <w:tr>
        <w:trPr>
          <w:trHeight w:val="190"/>
        </w:trPr>
        <w:tc>
          <w:tcPr>
            <w:tcW w:w="3620" w:type="dxa"/>
            <w:vAlign w:val="bottom"/>
            <w:tcBorders>
              <w:top w:val="single" w:sz="8" w:color="CCEEFF"/>
            </w:tcBorders>
            <w:gridSpan w:val="2"/>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0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2019</w:t>
            </w:r>
          </w:p>
        </w:tc>
        <w:tc>
          <w:tcPr>
            <w:tcW w:w="8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Solid Waste:</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Tier 1</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4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Tier 2</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6"/>
        </w:trPr>
        <w:tc>
          <w:tcPr>
            <w:tcW w:w="3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Tier 3</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(369)</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Solid Waste</w:t>
            </w:r>
          </w:p>
        </w:tc>
        <w:tc>
          <w:tcPr>
            <w:tcW w:w="2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0"/>
        </w:trPr>
        <w:tc>
          <w:tcPr>
            <w:tcW w:w="28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2018</w:t>
            </w:r>
          </w:p>
        </w:tc>
        <w:tc>
          <w:tcPr>
            <w:tcW w:w="8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Solid Waste:</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Tier 1</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3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Tier 2</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Tier 3</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(353)</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0"/>
        </w:trPr>
        <w:tc>
          <w:tcPr>
            <w:tcW w:w="3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Solid Waste</w:t>
            </w:r>
          </w:p>
        </w:tc>
        <w:tc>
          <w:tcPr>
            <w:tcW w:w="20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0"/>
        </w:trPr>
        <w:tc>
          <w:tcPr>
            <w:tcW w:w="2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0"/>
        </w:trPr>
        <w:tc>
          <w:tcPr>
            <w:tcW w:w="3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vMerge w:val="restart"/>
          </w:tcPr>
          <w:p>
            <w:pPr>
              <w:jc w:val="right"/>
              <w:ind w:right="93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2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8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657" w:right="141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40" w:type="dxa"/>
            <w:vAlign w:val="bottom"/>
          </w:tcPr>
          <w:p>
            <w:pPr>
              <w:spacing w:after="0"/>
              <w:rPr>
                <w:sz w:val="13"/>
                <w:szCs w:val="13"/>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3"/>
                <w:szCs w:val="13"/>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99"/>
              </w:rPr>
              <w:t>Income</w:t>
            </w:r>
          </w:p>
        </w:tc>
      </w:tr>
      <w:tr>
        <w:trPr>
          <w:trHeight w:val="149"/>
        </w:trPr>
        <w:tc>
          <w:tcPr>
            <w:tcW w:w="2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8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2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8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2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r>
      <w:tr>
        <w:trPr>
          <w:trHeight w:val="173"/>
        </w:trPr>
        <w:tc>
          <w:tcPr>
            <w:tcW w:w="2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0" w:type="dxa"/>
            <w:vAlign w:val="bottom"/>
          </w:tcPr>
          <w:p>
            <w:pPr>
              <w:spacing w:after="0"/>
              <w:rPr>
                <w:sz w:val="15"/>
                <w:szCs w:val="15"/>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Operations</w:t>
            </w:r>
          </w:p>
        </w:tc>
      </w:tr>
      <w:tr>
        <w:trPr>
          <w:trHeight w:val="176"/>
        </w:trPr>
        <w:tc>
          <w:tcPr>
            <w:tcW w:w="560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r>
      <w:tr>
        <w:trPr>
          <w:trHeight w:val="216"/>
        </w:trPr>
        <w:tc>
          <w:tcPr>
            <w:tcW w:w="2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2019</w:t>
            </w:r>
          </w:p>
        </w:tc>
        <w:tc>
          <w:tcPr>
            <w:tcW w:w="420" w:type="dxa"/>
            <w:vAlign w:val="bottom"/>
            <w:tcBorders>
              <w:top w:val="single" w:sz="8" w:color="auto"/>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r>
      <w:tr>
        <w:trPr>
          <w:trHeight w:val="216"/>
        </w:trPr>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Solid Waste: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56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Tier 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4,704</w:t>
            </w:r>
          </w:p>
        </w:tc>
        <w:tc>
          <w:tcPr>
            <w:tcW w:w="14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r>
      <w:tr>
        <w:trPr>
          <w:trHeight w:val="216"/>
        </w:trPr>
        <w:tc>
          <w:tcPr>
            <w:tcW w:w="56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Tier 2</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(390)</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16"/>
        </w:trPr>
        <w:tc>
          <w:tcPr>
            <w:tcW w:w="56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Tier 3</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(1,074)</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r>
      <w:tr>
        <w:trPr>
          <w:trHeight w:val="210"/>
        </w:trPr>
        <w:tc>
          <w:tcPr>
            <w:tcW w:w="5600" w:type="dxa"/>
            <w:vAlign w:val="bottom"/>
            <w:tcBorders>
              <w:top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Solid Waste</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r>
      <w:tr>
        <w:trPr>
          <w:trHeight w:val="216"/>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0"/>
        </w:trPr>
        <w:tc>
          <w:tcPr>
            <w:tcW w:w="2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r>
      <w:tr>
        <w:trPr>
          <w:trHeight w:val="216"/>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10"/>
        </w:trPr>
        <w:tc>
          <w:tcPr>
            <w:tcW w:w="5600" w:type="dxa"/>
            <w:vAlign w:val="bottom"/>
            <w:tcBorders>
              <w:top w:val="single" w:sz="8" w:color="CCEEFF"/>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r>
      <w:tr>
        <w:trPr>
          <w:trHeight w:val="20"/>
        </w:trPr>
        <w:tc>
          <w:tcPr>
            <w:tcW w:w="2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97"/>
        </w:trPr>
        <w:tc>
          <w:tcPr>
            <w:tcW w:w="2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2018</w:t>
            </w:r>
          </w:p>
        </w:tc>
        <w:tc>
          <w:tcPr>
            <w:tcW w:w="42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Solid Waste:</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56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Tier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r>
      <w:tr>
        <w:trPr>
          <w:trHeight w:val="216"/>
        </w:trPr>
        <w:tc>
          <w:tcPr>
            <w:tcW w:w="56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Tier 2</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(361)</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16"/>
        </w:trPr>
        <w:tc>
          <w:tcPr>
            <w:tcW w:w="56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Tier 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(1,012)</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r>
      <w:tr>
        <w:trPr>
          <w:trHeight w:val="210"/>
        </w:trPr>
        <w:tc>
          <w:tcPr>
            <w:tcW w:w="56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Solid Waste</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11,538</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9,378</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w:t>
            </w:r>
          </w:p>
        </w:tc>
      </w:tr>
      <w:tr>
        <w:trPr>
          <w:trHeight w:val="216"/>
        </w:trPr>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(155)</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0"/>
        </w:trPr>
        <w:tc>
          <w:tcPr>
            <w:tcW w:w="2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13,387</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11,072</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2,433</w:t>
            </w:r>
          </w:p>
        </w:tc>
      </w:tr>
      <w:tr>
        <w:trPr>
          <w:trHeight w:val="216"/>
        </w:trPr>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10"/>
        </w:trPr>
        <w:tc>
          <w:tcPr>
            <w:tcW w:w="56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13,387</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11,072</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r>
      <w:tr>
        <w:trPr>
          <w:trHeight w:val="20"/>
        </w:trPr>
        <w:tc>
          <w:tcPr>
            <w:tcW w:w="2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89"/>
        </w:trPr>
        <w:tc>
          <w:tcPr>
            <w:tcW w:w="228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2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r>
    </w:tbl>
    <w:p>
      <w:pPr>
        <w:spacing w:after="0" w:line="76" w:lineRule="exact"/>
        <w:rPr>
          <w:sz w:val="20"/>
          <w:szCs w:val="20"/>
          <w:color w:val="auto"/>
        </w:rPr>
      </w:pPr>
    </w:p>
    <w:p>
      <w:pPr>
        <w:jc w:val="both"/>
        <w:ind w:left="340" w:hanging="331"/>
        <w:spacing w:after="0" w:line="25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(i) our Strategic Business Solutions (“WMSBS”) organization; (ii) those elements of our landfill gas-to-energy operations and third-party subcontract and administration revenues managed by our Energy and Environmental Services (“EES”) and WM Renewable Energy organizations that are not included in the operations of our reportable segments; (iii) our recycling brokerage services and (iv) certain other expanded service offerings and solutions. In addition, our “Other” segment reflects the results of non-operating entities that provide financial assurance and self-insurance support for our Solid Waste business, net of intercompany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57" w:right="141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mix of operating revenues from our major lines of business are as follows (in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62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480" w:type="dxa"/>
            <w:vAlign w:val="bottom"/>
            <w:gridSpan w:val="4"/>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2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480" w:type="dxa"/>
            <w:vAlign w:val="bottom"/>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2280" w:type="dxa"/>
            <w:vAlign w:val="bottom"/>
            <w:tcBorders>
              <w:bottom w:val="single" w:sz="8" w:color="CCEEFF"/>
            </w:tcBorders>
          </w:tcPr>
          <w:p>
            <w:pPr>
              <w:spacing w:after="0"/>
              <w:rPr>
                <w:sz w:val="12"/>
                <w:szCs w:val="12"/>
                <w:color w:val="auto"/>
              </w:rPr>
            </w:pPr>
          </w:p>
        </w:tc>
        <w:tc>
          <w:tcPr>
            <w:tcW w:w="35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w:t>
            </w: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w:t>
            </w: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r>
      <w:tr>
        <w:trPr>
          <w:trHeight w:val="216"/>
        </w:trPr>
        <w:tc>
          <w:tcPr>
            <w:tcW w:w="5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10"/>
        </w:trPr>
        <w:tc>
          <w:tcPr>
            <w:tcW w:w="5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collection</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7,234</w:t>
            </w: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Landfill</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w:t>
            </w: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Recycling</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Intercompany (b)</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(837)</w:t>
            </w: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(802)</w:t>
            </w: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(2,427)</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r>
      <w:tr>
        <w:trPr>
          <w:trHeight w:val="210"/>
        </w:trPr>
        <w:tc>
          <w:tcPr>
            <w:tcW w:w="582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11,072</w:t>
            </w:r>
          </w:p>
        </w:tc>
      </w:tr>
      <w:tr>
        <w:trPr>
          <w:trHeight w:val="20"/>
        </w:trPr>
        <w:tc>
          <w:tcPr>
            <w:tcW w:w="22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89"/>
        </w:trPr>
        <w:tc>
          <w:tcPr>
            <w:tcW w:w="2280" w:type="dxa"/>
            <w:vAlign w:val="bottom"/>
            <w:tcBorders>
              <w:bottom w:val="single" w:sz="8" w:color="auto"/>
            </w:tcBorders>
          </w:tcPr>
          <w:p>
            <w:pPr>
              <w:spacing w:after="0"/>
              <w:rPr>
                <w:sz w:val="7"/>
                <w:szCs w:val="7"/>
                <w:color w:val="auto"/>
              </w:rPr>
            </w:pPr>
          </w:p>
        </w:tc>
        <w:tc>
          <w:tcPr>
            <w:tcW w:w="3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r>
    </w:tbl>
    <w:p>
      <w:pPr>
        <w:spacing w:after="0" w:line="76" w:lineRule="exact"/>
        <w:rPr>
          <w:sz w:val="20"/>
          <w:szCs w:val="20"/>
          <w:color w:val="auto"/>
        </w:rPr>
      </w:pPr>
    </w:p>
    <w:p>
      <w:pPr>
        <w:ind w:left="340" w:hanging="331"/>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line of business includes (i) our WMSBS organization; (ii) our landfill gas-to-energy operations;</w:t>
      </w:r>
    </w:p>
    <w:p>
      <w:pPr>
        <w:spacing w:after="0" w:line="27" w:lineRule="exact"/>
        <w:rPr>
          <w:rFonts w:ascii="Times New Roman" w:cs="Times New Roman" w:eastAsia="Times New Roman" w:hAnsi="Times New Roman"/>
          <w:sz w:val="18"/>
          <w:szCs w:val="18"/>
          <w:color w:val="auto"/>
        </w:rPr>
      </w:pPr>
    </w:p>
    <w:p>
      <w:pPr>
        <w:jc w:val="both"/>
        <w:ind w:left="340" w:hanging="7"/>
        <w:spacing w:after="0" w:line="254" w:lineRule="auto"/>
        <w:tabs>
          <w:tab w:leader="none" w:pos="6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services within our EES organization, including our construction and remediation services and our services associated with the disposal of fly ash and (iv) certain other expanded service offerings and solutions. In addition, our “Other” line of business reflects the results of non-operating entities that provide financial assurance and self-insurance support for our Solid Waste business, net of intercompany activity.</w:t>
      </w:r>
    </w:p>
    <w:p>
      <w:pPr>
        <w:spacing w:after="0" w:line="77" w:lineRule="exact"/>
        <w:rPr>
          <w:rFonts w:ascii="Times New Roman" w:cs="Times New Roman" w:eastAsia="Times New Roman" w:hAnsi="Times New Roman"/>
          <w:sz w:val="18"/>
          <w:szCs w:val="18"/>
          <w:color w:val="auto"/>
        </w:rPr>
      </w:pPr>
    </w:p>
    <w:p>
      <w:pPr>
        <w:ind w:left="340" w:right="20" w:hanging="331"/>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revenues between lines of business are eliminated in the Condensed Consolidated Financial Statements included within this report.</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Fluctuations in our operating results may be caused by many factors, including period-to-period changes in the relative contribution of revenue by each line of business, changes in commodity prices and general economic conditions. In addition, our revenues and income from operations typically reflect seasonal patterns. Our operating revenues tend to be somewhat higher in summer months, primarily due to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Service disruptions caused by severe storms, extended periods of inclement weather or climate extremes resulting from climate change can significantly affect the operating results of the Areas impacted. On the other hand, certain destructive weather and climate conditions, such as wildfires in the Western U.S. and hurricanes that most often impact our operations in the Southern and Eastern U.S. during the second half of the year, can increase our revenues in the Areas affected. While weather-related and other event driven special projects can boost revenues through additional work for a limited time, such revenue can generate earnings at comparatively lower margins as a result of significant start-up costs and other factors.</w:t>
      </w:r>
    </w:p>
    <w:p>
      <w:pPr>
        <w:spacing w:after="0" w:line="18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Pending Acquisition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April 14, 2019, we entered into the Merger Agreement to acquire all outstanding shares of Advanced Disposal for $33.15 per share in cash, representing a total enterprise value of $4.9 billion when including approximately $1.9 billion of Advanced Disposal’s net debt. Advanced Disposal’s solid waste network includes 95 collection operations, 73 transfer stations, 41 owned or operated landfills and 22 owned or operated recycling facilities. The transaction is expected to close during the first quarter of 2020, subject to the satisfaction of customary closing conditions, including regulatory approvals. On June 28, 2019, Advanced Disposal announced that 85.9% of the outstanding shares of its common stock entitled to vote were voted in favor of the proposal to adopt the Merger Agreement at a special meeting of stockholders held that day.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57" w:right="141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Petro Waste </w:t>
      </w:r>
      <w:r>
        <w:rPr>
          <w:rFonts w:ascii="Times New Roman" w:cs="Times New Roman" w:eastAsia="Times New Roman" w:hAnsi="Times New Roman"/>
          <w:sz w:val="18"/>
          <w:szCs w:val="18"/>
          <w:color w:val="auto"/>
        </w:rPr>
        <w:t>— On March 8, 2019, Waste Management Energy Services Holdings, LLC, an indirect wholly-owned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of WM, acquired Petro Waste. The acquired business provides comprehensive oilfield environmental services and solid waste disposal facilities in the Permian Basin and the Eagle Ford Shale. The acquisition is intended to expand our offerings and enhance the quality of solid waste disposal services for oil and gas exploration and production operations in Texas. Our purchase price is expected to be primarily allocated to seven landfills, which are included in our property and equipment. The allocation of purchase price for Petro Waste is preliminary and is subject to standard post-closing adjustments. The acquisition was funded with borrowings under our commercial paper program. For the three and nine months ended September 30, 2019, the impact of the acquisition was not material to our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Asset Impairments and Unusual Items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from Divestitures, Asset Impairments and Unusual Items, Net</w:t>
      </w:r>
    </w:p>
    <w:p>
      <w:pPr>
        <w:spacing w:after="0" w:line="229"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During the nine months ended September 30, 2018, we recognized a net gain of $14 million, primarily related to net gains from divestitures of $43 million from the sale of certain ancillary operations, which were partially offset by a $29 million charge, during the third quarter of 2018, to impair a landfill in our Tier 3 segment based on an internally developed discounted projected cash flow analysis, taking into account continued volume decreases and revised capping cost estimates.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Net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first quarter of 2019, we recognized a $52 million impairment charge related to our minority-owned investment in a waste conversion technology business. We wrote down our investment to its estimated fair value as the result of recent third-party investor’s transactions in these securities. The fair value of our investment was not readily determinable; thus, we determined the fair value utilizing a combination of quoted price inputs for the equity in our investment (Level 2) and certain management assumptions pertaining to investment value (Level 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Accumulated Other Comprehensive Income (Loss)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changes in the balances of each component of accumulated other comprehensive income (loss), net of tax, which is included as a component of Waste Management, Inc. stockholders’ equity, are as follows (in millions, with amounts in parentheses representing decreases to accumulated other comprehensive income):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Post-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2"/>
                <w:szCs w:val="12"/>
                <w:color w:val="auto"/>
              </w:rPr>
            </w:pPr>
          </w:p>
        </w:tc>
        <w:tc>
          <w:tcPr>
            <w:tcW w:w="7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for-Sale</w:t>
            </w:r>
          </w:p>
        </w:tc>
        <w:tc>
          <w:tcPr>
            <w:tcW w:w="1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160" w:type="dxa"/>
            <w:vAlign w:val="bottom"/>
          </w:tcPr>
          <w:p>
            <w:pPr>
              <w:spacing w:after="0"/>
              <w:rPr>
                <w:sz w:val="12"/>
                <w:szCs w:val="12"/>
                <w:color w:val="auto"/>
              </w:rPr>
            </w:pP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Balance, December 31, 2018</w:t>
            </w:r>
          </w:p>
        </w:tc>
        <w:tc>
          <w:tcPr>
            <w:tcW w:w="8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4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960" w:type="dxa"/>
            <w:vAlign w:val="bottom"/>
            <w:gridSpan w:val="3"/>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6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2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before reclassifications, net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of tax expense (benefit) of $0, $4, $0 and $0, respectively</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2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loss, net of tax (expense) benefit of $2, $0, $0 and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$0, respectively</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Balance, September 30, 2019</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9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657" w:right="141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had no active derivatives outstanding during the reported periods. Amounts reclassified out of accumulated other comprehensive income (loss) associated with our previously terminated cash flow hedges were not material for the periods presented.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Common Stock Repurchase Program</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repurchases shares of its common stock as part of capital allocation programs authorized by our Board of Directors. In January 2019, we paid $4 million in cash for share repurchases executed in December 2018. In addition, during the first quarter of 2019, we repurchased 0.7 million shares of our common stock in open market transactions in compliance with Rule 10b5-1 and Rule 10b-18 of the Exchange Act. Cash paid for these share repurchases was $64 million, inclusive of per-share commissions, which represents a weighted average price per share of $94.35. These repurchases were made under our prior $1.25 billion Board of Directors authorization announced in December 2017.</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announced in December 2018 that the Board of Directors authorized up to $1.5 billion in future share repurchases, which superseded and replaced remaining authority under any prior Board of Directors authorization for share repurchases after the completion of our open market repurchases noted above. As a result of the pending acquisition of Advanced Disposal discussed in Note 9, we decided to limit 2019 share repurchases to an amount sufficient to offset dilution impacts from our stock-based compensation plans. In May 2019, we entered into an accelerated share repurchase (“ASR”) agreement to repurchase $180 million of our common stock. At the beginning of the repurchase period, we delivered $180 million cash and received 1.3 million shares based on a stock price of $109.59. The ASR agreement completed in September 2019, at which time we received 0.3 million additional shares based on a final weighted average per share price of $114.76.</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September 30, 2019, the Company has authorization for $1.3 billion of future share repurchases. Any future share repurchases pursuant to this authorization of our Board of Directors will be made at the discretion of management and will depend on factors similar to those considered by the Board of Directors in making dividend declarations, including our net earnings, financial condition, cash required for future business plans, growth and acquisitions and other factors the Board of Directors may deem relevant. As a result of the pending acquisition discussed in Note 9, we do not expect additional share repurchases in 2019.</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57" w:right="141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Measurements</w:t>
      </w:r>
    </w:p>
    <w:p>
      <w:pPr>
        <w:spacing w:after="0" w:line="2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Accounted for at Fair Value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assets and liabilities that are measured at fair value on a recurring basis include the following (in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6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560" w:type="dxa"/>
            <w:vAlign w:val="bottom"/>
            <w:tcBorders>
              <w:bottom w:val="single" w:sz="8" w:color="CCEEFF"/>
            </w:tcBorders>
          </w:tcPr>
          <w:p>
            <w:pPr>
              <w:spacing w:after="0"/>
              <w:rPr>
                <w:sz w:val="15"/>
                <w:szCs w:val="15"/>
                <w:color w:val="auto"/>
              </w:rPr>
            </w:pPr>
          </w:p>
        </w:tc>
        <w:tc>
          <w:tcPr>
            <w:tcW w:w="18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8"/>
              </w:rPr>
              <w:t>Fair Value Measurements Using:</w:t>
            </w:r>
          </w:p>
        </w:tc>
        <w:tc>
          <w:tcPr>
            <w:tcW w:w="256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Quoted prices in active markets (Level 1):</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Money market funds (a)</w:t>
            </w:r>
          </w:p>
        </w:tc>
        <w:tc>
          <w:tcPr>
            <w:tcW w:w="20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560" w:type="dxa"/>
            <w:vAlign w:val="bottom"/>
            <w:tcBorders>
              <w:bottom w:val="single" w:sz="8" w:color="CCEEFF"/>
            </w:tcBorders>
          </w:tcPr>
          <w:p>
            <w:pPr>
              <w:spacing w:after="0"/>
              <w:rPr>
                <w:sz w:val="18"/>
                <w:szCs w:val="18"/>
                <w:color w:val="auto"/>
              </w:rPr>
            </w:pPr>
          </w:p>
        </w:tc>
        <w:tc>
          <w:tcPr>
            <w:tcW w:w="18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560" w:type="dxa"/>
            <w:vAlign w:val="bottom"/>
            <w:shd w:val="clear" w:color="auto" w:fill="CCEEFF"/>
          </w:tcPr>
          <w:p>
            <w:pPr>
              <w:spacing w:after="0"/>
              <w:rPr>
                <w:sz w:val="10"/>
                <w:szCs w:val="10"/>
                <w:color w:val="auto"/>
              </w:rPr>
            </w:pPr>
          </w:p>
        </w:tc>
        <w:tc>
          <w:tcPr>
            <w:tcW w:w="1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Significant other observable inputs (Level 2):</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Available-for-sale securities (b)</w:t>
            </w:r>
          </w:p>
        </w:tc>
        <w:tc>
          <w:tcPr>
            <w:tcW w:w="18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560" w:type="dxa"/>
            <w:vAlign w:val="bottom"/>
            <w:tcBorders>
              <w:bottom w:val="single" w:sz="8" w:color="CCEEFF"/>
            </w:tcBorders>
          </w:tcPr>
          <w:p>
            <w:pPr>
              <w:spacing w:after="0"/>
              <w:rPr>
                <w:sz w:val="18"/>
                <w:szCs w:val="18"/>
                <w:color w:val="auto"/>
              </w:rPr>
            </w:pPr>
          </w:p>
        </w:tc>
        <w:tc>
          <w:tcPr>
            <w:tcW w:w="18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560" w:type="dxa"/>
            <w:vAlign w:val="bottom"/>
            <w:shd w:val="clear" w:color="auto" w:fill="CCEEFF"/>
          </w:tcPr>
          <w:p>
            <w:pPr>
              <w:spacing w:after="0"/>
              <w:rPr>
                <w:sz w:val="10"/>
                <w:szCs w:val="10"/>
                <w:color w:val="auto"/>
              </w:rPr>
            </w:pPr>
          </w:p>
        </w:tc>
        <w:tc>
          <w:tcPr>
            <w:tcW w:w="1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Significant unobservable inputs (Level 3):</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Redeemable preferred stock (c)</w:t>
            </w:r>
          </w:p>
        </w:tc>
        <w:tc>
          <w:tcPr>
            <w:tcW w:w="18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560" w:type="dxa"/>
            <w:vAlign w:val="bottom"/>
            <w:tcBorders>
              <w:bottom w:val="single" w:sz="8" w:color="CCEEFF"/>
            </w:tcBorders>
          </w:tcPr>
          <w:p>
            <w:pPr>
              <w:spacing w:after="0"/>
              <w:rPr>
                <w:sz w:val="18"/>
                <w:szCs w:val="18"/>
                <w:color w:val="auto"/>
              </w:rPr>
            </w:pPr>
          </w:p>
        </w:tc>
        <w:tc>
          <w:tcPr>
            <w:tcW w:w="18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560" w:type="dxa"/>
            <w:vAlign w:val="bottom"/>
            <w:shd w:val="clear" w:color="auto" w:fill="CCEEFF"/>
          </w:tcPr>
          <w:p>
            <w:pPr>
              <w:spacing w:after="0"/>
              <w:rPr>
                <w:sz w:val="10"/>
                <w:szCs w:val="10"/>
                <w:color w:val="auto"/>
              </w:rPr>
            </w:pPr>
          </w:p>
        </w:tc>
        <w:tc>
          <w:tcPr>
            <w:tcW w:w="1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20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220" w:type="dxa"/>
            <w:vAlign w:val="bottom"/>
          </w:tcPr>
          <w:p>
            <w:pPr>
              <w:spacing w:after="0"/>
              <w:rPr>
                <w:sz w:val="18"/>
                <w:szCs w:val="18"/>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560" w:type="dxa"/>
            <w:vAlign w:val="bottom"/>
          </w:tcPr>
          <w:p>
            <w:pPr>
              <w:spacing w:after="0"/>
              <w:rPr>
                <w:sz w:val="7"/>
                <w:szCs w:val="7"/>
                <w:color w:val="auto"/>
              </w:rPr>
            </w:pPr>
          </w:p>
        </w:tc>
        <w:tc>
          <w:tcPr>
            <w:tcW w:w="1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340" w:hanging="331"/>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money market funds are invested in high-yield secure and stable funds. The increase in 2019 is primarily due to proceeds from our May 2019 issuance of senior notes and our September 2019 issuance of Canadian senior notes. See Note 3 for additional information.</w:t>
      </w:r>
    </w:p>
    <w:p>
      <w:pPr>
        <w:spacing w:after="0" w:line="68" w:lineRule="exact"/>
        <w:rPr>
          <w:rFonts w:ascii="Times New Roman" w:cs="Times New Roman" w:eastAsia="Times New Roman" w:hAnsi="Times New Roman"/>
          <w:sz w:val="18"/>
          <w:szCs w:val="18"/>
          <w:color w:val="auto"/>
        </w:rPr>
      </w:pPr>
    </w:p>
    <w:p>
      <w:pPr>
        <w:ind w:left="340" w:hanging="331"/>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available-for-sale securities generally mature over the next ten years.</w:t>
      </w:r>
    </w:p>
    <w:p>
      <w:pPr>
        <w:spacing w:after="0" w:line="117" w:lineRule="exact"/>
        <w:rPr>
          <w:rFonts w:ascii="Times New Roman" w:cs="Times New Roman" w:eastAsia="Times New Roman" w:hAnsi="Times New Roman"/>
          <w:sz w:val="18"/>
          <w:szCs w:val="18"/>
          <w:color w:val="auto"/>
        </w:rPr>
      </w:pPr>
    </w:p>
    <w:p>
      <w:pPr>
        <w:jc w:val="both"/>
        <w:ind w:left="340" w:hanging="331"/>
        <w:spacing w:after="0" w:line="255"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available, Level 3 investments have been measured based on third-party investors’ recent or pending transactions in these securities, which are considered the best evidence of fair value. When this evidence is not available, we use other valuation techniques as appropriate and available. These valuation methodologies may include transactions in similar instruments, discounted cash flow techniques, third-party appraisals or industry multiples and public company comparable transactions. In the first quarter of 2019, we redeemed our preferred stock received in conjunction with the 2014 sale of our Puerto Rico operations for $17 million. At the time of redemption, the value of redeemable preferred stock was $20 million, resulting in a $3 million loss on investment.</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Debt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September 30, 2019 and December 31, 2018, the carrying value of our debt was $13.4 billion and $10.0 billion, respectively. The estimated fair value of our debt was approximately $14.6 billion and $10.1 billion as of September 30, 2019 and December 31, 2018, respectively. The increase in the fair value of our debt in 2019 is primarily due to $3.1 billion of net borrowings (inclusive of net commercial paper repayments), which are discussed further in Note 3, and decreases in current market rates for similar types of instruments.</w:t>
      </w:r>
    </w:p>
    <w:p>
      <w:pPr>
        <w:spacing w:after="0" w:line="1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or estimation methodologies could have a material effect on the estimated fair values. The fair value estimates are based on Level 2 inputs of the fair value hierarchy available as of September 30, 2019 and December 31, 2018. These amounts have not been revalued since those dates, and current estimates of fair value could differ significantly from the amounts presented.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57" w:right="141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Variable Interest Entities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Following is a description of our financial interests in unconsolidated and consolidated variable interest entities that we consider significant:</w:t>
      </w:r>
    </w:p>
    <w:p>
      <w:pPr>
        <w:spacing w:after="0" w:line="1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Low-Income Housing Properties and Refined Coal Facility Investments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do not consolidate our investments in entities established to manage low-income housing properties and a refined coal facility because we are not the primary beneficiary of these entities as we do not have the power to individually direct the activities of these entities. Accordingly, we account for these investments under the equity method of accounting. Our aggregate investment balance in these entities was $321 million and $189 million as of September 30, 2019 and December 31, 2018, respectively. The debt balance related to our investments in low-income housing properties was $278 million and $151 million as of September 30, 2019 and December 31, 2018, respectively. Additional information related to these investments is discussed in Note 5.</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Trust Funds for Final Capping, Closure, Post-Closure or Environmental Remediation Obligations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Unconsolidated Variable Interest Entities — </w:t>
      </w:r>
      <w:r>
        <w:rPr>
          <w:rFonts w:ascii="Times New Roman" w:cs="Times New Roman" w:eastAsia="Times New Roman" w:hAnsi="Times New Roman"/>
          <w:sz w:val="18"/>
          <w:szCs w:val="18"/>
          <w:color w:val="auto"/>
        </w:rPr>
        <w:t>Trust funds that are established for both the benefit of the Company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host community in which we operate are not consolidated because we are not the primary beneficiary of these entities as we either do not have the (i) power to direct the significant activities of the trusts or (ii) power over the trusts’ significant activities is shared. Our interests in these trusts are accounted for as investments in unconsolidated entities and receivables. These amounts are recorded in other receivables, investments in unconsolidated entities and long-term other assets in our Condensed Consolidated Balance Sheets, as appropriate. We also reflect our share of the unrealized gains and losses on available-for-sale securities held by these trusts as a component of our accumulated other comprehensive income (loss). Our investments and receivables related to these trusts had an aggregate carrying value of $97 million and $92 million as of September 30, 2019 and December 31, 2018, respectively.</w:t>
      </w:r>
    </w:p>
    <w:p>
      <w:pPr>
        <w:spacing w:after="0" w:line="189"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Consolidated Variable Interest Entities — </w:t>
      </w:r>
      <w:r>
        <w:rPr>
          <w:rFonts w:ascii="Times New Roman" w:cs="Times New Roman" w:eastAsia="Times New Roman" w:hAnsi="Times New Roman"/>
          <w:sz w:val="18"/>
          <w:szCs w:val="18"/>
          <w:color w:val="auto"/>
        </w:rPr>
        <w:t>Trust funds for which we are the sole beneficiary are consolidated because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the primary beneficiary. These trust funds are recorded in restricted trust and escrow accounts in our Condensed Consolidated Balance Sheets. Unrealized gains and losses on available-for-sale securities held by these trusts are recorded as a component of our accumulated other comprehensive income (loss). These trusts had a fair value of $108 million and $103 million as of September 30, 2019 and December 31, 2018, respectively.</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57" w:right="141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Condensed Consolidating Financial Statements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WM Holdings has fully and unconditionally guaranteed all of WM’s senior indebtedness. WM has fully and unconditionally guaranteed all of WM Holdings’ senior indebtedness. None of WM’s other subsidiaries have guaranteed any of WM’s or WM Holdings’ debt. As a result of these guarantee arrangements, we are required to present the following condensed consolidating financial information (in millions):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WM</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WM</w:t>
            </w:r>
          </w:p>
        </w:tc>
        <w:tc>
          <w:tcPr>
            <w:tcW w:w="140" w:type="dxa"/>
            <w:vAlign w:val="bottom"/>
          </w:tcPr>
          <w:p>
            <w:pPr>
              <w:spacing w:after="0"/>
              <w:rPr>
                <w:sz w:val="13"/>
                <w:szCs w:val="13"/>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60" w:type="dxa"/>
            <w:vAlign w:val="bottom"/>
          </w:tcPr>
          <w:p>
            <w:pPr>
              <w:spacing w:after="0"/>
              <w:rPr>
                <w:sz w:val="13"/>
                <w:szCs w:val="13"/>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Eliminations</w:t>
            </w:r>
          </w:p>
        </w:tc>
        <w:tc>
          <w:tcPr>
            <w:tcW w:w="160" w:type="dxa"/>
            <w:vAlign w:val="bottom"/>
          </w:tcPr>
          <w:p>
            <w:pPr>
              <w:spacing w:after="0"/>
              <w:rPr>
                <w:sz w:val="13"/>
                <w:szCs w:val="13"/>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4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Holdings</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affiliates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Advances to affiliates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28,856</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26,381</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42,155</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(70,283)</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Due to affiliates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Stockholders’ equity</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Advances to affiliates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25,938</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(45,301)</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4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28,856</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26,381</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42,155</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(70,283)</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160" w:type="dxa"/>
            <w:vAlign w:val="bottom"/>
            <w:gridSpan w:val="3"/>
          </w:tcPr>
          <w:p>
            <w:pPr>
              <w:jc w:val="right"/>
              <w:ind w:right="411"/>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657" w:right="141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SHEETS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WM</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WM</w:t>
            </w:r>
          </w:p>
        </w:tc>
        <w:tc>
          <w:tcPr>
            <w:tcW w:w="16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Non-Guarantor</w:t>
            </w:r>
          </w:p>
        </w:tc>
        <w:tc>
          <w:tcPr>
            <w:tcW w:w="140" w:type="dxa"/>
            <w:vAlign w:val="bottom"/>
          </w:tcPr>
          <w:p>
            <w:pPr>
              <w:spacing w:after="0"/>
              <w:rPr>
                <w:sz w:val="13"/>
                <w:szCs w:val="13"/>
                <w:color w:val="auto"/>
              </w:rPr>
            </w:pP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 w:type="dxa"/>
            <w:vAlign w:val="bottom"/>
          </w:tcPr>
          <w:p>
            <w:pPr>
              <w:spacing w:after="0"/>
              <w:rPr>
                <w:sz w:val="13"/>
                <w:szCs w:val="13"/>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Holdings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ind w:left="17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affiliates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Advances to affiliates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4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24,686</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25,133</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39,862</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(67,031)</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Due to affiliates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4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25,120</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15,048</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(24,253)</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Stockholders’ equity</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(49,773)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Advances to affiliates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(42,778)</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4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24,686</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25,133</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39,862</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(67,031)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57" w:right="141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September 30, 2019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WM</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WM</w:t>
            </w:r>
          </w:p>
        </w:tc>
        <w:tc>
          <w:tcPr>
            <w:tcW w:w="20" w:type="dxa"/>
            <w:vAlign w:val="bottom"/>
          </w:tcPr>
          <w:p>
            <w:pPr>
              <w:spacing w:after="0"/>
              <w:rPr>
                <w:sz w:val="13"/>
                <w:szCs w:val="13"/>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20" w:type="dxa"/>
            <w:vAlign w:val="bottom"/>
          </w:tcPr>
          <w:p>
            <w:pPr>
              <w:spacing w:after="0"/>
              <w:rPr>
                <w:sz w:val="13"/>
                <w:szCs w:val="13"/>
                <w:color w:val="auto"/>
              </w:rPr>
            </w:pPr>
          </w:p>
        </w:tc>
        <w:tc>
          <w:tcPr>
            <w:tcW w:w="9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 w:type="dxa"/>
            <w:vAlign w:val="bottom"/>
          </w:tcPr>
          <w:p>
            <w:pPr>
              <w:spacing w:after="0"/>
              <w:rPr>
                <w:sz w:val="13"/>
                <w:szCs w:val="13"/>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Holdings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 w:type="dxa"/>
            <w:vAlign w:val="bottom"/>
          </w:tcPr>
          <w:p>
            <w:pPr>
              <w:spacing w:after="0"/>
              <w:rPr>
                <w:sz w:val="15"/>
                <w:szCs w:val="15"/>
                <w:color w:val="auto"/>
              </w:rPr>
            </w:pPr>
          </w:p>
        </w:tc>
        <w:tc>
          <w:tcPr>
            <w:tcW w:w="94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1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in earnings of subsidiaries, net of tax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Waste Management, Inc.</w:t>
            </w: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6220" w:type="dxa"/>
            <w:vAlign w:val="bottom"/>
            <w:gridSpan w:val="13"/>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2018</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400" w:type="dxa"/>
            <w:vAlign w:val="bottom"/>
            <w:gridSpan w:val="6"/>
          </w:tcPr>
          <w:p>
            <w:pPr>
              <w:jc w:val="center"/>
              <w:ind w:left="35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5"/>
              </w:rPr>
              <w:t>WM</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WM</w:t>
            </w:r>
          </w:p>
        </w:tc>
        <w:tc>
          <w:tcPr>
            <w:tcW w:w="20" w:type="dxa"/>
            <w:vAlign w:val="bottom"/>
          </w:tcPr>
          <w:p>
            <w:pPr>
              <w:spacing w:after="0"/>
              <w:rPr>
                <w:sz w:val="21"/>
                <w:szCs w:val="21"/>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20" w:type="dxa"/>
            <w:vAlign w:val="bottom"/>
          </w:tcPr>
          <w:p>
            <w:pPr>
              <w:spacing w:after="0"/>
              <w:rPr>
                <w:sz w:val="21"/>
                <w:szCs w:val="21"/>
                <w:color w:val="auto"/>
              </w:rPr>
            </w:pPr>
          </w:p>
        </w:tc>
        <w:tc>
          <w:tcPr>
            <w:tcW w:w="9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 w:type="dxa"/>
            <w:vAlign w:val="bottom"/>
          </w:tcPr>
          <w:p>
            <w:pPr>
              <w:spacing w:after="0"/>
              <w:rPr>
                <w:sz w:val="21"/>
                <w:szCs w:val="21"/>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Holdings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 w:type="dxa"/>
            <w:vAlign w:val="bottom"/>
          </w:tcPr>
          <w:p>
            <w:pPr>
              <w:spacing w:after="0"/>
              <w:rPr>
                <w:sz w:val="15"/>
                <w:szCs w:val="15"/>
                <w:color w:val="auto"/>
              </w:rPr>
            </w:pPr>
          </w:p>
        </w:tc>
        <w:tc>
          <w:tcPr>
            <w:tcW w:w="94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1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in earnings of subsidiaries, net of tax</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(1,181)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47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(1,181)</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(1,181)</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16"/>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Waste Management, Inc.</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0"/>
        </w:trPr>
        <w:tc>
          <w:tcPr>
            <w:tcW w:w="4780" w:type="dxa"/>
            <w:vAlign w:val="bottom"/>
            <w:vMerge w:val="restart"/>
          </w:tcPr>
          <w:p>
            <w:pPr>
              <w:jc w:val="center"/>
              <w:ind w:left="4190"/>
              <w:spacing w:after="0"/>
              <w:rPr>
                <w:sz w:val="20"/>
                <w:szCs w:val="20"/>
                <w:color w:val="auto"/>
              </w:rPr>
            </w:pPr>
            <w:r>
              <w:rPr>
                <w:rFonts w:ascii="Times New Roman" w:cs="Times New Roman" w:eastAsia="Times New Roman" w:hAnsi="Times New Roman"/>
                <w:sz w:val="18"/>
                <w:szCs w:val="18"/>
                <w:color w:val="auto"/>
                <w:w w:val="99"/>
              </w:rPr>
              <w:t>29</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657" w:right="141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OPERATIONS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2019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WM</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WM</w:t>
            </w:r>
          </w:p>
        </w:tc>
        <w:tc>
          <w:tcPr>
            <w:tcW w:w="20" w:type="dxa"/>
            <w:vAlign w:val="bottom"/>
          </w:tcPr>
          <w:p>
            <w:pPr>
              <w:spacing w:after="0"/>
              <w:rPr>
                <w:sz w:val="15"/>
                <w:szCs w:val="15"/>
                <w:color w:val="auto"/>
              </w:rPr>
            </w:pPr>
          </w:p>
        </w:tc>
        <w:tc>
          <w:tcPr>
            <w:tcW w:w="1140" w:type="dxa"/>
            <w:vAlign w:val="bottom"/>
            <w:gridSpan w:val="4"/>
          </w:tcPr>
          <w:p>
            <w:pPr>
              <w:ind w:left="20"/>
              <w:spacing w:after="0" w:line="161" w:lineRule="exact"/>
              <w:rPr>
                <w:sz w:val="20"/>
                <w:szCs w:val="20"/>
                <w:color w:val="auto"/>
              </w:rPr>
            </w:pPr>
            <w:r>
              <w:rPr>
                <w:rFonts w:ascii="Times New Roman" w:cs="Times New Roman" w:eastAsia="Times New Roman" w:hAnsi="Times New Roman"/>
                <w:sz w:val="14"/>
                <w:szCs w:val="14"/>
                <w:b w:val="1"/>
                <w:bCs w:val="1"/>
                <w:color w:val="auto"/>
              </w:rPr>
              <w:t>Non</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Guarantor</w:t>
            </w:r>
          </w:p>
        </w:tc>
        <w:tc>
          <w:tcPr>
            <w:tcW w:w="20" w:type="dxa"/>
            <w:vAlign w:val="bottom"/>
          </w:tcPr>
          <w:p>
            <w:pPr>
              <w:spacing w:after="0"/>
              <w:rPr>
                <w:sz w:val="15"/>
                <w:szCs w:val="15"/>
                <w:color w:val="auto"/>
              </w:rPr>
            </w:pPr>
          </w:p>
        </w:tc>
        <w:tc>
          <w:tcPr>
            <w:tcW w:w="9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 w:type="dxa"/>
            <w:vAlign w:val="bottom"/>
          </w:tcPr>
          <w:p>
            <w:pPr>
              <w:spacing w:after="0"/>
              <w:rPr>
                <w:sz w:val="15"/>
                <w:szCs w:val="15"/>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Holdings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 w:type="dxa"/>
            <w:vAlign w:val="bottom"/>
          </w:tcPr>
          <w:p>
            <w:pPr>
              <w:spacing w:after="0"/>
              <w:rPr>
                <w:sz w:val="15"/>
                <w:szCs w:val="15"/>
                <w:color w:val="auto"/>
              </w:rPr>
            </w:pPr>
          </w:p>
        </w:tc>
        <w:tc>
          <w:tcPr>
            <w:tcW w:w="94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5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11,746</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11,609</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9,558</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5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6"/>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in earnings of subsidiaries, net of tax</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(3,159)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(3,231)</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(3,231)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(3,231)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198"/>
        </w:trPr>
        <w:tc>
          <w:tcPr>
            <w:tcW w:w="40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Less: Net income (loss) attributable to noncontrolling</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interests</w:t>
            </w: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Waste Management, Inc.</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$ 1,223</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$ 1,637</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(3,231)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0" w:type="dxa"/>
            <w:vAlign w:val="bottom"/>
          </w:tcPr>
          <w:p>
            <w:pPr>
              <w:spacing w:after="0"/>
              <w:rPr>
                <w:sz w:val="1"/>
                <w:szCs w:val="1"/>
                <w:color w:val="auto"/>
              </w:rPr>
            </w:pPr>
          </w:p>
        </w:tc>
      </w:tr>
      <w:tr>
        <w:trPr>
          <w:trHeight w:val="20"/>
        </w:trPr>
        <w:tc>
          <w:tcPr>
            <w:tcW w:w="4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6080" w:type="dxa"/>
            <w:vAlign w:val="bottom"/>
            <w:gridSpan w:val="12"/>
          </w:tcPr>
          <w:p>
            <w:pPr>
              <w:jc w:val="center"/>
              <w:ind w:left="2890"/>
              <w:spacing w:after="0"/>
              <w:rPr>
                <w:sz w:val="20"/>
                <w:szCs w:val="20"/>
                <w:color w:val="auto"/>
              </w:rPr>
            </w:pPr>
            <w:r>
              <w:rPr>
                <w:rFonts w:ascii="Times New Roman" w:cs="Times New Roman" w:eastAsia="Times New Roman" w:hAnsi="Times New Roman"/>
                <w:sz w:val="18"/>
                <w:szCs w:val="18"/>
                <w:b w:val="1"/>
                <w:bCs w:val="1"/>
                <w:color w:val="auto"/>
              </w:rPr>
              <w:t>Nine Months Ended September 30, 2018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020" w:type="dxa"/>
            <w:vAlign w:val="bottom"/>
          </w:tcPr>
          <w:p>
            <w:pPr>
              <w:spacing w:after="0"/>
              <w:rPr>
                <w:sz w:val="20"/>
                <w:szCs w:val="20"/>
                <w:color w:val="auto"/>
              </w:rPr>
            </w:pPr>
          </w:p>
        </w:tc>
        <w:tc>
          <w:tcPr>
            <w:tcW w:w="130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4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WM</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WM</w:t>
            </w:r>
          </w:p>
        </w:tc>
        <w:tc>
          <w:tcPr>
            <w:tcW w:w="1160" w:type="dxa"/>
            <w:vAlign w:val="bottom"/>
            <w:gridSpan w:val="5"/>
          </w:tcPr>
          <w:p>
            <w:pPr>
              <w:ind w:left="20"/>
              <w:spacing w:after="0" w:line="161" w:lineRule="exact"/>
              <w:rPr>
                <w:sz w:val="20"/>
                <w:szCs w:val="20"/>
                <w:color w:val="auto"/>
              </w:rPr>
            </w:pPr>
            <w:r>
              <w:rPr>
                <w:rFonts w:ascii="Times New Roman" w:cs="Times New Roman" w:eastAsia="Times New Roman" w:hAnsi="Times New Roman"/>
                <w:sz w:val="14"/>
                <w:szCs w:val="14"/>
                <w:b w:val="1"/>
                <w:bCs w:val="1"/>
                <w:color w:val="auto"/>
              </w:rPr>
              <w:t>Non</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Guarantor</w:t>
            </w:r>
          </w:p>
        </w:tc>
        <w:tc>
          <w:tcPr>
            <w:tcW w:w="20" w:type="dxa"/>
            <w:vAlign w:val="bottom"/>
          </w:tcPr>
          <w:p>
            <w:pPr>
              <w:spacing w:after="0"/>
              <w:rPr>
                <w:sz w:val="23"/>
                <w:szCs w:val="23"/>
                <w:color w:val="auto"/>
              </w:rPr>
            </w:pPr>
          </w:p>
        </w:tc>
        <w:tc>
          <w:tcPr>
            <w:tcW w:w="9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 w:type="dxa"/>
            <w:vAlign w:val="bottom"/>
          </w:tcPr>
          <w:p>
            <w:pPr>
              <w:spacing w:after="0"/>
              <w:rPr>
                <w:sz w:val="23"/>
                <w:szCs w:val="23"/>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Holdings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 w:type="dxa"/>
            <w:vAlign w:val="bottom"/>
          </w:tcPr>
          <w:p>
            <w:pPr>
              <w:spacing w:after="0"/>
              <w:rPr>
                <w:sz w:val="15"/>
                <w:szCs w:val="15"/>
                <w:color w:val="auto"/>
              </w:rPr>
            </w:pPr>
          </w:p>
        </w:tc>
        <w:tc>
          <w:tcPr>
            <w:tcW w:w="94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11,072</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9,050</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5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16"/>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in earnings of subsidiaries, net of tax</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1,662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1,672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0"/>
        </w:trPr>
        <w:tc>
          <w:tcPr>
            <w:tcW w:w="402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1,430</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1,657</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1,298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1,657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5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1,394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1,661</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0" w:type="dxa"/>
            <w:vAlign w:val="bottom"/>
          </w:tcPr>
          <w:p>
            <w:pPr>
              <w:spacing w:after="0"/>
              <w:rPr>
                <w:sz w:val="1"/>
                <w:szCs w:val="1"/>
                <w:color w:val="auto"/>
              </w:rPr>
            </w:pPr>
          </w:p>
        </w:tc>
      </w:tr>
      <w:tr>
        <w:trPr>
          <w:trHeight w:val="198"/>
        </w:trPr>
        <w:tc>
          <w:tcPr>
            <w:tcW w:w="40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Less: Net income (loss) attributable to noncontrolling</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interests</w:t>
            </w: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Waste Management, Inc.</w:t>
            </w: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$ 1,394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$ 1,661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020" w:type="dxa"/>
            <w:vAlign w:val="bottom"/>
          </w:tcPr>
          <w:p>
            <w:pPr>
              <w:spacing w:after="0"/>
              <w:rPr>
                <w:sz w:val="24"/>
                <w:szCs w:val="24"/>
                <w:color w:val="auto"/>
              </w:rPr>
            </w:pPr>
          </w:p>
        </w:tc>
        <w:tc>
          <w:tcPr>
            <w:tcW w:w="68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w w:val="99"/>
              </w:rPr>
              <w:t>30</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0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657" w:right="141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WM</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WM</w:t>
            </w:r>
          </w:p>
        </w:tc>
        <w:tc>
          <w:tcPr>
            <w:tcW w:w="140" w:type="dxa"/>
            <w:vAlign w:val="bottom"/>
          </w:tcPr>
          <w:p>
            <w:pPr>
              <w:spacing w:after="0"/>
              <w:rPr>
                <w:sz w:val="13"/>
                <w:szCs w:val="13"/>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80" w:type="dxa"/>
            <w:vAlign w:val="bottom"/>
          </w:tcPr>
          <w:p>
            <w:pPr>
              <w:spacing w:after="0"/>
              <w:rPr>
                <w:sz w:val="13"/>
                <w:szCs w:val="13"/>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 w:type="dxa"/>
            <w:vAlign w:val="bottom"/>
          </w:tcPr>
          <w:p>
            <w:pPr>
              <w:spacing w:after="0"/>
              <w:rPr>
                <w:sz w:val="13"/>
                <w:szCs w:val="13"/>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Holdings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600" w:type="dxa"/>
            <w:vAlign w:val="bottom"/>
            <w:tcBorders>
              <w:top w:val="single" w:sz="8" w:color="CCEEFF"/>
            </w:tcBorders>
            <w:gridSpan w:val="4"/>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00" w:type="dxa"/>
            <w:vAlign w:val="bottom"/>
            <w:tcBorders>
              <w:top w:val="single" w:sz="8" w:color="auto"/>
            </w:tcBorders>
            <w:gridSpan w:val="2"/>
          </w:tcPr>
          <w:p>
            <w:pPr>
              <w:jc w:val="right"/>
              <w:ind w:right="2250"/>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100" w:type="dxa"/>
            <w:vAlign w:val="bottom"/>
            <w:tcBorders>
              <w:top w:val="single" w:sz="8" w:color="auto"/>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$ 497</w:t>
            </w:r>
          </w:p>
        </w:tc>
        <w:tc>
          <w:tcPr>
            <w:tcW w:w="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(1,269)</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198"/>
        </w:trPr>
        <w:tc>
          <w:tcPr>
            <w:tcW w:w="460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Less: Comprehensive income (loss) attributable to</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0" w:type="dxa"/>
            <w:vAlign w:val="bottom"/>
          </w:tcPr>
          <w:p>
            <w:pPr>
              <w:spacing w:after="0"/>
              <w:rPr>
                <w:sz w:val="20"/>
                <w:szCs w:val="20"/>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Comprehensive income attributable to Waste Management, Inc.</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$ 497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jc w:val="right"/>
              <w:ind w:right="2250"/>
              <w:spacing w:after="0"/>
              <w:rPr>
                <w:sz w:val="20"/>
                <w:szCs w:val="20"/>
                <w:color w:val="auto"/>
              </w:rPr>
            </w:pPr>
            <w:r>
              <w:rPr>
                <w:rFonts w:ascii="Times New Roman" w:cs="Times New Roman" w:eastAsia="Times New Roman" w:hAnsi="Times New Roman"/>
                <w:sz w:val="18"/>
                <w:szCs w:val="18"/>
                <w:b w:val="1"/>
                <w:bCs w:val="1"/>
                <w:color w:val="auto"/>
                <w:w w:val="94"/>
              </w:rPr>
              <w:t>2018</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$ 501</w:t>
            </w:r>
          </w:p>
        </w:tc>
        <w:tc>
          <w:tcPr>
            <w:tcW w:w="40" w:type="dxa"/>
            <w:vAlign w:val="bottom"/>
          </w:tcPr>
          <w:p>
            <w:pPr>
              <w:spacing w:after="0"/>
              <w:rPr>
                <w:sz w:val="18"/>
                <w:szCs w:val="18"/>
                <w:color w:val="auto"/>
              </w:rPr>
            </w:pPr>
          </w:p>
        </w:tc>
        <w:tc>
          <w:tcPr>
            <w:tcW w:w="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(1,181)</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198"/>
        </w:trPr>
        <w:tc>
          <w:tcPr>
            <w:tcW w:w="460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Less: Comprehensive income (loss) attributable to</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45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460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Comprehensive income attributable to Waste Management, Inc.</w:t>
            </w:r>
          </w:p>
        </w:tc>
        <w:tc>
          <w:tcPr>
            <w:tcW w:w="18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$ 501</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WM</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w w:val="95"/>
              </w:rPr>
              <w:t>WM</w:t>
            </w:r>
          </w:p>
        </w:tc>
        <w:tc>
          <w:tcPr>
            <w:tcW w:w="14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80" w:type="dxa"/>
            <w:vAlign w:val="bottom"/>
          </w:tcPr>
          <w:p>
            <w:pPr>
              <w:spacing w:after="0"/>
              <w:rPr>
                <w:sz w:val="24"/>
                <w:szCs w:val="24"/>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 w:type="dxa"/>
            <w:vAlign w:val="bottom"/>
          </w:tcPr>
          <w:p>
            <w:pPr>
              <w:spacing w:after="0"/>
              <w:rPr>
                <w:sz w:val="24"/>
                <w:szCs w:val="24"/>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Holdings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80" w:type="dxa"/>
            <w:vAlign w:val="bottom"/>
            <w:tcBorders>
              <w:top w:val="single" w:sz="8" w:color="CCEEFF"/>
            </w:tcBorders>
            <w:gridSpan w:val="3"/>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tcPr>
          <w:p>
            <w:pPr>
              <w:jc w:val="right"/>
              <w:ind w:right="2250"/>
              <w:spacing w:after="0"/>
              <w:rPr>
                <w:sz w:val="20"/>
                <w:szCs w:val="20"/>
                <w:color w:val="auto"/>
              </w:rPr>
            </w:pPr>
            <w:r>
              <w:rPr>
                <w:rFonts w:ascii="Times New Roman" w:cs="Times New Roman" w:eastAsia="Times New Roman" w:hAnsi="Times New Roman"/>
                <w:sz w:val="18"/>
                <w:szCs w:val="18"/>
                <w:b w:val="1"/>
                <w:bCs w:val="1"/>
                <w:color w:val="auto"/>
                <w:w w:val="88"/>
              </w:rPr>
              <w:t>2019</w:t>
            </w:r>
          </w:p>
        </w:tc>
        <w:tc>
          <w:tcPr>
            <w:tcW w:w="10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$ 1,229</w:t>
            </w:r>
          </w:p>
        </w:tc>
        <w:tc>
          <w:tcPr>
            <w:tcW w:w="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$ 1,637</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Less: Comprehensive income (loss) attributable to</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8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80" w:type="dxa"/>
            <w:vAlign w:val="bottom"/>
            <w:gridSpan w:val="3"/>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Comprehensive income attributable to Waste</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$ 1,229</w:t>
            </w:r>
          </w:p>
        </w:tc>
        <w:tc>
          <w:tcPr>
            <w:tcW w:w="40" w:type="dxa"/>
            <w:vAlign w:val="bottom"/>
            <w:shd w:val="clear" w:color="auto" w:fill="CCEEFF"/>
          </w:tcPr>
          <w:p>
            <w:pPr>
              <w:spacing w:after="0"/>
              <w:rPr>
                <w:sz w:val="15"/>
                <w:szCs w:val="15"/>
                <w:color w:val="auto"/>
              </w:rPr>
            </w:pPr>
          </w:p>
        </w:tc>
        <w:tc>
          <w:tcPr>
            <w:tcW w:w="72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$ 1,637</w:t>
            </w:r>
          </w:p>
        </w:tc>
        <w:tc>
          <w:tcPr>
            <w:tcW w:w="2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80" w:type="dxa"/>
            <w:vAlign w:val="bottom"/>
            <w:shd w:val="clear" w:color="auto" w:fill="CCEEFF"/>
          </w:tcPr>
          <w:p>
            <w:pPr>
              <w:spacing w:after="0"/>
              <w:rPr>
                <w:sz w:val="15"/>
                <w:szCs w:val="15"/>
                <w:color w:val="auto"/>
              </w:rPr>
            </w:pPr>
          </w:p>
        </w:tc>
        <w:tc>
          <w:tcPr>
            <w:tcW w:w="2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140" w:type="dxa"/>
            <w:vAlign w:val="bottom"/>
            <w:shd w:val="clear" w:color="auto" w:fill="CCEEFF"/>
          </w:tcPr>
          <w:p>
            <w:pPr>
              <w:spacing w:after="0"/>
              <w:rPr>
                <w:sz w:val="15"/>
                <w:szCs w:val="15"/>
                <w:color w:val="auto"/>
              </w:rPr>
            </w:pPr>
          </w:p>
        </w:tc>
        <w:tc>
          <w:tcPr>
            <w:tcW w:w="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Management, Inc.</w:t>
            </w:r>
          </w:p>
        </w:tc>
        <w:tc>
          <w:tcPr>
            <w:tcW w:w="620" w:type="dxa"/>
            <w:vAlign w:val="bottom"/>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gridSpan w:val="4"/>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jc w:val="right"/>
              <w:ind w:right="2250"/>
              <w:spacing w:after="0"/>
              <w:rPr>
                <w:sz w:val="20"/>
                <w:szCs w:val="20"/>
                <w:color w:val="auto"/>
              </w:rPr>
            </w:pPr>
            <w:r>
              <w:rPr>
                <w:rFonts w:ascii="Times New Roman" w:cs="Times New Roman" w:eastAsia="Times New Roman" w:hAnsi="Times New Roman"/>
                <w:sz w:val="18"/>
                <w:szCs w:val="18"/>
                <w:b w:val="1"/>
                <w:bCs w:val="1"/>
                <w:color w:val="auto"/>
                <w:w w:val="88"/>
              </w:rPr>
              <w:t>2018</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$ 1,400</w:t>
            </w:r>
          </w:p>
        </w:tc>
        <w:tc>
          <w:tcPr>
            <w:tcW w:w="40" w:type="dxa"/>
            <w:vAlign w:val="bottom"/>
          </w:tcPr>
          <w:p>
            <w:pPr>
              <w:spacing w:after="0"/>
              <w:rPr>
                <w:sz w:val="18"/>
                <w:szCs w:val="18"/>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$ 1,661</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80" w:type="dxa"/>
            <w:vAlign w:val="bottom"/>
          </w:tcPr>
          <w:p>
            <w:pPr>
              <w:spacing w:after="0"/>
              <w:rPr>
                <w:sz w:val="18"/>
                <w:szCs w:val="18"/>
                <w:color w:val="auto"/>
              </w:rPr>
            </w:pP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14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Less: Comprehensive income (loss) attributable to</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80" w:type="dxa"/>
            <w:vAlign w:val="bottom"/>
            <w:gridSpan w:val="3"/>
          </w:tcPr>
          <w:p>
            <w:pPr>
              <w:spacing w:after="0" w:line="178" w:lineRule="exact"/>
              <w:rPr>
                <w:sz w:val="20"/>
                <w:szCs w:val="20"/>
                <w:color w:val="auto"/>
              </w:rPr>
            </w:pPr>
            <w:r>
              <w:rPr>
                <w:rFonts w:ascii="Times New Roman" w:cs="Times New Roman" w:eastAsia="Times New Roman" w:hAnsi="Times New Roman"/>
                <w:sz w:val="18"/>
                <w:szCs w:val="18"/>
                <w:color w:val="auto"/>
              </w:rPr>
              <w:t>Comprehensive income attributable to Waste</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$ 1,400</w:t>
            </w:r>
          </w:p>
        </w:tc>
        <w:tc>
          <w:tcPr>
            <w:tcW w:w="40" w:type="dxa"/>
            <w:vAlign w:val="bottom"/>
          </w:tcPr>
          <w:p>
            <w:pPr>
              <w:spacing w:after="0"/>
              <w:rPr>
                <w:sz w:val="15"/>
                <w:szCs w:val="15"/>
                <w:color w:val="auto"/>
              </w:rPr>
            </w:pPr>
          </w:p>
        </w:tc>
        <w:tc>
          <w:tcPr>
            <w:tcW w:w="7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$ 1,661</w:t>
            </w:r>
          </w:p>
        </w:tc>
        <w:tc>
          <w:tcPr>
            <w:tcW w:w="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80" w:type="dxa"/>
            <w:vAlign w:val="bottom"/>
          </w:tcPr>
          <w:p>
            <w:pPr>
              <w:spacing w:after="0"/>
              <w:rPr>
                <w:sz w:val="15"/>
                <w:szCs w:val="15"/>
                <w:color w:val="auto"/>
              </w:rPr>
            </w:pPr>
          </w:p>
        </w:tc>
        <w:tc>
          <w:tcPr>
            <w:tcW w:w="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140" w:type="dxa"/>
            <w:vAlign w:val="bottom"/>
          </w:tcPr>
          <w:p>
            <w:pPr>
              <w:spacing w:after="0"/>
              <w:rPr>
                <w:sz w:val="15"/>
                <w:szCs w:val="15"/>
                <w:color w:val="auto"/>
              </w:rPr>
            </w:pPr>
          </w:p>
        </w:tc>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Management, Inc.</w:t>
            </w:r>
          </w:p>
        </w:tc>
        <w:tc>
          <w:tcPr>
            <w:tcW w:w="62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4"/>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57" w:right="141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CASH FLOWS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2019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WM(a)</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WM</w:t>
            </w:r>
          </w:p>
        </w:tc>
        <w:tc>
          <w:tcPr>
            <w:tcW w:w="20" w:type="dxa"/>
            <w:vAlign w:val="bottom"/>
          </w:tcPr>
          <w:p>
            <w:pPr>
              <w:spacing w:after="0"/>
              <w:rPr>
                <w:sz w:val="13"/>
                <w:szCs w:val="13"/>
                <w:color w:val="auto"/>
              </w:rPr>
            </w:pPr>
          </w:p>
        </w:tc>
        <w:tc>
          <w:tcPr>
            <w:tcW w:w="10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40" w:type="dxa"/>
            <w:vAlign w:val="bottom"/>
          </w:tcPr>
          <w:p>
            <w:pPr>
              <w:spacing w:after="0"/>
              <w:rPr>
                <w:sz w:val="13"/>
                <w:szCs w:val="13"/>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Holdings(a)</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Subsidiaries(a)</w:t>
            </w: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provided by (used in):</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20" w:type="dxa"/>
            <w:vAlign w:val="bottom"/>
          </w:tcPr>
          <w:p>
            <w:pPr>
              <w:spacing w:after="0"/>
              <w:rPr>
                <w:sz w:val="18"/>
                <w:szCs w:val="18"/>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0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Effect of exchange rate changes on cash, cash</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equivalents and restricted cash and cash equivalents</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Intercompany activity</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400" w:type="dxa"/>
            <w:vAlign w:val="bottom"/>
            <w:tcBorders>
              <w:top w:val="single" w:sz="8" w:color="CCEEFF"/>
            </w:tcBorders>
            <w:gridSpan w:val="2"/>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Increase (decrease) in cash, cash equivalents and restricted</w:t>
            </w: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Cash, cash equivalents and restricted cash and cash</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equivalents at beginning of period</w:t>
            </w: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gridSpan w:val="2"/>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40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Cash, cash equivalents and restricted cash and cash</w:t>
            </w:r>
          </w:p>
        </w:tc>
        <w:tc>
          <w:tcPr>
            <w:tcW w:w="66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$ 2,863</w:t>
            </w:r>
          </w:p>
        </w:tc>
        <w:tc>
          <w:tcPr>
            <w:tcW w:w="300" w:type="dxa"/>
            <w:vAlign w:val="bottom"/>
            <w:gridSpan w:val="4"/>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equivalents at end of period</w:t>
            </w:r>
          </w:p>
        </w:tc>
        <w:tc>
          <w:tcPr>
            <w:tcW w:w="660" w:type="dxa"/>
            <w:vAlign w:val="bottom"/>
            <w:gridSpan w:val="4"/>
            <w:vMerge w:val="continue"/>
            <w:shd w:val="clear" w:color="auto" w:fill="CCEEFF"/>
          </w:tcPr>
          <w:p>
            <w:pPr>
              <w:spacing w:after="0"/>
              <w:rPr>
                <w:sz w:val="19"/>
                <w:szCs w:val="19"/>
                <w:color w:val="auto"/>
              </w:rPr>
            </w:pPr>
          </w:p>
        </w:tc>
        <w:tc>
          <w:tcPr>
            <w:tcW w:w="300" w:type="dxa"/>
            <w:vAlign w:val="bottom"/>
            <w:gridSpan w:val="4"/>
            <w:vMerge w:val="continue"/>
            <w:shd w:val="clear" w:color="auto" w:fill="CCEEFF"/>
          </w:tcPr>
          <w:p>
            <w:pPr>
              <w:spacing w:after="0"/>
              <w:rPr>
                <w:sz w:val="19"/>
                <w:szCs w:val="19"/>
                <w:color w:val="auto"/>
              </w:rPr>
            </w:pPr>
          </w:p>
        </w:tc>
        <w:tc>
          <w:tcPr>
            <w:tcW w:w="700" w:type="dxa"/>
            <w:vAlign w:val="bottom"/>
            <w:gridSpan w:val="3"/>
            <w:vMerge w:val="continue"/>
            <w:shd w:val="clear" w:color="auto" w:fill="CCEEFF"/>
          </w:tcPr>
          <w:p>
            <w:pPr>
              <w:spacing w:after="0"/>
              <w:rPr>
                <w:sz w:val="19"/>
                <w:szCs w:val="19"/>
                <w:color w:val="auto"/>
              </w:rPr>
            </w:pPr>
          </w:p>
        </w:tc>
        <w:tc>
          <w:tcPr>
            <w:tcW w:w="300" w:type="dxa"/>
            <w:vAlign w:val="bottom"/>
            <w:gridSpan w:val="3"/>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360" w:type="dxa"/>
            <w:vAlign w:val="bottom"/>
            <w:gridSpan w:val="3"/>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800" w:type="dxa"/>
            <w:vAlign w:val="bottom"/>
            <w:gridSpan w:val="12"/>
          </w:tcPr>
          <w:p>
            <w:pPr>
              <w:ind w:left="72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2018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80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WM(a)</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WM</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40" w:type="dxa"/>
            <w:vAlign w:val="bottom"/>
          </w:tcPr>
          <w:p>
            <w:pPr>
              <w:spacing w:after="0"/>
              <w:rPr>
                <w:sz w:val="21"/>
                <w:szCs w:val="21"/>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Eliminations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Holdings(a)</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Subsidiaries(a)</w:t>
            </w: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provided by (used in):</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2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0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w w:val="99"/>
              </w:rPr>
              <w:t>Effect of exchange rate changes on cash, cash equivalents</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and restricted cash and cash equivalents</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Intercompany activity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400" w:type="dxa"/>
            <w:vAlign w:val="bottom"/>
            <w:tcBorders>
              <w:top w:val="single" w:sz="8" w:color="CCEEFF"/>
            </w:tcBorders>
            <w:gridSpan w:val="2"/>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Increase (decrease) in cash, cash equivalents and restricted</w:t>
            </w: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Cash, cash equivalents and restricted cash and cash</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equivalents at beginning of period</w:t>
            </w: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40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Cash, cash equivalents and restricted cash and cash</w:t>
            </w:r>
          </w:p>
        </w:tc>
        <w:tc>
          <w:tcPr>
            <w:tcW w:w="340" w:type="dxa"/>
            <w:vAlign w:val="bottom"/>
            <w:gridSpan w:val="3"/>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4"/>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equivalents at end of period</w:t>
            </w:r>
          </w:p>
        </w:tc>
        <w:tc>
          <w:tcPr>
            <w:tcW w:w="340" w:type="dxa"/>
            <w:vAlign w:val="bottom"/>
            <w:gridSpan w:val="3"/>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300" w:type="dxa"/>
            <w:vAlign w:val="bottom"/>
            <w:gridSpan w:val="4"/>
            <w:vMerge w:val="continue"/>
            <w:shd w:val="clear" w:color="auto" w:fill="CCEEFF"/>
          </w:tcPr>
          <w:p>
            <w:pPr>
              <w:spacing w:after="0"/>
              <w:rPr>
                <w:sz w:val="19"/>
                <w:szCs w:val="19"/>
                <w:color w:val="auto"/>
              </w:rPr>
            </w:pPr>
          </w:p>
        </w:tc>
        <w:tc>
          <w:tcPr>
            <w:tcW w:w="700" w:type="dxa"/>
            <w:vAlign w:val="bottom"/>
            <w:gridSpan w:val="3"/>
            <w:vMerge w:val="continue"/>
            <w:shd w:val="clear" w:color="auto" w:fill="CCEEFF"/>
          </w:tcPr>
          <w:p>
            <w:pPr>
              <w:spacing w:after="0"/>
              <w:rPr>
                <w:sz w:val="19"/>
                <w:szCs w:val="19"/>
                <w:color w:val="auto"/>
              </w:rPr>
            </w:pPr>
          </w:p>
        </w:tc>
        <w:tc>
          <w:tcPr>
            <w:tcW w:w="300" w:type="dxa"/>
            <w:vAlign w:val="bottom"/>
            <w:gridSpan w:val="3"/>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360" w:type="dxa"/>
            <w:vAlign w:val="bottom"/>
            <w:gridSpan w:val="3"/>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2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340" w:hanging="331"/>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receipts and payments of WM and WM Holdings are transacted by Non-Guarantor Subsidiaries. Cash, cash equivalents and restricted cash and cash equivalents of WM as of September 30, 2019 include remaining proceeds from our senior note issuances which are discussed further in Notes 3 and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57" w:right="1419" w:bottom="1440" w:gutter="0" w:footer="0" w:header="0"/>
        </w:sectPr>
      </w:pPr>
    </w:p>
    <w:bookmarkStart w:id="32" w:name="page33"/>
    <w:bookmarkEnd w:id="32"/>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10-K for the year ended December 31, 2018.</w:t>
      </w:r>
    </w:p>
    <w:p>
      <w:pPr>
        <w:spacing w:after="0" w:line="18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certain forward-looking statements that are made subject to the safe harbor protections provided by the Private Securities Litigation Reform Act of 1995. Forward-looking statements are often identified by the words, “will,” “may,” “should,” “continue,” “anticipate,” “believe,” “expect,” “plan,” “forecast,” “project,” “estimate,” “intend,” and words of a similar nature and include estimates or projections of financial and other data; comments on expectations relating to future periods; plans or objectives for the future; and statements of opinion, view or belief about current and future events, circumstances or performance. You should view these statements with caution. They are based on the facts and circumstances known to us as of the date the statements are made. These forward-looking statements are subject to risks and uncertainties that could cause actual results to be materially different from those set forth in such forward-looking statements, including but not limited to, increased competition; pricing actions; failure to implement our optimization, growth, and cost savings initiatives and overall business strategy; failure to identify acquisition targets and negotiate attractive terms; failure to consummate or integrate the acquisition of Advanced Disposal Services, Inc. or other acquisitions; failure to obtain the results anticipated from the acquisition of Advanced Disposal Services, Inc. or other acquisitions; environmental and other regulations; commodity price fluctuations; international trade restrictions; disposal alternatives and waste diversion; declining waste volumes; failure to develop and protect new technology; failure of technology to perform as expected; preventing, detecting and addressing cybersecurity incidents; significant environmental or other incidents resulting in liabilities and brand damage; weakness in economic conditions; failure to obtain and maintain necessary permits; labor disruptions; impairment charges; negative outcomes of litigation or governmental proceedings; and other risks discussed in our filings with the SEC, including Part I, Item 1A of our Annual Report on Form 10-K for the year ended December 31, 2018, as updated by our subsequent quarterly reports on Form 10-Q. We assume no obligation to update any forward-looking statement, including financial estimates and forecasts, whether as a result of future events, circumstances or developments or otherwise.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Waste Management, Inc. is a holding company listed on the New York Stock Exchange under the symbol “WM” and all operations are conducted by its subsidiaries. 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We own or operate the largest network of landfills in North America. In order to make disposal more practical for larger urban markets, where the distance to landfills is typically farther, we manage transfer stations that consolidate, compact and transport waste efficiently and economically. We also use waste to create energy, recovering the gas produced naturally as waste decomposes in landfills and using the gas in generators to make electricity. Additionally, we are a leading recycler in North America, handling materials that include paper, cardboard, glass, plastic and metal. Our “Solid Waste” business is operated and managed locally by our subsidiaries that focus on distinct geographic areas and provides collection, transfer, disposal, and recycling and resource recovery services. Through our subsidiaries, we are also a leading developer, operator and owner of landfill gas-to-energy facilities in the U.S.</w:t>
      </w:r>
    </w:p>
    <w:p>
      <w:pPr>
        <w:spacing w:after="0" w:line="19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Solid Waste operating revenues are primarily generated from fees charged for our collection, transfer, disposal, and recycling and resource recovery services, and from sales of commodities by our recycling and landfill gas-to-energy operations. Revenues from our collection operations are influenced by factors such as collection frequency, type of collection equipment furnished, type and volume or weight of the waste collected, distance to the disposal facility or material recovery facility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taking into account our cost of loading, transporting and disposing of the solid waste at a disposal site. Recycling revenues generally consist of tipping fees and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73" w:right="1419" w:bottom="1440" w:gutter="0" w:footer="0" w:header="0"/>
        </w:sectPr>
      </w:pPr>
    </w:p>
    <w:bookmarkStart w:id="33" w:name="page34"/>
    <w:bookmarkEnd w:id="33"/>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sale of recycling commodities to third parties. The fees we charge for our services generally include our environmental fee, fuel surcharge and regulatory recovery fee which are intended to pass through to customers direct and indirect costs incurred. We also provide additional services that are not managed through our Solid Waste business, described under </w:t>
      </w:r>
      <w:r>
        <w:rPr>
          <w:rFonts w:ascii="Times New Roman" w:cs="Times New Roman" w:eastAsia="Times New Roman" w:hAnsi="Times New Roman"/>
          <w:sz w:val="18"/>
          <w:szCs w:val="18"/>
          <w:i w:val="1"/>
          <w:iCs w:val="1"/>
          <w:color w:val="auto"/>
        </w:rPr>
        <w:t>Results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Operations </w:t>
      </w:r>
      <w:r>
        <w:rPr>
          <w:rFonts w:ascii="Times New Roman" w:cs="Times New Roman" w:eastAsia="Times New Roman" w:hAnsi="Times New Roman"/>
          <w:sz w:val="18"/>
          <w:szCs w:val="18"/>
          <w:color w:val="auto"/>
        </w:rPr>
        <w:t>below.</w:t>
      </w:r>
    </w:p>
    <w:p>
      <w:pPr>
        <w:spacing w:after="0" w:line="1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Strategy</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fundamental strategy has not changed; we remain dedicated to providing long-term value to our stockholders by successfully executing our core strategy of focused differentiation and continuous improvement. We are enabling a people-first, technology-led focus, that leverages and sustains the strongest asset network in the industry to drive best-in-class customer experience and growth. Our strategic planning processes appropriately consider that the future of our business and the industry can be influenced by changes in economic conditions, the competitive landscape, the regulatory environment, asset and resource availability and technology. We believe that focused differentiation, which is driven by capitalizing on our unique and extensive network of assets, will deliver profitable growth and position us to leverage competitive advantages. Simultaneously, we believe the combination of cost control, process improvement and operational efficiency will deliver on the Company’s strategy of continuous improvement and yield an attractive total cost structure and enhanced service quality. While we will continue to monitor emerging diversion technologies that may generate additional value and related market dynamics, our current attention will be on improving existing diversion technologies, such as our recycling operations. We believe that execution of our strategy will deliver shareholder value and leadership in a dynamic industry.</w:t>
      </w:r>
    </w:p>
    <w:p>
      <w:pPr>
        <w:spacing w:after="0" w:line="1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Business Environment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waste industry is a comparatively mature and stable industry. However, customers increasingly expect more of their waste materials to be recovered and those waste streams are becoming more complex. In addition, many state and local governments mandate diversion, recycling and waste reduction at the source and prohibit the disposal of certain types of waste at landfills. Due to this, we monitor these developments to adapt our services offerings. As companies, individuals and communities look for ways to be more sustainable, we are promoting our comprehensive services that go beyond our core business of collecting and disposing of waste in order to meet their needs.</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Despite some industry consolidation in recent years, we encounter intense competition from governmental, quasi-governmental and private service providers based on pricing, service quality, customer experience and breadth of service offerings. We also encounter competition for acquisitions and growth opportunities. Our industry is directly affected by changes in general economic factors, as increases and decreases in consumer spending, business expansions and construction starts generally correlate to volumes of waste generated and our revenues. Negative economic conditions, in addition to competitor actions, can make it more challenging to negotiate, renew or expand service contracts with acceptable margins and customers may reduce their service needs. General economic factors and the market for consumer goods, in addition to regulatory developments, can also significantly impact commodity prices for recyclable materials we sell. Our operating expenses are directly impacted by volume levels; as volume levels shift, due to economic and other factors, we must manage our network capacity and cost structure accordingly.</w:t>
      </w:r>
    </w:p>
    <w:p>
      <w:pPr>
        <w:spacing w:after="0" w:line="18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first nine months of 2019 have benefited from a generally favorable macro-economic environment, including steady spending by consumers and businesses, which have led to volume and gross margin growth. We continued to see growth in our collection and disposal lines of business, particularly in the segments of our business driven by the consumer portion of the economy. The volume growth is the result of proactive efforts taken to work with our customers as their needs expand to identify service upgrade opportunities and growth in our municipal solid waste business. Our landfill volumes have also been favorably impacted by clean-up efforts from natural disasters in California during 2019 and event-driven projects. The portion of our business driven by the industrial segment of the economy, such as special waste, continues to show growth, although the pace of growth is starting to moderate as large industrial customers take a more cautious approach to awarding work. Additionally, our continued focus on developing a sustainable recycling business model that meets customers’ environmental needs by passing through the increasing cost of processing and higher contamination rates led to continued improved operating results through the first nine months of 2019; however, with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77" w:right="1419" w:bottom="1440" w:gutter="0" w:footer="0" w:header="0"/>
        </w:sectPr>
      </w:pPr>
    </w:p>
    <w:bookmarkStart w:id="34" w:name="page35"/>
    <w:bookmarkEnd w:id="3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continued pressure from lower recycling commodity prices, we expect operating results for our recycling business in 2019 to be lower when compared to 2018.</w:t>
      </w:r>
    </w:p>
    <w:p>
      <w:pPr>
        <w:spacing w:after="0" w:line="1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Current Quarter Financial Results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third quarter of 2019, we continued to produce strong operating results from our collection and disposal business, driven by favorable market conditions and our continued focus on delivering an outstanding customer experience and continuous improvement. The Company continued its commitment to supporting both organic and inorganic growth during the third quarter of 2019, allocating $483 million of available cash to capital expenditures and $76 million to the acquisition of solid waste businesses. We also allocated $218 million to our shareholders during the third quarter of 2019 through dividends.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Key elements of our financial results for the current quarter include:</w:t>
      </w:r>
    </w:p>
    <w:p>
      <w:pPr>
        <w:spacing w:after="0" w:line="117" w:lineRule="exact"/>
        <w:rPr>
          <w:sz w:val="20"/>
          <w:szCs w:val="20"/>
          <w:color w:val="auto"/>
        </w:rPr>
      </w:pPr>
    </w:p>
    <w:p>
      <w:pPr>
        <w:jc w:val="both"/>
        <w:ind w:left="680" w:hanging="320"/>
        <w:spacing w:after="0" w:line="261"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$3,967 million, compared with $3,822 million in the prior year period, an increase of $145 million, or 3.8%. The increase is primarily attributable to (i) higher collection and landfill volume growth due to favorable market conditions; (ii) increased yield in our collection and disposal business and (iii) acquisitions, partially offset by lower market prices for recycling commodities;</w:t>
      </w:r>
    </w:p>
    <w:p>
      <w:pPr>
        <w:spacing w:after="0" w:line="71" w:lineRule="exact"/>
        <w:rPr>
          <w:rFonts w:ascii="Times New Roman" w:cs="Times New Roman" w:eastAsia="Times New Roman" w:hAnsi="Times New Roman"/>
          <w:sz w:val="18"/>
          <w:szCs w:val="18"/>
          <w:color w:val="auto"/>
        </w:rPr>
      </w:pPr>
    </w:p>
    <w:p>
      <w:pPr>
        <w:jc w:val="both"/>
        <w:ind w:left="680" w:hanging="320"/>
        <w:spacing w:after="0" w:line="261"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of $2,441 million, or 61.5% of revenues, compared with $2,373 million, or 62.1% of revenues, in the prior year period. The $68 million increase is primarily attributable to higher volumes and cost inflation in the current year period, partially offset by decreased cost of goods sold primarily due to lower market prices for recycling commodities;</w:t>
      </w:r>
    </w:p>
    <w:p>
      <w:pPr>
        <w:spacing w:after="0" w:line="71" w:lineRule="exact"/>
        <w:rPr>
          <w:rFonts w:ascii="Times New Roman" w:cs="Times New Roman" w:eastAsia="Times New Roman" w:hAnsi="Times New Roman"/>
          <w:sz w:val="18"/>
          <w:szCs w:val="18"/>
          <w:color w:val="auto"/>
        </w:rPr>
      </w:pPr>
    </w:p>
    <w:p>
      <w:pPr>
        <w:jc w:val="both"/>
        <w:ind w:left="680" w:hanging="320"/>
        <w:spacing w:after="0" w:line="261"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of $386 million, or 9.7% of revenues, compared with $345 million, or 9.0% of revenues, in the prior year period. This increase of $41 million is primarily attributable to higher costs associated with planned investments in our people and technology, increased acquisition-related costs and litigation reserves;</w:t>
      </w:r>
    </w:p>
    <w:p>
      <w:pPr>
        <w:spacing w:after="0" w:line="71" w:lineRule="exact"/>
        <w:rPr>
          <w:rFonts w:ascii="Times New Roman" w:cs="Times New Roman" w:eastAsia="Times New Roman" w:hAnsi="Times New Roman"/>
          <w:sz w:val="18"/>
          <w:szCs w:val="18"/>
          <w:color w:val="auto"/>
        </w:rPr>
      </w:pPr>
    </w:p>
    <w:p>
      <w:pPr>
        <w:jc w:val="both"/>
        <w:ind w:left="680" w:hanging="320"/>
        <w:spacing w:after="0" w:line="261"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of $734 million, or 18.5% of revenues, compared with $699 million, or 18.3% of revenues, in the prior year period. The current year period is favorably impacted by strong operating results primarily in our collection and disposal business, partially offset by investments we are making in technology. Additionally, the prior year period was unfavorably impacted by the impairment of a landfill;</w:t>
      </w:r>
    </w:p>
    <w:p>
      <w:pPr>
        <w:spacing w:after="0" w:line="71" w:lineRule="exact"/>
        <w:rPr>
          <w:rFonts w:ascii="Times New Roman" w:cs="Times New Roman" w:eastAsia="Times New Roman" w:hAnsi="Times New Roman"/>
          <w:sz w:val="18"/>
          <w:szCs w:val="18"/>
          <w:color w:val="auto"/>
        </w:rPr>
      </w:pPr>
    </w:p>
    <w:p>
      <w:pPr>
        <w:jc w:val="both"/>
        <w:ind w:left="680" w:hanging="320"/>
        <w:spacing w:after="0" w:line="258"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Net income attributable to Waste Management, Inc. was $495 million, or $1.16 per diluted share, compared with $499 million, or $1.16 per diluted share, in the prior year period. Net income in the third quarter of 2019 was impacted by an increase in interest expense resulting from our May 2019 issuance of $4.0 billion in senior notes, discussed further below in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and an increase in our current quarter income tax expense;</w:t>
      </w:r>
    </w:p>
    <w:p>
      <w:pPr>
        <w:spacing w:after="0" w:line="75" w:lineRule="exact"/>
        <w:rPr>
          <w:rFonts w:ascii="Times New Roman" w:cs="Times New Roman" w:eastAsia="Times New Roman" w:hAnsi="Times New Roman"/>
          <w:sz w:val="18"/>
          <w:szCs w:val="18"/>
          <w:color w:val="auto"/>
        </w:rPr>
      </w:pPr>
    </w:p>
    <w:p>
      <w:pPr>
        <w:ind w:left="680" w:right="20" w:hanging="320"/>
        <w:spacing w:after="0" w:line="282"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was $952 million compared with $874 million in the prior year period; and</w:t>
      </w:r>
    </w:p>
    <w:p>
      <w:pPr>
        <w:spacing w:after="0" w:line="53" w:lineRule="exact"/>
        <w:rPr>
          <w:rFonts w:ascii="Times New Roman" w:cs="Times New Roman" w:eastAsia="Times New Roman" w:hAnsi="Times New Roman"/>
          <w:sz w:val="18"/>
          <w:szCs w:val="18"/>
          <w:color w:val="auto"/>
        </w:rPr>
      </w:pPr>
    </w:p>
    <w:p>
      <w:pPr>
        <w:jc w:val="both"/>
        <w:ind w:left="680" w:hanging="320"/>
        <w:spacing w:after="0" w:line="255"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Free cash flow was $478 million compared with $480 million in the prior year period. The increase in cash flow provided by operating activities noted above was offset by an increase in capital expenditures resulting from our intentional focus on accelerating certain collection fleet and landfill spending to support the Company’s strong collection and disposal growth, which resulted in free cash flow being relatively flat on a year-over-year basis. Free cash flow is a non-GAAP measure of liquidity. Refer to </w:t>
      </w:r>
      <w:r>
        <w:rPr>
          <w:rFonts w:ascii="Times New Roman" w:cs="Times New Roman" w:eastAsia="Times New Roman" w:hAnsi="Times New Roman"/>
          <w:sz w:val="18"/>
          <w:szCs w:val="18"/>
          <w:i w:val="1"/>
          <w:iCs w:val="1"/>
          <w:color w:val="auto"/>
        </w:rPr>
        <w:t>Free Cash Flow</w:t>
      </w:r>
      <w:r>
        <w:rPr>
          <w:rFonts w:ascii="Times New Roman" w:cs="Times New Roman" w:eastAsia="Times New Roman" w:hAnsi="Times New Roman"/>
          <w:sz w:val="18"/>
          <w:szCs w:val="18"/>
          <w:color w:val="auto"/>
        </w:rPr>
        <w:t xml:space="preserve"> below for our definition of free cash flow, additional information about our use of this measure, and a reconciliation to net cash provided by operating activities, which is the most comparable GAAP measure.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77" w:right="14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Operating Revenues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evaluate, oversee and manage the financial performance of our Solid Waste business subsidiaries through our 17 Areas. We also provide additional services that are not managed through our Solid Waste business, including operations managed by both our Strategic Business Solutions (“WMSBS”) and Energy and Environmental Services (“EES”) organizations, recycling brokerage services, landfill gas-to-energy services and certain other expanded service offerings and solutions. The mix of operating revenues from our major lines of business is reflected in the table below (in millions):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4"/>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2260" w:type="dxa"/>
            <w:vAlign w:val="bottom"/>
            <w:tcBorders>
              <w:bottom w:val="single" w:sz="8" w:color="CCEEFF"/>
            </w:tcBorders>
          </w:tcPr>
          <w:p>
            <w:pPr>
              <w:spacing w:after="0"/>
              <w:rPr>
                <w:sz w:val="12"/>
                <w:szCs w:val="12"/>
                <w:color w:val="auto"/>
              </w:rPr>
            </w:pPr>
          </w:p>
        </w:tc>
        <w:tc>
          <w:tcPr>
            <w:tcW w:w="35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3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w:t>
            </w: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Residential</w:t>
            </w:r>
          </w:p>
        </w:tc>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w:t>
            </w: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3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r>
      <w:tr>
        <w:trPr>
          <w:trHeight w:val="216"/>
        </w:trPr>
        <w:tc>
          <w:tcPr>
            <w:tcW w:w="20" w:type="dxa"/>
            <w:vAlign w:val="bottom"/>
          </w:tcPr>
          <w:p>
            <w:pPr>
              <w:spacing w:after="0"/>
              <w:rPr>
                <w:sz w:val="18"/>
                <w:szCs w:val="18"/>
                <w:color w:val="auto"/>
              </w:rPr>
            </w:pPr>
          </w:p>
        </w:tc>
        <w:tc>
          <w:tcPr>
            <w:tcW w:w="2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35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10"/>
        </w:trPr>
        <w:tc>
          <w:tcPr>
            <w:tcW w:w="20" w:type="dxa"/>
            <w:vAlign w:val="bottom"/>
          </w:tcPr>
          <w:p>
            <w:pPr>
              <w:spacing w:after="0"/>
              <w:rPr>
                <w:sz w:val="18"/>
                <w:szCs w:val="18"/>
                <w:color w:val="auto"/>
              </w:rPr>
            </w:pPr>
          </w:p>
        </w:tc>
        <w:tc>
          <w:tcPr>
            <w:tcW w:w="2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collection</w:t>
            </w:r>
          </w:p>
        </w:tc>
        <w:tc>
          <w:tcPr>
            <w:tcW w:w="3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7,234</w:t>
            </w: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Landfill</w:t>
            </w:r>
          </w:p>
        </w:tc>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w:t>
            </w: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w:t>
            </w:r>
          </w:p>
        </w:tc>
        <w:tc>
          <w:tcPr>
            <w:tcW w:w="3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Recycling</w:t>
            </w:r>
          </w:p>
        </w:tc>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w:t>
            </w:r>
          </w:p>
        </w:tc>
        <w:tc>
          <w:tcPr>
            <w:tcW w:w="3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r>
      <w:tr>
        <w:trPr>
          <w:trHeight w:val="216"/>
        </w:trPr>
        <w:tc>
          <w:tcPr>
            <w:tcW w:w="20" w:type="dxa"/>
            <w:vAlign w:val="bottom"/>
          </w:tcPr>
          <w:p>
            <w:pPr>
              <w:spacing w:after="0"/>
              <w:rPr>
                <w:sz w:val="18"/>
                <w:szCs w:val="18"/>
                <w:color w:val="auto"/>
              </w:rPr>
            </w:pPr>
          </w:p>
        </w:tc>
        <w:tc>
          <w:tcPr>
            <w:tcW w:w="2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Intercompany (b)</w:t>
            </w:r>
          </w:p>
        </w:tc>
        <w:tc>
          <w:tcPr>
            <w:tcW w:w="35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w:t>
            </w:r>
          </w:p>
        </w:tc>
      </w:tr>
      <w:tr>
        <w:trPr>
          <w:trHeight w:val="210"/>
        </w:trPr>
        <w:tc>
          <w:tcPr>
            <w:tcW w:w="20" w:type="dxa"/>
            <w:vAlign w:val="bottom"/>
          </w:tcPr>
          <w:p>
            <w:pPr>
              <w:spacing w:after="0"/>
              <w:rPr>
                <w:sz w:val="18"/>
                <w:szCs w:val="18"/>
                <w:color w:val="auto"/>
              </w:rPr>
            </w:pPr>
          </w:p>
        </w:tc>
        <w:tc>
          <w:tcPr>
            <w:tcW w:w="22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5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11,609</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11,072</w:t>
            </w: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3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r>
    </w:tbl>
    <w:p>
      <w:pPr>
        <w:spacing w:after="0" w:line="76" w:lineRule="exact"/>
        <w:rPr>
          <w:sz w:val="20"/>
          <w:szCs w:val="20"/>
          <w:color w:val="auto"/>
        </w:rPr>
      </w:pPr>
    </w:p>
    <w:p>
      <w:pPr>
        <w:ind w:left="340" w:hanging="331"/>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line of business includes (i) our WMSBS organization; (ii) our landfill gas-to-energy operations;</w:t>
      </w:r>
    </w:p>
    <w:p>
      <w:pPr>
        <w:spacing w:after="0" w:line="27" w:lineRule="exact"/>
        <w:rPr>
          <w:rFonts w:ascii="Times New Roman" w:cs="Times New Roman" w:eastAsia="Times New Roman" w:hAnsi="Times New Roman"/>
          <w:sz w:val="18"/>
          <w:szCs w:val="18"/>
          <w:color w:val="auto"/>
        </w:rPr>
      </w:pPr>
    </w:p>
    <w:p>
      <w:pPr>
        <w:jc w:val="both"/>
        <w:ind w:left="340" w:hanging="7"/>
        <w:spacing w:after="0" w:line="254" w:lineRule="auto"/>
        <w:tabs>
          <w:tab w:leader="none" w:pos="66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services within our EES organization, including our construction and remediation services and our services associated with the disposal of fly ash and (iv) certain other expanded service offerings and solutions. In addition, our “Other” line of business reflects the results of non-operating entities that provide financial assurance and self-insurance support for our Solid Waste business, net of intercompany activity.</w:t>
      </w:r>
    </w:p>
    <w:p>
      <w:pPr>
        <w:spacing w:after="0" w:line="77" w:lineRule="exact"/>
        <w:rPr>
          <w:rFonts w:ascii="Times New Roman" w:cs="Times New Roman" w:eastAsia="Times New Roman" w:hAnsi="Times New Roman"/>
          <w:sz w:val="18"/>
          <w:szCs w:val="18"/>
          <w:color w:val="auto"/>
        </w:rPr>
      </w:pPr>
    </w:p>
    <w:p>
      <w:pPr>
        <w:ind w:left="340" w:right="20" w:hanging="331"/>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revenues between lines of business are eliminated in the Condensed Consolidated Financial Statements included within this report.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73" w:right="1419" w:bottom="1440" w:gutter="0" w:footer="0" w:header="0"/>
        </w:sectPr>
      </w:pPr>
    </w:p>
    <w:bookmarkStart w:id="36" w:name="page37"/>
    <w:bookmarkEnd w:id="36"/>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details associated with the period-to-period changes in revenues and average yield (dollars in millions):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0" w:type="dxa"/>
            <w:vAlign w:val="bottom"/>
            <w:gridSpan w:val="8"/>
          </w:tcPr>
          <w:p>
            <w:pPr>
              <w:jc w:val="center"/>
              <w:ind w:right="670"/>
              <w:spacing w:after="0"/>
              <w:rPr>
                <w:sz w:val="20"/>
                <w:szCs w:val="20"/>
                <w:color w:val="auto"/>
              </w:rPr>
            </w:pPr>
            <w:r>
              <w:rPr>
                <w:rFonts w:ascii="Times New Roman" w:cs="Times New Roman" w:eastAsia="Times New Roman" w:hAnsi="Times New Roman"/>
                <w:sz w:val="14"/>
                <w:szCs w:val="14"/>
                <w:b w:val="1"/>
                <w:bCs w:val="1"/>
                <w:color w:val="auto"/>
              </w:rPr>
              <w:t>Period-to-Period Change for the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740" w:type="dxa"/>
            <w:vAlign w:val="bottom"/>
            <w:gridSpan w:val="8"/>
          </w:tcPr>
          <w:p>
            <w:pPr>
              <w:jc w:val="center"/>
              <w:ind w:right="510"/>
              <w:spacing w:after="0"/>
              <w:rPr>
                <w:sz w:val="20"/>
                <w:szCs w:val="20"/>
                <w:color w:val="auto"/>
              </w:rPr>
            </w:pPr>
            <w:r>
              <w:rPr>
                <w:rFonts w:ascii="Times New Roman" w:cs="Times New Roman" w:eastAsia="Times New Roman" w:hAnsi="Times New Roman"/>
                <w:sz w:val="14"/>
                <w:szCs w:val="14"/>
                <w:b w:val="1"/>
                <w:bCs w:val="1"/>
                <w:color w:val="auto"/>
              </w:rPr>
              <w:t>Period-to-Period Change for the</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5"/>
          </w:tcPr>
          <w:p>
            <w:pPr>
              <w:jc w:val="center"/>
              <w:ind w:left="46"/>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5"/>
          </w:tcPr>
          <w:p>
            <w:pPr>
              <w:jc w:val="center"/>
              <w:ind w:left="126"/>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60" w:type="dxa"/>
            <w:vAlign w:val="bottom"/>
            <w:gridSpan w:val="7"/>
          </w:tcPr>
          <w:p>
            <w:pPr>
              <w:jc w:val="center"/>
              <w:ind w:right="810"/>
              <w:spacing w:after="0"/>
              <w:rPr>
                <w:sz w:val="20"/>
                <w:szCs w:val="20"/>
                <w:color w:val="auto"/>
              </w:rPr>
            </w:pPr>
            <w:r>
              <w:rPr>
                <w:rFonts w:ascii="Times New Roman" w:cs="Times New Roman" w:eastAsia="Times New Roman" w:hAnsi="Times New Roman"/>
                <w:sz w:val="14"/>
                <w:szCs w:val="14"/>
                <w:b w:val="1"/>
                <w:bCs w:val="1"/>
                <w:color w:val="auto"/>
              </w:rPr>
              <w:t>September 30, 2019 vs. 2018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80" w:type="dxa"/>
            <w:vAlign w:val="bottom"/>
            <w:gridSpan w:val="7"/>
          </w:tcPr>
          <w:p>
            <w:pPr>
              <w:jc w:val="center"/>
              <w:ind w:right="670"/>
              <w:spacing w:after="0"/>
              <w:rPr>
                <w:sz w:val="20"/>
                <w:szCs w:val="20"/>
                <w:color w:val="auto"/>
              </w:rPr>
            </w:pPr>
            <w:r>
              <w:rPr>
                <w:rFonts w:ascii="Times New Roman" w:cs="Times New Roman" w:eastAsia="Times New Roman" w:hAnsi="Times New Roman"/>
                <w:sz w:val="14"/>
                <w:szCs w:val="14"/>
                <w:b w:val="1"/>
                <w:bCs w:val="1"/>
                <w:color w:val="auto"/>
              </w:rPr>
              <w:t>September 30, 2019 vs. 2018</w:t>
            </w:r>
          </w:p>
        </w:tc>
        <w:tc>
          <w:tcPr>
            <w:tcW w:w="0" w:type="dxa"/>
            <w:vAlign w:val="bottom"/>
          </w:tcPr>
          <w:p>
            <w:pPr>
              <w:spacing w:after="0"/>
              <w:rPr>
                <w:sz w:val="1"/>
                <w:szCs w:val="1"/>
                <w:color w:val="auto"/>
              </w:rPr>
            </w:pPr>
          </w:p>
        </w:tc>
      </w:tr>
      <w:tr>
        <w:trPr>
          <w:trHeight w:val="117"/>
        </w:trPr>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3"/>
          </w:tcPr>
          <w:p>
            <w:pPr>
              <w:jc w:val="right"/>
              <w:ind w:right="350"/>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3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3"/>
          </w:tcPr>
          <w:p>
            <w:pPr>
              <w:jc w:val="right"/>
              <w:ind w:right="355"/>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3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100" w:type="dxa"/>
            <w:vAlign w:val="bottom"/>
            <w:gridSpan w:val="3"/>
          </w:tcPr>
          <w:p>
            <w:pPr>
              <w:jc w:val="right"/>
              <w:ind w:right="410"/>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13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1100" w:type="dxa"/>
            <w:vAlign w:val="bottom"/>
            <w:gridSpan w:val="3"/>
          </w:tcPr>
          <w:p>
            <w:pPr>
              <w:jc w:val="right"/>
              <w:ind w:right="435"/>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Business(a)    Amount</w:t>
            </w:r>
          </w:p>
        </w:tc>
        <w:tc>
          <w:tcPr>
            <w:tcW w:w="1020" w:type="dxa"/>
            <w:vAlign w:val="bottom"/>
            <w:gridSpan w:val="2"/>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Company(b)</w:t>
            </w:r>
          </w:p>
        </w:tc>
        <w:tc>
          <w:tcPr>
            <w:tcW w:w="8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Business(a)    Amount</w:t>
            </w:r>
          </w:p>
        </w:tc>
        <w:tc>
          <w:tcPr>
            <w:tcW w:w="960" w:type="dxa"/>
            <w:vAlign w:val="bottom"/>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Company(b)</w:t>
            </w:r>
          </w:p>
        </w:tc>
        <w:tc>
          <w:tcPr>
            <w:tcW w:w="0" w:type="dxa"/>
            <w:vAlign w:val="bottom"/>
          </w:tcPr>
          <w:p>
            <w:pPr>
              <w:spacing w:after="0"/>
              <w:rPr>
                <w:sz w:val="1"/>
                <w:szCs w:val="1"/>
                <w:color w:val="auto"/>
              </w:rPr>
            </w:pPr>
          </w:p>
        </w:tc>
      </w:tr>
      <w:tr>
        <w:trPr>
          <w:trHeight w:val="210"/>
        </w:trPr>
        <w:tc>
          <w:tcPr>
            <w:tcW w:w="2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and disposal</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Recycling commodities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1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Fuel surcharges and mandated</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fees</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average yield (c)</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Volume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Internal revenue growth</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Divestitures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translation</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1"/>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period by the prior year period’s related business revenue adjusted to exclude the impacts of divestitures for the current year period.</w:t>
      </w:r>
    </w:p>
    <w:p>
      <w:pPr>
        <w:spacing w:after="0" w:line="53" w:lineRule="exact"/>
        <w:rPr>
          <w:rFonts w:ascii="Times New Roman" w:cs="Times New Roman" w:eastAsia="Times New Roman" w:hAnsi="Times New Roman"/>
          <w:sz w:val="18"/>
          <w:szCs w:val="18"/>
          <w:color w:val="auto"/>
        </w:rPr>
      </w:pPr>
    </w:p>
    <w:p>
      <w:pPr>
        <w:ind w:left="340" w:right="20" w:hanging="331"/>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period by the prior year period’s total Company revenue adjusted to exclude the impacts of divestitures for the current year period.</w:t>
      </w:r>
    </w:p>
    <w:p>
      <w:pPr>
        <w:spacing w:after="0" w:line="53" w:lineRule="exact"/>
        <w:rPr>
          <w:rFonts w:ascii="Times New Roman" w:cs="Times New Roman" w:eastAsia="Times New Roman" w:hAnsi="Times New Roman"/>
          <w:sz w:val="18"/>
          <w:szCs w:val="18"/>
          <w:color w:val="auto"/>
        </w:rPr>
      </w:pPr>
    </w:p>
    <w:p>
      <w:pPr>
        <w:ind w:left="340" w:right="260" w:hanging="331"/>
        <w:spacing w:after="0" w:line="499"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herein represent the changes in our revenue attributable to average yield for the total Company. The following provides further details associated with our period-to-period change in revenues:</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Average Yield</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Collection and Disposal Average Yield </w:t>
      </w:r>
      <w:r>
        <w:rPr>
          <w:rFonts w:ascii="Times New Roman" w:cs="Times New Roman" w:eastAsia="Times New Roman" w:hAnsi="Times New Roman"/>
          <w:sz w:val="18"/>
          <w:szCs w:val="18"/>
          <w:color w:val="auto"/>
        </w:rPr>
        <w:t>— This measure reflects the effect on our revenue from the pricing activities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collection, transfer and landfill lines of business, exclusive of volume changes. Revenue growth from collection and disposal average yield includes not only base rate changes and environmental and service fee increases, but also (i) certain average price changes related to the overall mix of services, which are due to the types of services provided; (ii) changes in average price from new and lost business and (iii) price decreases to retain customers.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77" w:right="1419" w:bottom="1440" w:gutter="0" w:footer="0" w:header="0"/>
        </w:sectPr>
      </w:pPr>
    </w:p>
    <w:bookmarkStart w:id="37" w:name="page38"/>
    <w:bookmarkEnd w:id="37"/>
    <w:p>
      <w:pPr>
        <w:ind w:left="340"/>
        <w:spacing w:after="0"/>
        <w:rPr>
          <w:sz w:val="20"/>
          <w:szCs w:val="20"/>
          <w:color w:val="auto"/>
        </w:rPr>
      </w:pPr>
      <w:r>
        <w:rPr>
          <w:rFonts w:ascii="Times New Roman" w:cs="Times New Roman" w:eastAsia="Times New Roman" w:hAnsi="Times New Roman"/>
          <w:sz w:val="18"/>
          <w:szCs w:val="18"/>
          <w:color w:val="auto"/>
        </w:rPr>
        <w:t>The details of our revenue growth from collection and disposal average yield are as follows (dollars in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2360" w:type="dxa"/>
            <w:vAlign w:val="bottom"/>
            <w:gridSpan w:val="5"/>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Period-to-Period Change for the</w:t>
            </w:r>
          </w:p>
        </w:tc>
        <w:tc>
          <w:tcPr>
            <w:tcW w:w="2300" w:type="dxa"/>
            <w:vAlign w:val="bottom"/>
            <w:gridSpan w:val="5"/>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Period-to-Period Change for the</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20" w:type="dxa"/>
            <w:vAlign w:val="bottom"/>
            <w:gridSpan w:val="4"/>
          </w:tcPr>
          <w:p>
            <w:pPr>
              <w:jc w:val="center"/>
              <w:ind w:right="29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2"/>
                <w:szCs w:val="12"/>
                <w:color w:val="auto"/>
              </w:rPr>
            </w:pPr>
          </w:p>
        </w:tc>
        <w:tc>
          <w:tcPr>
            <w:tcW w:w="2160" w:type="dxa"/>
            <w:vAlign w:val="bottom"/>
            <w:gridSpan w:val="4"/>
          </w:tcPr>
          <w:p>
            <w:pPr>
              <w:jc w:val="center"/>
              <w:ind w:right="230"/>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gridSpan w:val="4"/>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September 30, 2019 vs. 2018</w:t>
            </w:r>
          </w:p>
        </w:tc>
        <w:tc>
          <w:tcPr>
            <w:tcW w:w="140" w:type="dxa"/>
            <w:vAlign w:val="bottom"/>
          </w:tcPr>
          <w:p>
            <w:pPr>
              <w:spacing w:after="0"/>
              <w:rPr>
                <w:sz w:val="15"/>
                <w:szCs w:val="15"/>
                <w:color w:val="auto"/>
              </w:rPr>
            </w:pPr>
          </w:p>
        </w:tc>
        <w:tc>
          <w:tcPr>
            <w:tcW w:w="2160" w:type="dxa"/>
            <w:vAlign w:val="bottom"/>
            <w:gridSpan w:val="4"/>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September 30, 2019 vs. 2018</w:t>
            </w:r>
          </w:p>
        </w:tc>
        <w:tc>
          <w:tcPr>
            <w:tcW w:w="0" w:type="dxa"/>
            <w:vAlign w:val="bottom"/>
          </w:tcPr>
          <w:p>
            <w:pPr>
              <w:spacing w:after="0"/>
              <w:rPr>
                <w:sz w:val="1"/>
                <w:szCs w:val="1"/>
                <w:color w:val="auto"/>
              </w:rPr>
            </w:pPr>
          </w:p>
        </w:tc>
      </w:tr>
      <w:tr>
        <w:trPr>
          <w:trHeight w:val="117"/>
        </w:trPr>
        <w:tc>
          <w:tcPr>
            <w:tcW w:w="44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2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2"/>
                <w:szCs w:val="12"/>
                <w:color w:val="auto"/>
              </w:rPr>
            </w:pPr>
          </w:p>
        </w:tc>
        <w:tc>
          <w:tcPr>
            <w:tcW w:w="1160" w:type="dxa"/>
            <w:vAlign w:val="bottom"/>
            <w:gridSpan w:val="2"/>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140" w:type="dxa"/>
            <w:vAlign w:val="bottom"/>
          </w:tcPr>
          <w:p>
            <w:pPr>
              <w:spacing w:after="0"/>
              <w:rPr>
                <w:sz w:val="12"/>
                <w:szCs w:val="12"/>
                <w:color w:val="auto"/>
              </w:rPr>
            </w:pPr>
          </w:p>
        </w:tc>
        <w:tc>
          <w:tcPr>
            <w:tcW w:w="76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2"/>
                <w:szCs w:val="12"/>
                <w:color w:val="auto"/>
              </w:rPr>
            </w:pPr>
          </w:p>
        </w:tc>
        <w:tc>
          <w:tcPr>
            <w:tcW w:w="1100" w:type="dxa"/>
            <w:vAlign w:val="bottom"/>
            <w:gridSpan w:val="2"/>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0" w:type="dxa"/>
            <w:vAlign w:val="bottom"/>
          </w:tcPr>
          <w:p>
            <w:pPr>
              <w:spacing w:after="0"/>
              <w:rPr>
                <w:sz w:val="1"/>
                <w:szCs w:val="1"/>
                <w:color w:val="auto"/>
              </w:rPr>
            </w:pPr>
          </w:p>
        </w:tc>
      </w:tr>
      <w:tr>
        <w:trPr>
          <w:trHeight w:val="173"/>
        </w:trPr>
        <w:tc>
          <w:tcPr>
            <w:tcW w:w="4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collection</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Landfill</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Transfer</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20" w:type="dxa"/>
            <w:vAlign w:val="bottom"/>
            <w:tcBorders>
              <w:bottom w:val="single" w:sz="8" w:color="CCEEFF"/>
            </w:tcBorders>
            <w:gridSpan w:val="2"/>
          </w:tcPr>
          <w:p>
            <w:pPr>
              <w:ind w:left="94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20" w:type="dxa"/>
            <w:vAlign w:val="bottom"/>
            <w:tcBorders>
              <w:bottom w:val="single" w:sz="8" w:color="CCEEFF"/>
            </w:tcBorders>
            <w:gridSpan w:val="2"/>
          </w:tcPr>
          <w:p>
            <w:pPr>
              <w:ind w:left="94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60" w:type="dxa"/>
            <w:vAlign w:val="bottom"/>
            <w:tcBorders>
              <w:bottom w:val="single" w:sz="8" w:color="CCEEFF"/>
            </w:tcBorders>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2.6 %</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400" w:type="dxa"/>
            <w:vAlign w:val="bottom"/>
            <w:tcBorders>
              <w:bottom w:val="single" w:sz="8" w:color="CCEEFF"/>
            </w:tcBorders>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strategic pricing efforts focus on ensuring we overcome inflationary cost pressures and grow margins. This strategy has been most successful in our collection business. We are also experiencing solid growth in our landfill and transfer businesses, with our municipal solid waste business experiencing 3.7% and 3.6% average yield growth for the three and nine months ended September 30, 2019, respectively, as compared with the prior year periods.</w:t>
      </w:r>
    </w:p>
    <w:p>
      <w:pPr>
        <w:spacing w:after="0" w:line="17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Recycling Commodities </w:t>
      </w:r>
      <w:r>
        <w:rPr>
          <w:rFonts w:ascii="Times New Roman" w:cs="Times New Roman" w:eastAsia="Times New Roman" w:hAnsi="Times New Roman"/>
          <w:sz w:val="18"/>
          <w:szCs w:val="18"/>
          <w:color w:val="auto"/>
        </w:rPr>
        <w:t>— Decreases in the market prices for recycling commodities resulted in revenue decline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$73 million and $139 million for the three and nine months ended September 30, 2019, respectively, as compared with the prior year periods. We partially offset our revenue decline from market prices for recycling commodities by assessing fees to cover the higher costs of handling contaminated recycling materials. Average market prices for recycling commodities at the Company’s facilities were almost 40% and 33% lower for the three and nine months ended September 30, 2019, respectively, as compared with the prior year periods. We have seen decreased demand from paper mills around the world which has driven prices to historical low averages. There are several domestic mill projects anticipated to start within the next twelve months that we expect will add additional capacity and more local demand for recycled materials. However, we do not expect material changes in market prices for recycling commodities as a result of this additional capacity. The cardboard packaging industry has been impacted by slower global demand, retail store closures and e-commerce packaging efficiency. We expect slower global demand to remain through 2019, which will continue to put downward pressure on average market prices for recycling commodities.</w:t>
      </w:r>
    </w:p>
    <w:p>
      <w:pPr>
        <w:spacing w:after="0" w:line="19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Fuel Surcharges and Mandated Fees — </w:t>
      </w:r>
      <w:r>
        <w:rPr>
          <w:rFonts w:ascii="Times New Roman" w:cs="Times New Roman" w:eastAsia="Times New Roman" w:hAnsi="Times New Roman"/>
          <w:sz w:val="18"/>
          <w:szCs w:val="18"/>
          <w:color w:val="auto"/>
        </w:rPr>
        <w:t>These fees, which are predominantly generated by our fuel surcharge program,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declined for the three and nine months ended September 30, 2019 as compared with the prior year periods. Fuel surcharge revenues are based on and fluctuate in response to changes in the national average prices for diesel fuel. This decline was partially offset by mandated fees which are primarily related to fees and taxes assessed by various state, county and municipal government agencies at our landfills and transfer stations.</w:t>
      </w:r>
    </w:p>
    <w:p>
      <w:pPr>
        <w:spacing w:after="0" w:line="1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Volume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revenues from volumes increased $98 million, or 2.6%, and $361 million, or 3.3%, for the three and nine months ended September 30, 2019, respectively, as compared with the prior year periods, excluding volumes from acquisitions and divestitures.</w:t>
      </w:r>
    </w:p>
    <w:p>
      <w:pPr>
        <w:spacing w:after="0" w:line="176" w:lineRule="exact"/>
        <w:rPr>
          <w:sz w:val="20"/>
          <w:szCs w:val="20"/>
          <w:color w:val="auto"/>
        </w:rPr>
      </w:pPr>
    </w:p>
    <w:p>
      <w:pPr>
        <w:jc w:val="both"/>
        <w:ind w:firstLine="259"/>
        <w:spacing w:after="0" w:line="255" w:lineRule="auto"/>
        <w:rPr>
          <w:sz w:val="20"/>
          <w:szCs w:val="20"/>
          <w:color w:val="auto"/>
        </w:rPr>
      </w:pPr>
      <w:r>
        <w:rPr>
          <w:rFonts w:ascii="Times New Roman" w:cs="Times New Roman" w:eastAsia="Times New Roman" w:hAnsi="Times New Roman"/>
          <w:sz w:val="18"/>
          <w:szCs w:val="18"/>
          <w:color w:val="auto"/>
        </w:rPr>
        <w:t>We experienced higher volumes due to favorable market conditions in our collection and disposal business and our focus on customer service and disciplined growth. We have experienced significant volume growth with existing customers, particularly in our commercial collection business. The volume growth is the result of proactive efforts taken to work with our customers as their needs expand to identify service upgrade opportunities. Our landfill volumes have been favorably impacted by clean-up efforts from natural disasters in California during 2019, event-driven projects in our special waste business and growth in our municipal solid waste business. Additionally, we experienced favorable volume growth from our WMSBS organization.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77" w:right="1419" w:bottom="1440" w:gutter="0" w:footer="0" w:header="0"/>
        </w:sectPr>
      </w:pPr>
    </w:p>
    <w:bookmarkStart w:id="38" w:name="page39"/>
    <w:bookmarkEnd w:id="38"/>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our operating expenses (in millions of dollars and as a percentage of revenues):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2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6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 and related benefits</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$ 2,087</w:t>
            </w:r>
          </w:p>
        </w:tc>
        <w:tc>
          <w:tcPr>
            <w:tcW w:w="1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$ 2,008</w:t>
            </w:r>
          </w:p>
        </w:tc>
        <w:tc>
          <w:tcPr>
            <w:tcW w:w="1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Transfer and disposal costs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Maintenance and repairs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Subcontractor costs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Fuel</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 and franchise fees and taxes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Landfill operating costs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management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9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30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$ 7,182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$ 6,870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increase in volumes in the current year periods, as discussed above in </w:t>
      </w:r>
      <w:r>
        <w:rPr>
          <w:rFonts w:ascii="Times New Roman" w:cs="Times New Roman" w:eastAsia="Times New Roman" w:hAnsi="Times New Roman"/>
          <w:sz w:val="18"/>
          <w:szCs w:val="18"/>
          <w:i w:val="1"/>
          <w:iCs w:val="1"/>
          <w:color w:val="auto"/>
        </w:rPr>
        <w:t>Operating Revenues,</w:t>
      </w:r>
      <w:r>
        <w:rPr>
          <w:rFonts w:ascii="Times New Roman" w:cs="Times New Roman" w:eastAsia="Times New Roman" w:hAnsi="Times New Roman"/>
          <w:sz w:val="18"/>
          <w:szCs w:val="18"/>
          <w:color w:val="auto"/>
        </w:rPr>
        <w:t xml:space="preserve"> affects the comparability of operating expenses primarily in transfer and disposal, subcontractor, and disposal and franchise fees and taxes for the periods presented. In addition, cost inflation affects the comparability of operating expenses.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significant items affecting the comparability of operating expenses for the reported periods include:</w:t>
      </w:r>
    </w:p>
    <w:p>
      <w:pPr>
        <w:spacing w:after="0" w:line="223"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Labor and Related Benefits </w:t>
      </w:r>
      <w:r>
        <w:rPr>
          <w:rFonts w:ascii="Times New Roman" w:cs="Times New Roman" w:eastAsia="Times New Roman" w:hAnsi="Times New Roman"/>
          <w:sz w:val="18"/>
          <w:szCs w:val="18"/>
          <w:color w:val="auto"/>
        </w:rPr>
        <w:t>— The increase was driven by volume growth in our collection business as well as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inflation noted above. These cost increases were offset, in part, by lower bonus costs related to a plan established in early 2018 targeted at improving employee retention.</w:t>
      </w:r>
    </w:p>
    <w:p>
      <w:pPr>
        <w:spacing w:after="0" w:line="1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Maintenance and Repairs </w:t>
      </w:r>
      <w:r>
        <w:rPr>
          <w:rFonts w:ascii="Times New Roman" w:cs="Times New Roman" w:eastAsia="Times New Roman" w:hAnsi="Times New Roman"/>
          <w:sz w:val="18"/>
          <w:szCs w:val="18"/>
          <w:color w:val="auto"/>
        </w:rPr>
        <w:t>— The increase was largely driven by cost inflation noted above which primarily impacted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labor, parts, third-party services, tires and building costs. In addition, the nine months ended September 30, 2019 were impacted by a $16 million non-cash charge to write off certain equipment costs in the second quarter of 2019 related to our Other segment.</w:t>
      </w:r>
    </w:p>
    <w:p>
      <w:pPr>
        <w:spacing w:after="0" w:line="180"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 The decrease was primarily driven by lower market prices for recycling commodities. In addition,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nine months ended September 30, 2019 was impacted by lower costs due to the sale of certain ancillary operations in the second quarter of 2018.</w:t>
      </w:r>
    </w:p>
    <w:p>
      <w:pPr>
        <w:spacing w:after="0" w:line="1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Fuel </w:t>
      </w:r>
      <w:r>
        <w:rPr>
          <w:rFonts w:ascii="Times New Roman" w:cs="Times New Roman" w:eastAsia="Times New Roman" w:hAnsi="Times New Roman"/>
          <w:sz w:val="18"/>
          <w:szCs w:val="18"/>
          <w:color w:val="auto"/>
        </w:rPr>
        <w:t>— The decrease in fuel costs for the three months ended September 30, 2019 was due to lower market prices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diesel fuel. The increase during the nine months ended September 30, 2019 was primarily driven by a $28 million benefit from federal natural gas fuel credits received in the first quarter of 2018 that did not extend into 2019, partially offset by lower prices for diesel fuel.</w:t>
      </w:r>
    </w:p>
    <w:p>
      <w:pPr>
        <w:spacing w:after="0" w:line="180"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Landfill Operating Costs </w:t>
      </w:r>
      <w:r>
        <w:rPr>
          <w:rFonts w:ascii="Times New Roman" w:cs="Times New Roman" w:eastAsia="Times New Roman" w:hAnsi="Times New Roman"/>
          <w:sz w:val="18"/>
          <w:szCs w:val="18"/>
          <w:color w:val="auto"/>
        </w:rPr>
        <w:t>— The increase for the nine months ended September 30, 2019 was primarily due to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leachate management costs driven largely by inclement weather in certain parts of North America. Additionally, the nine months ended September 30, 2019 includes a $7 million charge for the remeasurement of our environmental remediation obligations and recovery assets due to a decrease in U.S. treasury rates, which are used in determining the risk-free discount rate for these balances. See Note 2 to the Condensed Consolidated Financial Statements for additional information.</w:t>
      </w:r>
    </w:p>
    <w:p>
      <w:pPr>
        <w:spacing w:after="0" w:line="18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 Management </w:t>
      </w:r>
      <w:r>
        <w:rPr>
          <w:rFonts w:ascii="Times New Roman" w:cs="Times New Roman" w:eastAsia="Times New Roman" w:hAnsi="Times New Roman"/>
          <w:sz w:val="18"/>
          <w:szCs w:val="18"/>
          <w:color w:val="auto"/>
        </w:rPr>
        <w:t>— The increase for the nine months ended September 30, 2019 was primarily the result of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claims costs in our collection business.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73" w:right="1419" w:bottom="1440" w:gutter="0" w:footer="0" w:header="0"/>
        </w:sectPr>
      </w:pPr>
    </w:p>
    <w:bookmarkStart w:id="39" w:name="page40"/>
    <w:bookmarkEnd w:id="39"/>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left="20"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our selling, general and administrative expenses (in millions of dollars and as a percentage of revenues):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88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4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38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38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 and related benefits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$ 254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6.4</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$ 231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0.9</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bad debts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spacing w:after="0"/>
              <w:rPr>
                <w:sz w:val="18"/>
                <w:szCs w:val="18"/>
                <w:color w:val="auto"/>
              </w:rPr>
            </w:pPr>
          </w:p>
        </w:tc>
      </w:tr>
      <w:tr>
        <w:trPr>
          <w:trHeight w:val="216"/>
        </w:trPr>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Borders>
              <w:bottom w:val="single" w:sz="8" w:color="CCEEFF"/>
            </w:tcBorders>
          </w:tcPr>
          <w:p>
            <w:pPr>
              <w:spacing w:after="0"/>
              <w:rPr>
                <w:sz w:val="18"/>
                <w:szCs w:val="18"/>
                <w:color w:val="auto"/>
              </w:rPr>
            </w:pPr>
          </w:p>
        </w:tc>
      </w:tr>
      <w:tr>
        <w:trPr>
          <w:trHeight w:val="210"/>
        </w:trPr>
        <w:tc>
          <w:tcPr>
            <w:tcW w:w="38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$ 386</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9.7</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$ 345</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1,186</w:t>
            </w:r>
          </w:p>
        </w:tc>
        <w:tc>
          <w:tcPr>
            <w:tcW w:w="1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38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right="40" w:firstLine="324"/>
        <w:spacing w:after="0" w:line="282" w:lineRule="auto"/>
        <w:rPr>
          <w:sz w:val="20"/>
          <w:szCs w:val="20"/>
          <w:color w:val="auto"/>
        </w:rPr>
      </w:pPr>
      <w:r>
        <w:rPr>
          <w:rFonts w:ascii="Times New Roman" w:cs="Times New Roman" w:eastAsia="Times New Roman" w:hAnsi="Times New Roman"/>
          <w:sz w:val="18"/>
          <w:szCs w:val="18"/>
          <w:color w:val="auto"/>
        </w:rPr>
        <w:t>Significant items affecting the comparison of our selling, general and administrative expenses between reported periods include:</w:t>
      </w:r>
    </w:p>
    <w:p>
      <w:pPr>
        <w:spacing w:after="0" w:line="1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Labor and Related Benefits — </w:t>
      </w:r>
      <w:r>
        <w:rPr>
          <w:rFonts w:ascii="Times New Roman" w:cs="Times New Roman" w:eastAsia="Times New Roman" w:hAnsi="Times New Roman"/>
          <w:sz w:val="18"/>
          <w:szCs w:val="18"/>
          <w:color w:val="auto"/>
        </w:rPr>
        <w:t>The increase was primarily due to (i) an increase in headcount and merit increases and</w:t>
      </w:r>
    </w:p>
    <w:p>
      <w:pPr>
        <w:spacing w:after="0" w:line="29" w:lineRule="exact"/>
        <w:rPr>
          <w:sz w:val="20"/>
          <w:szCs w:val="20"/>
          <w:color w:val="auto"/>
        </w:rPr>
      </w:pPr>
    </w:p>
    <w:p>
      <w:pPr>
        <w:ind w:left="20" w:right="40" w:firstLine="9"/>
        <w:spacing w:after="0" w:line="261" w:lineRule="auto"/>
        <w:tabs>
          <w:tab w:leader="none" w:pos="29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contract labor costs driven by our planned investments in technology. Additionally, the nine-month period was impacted by higher incentive compensation in 2019.</w:t>
      </w:r>
    </w:p>
    <w:p>
      <w:pPr>
        <w:spacing w:after="0" w:line="178" w:lineRule="exact"/>
        <w:rPr>
          <w:sz w:val="20"/>
          <w:szCs w:val="20"/>
          <w:color w:val="auto"/>
        </w:rPr>
      </w:pPr>
    </w:p>
    <w:p>
      <w:pPr>
        <w:jc w:val="both"/>
        <w:ind w:left="20" w:right="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Professional Fees </w:t>
      </w:r>
      <w:r>
        <w:rPr>
          <w:rFonts w:ascii="Times New Roman" w:cs="Times New Roman" w:eastAsia="Times New Roman" w:hAnsi="Times New Roman"/>
          <w:sz w:val="18"/>
          <w:szCs w:val="18"/>
          <w:color w:val="auto"/>
        </w:rPr>
        <w:t>— The increase was primarily driven by higher consulting fees, largely due to our strategic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in operating, customer facing and back-office technologies, as well as costs incurred in preparation for our pending acquisition of Advanced Disposal Services, Inc. (“Advanced Disposal”).</w:t>
      </w:r>
    </w:p>
    <w:p>
      <w:pPr>
        <w:spacing w:after="0" w:line="174" w:lineRule="exact"/>
        <w:rPr>
          <w:sz w:val="20"/>
          <w:szCs w:val="20"/>
          <w:color w:val="auto"/>
        </w:rPr>
      </w:pPr>
    </w:p>
    <w:p>
      <w:pPr>
        <w:jc w:val="both"/>
        <w:ind w:left="20"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 </w:t>
      </w:r>
      <w:r>
        <w:rPr>
          <w:rFonts w:ascii="Times New Roman" w:cs="Times New Roman" w:eastAsia="Times New Roman" w:hAnsi="Times New Roman"/>
          <w:sz w:val="18"/>
          <w:szCs w:val="18"/>
          <w:color w:val="auto"/>
        </w:rPr>
        <w:t>The increase was principally driven by higher litigation reserves and increased infrastructure costs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our investments in technology.</w:t>
      </w:r>
    </w:p>
    <w:p>
      <w:pPr>
        <w:spacing w:after="0" w:line="15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Expenses</w:t>
      </w:r>
    </w:p>
    <w:p>
      <w:pPr>
        <w:spacing w:after="0" w:line="229" w:lineRule="exact"/>
        <w:rPr>
          <w:sz w:val="20"/>
          <w:szCs w:val="20"/>
          <w:color w:val="auto"/>
        </w:rPr>
      </w:pPr>
    </w:p>
    <w:p>
      <w:pPr>
        <w:jc w:val="both"/>
        <w:ind w:left="20"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our depreciation and amortization expenses (in millions of dollars and as a percentage of revenues):</w:t>
      </w:r>
    </w:p>
    <w:p>
      <w:pPr>
        <w:spacing w:after="0" w:line="4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0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60" w:type="dxa"/>
            <w:vAlign w:val="bottom"/>
            <w:gridSpan w:val="7"/>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14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Depreciation of tangible property and</w:t>
            </w:r>
          </w:p>
        </w:tc>
        <w:tc>
          <w:tcPr>
            <w:tcW w:w="4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equipment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$ 225</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$ 208</w:t>
            </w:r>
          </w:p>
        </w:tc>
        <w:tc>
          <w:tcPr>
            <w:tcW w:w="1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5.4 %</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6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landfill airspace</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$ 404</w:t>
            </w:r>
          </w:p>
        </w:tc>
        <w:tc>
          <w:tcPr>
            <w:tcW w:w="16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$ 376</w:t>
            </w:r>
          </w:p>
        </w:tc>
        <w:tc>
          <w:tcPr>
            <w:tcW w:w="140" w:type="dxa"/>
            <w:vAlign w:val="bottom"/>
          </w:tcPr>
          <w:p>
            <w:pPr>
              <w:spacing w:after="0"/>
              <w:rPr>
                <w:sz w:val="18"/>
                <w:szCs w:val="18"/>
                <w:color w:val="auto"/>
              </w:rPr>
            </w:pPr>
          </w:p>
        </w:tc>
        <w:tc>
          <w:tcPr>
            <w:tcW w:w="3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20" w:right="20" w:firstLine="324"/>
        <w:spacing w:after="0" w:line="258" w:lineRule="auto"/>
        <w:rPr>
          <w:sz w:val="20"/>
          <w:szCs w:val="20"/>
          <w:color w:val="auto"/>
        </w:rPr>
      </w:pPr>
      <w:r>
        <w:rPr>
          <w:rFonts w:ascii="Times New Roman" w:cs="Times New Roman" w:eastAsia="Times New Roman" w:hAnsi="Times New Roman"/>
          <w:sz w:val="18"/>
          <w:szCs w:val="18"/>
          <w:color w:val="auto"/>
        </w:rPr>
        <w:t>The increase in depreciation of tangible property and equipment during the three and nine months ended September 30, 2019, compared to the prior year periods, was primarily due to higher capital expenditures in the current year periods due to an intentional focus on accelerating certain fleet and landfill spending to support the Company’s strong collection and disposal growth. The increase in amortization of landfill airspace during the three and nine months ended September 30, 2019, compared to the prior year periods, was primarily driven by increased volumes.</w:t>
      </w:r>
    </w:p>
    <w:p>
      <w:pPr>
        <w:spacing w:after="0" w:line="1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(Gain) Loss from Divestitures, Asset Impairments and Unusual Items, Net</w:t>
      </w:r>
    </w:p>
    <w:p>
      <w:pPr>
        <w:spacing w:after="0" w:line="229" w:lineRule="exact"/>
        <w:rPr>
          <w:sz w:val="20"/>
          <w:szCs w:val="20"/>
          <w:color w:val="auto"/>
        </w:rPr>
      </w:pPr>
    </w:p>
    <w:p>
      <w:pPr>
        <w:jc w:val="both"/>
        <w:ind w:left="20" w:right="20"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2018, we recognized a net gain of $14 million, primarily related to net gains from divestitures of $43 million from the sale of certain ancillary operations, which were partially offset by a $29 million charge to impair a landfill in our Tier 3 segment which was recognized during the third quarter of 2018.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360680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00" w:top="873" w:right="1399" w:bottom="1440" w:gutter="0" w:footer="0" w:header="0"/>
        </w:sectPr>
      </w:pPr>
    </w:p>
    <w:bookmarkStart w:id="40" w:name="page41"/>
    <w:bookmarkEnd w:id="40"/>
    <w:p>
      <w:pPr>
        <w:spacing w:after="0" w:line="282" w:lineRule="auto"/>
        <w:rPr>
          <w:sz w:val="20"/>
          <w:szCs w:val="20"/>
          <w:color w:val="auto"/>
        </w:rPr>
      </w:pPr>
      <w:r>
        <w:rPr>
          <w:rFonts w:ascii="Times New Roman" w:cs="Times New Roman" w:eastAsia="Times New Roman" w:hAnsi="Times New Roman"/>
          <w:sz w:val="18"/>
          <w:szCs w:val="18"/>
          <w:color w:val="auto"/>
        </w:rPr>
        <w:t>impairment was based on an internally developed discounted projected cash flow analysis, taking into account continued volume decreases and revised capping cost estimates for the landfill.</w:t>
      </w:r>
    </w:p>
    <w:p>
      <w:pPr>
        <w:spacing w:after="0" w:line="1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income from operations for our reportable segments (dollars in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60" w:type="dxa"/>
            <w:vAlign w:val="bottom"/>
            <w:gridSpan w:val="7"/>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300" w:type="dxa"/>
            <w:vAlign w:val="bottom"/>
            <w:gridSpan w:val="4"/>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Period-to-Period</w:t>
            </w:r>
          </w:p>
        </w:tc>
        <w:tc>
          <w:tcPr>
            <w:tcW w:w="120" w:type="dxa"/>
            <w:vAlign w:val="bottom"/>
          </w:tcPr>
          <w:p>
            <w:pPr>
              <w:spacing w:after="0"/>
              <w:rPr>
                <w:sz w:val="13"/>
                <w:szCs w:val="13"/>
                <w:color w:val="auto"/>
              </w:rPr>
            </w:pPr>
          </w:p>
        </w:tc>
        <w:tc>
          <w:tcPr>
            <w:tcW w:w="18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130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6"/>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30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3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right"/>
              <w:ind w:right="56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2"/>
                <w:szCs w:val="12"/>
                <w:color w:val="auto"/>
              </w:rPr>
            </w:pPr>
          </w:p>
        </w:tc>
        <w:tc>
          <w:tcPr>
            <w:tcW w:w="620" w:type="dxa"/>
            <w:vAlign w:val="bottom"/>
            <w:tcBorders>
              <w:top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Solid Waste:</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Tier 1</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$ 1,258</w:t>
            </w: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$ 1,176</w:t>
            </w:r>
          </w:p>
        </w:tc>
        <w:tc>
          <w:tcPr>
            <w:tcW w:w="2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Tier 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Tier 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tcBorders>
              <w:top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Solid Waste</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5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6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$ 2,051</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$ 2,022</w:t>
            </w: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7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2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Percentage of revenues</w:t>
            </w:r>
          </w:p>
        </w:tc>
        <w:tc>
          <w:tcPr>
            <w:tcW w:w="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18.5</w:t>
            </w:r>
          </w:p>
        </w:tc>
        <w:tc>
          <w:tcPr>
            <w:tcW w:w="240" w:type="dxa"/>
            <w:vAlign w:val="bottom"/>
            <w:tcBorders>
              <w:bottom w:val="single" w:sz="8" w:color="CCEEFF"/>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18.3</w:t>
            </w:r>
          </w:p>
        </w:tc>
        <w:tc>
          <w:tcPr>
            <w:tcW w:w="240" w:type="dxa"/>
            <w:vAlign w:val="bottom"/>
            <w:tcBorders>
              <w:bottom w:val="single" w:sz="8" w:color="CCEEFF"/>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17.7</w:t>
            </w:r>
          </w:p>
        </w:tc>
        <w:tc>
          <w:tcPr>
            <w:tcW w:w="22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18.3</w:t>
            </w:r>
          </w:p>
        </w:tc>
        <w:tc>
          <w:tcPr>
            <w:tcW w:w="240" w:type="dxa"/>
            <w:vAlign w:val="bottom"/>
            <w:tcBorders>
              <w:bottom w:val="single" w:sz="8" w:color="CCEEFF"/>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change does not provide a meaningful comparison.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significant items affecting income from operations for our segments during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 as compared with the prior year periods, are summarized below:</w:t>
      </w:r>
    </w:p>
    <w:p>
      <w:pPr>
        <w:spacing w:after="0" w:line="97" w:lineRule="exact"/>
        <w:rPr>
          <w:sz w:val="20"/>
          <w:szCs w:val="20"/>
          <w:color w:val="auto"/>
        </w:rPr>
      </w:pPr>
    </w:p>
    <w:p>
      <w:pPr>
        <w:jc w:val="both"/>
        <w:ind w:left="680" w:hanging="320"/>
        <w:spacing w:after="0" w:line="257"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Solid Waste </w:t>
      </w:r>
      <w:r>
        <w:rPr>
          <w:rFonts w:ascii="Times New Roman" w:cs="Times New Roman" w:eastAsia="Times New Roman" w:hAnsi="Times New Roman"/>
          <w:sz w:val="18"/>
          <w:szCs w:val="18"/>
          <w:color w:val="auto"/>
        </w:rPr>
        <w:t>— The increase in income from operations for our collection and disposal business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internal revenue growth. Additionally, the 2018 periods were impacted by the impairment of a landfill in our Tier 3 segment. This increase was offset, in part, by (i) higher operating costs, driven by increased volumes, higher depreciation related to new trucks and equipment and higher labor, maintenance and repair costs; (ii) lower recycling commodity prices and (iii) federal natural gas fuel credits received in the first quarter of 2018 that did not extend into 2019.</w:t>
      </w:r>
    </w:p>
    <w:p>
      <w:pPr>
        <w:spacing w:after="0" w:line="74" w:lineRule="exact"/>
        <w:rPr>
          <w:rFonts w:ascii="Times New Roman" w:cs="Times New Roman" w:eastAsia="Times New Roman" w:hAnsi="Times New Roman"/>
          <w:sz w:val="18"/>
          <w:szCs w:val="18"/>
          <w:color w:val="auto"/>
        </w:rPr>
      </w:pPr>
    </w:p>
    <w:p>
      <w:pPr>
        <w:jc w:val="both"/>
        <w:ind w:left="680" w:hanging="320"/>
        <w:spacing w:after="0" w:line="261"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 Lower income from operations is a result of (i) net gains from divestitures of certain ancillary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prior year periods; (ii) a $16 million non-cash charge to write off certain equipment costs in the second quarter of 2019 and (iii) increases in risk management costs as a result of higher claims costs in our collection business.</w:t>
      </w:r>
    </w:p>
    <w:p>
      <w:pPr>
        <w:spacing w:after="0" w:line="71" w:lineRule="exact"/>
        <w:rPr>
          <w:rFonts w:ascii="Times New Roman" w:cs="Times New Roman" w:eastAsia="Times New Roman" w:hAnsi="Times New Roman"/>
          <w:sz w:val="18"/>
          <w:szCs w:val="18"/>
          <w:color w:val="auto"/>
        </w:rPr>
      </w:pPr>
    </w:p>
    <w:p>
      <w:pPr>
        <w:ind w:left="680" w:hanging="320"/>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and Other </w:t>
      </w:r>
      <w:r>
        <w:rPr>
          <w:rFonts w:ascii="Times New Roman" w:cs="Times New Roman" w:eastAsia="Times New Roman" w:hAnsi="Times New Roman"/>
          <w:sz w:val="18"/>
          <w:szCs w:val="18"/>
          <w:color w:val="auto"/>
        </w:rPr>
        <w:t>— The decrease in income from operations was driven by increased expenses as a result of</w:t>
      </w:r>
    </w:p>
    <w:p>
      <w:pPr>
        <w:spacing w:after="0" w:line="29" w:lineRule="exact"/>
        <w:rPr>
          <w:rFonts w:ascii="Times New Roman" w:cs="Times New Roman" w:eastAsia="Times New Roman" w:hAnsi="Times New Roman"/>
          <w:sz w:val="18"/>
          <w:szCs w:val="18"/>
          <w:color w:val="auto"/>
        </w:rPr>
      </w:pPr>
    </w:p>
    <w:p>
      <w:pPr>
        <w:jc w:val="both"/>
        <w:ind w:left="680" w:firstLine="4"/>
        <w:spacing w:after="0" w:line="253" w:lineRule="auto"/>
        <w:tabs>
          <w:tab w:leader="none" w:pos="91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consulting fees, largely due to the investments we are making in operating, customer facing and back-office technologies; (ii) increased group insurance costs; (iii) additional litigation reserves; (iv) preparation for our pending acquisition of Advanced Disposal and (v) a $7 million charge for the remeasurement of environmental remediation obligations and recovery assets in the second quarter of 2019. Additionally, we recognized higher incentive compensation costs during the nine months ended September 30, 2019.</w:t>
      </w:r>
    </w:p>
    <w:p>
      <w:pPr>
        <w:spacing w:after="0" w:line="18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jc w:val="both"/>
        <w:ind w:firstLine="259"/>
        <w:spacing w:after="0" w:line="242" w:lineRule="auto"/>
        <w:rPr>
          <w:sz w:val="20"/>
          <w:szCs w:val="20"/>
          <w:color w:val="auto"/>
        </w:rPr>
      </w:pPr>
      <w:r>
        <w:rPr>
          <w:rFonts w:ascii="Times New Roman" w:cs="Times New Roman" w:eastAsia="Times New Roman" w:hAnsi="Times New Roman"/>
          <w:sz w:val="18"/>
          <w:szCs w:val="18"/>
          <w:color w:val="auto"/>
        </w:rPr>
        <w:t xml:space="preserve">Our interest expense, net was $105 million and $301 million during the three and nine months ended September 30, 2019, respectively, compared to $93 million and $277 million during the three and nine months ended September 30, 2018, respectively. The increases are primarily attributable to our May 2019 issuance of $4.0 billion senior notes, partially offset by related increases in interest income as a result of higher cash and cash equivalents balances. These items are discussed further below in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78" w:right="1419" w:bottom="1440" w:gutter="0" w:footer="0" w:header="0"/>
        </w:sectPr>
      </w:pPr>
    </w:p>
    <w:bookmarkStart w:id="41" w:name="page42"/>
    <w:bookmarkEnd w:id="41"/>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Loss on Early Extinguishment of Debt</w:t>
      </w:r>
    </w:p>
    <w:p>
      <w:pPr>
        <w:spacing w:after="0" w:line="227" w:lineRule="exact"/>
        <w:rPr>
          <w:sz w:val="20"/>
          <w:szCs w:val="20"/>
          <w:color w:val="auto"/>
        </w:rPr>
      </w:pPr>
    </w:p>
    <w:p>
      <w:pPr>
        <w:jc w:val="both"/>
        <w:ind w:firstLine="259"/>
        <w:spacing w:after="0" w:line="241" w:lineRule="auto"/>
        <w:rPr>
          <w:sz w:val="20"/>
          <w:szCs w:val="20"/>
          <w:color w:val="auto"/>
        </w:rPr>
      </w:pPr>
      <w:r>
        <w:rPr>
          <w:rFonts w:ascii="Times New Roman" w:cs="Times New Roman" w:eastAsia="Times New Roman" w:hAnsi="Times New Roman"/>
          <w:sz w:val="18"/>
          <w:szCs w:val="18"/>
          <w:color w:val="auto"/>
        </w:rPr>
        <w:t xml:space="preserve">In May 2019, WM issued $4.0 billion of senior notes, which are discussed further below in </w:t>
      </w:r>
      <w:r>
        <w:rPr>
          <w:rFonts w:ascii="Times New Roman" w:cs="Times New Roman" w:eastAsia="Times New Roman" w:hAnsi="Times New Roman"/>
          <w:sz w:val="18"/>
          <w:szCs w:val="18"/>
          <w:i w:val="1"/>
          <w:iCs w:val="1"/>
          <w:color w:val="auto"/>
        </w:rPr>
        <w:t>Summary of Cash and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Equivalents, Restricted Trust and Escrow Accounts and Debt Obligations</w:t>
      </w:r>
      <w:r>
        <w:rPr>
          <w:rFonts w:ascii="Times New Roman" w:cs="Times New Roman" w:eastAsia="Times New Roman" w:hAnsi="Times New Roman"/>
          <w:sz w:val="18"/>
          <w:szCs w:val="18"/>
          <w:color w:val="auto"/>
        </w:rPr>
        <w:t>. Concurrently, we used $344 million of the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from the newly issued senior notes to retire $257 million of certain high-coupon senior notes. The cash paid includes the principal amount of the debt retired, $84 million of related premiums, which are classified as loss on early extinguishment of debt in our Condensed Consolidated Statement of Operations, and $3 million of accrued interest. The principal amount of senior notes redeemed within each series was as follows:</w:t>
      </w:r>
    </w:p>
    <w:p>
      <w:pPr>
        <w:spacing w:after="0" w:line="173" w:lineRule="exact"/>
        <w:rPr>
          <w:sz w:val="20"/>
          <w:szCs w:val="20"/>
          <w:color w:val="auto"/>
        </w:rPr>
      </w:pPr>
    </w:p>
    <w:p>
      <w:pPr>
        <w:ind w:left="940" w:hanging="323"/>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$304 million of WM Holdings 7.10% senior notes due 2026, of which $56 million were tendered;</w:t>
      </w:r>
    </w:p>
    <w:p>
      <w:pPr>
        <w:spacing w:after="0" w:line="15" w:lineRule="exact"/>
        <w:rPr>
          <w:rFonts w:ascii="Times New Roman" w:cs="Times New Roman" w:eastAsia="Times New Roman" w:hAnsi="Times New Roman"/>
          <w:sz w:val="18"/>
          <w:szCs w:val="18"/>
          <w:color w:val="auto"/>
        </w:rPr>
      </w:pPr>
    </w:p>
    <w:p>
      <w:pPr>
        <w:ind w:left="940" w:hanging="323"/>
        <w:spacing w:after="0" w:line="234" w:lineRule="auto"/>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$395 million of WM 7.00% senior notes due 2028, of which $64 million were tendered;</w:t>
      </w:r>
    </w:p>
    <w:p>
      <w:pPr>
        <w:ind w:left="940" w:hanging="323"/>
        <w:spacing w:after="0" w:line="234" w:lineRule="auto"/>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$139 million of WM 7.375% senior notes due 2029, of which $58 million were tendered;</w:t>
      </w:r>
    </w:p>
    <w:p>
      <w:pPr>
        <w:ind w:left="940" w:hanging="323"/>
        <w:spacing w:after="0" w:line="234" w:lineRule="auto"/>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 million of WM 7.75% senior notes due 2032, of which $57 million were tendered; and</w:t>
      </w:r>
    </w:p>
    <w:p>
      <w:pPr>
        <w:ind w:left="940" w:hanging="323"/>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$274 million of WM 6.125% senior notes due 2039, of which $22 million were tendered.</w:t>
      </w:r>
    </w:p>
    <w:p>
      <w:pPr>
        <w:spacing w:after="0" w:line="178" w:lineRule="exact"/>
        <w:rPr>
          <w:sz w:val="20"/>
          <w:szCs w:val="20"/>
          <w:color w:val="auto"/>
        </w:rPr>
      </w:pPr>
    </w:p>
    <w:p>
      <w:pPr>
        <w:jc w:val="both"/>
        <w:ind w:firstLine="259"/>
        <w:spacing w:after="0" w:line="266" w:lineRule="auto"/>
        <w:rPr>
          <w:sz w:val="20"/>
          <w:szCs w:val="20"/>
          <w:color w:val="auto"/>
        </w:rPr>
      </w:pPr>
      <w:r>
        <w:rPr>
          <w:rFonts w:ascii="Times New Roman" w:cs="Times New Roman" w:eastAsia="Times New Roman" w:hAnsi="Times New Roman"/>
          <w:sz w:val="18"/>
          <w:szCs w:val="18"/>
          <w:color w:val="auto"/>
        </w:rPr>
        <w:t>In the third quarter of 2019, we elected to refund and reissue $99 million of tax-exempt bonds, which resulted in the recognition of a $1 million loss on early extinguishment of debt in our Condensed Consolidated Statement of Operations.</w:t>
      </w:r>
    </w:p>
    <w:p>
      <w:pPr>
        <w:spacing w:after="0" w:line="14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Other, Net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first quarter of 2019, we recognized a $52 million impairment charge related to our minority-owned investment in a waste conversion technology business. We wrote down our investment to its estimated fair value as the result of recent third-party investor’s transactions in these securities. The fair value of our investment was not readily determinable; thus, we determined the fair value utilizing a combination of quoted price inputs for the equity in our investment (Level 2) and certain management assumptions pertaining to investment value (Level 3).</w:t>
      </w:r>
    </w:p>
    <w:p>
      <w:pPr>
        <w:spacing w:after="0" w:line="1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Our income tax expense was $120 million and $350 million for the three and nine months ended September 30, 2019, respectively, compared to $99 million and $325 million for the three and nine months ended September 30, 2018, respectively. Our effective income tax rate was 19.4% and 22.2% for the three and nine months ended September 30, 2019, respectively, compared to 16.6% and 18.9% for the three and nine months ended September 30, 2018, respectively. The increase in our effective income tax rate when comparing the three and nine months ended September 30, 2019 with the prior year periods results from income tax benefits for adjustments to deferred taxes due to changes in state and foreign laws and the impacts of enactment of tax reform in 2018; partially offset by higher federal tax credits in 2019. The increase in our effective tax rate for the nine-month comparison also results from an income tax benefit related to the settlement of various tax audits in 2018 and an impairment charge in 2019 which was not deductible for tax purposes. See </w:t>
      </w:r>
      <w:r>
        <w:rPr>
          <w:rFonts w:ascii="Times New Roman" w:cs="Times New Roman" w:eastAsia="Times New Roman" w:hAnsi="Times New Roman"/>
          <w:sz w:val="18"/>
          <w:szCs w:val="18"/>
          <w:i w:val="1"/>
          <w:iCs w:val="1"/>
          <w:color w:val="auto"/>
        </w:rPr>
        <w:t>Other, Net</w:t>
      </w:r>
      <w:r>
        <w:rPr>
          <w:rFonts w:ascii="Times New Roman" w:cs="Times New Roman" w:eastAsia="Times New Roman" w:hAnsi="Times New Roman"/>
          <w:sz w:val="18"/>
          <w:szCs w:val="18"/>
          <w:color w:val="auto"/>
        </w:rPr>
        <w:t xml:space="preserve"> above for additional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consistently generates cash flow from operations that meets and exceeds its working capital needs, the payments of its dividend and investment in the business through capital expenditures and acquisitions. We continually monitor our actual and forecasted cash flows, our liquidity and our capital resources, enabling us to plan for our present needs and fund unbudgeted business activities that may arise during the year as a result of changing business conditions or new opportunities. The Company believes that its investment grade credit ratings, large value of unencumbered assets and modest leverage enable it to obtain adequate financing to meet its ongoing capital, operating and other liquidity requirements.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73" w:right="1419" w:bottom="1440" w:gutter="0" w:footer="0" w:header="0"/>
        </w:sectPr>
      </w:pPr>
    </w:p>
    <w:bookmarkStart w:id="42" w:name="page43"/>
    <w:bookmarkEnd w:id="42"/>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and Cash Equivalents, Restricted Trust and Escrow Accounts and Debt Obligations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our cash and cash equivalents, restricted trust and escrow accounts and debt balances (in millions):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60" w:type="dxa"/>
            <w:vAlign w:val="bottom"/>
            <w:tcBorders>
              <w:bottom w:val="single" w:sz="8" w:color="CCEEFF"/>
            </w:tcBorders>
          </w:tcPr>
          <w:p>
            <w:pPr>
              <w:spacing w:after="0"/>
              <w:rPr>
                <w:sz w:val="15"/>
                <w:szCs w:val="15"/>
                <w:color w:val="auto"/>
              </w:rPr>
            </w:pPr>
          </w:p>
        </w:tc>
        <w:tc>
          <w:tcPr>
            <w:tcW w:w="400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62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Restricted trust and escrow accounts:</w:t>
            </w: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80" w:type="dxa"/>
            <w:vAlign w:val="bottom"/>
            <w:gridSpan w:val="3"/>
            <w:vMerge w:val="continue"/>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Insurance reserves</w:t>
            </w:r>
          </w:p>
        </w:tc>
        <w:tc>
          <w:tcPr>
            <w:tcW w:w="9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Final capping, closure, post-closure and environmental remediation funds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6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color w:val="auto"/>
              </w:rPr>
              <w:t>Total restricted trust and escrow accounts (a)</w:t>
            </w:r>
          </w:p>
        </w:tc>
        <w:tc>
          <w:tcPr>
            <w:tcW w:w="7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Debt:</w:t>
            </w: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Current portion</w:t>
            </w:r>
          </w:p>
        </w:tc>
        <w:tc>
          <w:tcPr>
            <w:tcW w:w="9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8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Long-term portion</w:t>
            </w:r>
          </w:p>
        </w:tc>
        <w:tc>
          <w:tcPr>
            <w:tcW w:w="7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debt</w:t>
            </w:r>
          </w:p>
        </w:tc>
        <w:tc>
          <w:tcPr>
            <w:tcW w:w="760" w:type="dxa"/>
            <w:vAlign w:val="bottom"/>
          </w:tcPr>
          <w:p>
            <w:pPr>
              <w:spacing w:after="0"/>
              <w:rPr>
                <w:sz w:val="18"/>
                <w:szCs w:val="18"/>
                <w:color w:val="auto"/>
              </w:rPr>
            </w:pPr>
          </w:p>
        </w:tc>
        <w:tc>
          <w:tcPr>
            <w:tcW w:w="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40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20" w:hanging="331"/>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$70 million as of September 30, 2019 and December 31, 2018 in other current assets in our Condensed Consolidated Balance Sheets.</w:t>
      </w:r>
    </w:p>
    <w:p>
      <w:pPr>
        <w:spacing w:after="0" w:line="160"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Cash and cash equivalents at September 30, 2019, include proceeds from the May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of senior notes and our September 2019 issuance of Canadian senior notes. These items are discussed further below and in Note 3 to the Condensed Consolidated Financial Statements.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Debt — </w:t>
      </w:r>
      <w:r>
        <w:rPr>
          <w:rFonts w:ascii="Times New Roman" w:cs="Times New Roman" w:eastAsia="Times New Roman" w:hAnsi="Times New Roman"/>
          <w:sz w:val="18"/>
          <w:szCs w:val="18"/>
          <w:color w:val="auto"/>
        </w:rPr>
        <w:t>As of September 30, 2019, we had $1.3 billion of debt maturing within the next 12 months, including</w:t>
      </w:r>
    </w:p>
    <w:p>
      <w:pPr>
        <w:spacing w:after="0" w:line="29" w:lineRule="exact"/>
        <w:rPr>
          <w:sz w:val="20"/>
          <w:szCs w:val="20"/>
          <w:color w:val="auto"/>
        </w:rPr>
      </w:pPr>
    </w:p>
    <w:p>
      <w:pPr>
        <w:jc w:val="both"/>
        <w:ind w:firstLine="9"/>
        <w:spacing w:after="0" w:line="252" w:lineRule="auto"/>
        <w:tabs>
          <w:tab w:leader="none" w:pos="21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 million of 4.75% senior notes that mature in June 2020; (ii) $529 million of tax-exempt bonds with term interest rate periods that expire within the next 12 months, which is prior to their scheduled maturities, and (iii) $211 million of other debt with scheduled maturities within the next 12 months, including $124 million of tax-exempt bonds. As of September 30, 2019, we have classified $1.1 billion of debt maturing in the next 12 months as long-term because we have the intent and ability to refinance these borrowings on a long-term basis as supported by the forecasted available capacity under our $2.75 billion long-term U.S. and Canadian revolving credit facility (“$2.75 billion revolving credit facility”). The remaining $211 million is classified as current obligations.</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May 2019, WM issued $4.0 billion of senior notes consisting of:</w:t>
      </w:r>
    </w:p>
    <w:p>
      <w:pPr>
        <w:spacing w:after="0" w:line="117" w:lineRule="exact"/>
        <w:rPr>
          <w:sz w:val="20"/>
          <w:szCs w:val="20"/>
          <w:color w:val="auto"/>
        </w:rPr>
      </w:pPr>
    </w:p>
    <w:p>
      <w:pPr>
        <w:ind w:left="1000" w:hanging="316"/>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 million of 2.95% senior notes due June 15, 2024;</w:t>
      </w:r>
    </w:p>
    <w:p>
      <w:pPr>
        <w:spacing w:after="0" w:line="15" w:lineRule="exact"/>
        <w:rPr>
          <w:rFonts w:ascii="Times New Roman" w:cs="Times New Roman" w:eastAsia="Times New Roman" w:hAnsi="Times New Roman"/>
          <w:sz w:val="18"/>
          <w:szCs w:val="18"/>
          <w:color w:val="auto"/>
        </w:rPr>
      </w:pPr>
    </w:p>
    <w:p>
      <w:pPr>
        <w:ind w:left="1000" w:hanging="316"/>
        <w:spacing w:after="0" w:line="234"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 million of 3.20% senior notes due June 15, 2026;</w:t>
      </w:r>
    </w:p>
    <w:p>
      <w:pPr>
        <w:ind w:left="1000" w:hanging="316"/>
        <w:spacing w:after="0" w:line="234"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billion of 3.45% senior notes due June 15, 2029;</w:t>
      </w:r>
    </w:p>
    <w:p>
      <w:pPr>
        <w:ind w:left="1000" w:hanging="316"/>
        <w:spacing w:after="0" w:line="234"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of 4.00% senior notes due July 15, 2039; and</w:t>
      </w:r>
    </w:p>
    <w:p>
      <w:pPr>
        <w:ind w:left="1000" w:hanging="316"/>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billion of 4.15% senior notes due July 15, 2049.</w:t>
      </w:r>
    </w:p>
    <w:p>
      <w:pPr>
        <w:spacing w:after="0" w:line="178" w:lineRule="exact"/>
        <w:rPr>
          <w:sz w:val="20"/>
          <w:szCs w:val="20"/>
          <w:color w:val="auto"/>
        </w:rPr>
      </w:pPr>
    </w:p>
    <w:p>
      <w:pPr>
        <w:jc w:val="both"/>
        <w:ind w:firstLine="259"/>
        <w:spacing w:after="0" w:line="256" w:lineRule="auto"/>
        <w:rPr>
          <w:sz w:val="20"/>
          <w:szCs w:val="20"/>
          <w:color w:val="auto"/>
        </w:rPr>
      </w:pPr>
      <w:r>
        <w:rPr>
          <w:rFonts w:ascii="Times New Roman" w:cs="Times New Roman" w:eastAsia="Times New Roman" w:hAnsi="Times New Roman"/>
          <w:sz w:val="18"/>
          <w:szCs w:val="18"/>
          <w:color w:val="auto"/>
        </w:rPr>
        <w:t xml:space="preserve">The net proceeds from these debt issuances were $3.97 billion. Concurrently, we used $344 million of the net proceeds from the newly issued senior notes to retire $257 million of certain high-coupon senior notes. The cash paid includes the principal amount of the debt retired, $84 million of related premiums and $3 million of accrued interest as discussed above in </w:t>
      </w:r>
      <w:r>
        <w:rPr>
          <w:rFonts w:ascii="Times New Roman" w:cs="Times New Roman" w:eastAsia="Times New Roman" w:hAnsi="Times New Roman"/>
          <w:sz w:val="18"/>
          <w:szCs w:val="18"/>
          <w:i w:val="1"/>
          <w:iCs w:val="1"/>
          <w:color w:val="auto"/>
        </w:rPr>
        <w:t>Loss on Early Extinguishment of Debt</w:t>
      </w:r>
      <w:r>
        <w:rPr>
          <w:rFonts w:ascii="Times New Roman" w:cs="Times New Roman" w:eastAsia="Times New Roman" w:hAnsi="Times New Roman"/>
          <w:sz w:val="18"/>
          <w:szCs w:val="18"/>
          <w:color w:val="auto"/>
        </w:rPr>
        <w:t>. We used a portion of the proceeds to repay our commercial paper borrowings.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intend to use the remaining net proceeds to pay a portion of the consideration related to our pending acquisition of Advanced Disposal, which is discussed in </w:t>
      </w:r>
      <w:r>
        <w:rPr>
          <w:rFonts w:ascii="Times New Roman" w:cs="Times New Roman" w:eastAsia="Times New Roman" w:hAnsi="Times New Roman"/>
          <w:sz w:val="18"/>
          <w:szCs w:val="18"/>
          <w:i w:val="1"/>
          <w:iCs w:val="1"/>
          <w:color w:val="auto"/>
        </w:rPr>
        <w:t>Pending Acquisition</w:t>
      </w:r>
      <w:r>
        <w:rPr>
          <w:rFonts w:ascii="Times New Roman" w:cs="Times New Roman" w:eastAsia="Times New Roman" w:hAnsi="Times New Roman"/>
          <w:sz w:val="18"/>
          <w:szCs w:val="18"/>
          <w:color w:val="auto"/>
        </w:rPr>
        <w:t xml:space="preserve"> below, and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74" w:right="1419" w:bottom="1440" w:gutter="0" w:footer="0" w:header="0"/>
        </w:sectPr>
      </w:pPr>
    </w:p>
    <w:bookmarkStart w:id="43" w:name="page44"/>
    <w:bookmarkEnd w:id="43"/>
    <w:p>
      <w:pPr>
        <w:jc w:val="both"/>
        <w:ind w:firstLine="259"/>
        <w:spacing w:after="0" w:line="261" w:lineRule="auto"/>
        <w:rPr>
          <w:sz w:val="20"/>
          <w:szCs w:val="20"/>
          <w:color w:val="auto"/>
        </w:rPr>
      </w:pPr>
      <w:r>
        <w:rPr>
          <w:rFonts w:ascii="Times New Roman" w:cs="Times New Roman" w:eastAsia="Times New Roman" w:hAnsi="Times New Roman"/>
          <w:sz w:val="18"/>
          <w:szCs w:val="18"/>
          <w:color w:val="auto"/>
        </w:rPr>
        <w:t>In September 2019, Waste Management of Canada Corporation, an indirect wholly-owned subsidiary of WM, issued C$500 million, or $377 million, of 2.6% senior notes due September 23, 2026, all of which are fully and unconditionally guaranteed on a senior unsecured basis by WM and WM Holdings. The net proceeds from the debt issuance were C$496 million, or $373 million, which we intend to use for general corporate purposes.</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See Note 3 to the Condensed Consolidated Financial Statements for more information related to the debt transactions.</w:t>
      </w:r>
    </w:p>
    <w:p>
      <w:pPr>
        <w:spacing w:after="0" w:line="2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 Activity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our cash flows (in millions):</w:t>
      </w:r>
    </w:p>
    <w:p>
      <w:pPr>
        <w:spacing w:after="0" w:line="124" w:lineRule="exact"/>
        <w:rPr>
          <w:sz w:val="20"/>
          <w:szCs w:val="20"/>
          <w:color w:val="auto"/>
        </w:rPr>
      </w:pPr>
    </w:p>
    <w:p>
      <w:pPr>
        <w:jc w:val="center"/>
        <w:ind w:left="70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702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0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20" w:type="dxa"/>
            <w:vAlign w:val="bottom"/>
            <w:gridSpan w:val="2"/>
            <w:vMerge w:val="continue"/>
          </w:tcPr>
          <w:p>
            <w:pPr>
              <w:spacing w:after="0"/>
              <w:rPr>
                <w:sz w:val="20"/>
                <w:szCs w:val="20"/>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(2,096)</w:t>
            </w:r>
          </w:p>
        </w:tc>
        <w:tc>
          <w:tcPr>
            <w:tcW w:w="200" w:type="dxa"/>
            <w:vAlign w:val="bottom"/>
            <w:vMerge w:val="continue"/>
          </w:tcPr>
          <w:p>
            <w:pPr>
              <w:spacing w:after="0"/>
              <w:rPr>
                <w:sz w:val="20"/>
                <w:szCs w:val="20"/>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(1,506)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2,080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 </w:t>
      </w:r>
      <w:r>
        <w:rPr>
          <w:rFonts w:ascii="Times New Roman" w:cs="Times New Roman" w:eastAsia="Times New Roman" w:hAnsi="Times New Roman"/>
          <w:sz w:val="18"/>
          <w:szCs w:val="18"/>
          <w:color w:val="auto"/>
        </w:rPr>
        <w:t>Our operating cash flows increased by $194 million for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2019, as compared with the prior year period, as a result of (i) higher earnings in the current year period primarily associated with our collection and disposal business and (ii) net favorable changes in our operating assets and liabilities, net of effects of acquisitions and divestitures; offset slightly by higher interest payments in the current year period.</w:t>
      </w:r>
    </w:p>
    <w:p>
      <w:pPr>
        <w:spacing w:after="0" w:line="18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 </w:t>
      </w:r>
      <w:r>
        <w:rPr>
          <w:rFonts w:ascii="Times New Roman" w:cs="Times New Roman" w:eastAsia="Times New Roman" w:hAnsi="Times New Roman"/>
          <w:sz w:val="18"/>
          <w:szCs w:val="18"/>
          <w:color w:val="auto"/>
        </w:rPr>
        <w:t>The most significant items included in our investing cash flows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2019 and 2018 are summarized below:</w:t>
      </w:r>
    </w:p>
    <w:p>
      <w:pPr>
        <w:spacing w:after="0" w:line="158" w:lineRule="exact"/>
        <w:rPr>
          <w:sz w:val="20"/>
          <w:szCs w:val="20"/>
          <w:color w:val="auto"/>
        </w:rPr>
      </w:pPr>
    </w:p>
    <w:p>
      <w:pPr>
        <w:jc w:val="both"/>
        <w:ind w:left="680" w:hanging="320"/>
        <w:spacing w:after="0" w:line="259"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 We spent $513 million and $342 million for acquisitions during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2019 and 2018, respectively, related to our Solid Waste business. These amounts exclude cash used in financing and operating activities related to the timing of contingent consideration paid. Our acquisition spending in 2019 is primarily attributable to Petro Waste Environmental LP, which is discussed further in Note 9 to the Condensed Consolidated Financial Statements.</w:t>
      </w:r>
    </w:p>
    <w:p>
      <w:pPr>
        <w:spacing w:after="0" w:line="179" w:lineRule="exact"/>
        <w:rPr>
          <w:rFonts w:ascii="Times New Roman" w:cs="Times New Roman" w:eastAsia="Times New Roman" w:hAnsi="Times New Roman"/>
          <w:sz w:val="18"/>
          <w:szCs w:val="18"/>
          <w:color w:val="auto"/>
        </w:rPr>
      </w:pPr>
    </w:p>
    <w:p>
      <w:pPr>
        <w:jc w:val="both"/>
        <w:ind w:left="680" w:hanging="320"/>
        <w:spacing w:after="0" w:line="261"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 Expenditures — </w:t>
      </w:r>
      <w:r>
        <w:rPr>
          <w:rFonts w:ascii="Times New Roman" w:cs="Times New Roman" w:eastAsia="Times New Roman" w:hAnsi="Times New Roman"/>
          <w:sz w:val="18"/>
          <w:szCs w:val="18"/>
          <w:color w:val="auto"/>
        </w:rPr>
        <w:t>We used $1,532 million and $1,240 million for capital expenditures during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2019 and 2018, respectively. The increase is primarily due to an intentional focus on accelerating certain collection fleet and landfill spending to support the Company’s strong collection and disposal growth.</w:t>
      </w:r>
    </w:p>
    <w:p>
      <w:pPr>
        <w:spacing w:after="0" w:line="180" w:lineRule="exact"/>
        <w:rPr>
          <w:rFonts w:ascii="Times New Roman" w:cs="Times New Roman" w:eastAsia="Times New Roman" w:hAnsi="Times New Roman"/>
          <w:sz w:val="18"/>
          <w:szCs w:val="18"/>
          <w:color w:val="auto"/>
        </w:rPr>
      </w:pPr>
    </w:p>
    <w:p>
      <w:pPr>
        <w:jc w:val="both"/>
        <w:ind w:left="680" w:hanging="320"/>
        <w:spacing w:after="0" w:line="25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Net — </w:t>
      </w:r>
      <w:r>
        <w:rPr>
          <w:rFonts w:ascii="Times New Roman" w:cs="Times New Roman" w:eastAsia="Times New Roman" w:hAnsi="Times New Roman"/>
          <w:sz w:val="18"/>
          <w:szCs w:val="18"/>
          <w:color w:val="auto"/>
        </w:rPr>
        <w:t>We used $80 million of cash for other investing activities during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2019, which was primarily related to (i) changes in our investments portfolio associated with a wholly-owned insurance captive from restricted cash and cash equivalents to available-for-sale securities and (ii) a $20 million initial cash payment for low-income housing investments, which is discussed further in Note 5 to the Condensed Consolidated Financial Statements. These items were partially offset by cash proceeds from the redemption of our preferred stock received in conjunction with the 2014 sale of our Puerto Rico operations, which is discussed in Note 13 to the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78" w:right="1419" w:bottom="1440" w:gutter="0" w:footer="0" w:header="0"/>
        </w:sectPr>
      </w:pPr>
    </w:p>
    <w:bookmarkStart w:id="44" w:name="page45"/>
    <w:bookmarkEnd w:id="44"/>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Cash Provided by (Used in) Financing Activities — </w:t>
      </w:r>
      <w:r>
        <w:rPr>
          <w:rFonts w:ascii="Times New Roman" w:cs="Times New Roman" w:eastAsia="Times New Roman" w:hAnsi="Times New Roman"/>
          <w:sz w:val="18"/>
          <w:szCs w:val="18"/>
          <w:color w:val="auto"/>
        </w:rPr>
        <w:t>The most significant items affecting the comparison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cash flows for the nine months ended September 30, 2019 and 2018 are summarized below:</w:t>
      </w:r>
    </w:p>
    <w:p>
      <w:pPr>
        <w:spacing w:after="0" w:line="50" w:lineRule="exact"/>
        <w:rPr>
          <w:sz w:val="20"/>
          <w:szCs w:val="20"/>
          <w:color w:val="auto"/>
        </w:rPr>
      </w:pPr>
    </w:p>
    <w:p>
      <w:pPr>
        <w:ind w:left="680" w:hanging="320"/>
        <w:spacing w:after="0" w:line="284"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Debt Borrowings (Repayments) — </w:t>
      </w:r>
      <w:r>
        <w:rPr>
          <w:rFonts w:ascii="Times New Roman" w:cs="Times New Roman" w:eastAsia="Times New Roman" w:hAnsi="Times New Roman"/>
          <w:sz w:val="18"/>
          <w:szCs w:val="18"/>
          <w:color w:val="auto"/>
        </w:rPr>
        <w:t>The following summarizes our cash borrowings and repayments of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(excluding our commercial paper program discussed below) for the nine months ended September 30 (in millions):</w:t>
      </w:r>
    </w:p>
    <w:p>
      <w:pPr>
        <w:spacing w:after="0" w:line="59"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2260" w:type="dxa"/>
            <w:vAlign w:val="bottom"/>
            <w:tcBorders>
              <w:bottom w:val="single" w:sz="8" w:color="CCEEFF"/>
            </w:tcBorders>
          </w:tcPr>
          <w:p>
            <w:pPr>
              <w:spacing w:after="0"/>
              <w:rPr>
                <w:sz w:val="15"/>
                <w:szCs w:val="15"/>
                <w:color w:val="auto"/>
              </w:rPr>
            </w:pPr>
          </w:p>
        </w:tc>
        <w:tc>
          <w:tcPr>
            <w:tcW w:w="39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Revolving credit facility (a)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6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Canadian term loan and revolving credit facility</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notes</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Canadian senior notes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Tax-exempt bonds</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debt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0"/>
        </w:trPr>
        <w:tc>
          <w:tcPr>
            <w:tcW w:w="2260" w:type="dxa"/>
            <w:vAlign w:val="bottom"/>
            <w:tcBorders>
              <w:bottom w:val="single" w:sz="8" w:color="CCEEFF"/>
            </w:tcBorders>
          </w:tcPr>
          <w:p>
            <w:pPr>
              <w:spacing w:after="0"/>
              <w:rPr>
                <w:sz w:val="18"/>
                <w:szCs w:val="18"/>
                <w:color w:val="auto"/>
              </w:rPr>
            </w:pPr>
          </w:p>
        </w:tc>
        <w:tc>
          <w:tcPr>
            <w:tcW w:w="39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10"/>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Repayments</w:t>
            </w: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Revolving credit facility (a)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6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Canadian term loan and revolving credit facility</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6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notes</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(257)</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Tax-exempt bonds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(193)</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6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debt</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0"/>
        </w:trPr>
        <w:tc>
          <w:tcPr>
            <w:tcW w:w="2260" w:type="dxa"/>
            <w:vAlign w:val="bottom"/>
            <w:tcBorders>
              <w:top w:val="single" w:sz="8" w:color="CCEEFF"/>
            </w:tcBorders>
            <w:shd w:val="clear" w:color="auto" w:fill="CCEEFF"/>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10"/>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Net cash borrowings (repayments)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0"/>
        </w:trPr>
        <w:tc>
          <w:tcPr>
            <w:tcW w:w="22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89"/>
        </w:trPr>
        <w:tc>
          <w:tcPr>
            <w:tcW w:w="2260" w:type="dxa"/>
            <w:vAlign w:val="bottom"/>
            <w:tcBorders>
              <w:bottom w:val="single" w:sz="8" w:color="auto"/>
            </w:tcBorders>
          </w:tcPr>
          <w:p>
            <w:pPr>
              <w:spacing w:after="0"/>
              <w:rPr>
                <w:sz w:val="7"/>
                <w:szCs w:val="7"/>
                <w:color w:val="auto"/>
              </w:rPr>
            </w:pPr>
          </w:p>
        </w:tc>
        <w:tc>
          <w:tcPr>
            <w:tcW w:w="3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r>
    </w:tbl>
    <w:p>
      <w:pPr>
        <w:spacing w:after="0" w:line="7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  Our revolving credit facility was amended and restated in June 2018.</w:t>
      </w:r>
    </w:p>
    <w:p>
      <w:pPr>
        <w:spacing w:after="0" w:line="117"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Refer to Note 3 to the Condensed Consolidated Financial Statements for additional information related to our debt borrowings and repayments.</w:t>
      </w:r>
    </w:p>
    <w:p>
      <w:pPr>
        <w:spacing w:after="0" w:line="52" w:lineRule="exact"/>
        <w:rPr>
          <w:sz w:val="20"/>
          <w:szCs w:val="20"/>
          <w:color w:val="auto"/>
        </w:rPr>
      </w:pPr>
    </w:p>
    <w:p>
      <w:pPr>
        <w:jc w:val="both"/>
        <w:ind w:left="680" w:hanging="320"/>
        <w:spacing w:after="0" w:line="267"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Premiums Paid on Early Extinguishment of Debt — </w:t>
      </w:r>
      <w:r>
        <w:rPr>
          <w:rFonts w:ascii="Times New Roman" w:cs="Times New Roman" w:eastAsia="Times New Roman" w:hAnsi="Times New Roman"/>
          <w:sz w:val="18"/>
          <w:szCs w:val="18"/>
          <w:color w:val="auto"/>
        </w:rPr>
        <w:t>During the nine months ended September 30, 2019, we 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premiums of $84 million to retire certain high-coupon senior notes. See Note 3 to the Condensed Consolidated Financial Statements for further discussion of this transaction.</w:t>
      </w:r>
    </w:p>
    <w:p>
      <w:pPr>
        <w:spacing w:after="0" w:line="65" w:lineRule="exact"/>
        <w:rPr>
          <w:rFonts w:ascii="Times New Roman" w:cs="Times New Roman" w:eastAsia="Times New Roman" w:hAnsi="Times New Roman"/>
          <w:sz w:val="18"/>
          <w:szCs w:val="18"/>
          <w:color w:val="auto"/>
        </w:rPr>
      </w:pPr>
    </w:p>
    <w:p>
      <w:pPr>
        <w:jc w:val="both"/>
        <w:ind w:left="680" w:hanging="320"/>
        <w:spacing w:after="0" w:line="259"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Commercial Paper Program — </w:t>
      </w:r>
      <w:r>
        <w:rPr>
          <w:rFonts w:ascii="Times New Roman" w:cs="Times New Roman" w:eastAsia="Times New Roman" w:hAnsi="Times New Roman"/>
          <w:sz w:val="18"/>
          <w:szCs w:val="18"/>
          <w:color w:val="auto"/>
        </w:rPr>
        <w:t>During the nine months ended September 30, 2019 and 2018, we made net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repayments of $1,001 million and had net cash borrowings of $523 million (net of the related discount on issuance), respectively, under our commercial paper program. We repaid the outstanding balance in the second quarter of 2019 with proceeds from the May 2019 issuance of senior notes discussed above. Borrowings incurred in 2019 were primarily to support acquisitions and for general corporate purposes.</w:t>
      </w:r>
    </w:p>
    <w:p>
      <w:pPr>
        <w:spacing w:after="0" w:line="71" w:lineRule="exact"/>
        <w:rPr>
          <w:rFonts w:ascii="Times New Roman" w:cs="Times New Roman" w:eastAsia="Times New Roman" w:hAnsi="Times New Roman"/>
          <w:sz w:val="18"/>
          <w:szCs w:val="18"/>
          <w:color w:val="auto"/>
        </w:rPr>
      </w:pPr>
    </w:p>
    <w:p>
      <w:pPr>
        <w:jc w:val="both"/>
        <w:ind w:left="680" w:hanging="320"/>
        <w:spacing w:after="0" w:line="256"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Common Stock Repurchase Program — </w:t>
      </w:r>
      <w:r>
        <w:rPr>
          <w:rFonts w:ascii="Times New Roman" w:cs="Times New Roman" w:eastAsia="Times New Roman" w:hAnsi="Times New Roman"/>
          <w:sz w:val="18"/>
          <w:szCs w:val="18"/>
          <w:color w:val="auto"/>
        </w:rPr>
        <w:t>During the nine months ended September 30, 2019, we repurchased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$244 million of our common stock, which includes $180 million related to the May 2019 accelerated share repurchase agreement and $64 million in open market transactions. We also paid $4 million related to share repurchases executed in December 2018. We expect these 2019 share repurchases to achieve the intended share count reduction to offset dilution from our stock-based compensation plans. During the nine months ended September 30, 2018, we repurchased $750 million of our common stock. See Note 12 to the Condensed Consolidated Financial Statements for additional information.</w:t>
      </w:r>
    </w:p>
    <w:p>
      <w:pPr>
        <w:spacing w:after="0" w:line="75"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18"/>
          <w:szCs w:val="18"/>
          <w:color w:val="auto"/>
        </w:rPr>
        <w:t xml:space="preserve">As a result of the pending acquisition of Advanced Disposal discussed in </w:t>
      </w:r>
      <w:r>
        <w:rPr>
          <w:rFonts w:ascii="Times New Roman" w:cs="Times New Roman" w:eastAsia="Times New Roman" w:hAnsi="Times New Roman"/>
          <w:sz w:val="18"/>
          <w:szCs w:val="18"/>
          <w:i w:val="1"/>
          <w:iCs w:val="1"/>
          <w:color w:val="auto"/>
        </w:rPr>
        <w:t>Pending Acquisition</w:t>
      </w:r>
      <w:r>
        <w:rPr>
          <w:rFonts w:ascii="Times New Roman" w:cs="Times New Roman" w:eastAsia="Times New Roman" w:hAnsi="Times New Roman"/>
          <w:sz w:val="18"/>
          <w:szCs w:val="18"/>
          <w:color w:val="auto"/>
        </w:rPr>
        <w:t xml:space="preserve"> below, we do not expect additional share repurchases in 2019.</w:t>
      </w:r>
    </w:p>
    <w:p>
      <w:pPr>
        <w:spacing w:after="0" w:line="50" w:lineRule="exact"/>
        <w:rPr>
          <w:sz w:val="20"/>
          <w:szCs w:val="20"/>
          <w:color w:val="auto"/>
        </w:rPr>
      </w:pPr>
    </w:p>
    <w:p>
      <w:pPr>
        <w:ind w:left="680" w:hanging="320"/>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Dividends — </w:t>
      </w:r>
      <w:r>
        <w:rPr>
          <w:rFonts w:ascii="Times New Roman" w:cs="Times New Roman" w:eastAsia="Times New Roman" w:hAnsi="Times New Roman"/>
          <w:sz w:val="18"/>
          <w:szCs w:val="18"/>
          <w:color w:val="auto"/>
        </w:rPr>
        <w:t>For the periods presented, all dividends have been declared by our Board of Directors.</w:t>
      </w:r>
    </w:p>
    <w:p>
      <w:pPr>
        <w:spacing w:after="0" w:line="11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We paid cash dividends of $658 million and $605 million during the nine months ended September 30, 2019 and 2018, respectively. The increase in dividend payments is primarily due to our quarterly per share dividend increasing from $0.465 in 2018 to $0.5125 in 2019.</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75" w:right="1419" w:bottom="1440" w:gutter="0" w:footer="0" w:header="0"/>
        </w:sectPr>
      </w:pPr>
    </w:p>
    <w:bookmarkStart w:id="45" w:name="page46"/>
    <w:bookmarkEnd w:id="45"/>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is our practice, 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We believe free cash flow gives investors useful insight into how we view our liquidity, but the use of free cash flow as a liquidity measure has material limitations because it excludes certain expenditures that are required or that we have committed to, such as declared dividend payments and debt service requirements.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calculation of free cash flow and reconciliation to net cash provided by operating activities is shown in the table below (in millions), and may not be calculated the same as similarly-titled measures presented by other companies: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4"/>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5"/>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5"/>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57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r>
      <w:tr>
        <w:trPr>
          <w:trHeight w:val="198"/>
        </w:trPr>
        <w:tc>
          <w:tcPr>
            <w:tcW w:w="20" w:type="dxa"/>
            <w:vAlign w:val="bottom"/>
          </w:tcPr>
          <w:p>
            <w:pPr>
              <w:spacing w:after="0"/>
              <w:rPr>
                <w:sz w:val="17"/>
                <w:szCs w:val="17"/>
                <w:color w:val="auto"/>
              </w:rPr>
            </w:pPr>
          </w:p>
        </w:tc>
        <w:tc>
          <w:tcPr>
            <w:tcW w:w="5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divestitures of businesses and other assets (net of cash</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divested)</w:t>
            </w:r>
          </w:p>
        </w:tc>
        <w:tc>
          <w:tcPr>
            <w:tcW w:w="1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0"/>
        </w:trPr>
        <w:tc>
          <w:tcPr>
            <w:tcW w:w="20" w:type="dxa"/>
            <w:vAlign w:val="bottom"/>
          </w:tcPr>
          <w:p>
            <w:pPr>
              <w:spacing w:after="0"/>
              <w:rPr>
                <w:sz w:val="18"/>
                <w:szCs w:val="18"/>
                <w:color w:val="auto"/>
              </w:rPr>
            </w:pPr>
          </w:p>
        </w:tc>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Free cash flow</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w:t>
            </w: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Pending Acquisition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April 14, 2019, we entered into an Agreement and Plan of Merger (the “Merger Agreement”) to acquire all outstanding shares of Advanced Disposal for $33.15 per share in cash, representing a total enterprise value of $4.9 billion when including approximately $1.9 billion of Advanced Disposal’s net debt. Advanced Disposal’s solid waste network includes 95 collection operations, 73 transfer stations, 41 owned or operated landfills and 22 owned or operated recycling facilities. The transaction is expected to close during the first quarter of 2020, subject to the satisfaction of customary closing conditions, including regulatory approvals. On June 28, 2019, Advanced Disposal announced that 85.9% of the outstanding shares of its common stock entitled to vote were voted in favor of the proposal to adopt the Merger Agreement at a special meeting of stockholders held that day.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Assumptions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and reserves associated with our insured and self-insured claims, as described in Item 7 of our Annual Report on Form 10-K for the year ended December 31, 2018. Actual results could differ materially from the estimates and assumptions that we use in the preparation of our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have financial interests in unconsolidated variable interest entities as discussed in Note 14 to the Condensed Consolidated Financial Statements. Additionally, we are party to guarantee arrangements with unconsolidated entities as discussed in the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xml:space="preserve"> section of Note 7 to the Condensed Consolidated Financial Statements. These arrangements have not materially affected our financial position, results of operations or liquidity during the nine months ended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73" w:right="1419" w:bottom="1440" w:gutter="0" w:footer="0" w:header="0"/>
        </w:sectPr>
      </w:pPr>
    </w:p>
    <w:bookmarkStart w:id="46" w:name="page47"/>
    <w:bookmarkEnd w:id="4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September 30, 2019, nor are they expected to have a material impact on our future financial position, results of operations or liquidity.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 Trends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operating revenues tend to be somewhat higher in summer months, primarily due to the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Service disruptions caused by severe storms, extended periods of inclement weather or climate extremes resulting from climate change can significantly affect the operating results of the Areas impacted. On the other hand, certain destructive weather and climate conditions, such as wildfires in the Western U.S. and hurricanes that most often impact our operations in the Southern and Eastern U.S. during the second half of the year, can increase our revenues in the Areas affected. While weather-related and other event driven special projects can boost revenues through additional work for a limited time, such revenue can generate earnings at comparatively lower margins as a result of significant start-up costs and other factors.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While inflationary increases in costs can affect our income from operations margins, we believe that inflation generally has not had, and in the near future is not expected to have, any material adverse effect on our results of operations. However, a portion of our collection revenues are generated under long-term agreements with price adjustments based on various indices intended to measure inflation. Additionally, management’s estimates associated with inflation have had, and will continue to have, an impact on our accounting for landfill and environmental remediation liabilities.</w:t>
      </w:r>
    </w:p>
    <w:p>
      <w:pPr>
        <w:spacing w:after="0" w:line="18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Information about market risks as of September 30, 2019 does not differ materially from that discussed under Item 7A in our Annual Report on Form 10-K for the year ended December 31, 2018.</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Effectiveness of Controls and Procedures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and financial officers, has evaluated the effectiveness of our disclosure controls and procedures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September 30, 2019 (the end of the period covered by this Quarterly Report on Form 10-Q).</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together with our CEO and CFO, evaluated the changes in our internal control over financial reporting during the quarter ended September 30, 2019. We determined that there were no changes in our internal control over financial reporting during the quarter ended September 30, 2019 that have materially affected, or are reasonably likely to materially affect, our internal control over financial reporting.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78" w:right="141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Information regarding our legal proceedings can be found under the </w:t>
      </w:r>
      <w:r>
        <w:rPr>
          <w:rFonts w:ascii="Times New Roman" w:cs="Times New Roman" w:eastAsia="Times New Roman" w:hAnsi="Times New Roman"/>
          <w:sz w:val="18"/>
          <w:szCs w:val="18"/>
          <w:i w:val="1"/>
          <w:iCs w:val="1"/>
          <w:color w:val="auto"/>
        </w:rPr>
        <w:t>Environmental Matters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sections of Note 7 to the Condensed Consolidated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Part I, Item 1A of our Annual Report on Form 10-K for the year ended December 31, 2018 and in Part II, Item 1A of our Quarterly Report on Form 10-Q for the quarter ended March 31,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following table summarizes common stock repurchases made during the third quarter of 2019 (shares in millions):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Approximate 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 Shares that</w:t>
            </w:r>
          </w:p>
        </w:tc>
        <w:tc>
          <w:tcPr>
            <w:tcW w:w="0" w:type="dxa"/>
            <w:vAlign w:val="bottom"/>
          </w:tcPr>
          <w:p>
            <w:pPr>
              <w:spacing w:after="0"/>
              <w:rPr>
                <w:sz w:val="1"/>
                <w:szCs w:val="1"/>
                <w:color w:val="auto"/>
              </w:rPr>
            </w:pPr>
          </w:p>
        </w:tc>
      </w:tr>
      <w:tr>
        <w:trPr>
          <w:trHeight w:val="149"/>
        </w:trPr>
        <w:tc>
          <w:tcPr>
            <w:tcW w:w="3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2"/>
                <w:szCs w:val="12"/>
                <w:color w:val="auto"/>
              </w:rPr>
            </w:pPr>
          </w:p>
        </w:tc>
        <w:tc>
          <w:tcPr>
            <w:tcW w:w="100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300" w:type="dxa"/>
            <w:vAlign w:val="bottom"/>
          </w:tcPr>
          <w:p>
            <w:pPr>
              <w:spacing w:after="0"/>
              <w:rPr>
                <w:sz w:val="12"/>
                <w:szCs w:val="12"/>
                <w:color w:val="auto"/>
              </w:rPr>
            </w:pPr>
          </w:p>
        </w:tc>
        <w:tc>
          <w:tcPr>
            <w:tcW w:w="19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 Under</w:t>
            </w:r>
          </w:p>
        </w:tc>
        <w:tc>
          <w:tcPr>
            <w:tcW w:w="0" w:type="dxa"/>
            <w:vAlign w:val="bottom"/>
          </w:tcPr>
          <w:p>
            <w:pPr>
              <w:spacing w:after="0"/>
              <w:rPr>
                <w:sz w:val="1"/>
                <w:szCs w:val="1"/>
                <w:color w:val="auto"/>
              </w:rPr>
            </w:pPr>
          </w:p>
        </w:tc>
      </w:tr>
      <w:tr>
        <w:trPr>
          <w:trHeight w:val="173"/>
        </w:trPr>
        <w:tc>
          <w:tcPr>
            <w:tcW w:w="3560" w:type="dxa"/>
            <w:vAlign w:val="bottom"/>
            <w:gridSpan w:val="3"/>
            <w:vMerge w:val="continue"/>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300" w:type="dxa"/>
            <w:vAlign w:val="bottom"/>
          </w:tcPr>
          <w:p>
            <w:pPr>
              <w:spacing w:after="0"/>
              <w:rPr>
                <w:sz w:val="15"/>
                <w:szCs w:val="15"/>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the Plans or Programs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 31</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1.3 billion</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 — 31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1.3 billion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 — 30</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114.76</w:t>
            </w:r>
          </w:p>
        </w:tc>
        <w:tc>
          <w:tcPr>
            <w:tcW w:w="30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1.3 billion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114.76</w:t>
            </w:r>
          </w:p>
        </w:tc>
        <w:tc>
          <w:tcPr>
            <w:tcW w:w="3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May 2019, we entered into an accelerated share repurchase (“ASR”) agreement to repurchase $180 million of our common stock. At the beginning of the repurchase period, we delivered $180 million cash and received 1.3 million shares based on a stock price of $109.59. The ASR agreement completed in September 2019, at which time we received 0.3 million additional shares based on a final weighted average per share price of $114.76.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Information concerning mine safety and other regulatory matters required by Section 1503(a) of the Dodd-Frank Wall Street Reform and Consumer Protection Act and Item 104 of Regulation S-K is included in Exhibit 95 to this quarterly report.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74" w:right="14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80" w:type="dxa"/>
            <w:vAlign w:val="bottom"/>
            <w:gridSpan w:val="5"/>
          </w:tcPr>
          <w:p>
            <w:pPr>
              <w:ind w:left="16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91"/>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24"/>
                <w:szCs w:val="24"/>
                <w:color w:val="auto"/>
              </w:rPr>
            </w:pPr>
          </w:p>
        </w:tc>
        <w:tc>
          <w:tcPr>
            <w:tcW w:w="7880" w:type="dxa"/>
            <w:vAlign w:val="bottom"/>
            <w:gridSpan w:val="7"/>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Certification Pursuant to Rules 13a-14(a) and 15d-14(a) under the Securities Exchange Act of 1934, as</w:t>
              </w:r>
            </w:hyperlink>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amended, of James C. Fish, Jr., President and Chief Executive Officer.</w:t>
              </w:r>
            </w:hyperlink>
          </w:p>
        </w:tc>
        <w:tc>
          <w:tcPr>
            <w:tcW w:w="280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24"/>
                <w:szCs w:val="24"/>
                <w:color w:val="auto"/>
              </w:rPr>
            </w:pPr>
          </w:p>
        </w:tc>
        <w:tc>
          <w:tcPr>
            <w:tcW w:w="7880" w:type="dxa"/>
            <w:vAlign w:val="bottom"/>
            <w:gridSpan w:val="7"/>
          </w:tcPr>
          <w:p>
            <w:pPr>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Certification Pursuant to Rules 13a-14(a) and 15d-14(a) under the Securities Exchange Act of 1934, as</w:t>
              </w:r>
            </w:hyperlink>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6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amended, of Devina A. Rankin, Senior Vice President and Chief Financial Officer.</w:t>
              </w:r>
            </w:hyperlink>
          </w:p>
        </w:tc>
        <w:tc>
          <w:tcPr>
            <w:tcW w:w="20" w:type="dxa"/>
            <w:vAlign w:val="bottom"/>
          </w:tcPr>
          <w:p>
            <w:pPr>
              <w:spacing w:after="0"/>
              <w:rPr>
                <w:sz w:val="17"/>
                <w:szCs w:val="17"/>
                <w:color w:val="auto"/>
              </w:rPr>
            </w:pPr>
          </w:p>
        </w:tc>
      </w:tr>
      <w:tr>
        <w:trPr>
          <w:trHeight w:val="20"/>
        </w:trPr>
        <w:tc>
          <w:tcPr>
            <w:tcW w:w="9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140" w:type="dxa"/>
            <w:vAlign w:val="bottom"/>
            <w:gridSpan w:val="2"/>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31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24"/>
                <w:szCs w:val="24"/>
                <w:color w:val="auto"/>
              </w:rPr>
            </w:pPr>
          </w:p>
        </w:tc>
        <w:tc>
          <w:tcPr>
            <w:tcW w:w="7880" w:type="dxa"/>
            <w:vAlign w:val="bottom"/>
            <w:gridSpan w:val="7"/>
          </w:tcPr>
          <w:p>
            <w:pPr>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Certification Pursuant to 18 U.S.C. §1350 of James C. Fish, Jr., President and Chief Executive Officer.</w:t>
              </w:r>
            </w:hyperlink>
          </w:p>
        </w:tc>
      </w:tr>
      <w:tr>
        <w:trPr>
          <w:trHeight w:val="20"/>
        </w:trPr>
        <w:tc>
          <w:tcPr>
            <w:tcW w:w="9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58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31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24"/>
                <w:szCs w:val="24"/>
                <w:color w:val="auto"/>
              </w:rPr>
            </w:pPr>
          </w:p>
        </w:tc>
        <w:tc>
          <w:tcPr>
            <w:tcW w:w="78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Certification Pursuant to 18 U.S.C. §1350 of Devina A. Rankin, Senior Vice President and Chief Financial</w:t>
              </w:r>
            </w:hyperlink>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80" w:type="dxa"/>
            <w:vAlign w:val="bottom"/>
            <w:gridSpan w:val="7"/>
          </w:tcPr>
          <w:p>
            <w:pPr>
              <w:spacing w:after="0" w:line="19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Officer.</w:t>
              </w:r>
            </w:hyperlink>
          </w:p>
        </w:tc>
      </w:tr>
      <w:tr>
        <w:trPr>
          <w:trHeight w:val="20"/>
        </w:trPr>
        <w:tc>
          <w:tcPr>
            <w:tcW w:w="9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80" w:type="dxa"/>
            <w:vAlign w:val="bottom"/>
            <w:gridSpan w:val="5"/>
          </w:tcPr>
          <w:p>
            <w:pPr>
              <w:spacing w:after="0" w:line="20" w:lineRule="exact"/>
              <w:rPr>
                <w:sz w:val="1"/>
                <w:szCs w:val="1"/>
                <w:color w:val="auto"/>
              </w:rPr>
            </w:pPr>
          </w:p>
        </w:tc>
      </w:tr>
      <w:tr>
        <w:trPr>
          <w:trHeight w:val="31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Pr>
          <w:p>
            <w:pPr>
              <w:spacing w:after="0"/>
              <w:rPr>
                <w:sz w:val="24"/>
                <w:szCs w:val="24"/>
                <w:color w:val="auto"/>
              </w:rPr>
            </w:pPr>
          </w:p>
        </w:tc>
        <w:tc>
          <w:tcPr>
            <w:tcW w:w="7880" w:type="dxa"/>
            <w:vAlign w:val="bottom"/>
            <w:gridSpan w:val="7"/>
          </w:tcPr>
          <w:p>
            <w:pPr>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Mine Safety Disclosures.</w:t>
              </w:r>
            </w:hyperlink>
          </w:p>
        </w:tc>
      </w:tr>
      <w:tr>
        <w:trPr>
          <w:trHeight w:val="20"/>
        </w:trPr>
        <w:tc>
          <w:tcPr>
            <w:tcW w:w="9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6080" w:type="dxa"/>
            <w:vAlign w:val="bottom"/>
            <w:gridSpan w:val="5"/>
          </w:tcPr>
          <w:p>
            <w:pPr>
              <w:spacing w:after="0" w:line="20" w:lineRule="exact"/>
              <w:rPr>
                <w:sz w:val="1"/>
                <w:szCs w:val="1"/>
                <w:color w:val="auto"/>
              </w:rPr>
            </w:pPr>
          </w:p>
        </w:tc>
      </w:tr>
      <w:tr>
        <w:trPr>
          <w:trHeight w:val="34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240" w:type="dxa"/>
            <w:vAlign w:val="bottom"/>
          </w:tcPr>
          <w:p>
            <w:pPr>
              <w:spacing w:after="0"/>
              <w:rPr>
                <w:sz w:val="24"/>
                <w:szCs w:val="24"/>
                <w:color w:val="auto"/>
              </w:rPr>
            </w:pPr>
          </w:p>
        </w:tc>
        <w:tc>
          <w:tcPr>
            <w:tcW w:w="788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Files because its</w:t>
            </w:r>
          </w:p>
        </w:tc>
      </w:tr>
      <w:tr>
        <w:trPr>
          <w:trHeight w:val="234"/>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r>
      <w:tr>
        <w:trPr>
          <w:trHeight w:val="33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240" w:type="dxa"/>
            <w:vAlign w:val="bottom"/>
          </w:tcPr>
          <w:p>
            <w:pPr>
              <w:spacing w:after="0"/>
              <w:rPr>
                <w:sz w:val="24"/>
                <w:szCs w:val="24"/>
                <w:color w:val="auto"/>
              </w:rPr>
            </w:pPr>
          </w:p>
        </w:tc>
        <w:tc>
          <w:tcPr>
            <w:tcW w:w="78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3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240" w:type="dxa"/>
            <w:vAlign w:val="bottom"/>
          </w:tcPr>
          <w:p>
            <w:pPr>
              <w:spacing w:after="0"/>
              <w:rPr>
                <w:sz w:val="24"/>
                <w:szCs w:val="24"/>
                <w:color w:val="auto"/>
              </w:rPr>
            </w:pPr>
          </w:p>
        </w:tc>
        <w:tc>
          <w:tcPr>
            <w:tcW w:w="78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3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240" w:type="dxa"/>
            <w:vAlign w:val="bottom"/>
          </w:tcPr>
          <w:p>
            <w:pPr>
              <w:spacing w:after="0"/>
              <w:rPr>
                <w:sz w:val="24"/>
                <w:szCs w:val="24"/>
                <w:color w:val="auto"/>
              </w:rPr>
            </w:pPr>
          </w:p>
        </w:tc>
        <w:tc>
          <w:tcPr>
            <w:tcW w:w="78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3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240" w:type="dxa"/>
            <w:vAlign w:val="bottom"/>
          </w:tcPr>
          <w:p>
            <w:pPr>
              <w:spacing w:after="0"/>
              <w:rPr>
                <w:sz w:val="24"/>
                <w:szCs w:val="24"/>
                <w:color w:val="auto"/>
              </w:rPr>
            </w:pPr>
          </w:p>
        </w:tc>
        <w:tc>
          <w:tcPr>
            <w:tcW w:w="78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33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240" w:type="dxa"/>
            <w:vAlign w:val="bottom"/>
          </w:tcPr>
          <w:p>
            <w:pPr>
              <w:spacing w:after="0"/>
              <w:rPr>
                <w:sz w:val="24"/>
                <w:szCs w:val="24"/>
                <w:color w:val="auto"/>
              </w:rPr>
            </w:pPr>
          </w:p>
        </w:tc>
        <w:tc>
          <w:tcPr>
            <w:tcW w:w="78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319"/>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104</w:t>
            </w:r>
          </w:p>
        </w:tc>
        <w:tc>
          <w:tcPr>
            <w:tcW w:w="240" w:type="dxa"/>
            <w:vAlign w:val="bottom"/>
          </w:tcPr>
          <w:p>
            <w:pPr>
              <w:spacing w:after="0"/>
              <w:rPr>
                <w:sz w:val="24"/>
                <w:szCs w:val="24"/>
                <w:color w:val="auto"/>
              </w:rPr>
            </w:pPr>
          </w:p>
        </w:tc>
        <w:tc>
          <w:tcPr>
            <w:tcW w:w="78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w:t>
            </w:r>
          </w:p>
        </w:tc>
      </w:tr>
      <w:tr>
        <w:trPr>
          <w:trHeight w:val="234"/>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Data File because its XBRL tags are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14408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7" w:lineRule="exact"/>
        <w:rPr>
          <w:sz w:val="20"/>
          <w:szCs w:val="20"/>
          <w:color w:val="auto"/>
        </w:rPr>
      </w:pPr>
    </w:p>
    <w:p>
      <w:pPr>
        <w:ind w:left="260" w:hanging="251"/>
        <w:spacing w:after="0"/>
        <w:tabs>
          <w:tab w:leader="none" w:pos="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Furnished herewith.</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90" w:right="141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tbl>
      <w:tblPr>
        <w:tblLayout w:type="fixed"/>
        <w:tblInd w:w="462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DEVINA A. RANKIN</w:t>
            </w:r>
          </w:p>
        </w:tc>
      </w:tr>
      <w:tr>
        <w:trPr>
          <w:trHeight w:val="189"/>
        </w:trPr>
        <w:tc>
          <w:tcPr>
            <w:tcW w:w="340" w:type="dxa"/>
            <w:vAlign w:val="bottom"/>
          </w:tcPr>
          <w:p>
            <w:pPr>
              <w:spacing w:after="0"/>
              <w:rPr>
                <w:sz w:val="16"/>
                <w:szCs w:val="16"/>
                <w:color w:val="auto"/>
              </w:rPr>
            </w:pPr>
          </w:p>
        </w:tc>
        <w:tc>
          <w:tcPr>
            <w:tcW w:w="41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Devina A. Rankin</w:t>
            </w:r>
          </w:p>
        </w:tc>
      </w:tr>
      <w:tr>
        <w:trPr>
          <w:trHeight w:val="216"/>
        </w:trPr>
        <w:tc>
          <w:tcPr>
            <w:tcW w:w="34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Senior Vice President and</w:t>
            </w:r>
          </w:p>
        </w:tc>
      </w:tr>
      <w:tr>
        <w:trPr>
          <w:trHeight w:val="216"/>
        </w:trPr>
        <w:tc>
          <w:tcPr>
            <w:tcW w:w="34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34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432"/>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LESLIE K. NAGY</w:t>
            </w:r>
          </w:p>
        </w:tc>
      </w:tr>
      <w:tr>
        <w:trPr>
          <w:trHeight w:val="189"/>
        </w:trPr>
        <w:tc>
          <w:tcPr>
            <w:tcW w:w="340" w:type="dxa"/>
            <w:vAlign w:val="bottom"/>
          </w:tcPr>
          <w:p>
            <w:pPr>
              <w:spacing w:after="0"/>
              <w:rPr>
                <w:sz w:val="16"/>
                <w:szCs w:val="16"/>
                <w:color w:val="auto"/>
              </w:rPr>
            </w:pPr>
          </w:p>
        </w:tc>
        <w:tc>
          <w:tcPr>
            <w:tcW w:w="41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Leslie K. Nagy</w:t>
            </w:r>
          </w:p>
        </w:tc>
      </w:tr>
      <w:tr>
        <w:trPr>
          <w:trHeight w:val="216"/>
        </w:trPr>
        <w:tc>
          <w:tcPr>
            <w:tcW w:w="34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Vice President and</w:t>
            </w:r>
          </w:p>
        </w:tc>
      </w:tr>
      <w:tr>
        <w:trPr>
          <w:trHeight w:val="216"/>
        </w:trPr>
        <w:tc>
          <w:tcPr>
            <w:tcW w:w="34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Accounting Officer</w:t>
            </w:r>
          </w:p>
        </w:tc>
      </w:tr>
      <w:tr>
        <w:trPr>
          <w:trHeight w:val="236"/>
        </w:trPr>
        <w:tc>
          <w:tcPr>
            <w:tcW w:w="34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23,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73" w:right="141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jc w:val="center"/>
        <w:ind w:left="1440" w:right="9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C. Fish, Jr., certify that:</w:t>
      </w:r>
    </w:p>
    <w:p>
      <w:pPr>
        <w:spacing w:after="0" w:line="158" w:lineRule="exact"/>
        <w:rPr>
          <w:sz w:val="20"/>
          <w:szCs w:val="20"/>
          <w:color w:val="auto"/>
        </w:rPr>
      </w:pPr>
    </w:p>
    <w:p>
      <w:pPr>
        <w:ind w:left="560" w:hanging="233"/>
        <w:spacing w:after="0"/>
        <w:tabs>
          <w:tab w:leader="none" w:pos="5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Waste Management, Inc.;</w:t>
      </w:r>
    </w:p>
    <w:p>
      <w:pPr>
        <w:spacing w:after="0" w:line="157" w:lineRule="exact"/>
        <w:rPr>
          <w:rFonts w:ascii="Times New Roman" w:cs="Times New Roman" w:eastAsia="Times New Roman" w:hAnsi="Times New Roman"/>
          <w:sz w:val="18"/>
          <w:szCs w:val="18"/>
          <w:color w:val="auto"/>
        </w:rPr>
      </w:pPr>
    </w:p>
    <w:p>
      <w:pPr>
        <w:ind w:right="160" w:firstLine="327"/>
        <w:spacing w:after="0" w:line="266" w:lineRule="auto"/>
        <w:tabs>
          <w:tab w:leader="none" w:pos="55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right="60" w:firstLine="327"/>
        <w:spacing w:after="0" w:line="266" w:lineRule="auto"/>
        <w:tabs>
          <w:tab w:leader="none" w:pos="5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right="220" w:firstLine="327"/>
        <w:spacing w:after="0" w:line="266" w:lineRule="auto"/>
        <w:tabs>
          <w:tab w:leader="none" w:pos="53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08" w:lineRule="exact"/>
        <w:rPr>
          <w:rFonts w:ascii="Times New Roman" w:cs="Times New Roman" w:eastAsia="Times New Roman" w:hAnsi="Times New Roman"/>
          <w:sz w:val="18"/>
          <w:szCs w:val="18"/>
          <w:color w:val="auto"/>
        </w:rPr>
      </w:pPr>
    </w:p>
    <w:p>
      <w:pPr>
        <w:ind w:left="320" w:right="180" w:firstLine="331"/>
        <w:spacing w:after="0" w:line="261" w:lineRule="auto"/>
        <w:tabs>
          <w:tab w:leader="none" w:pos="90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8"/>
          <w:szCs w:val="18"/>
          <w:color w:val="auto"/>
        </w:rPr>
      </w:pPr>
    </w:p>
    <w:p>
      <w:pPr>
        <w:ind w:left="320" w:right="80" w:firstLine="331"/>
        <w:spacing w:after="0" w:line="261" w:lineRule="auto"/>
        <w:tabs>
          <w:tab w:leader="none" w:pos="89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8"/>
          <w:szCs w:val="18"/>
          <w:color w:val="auto"/>
        </w:rPr>
      </w:pPr>
    </w:p>
    <w:p>
      <w:pPr>
        <w:jc w:val="both"/>
        <w:ind w:left="320" w:right="60" w:firstLine="331"/>
        <w:spacing w:after="0" w:line="266" w:lineRule="auto"/>
        <w:tabs>
          <w:tab w:leader="none" w:pos="89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320" w:right="180" w:firstLine="331"/>
        <w:spacing w:after="0" w:line="261" w:lineRule="auto"/>
        <w:tabs>
          <w:tab w:leader="none" w:pos="90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2" w:lineRule="exact"/>
        <w:rPr>
          <w:rFonts w:ascii="Times New Roman" w:cs="Times New Roman" w:eastAsia="Times New Roman" w:hAnsi="Times New Roman"/>
          <w:sz w:val="18"/>
          <w:szCs w:val="18"/>
          <w:color w:val="auto"/>
        </w:rPr>
      </w:pPr>
    </w:p>
    <w:p>
      <w:pPr>
        <w:ind w:right="440" w:firstLine="327"/>
        <w:spacing w:after="0" w:line="266" w:lineRule="auto"/>
        <w:tabs>
          <w:tab w:leader="none" w:pos="53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jc w:val="both"/>
        <w:ind w:left="320" w:right="60" w:firstLine="331"/>
        <w:spacing w:after="0" w:line="266" w:lineRule="auto"/>
        <w:tabs>
          <w:tab w:leader="none" w:pos="89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320" w:right="80" w:firstLine="331"/>
        <w:spacing w:after="0" w:line="282" w:lineRule="auto"/>
        <w:tabs>
          <w:tab w:leader="none" w:pos="88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tbl>
      <w:tblPr>
        <w:tblLayout w:type="fixed"/>
        <w:tblInd w:w="454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9"/>
              </w:rPr>
              <w:t>By:</w:t>
            </w:r>
          </w:p>
        </w:tc>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C. FISH, JR.</w:t>
            </w:r>
          </w:p>
        </w:tc>
      </w:tr>
      <w:tr>
        <w:trPr>
          <w:trHeight w:val="189"/>
        </w:trPr>
        <w:tc>
          <w:tcPr>
            <w:tcW w:w="280" w:type="dxa"/>
            <w:vAlign w:val="bottom"/>
          </w:tcPr>
          <w:p>
            <w:pPr>
              <w:spacing w:after="0"/>
              <w:rPr>
                <w:sz w:val="16"/>
                <w:szCs w:val="16"/>
                <w:color w:val="auto"/>
              </w:rPr>
            </w:pPr>
          </w:p>
        </w:tc>
        <w:tc>
          <w:tcPr>
            <w:tcW w:w="42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James C. Fish, Jr.</w:t>
            </w:r>
          </w:p>
        </w:tc>
      </w:tr>
      <w:tr>
        <w:trPr>
          <w:trHeight w:val="236"/>
        </w:trPr>
        <w:tc>
          <w:tcPr>
            <w:tcW w:w="280" w:type="dxa"/>
            <w:vAlign w:val="bottom"/>
          </w:tcPr>
          <w:p>
            <w:pPr>
              <w:spacing w:after="0"/>
              <w:rPr>
                <w:sz w:val="20"/>
                <w:szCs w:val="20"/>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454660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7" w:right="141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ind w:left="1440" w:right="9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Devina A. Rankin, certify that:</w:t>
      </w:r>
    </w:p>
    <w:p>
      <w:pPr>
        <w:spacing w:after="0" w:line="158" w:lineRule="exact"/>
        <w:rPr>
          <w:sz w:val="20"/>
          <w:szCs w:val="20"/>
          <w:color w:val="auto"/>
        </w:rPr>
      </w:pPr>
    </w:p>
    <w:p>
      <w:pPr>
        <w:ind w:left="560" w:hanging="233"/>
        <w:spacing w:after="0"/>
        <w:tabs>
          <w:tab w:leader="none" w:pos="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Waste Management, Inc.;</w:t>
      </w:r>
    </w:p>
    <w:p>
      <w:pPr>
        <w:spacing w:after="0" w:line="157" w:lineRule="exact"/>
        <w:rPr>
          <w:rFonts w:ascii="Times New Roman" w:cs="Times New Roman" w:eastAsia="Times New Roman" w:hAnsi="Times New Roman"/>
          <w:sz w:val="18"/>
          <w:szCs w:val="18"/>
          <w:color w:val="auto"/>
        </w:rPr>
      </w:pPr>
    </w:p>
    <w:p>
      <w:pPr>
        <w:ind w:right="160" w:firstLine="327"/>
        <w:spacing w:after="0" w:line="266" w:lineRule="auto"/>
        <w:tabs>
          <w:tab w:leader="none" w:pos="55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right="60" w:firstLine="327"/>
        <w:spacing w:after="0" w:line="266" w:lineRule="auto"/>
        <w:tabs>
          <w:tab w:leader="none" w:pos="5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right="220" w:firstLine="327"/>
        <w:spacing w:after="0" w:line="266" w:lineRule="auto"/>
        <w:tabs>
          <w:tab w:leader="none" w:pos="53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08" w:lineRule="exact"/>
        <w:rPr>
          <w:rFonts w:ascii="Times New Roman" w:cs="Times New Roman" w:eastAsia="Times New Roman" w:hAnsi="Times New Roman"/>
          <w:sz w:val="18"/>
          <w:szCs w:val="18"/>
          <w:color w:val="auto"/>
        </w:rPr>
      </w:pPr>
    </w:p>
    <w:p>
      <w:pPr>
        <w:ind w:left="320" w:right="180" w:firstLine="331"/>
        <w:spacing w:after="0" w:line="261" w:lineRule="auto"/>
        <w:tabs>
          <w:tab w:leader="none" w:pos="90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8"/>
          <w:szCs w:val="18"/>
          <w:color w:val="auto"/>
        </w:rPr>
      </w:pPr>
    </w:p>
    <w:p>
      <w:pPr>
        <w:ind w:left="320" w:right="80" w:firstLine="331"/>
        <w:spacing w:after="0" w:line="261" w:lineRule="auto"/>
        <w:tabs>
          <w:tab w:leader="none" w:pos="89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8"/>
          <w:szCs w:val="18"/>
          <w:color w:val="auto"/>
        </w:rPr>
      </w:pPr>
    </w:p>
    <w:p>
      <w:pPr>
        <w:jc w:val="both"/>
        <w:ind w:left="320" w:right="60" w:firstLine="331"/>
        <w:spacing w:after="0" w:line="266" w:lineRule="auto"/>
        <w:tabs>
          <w:tab w:leader="none" w:pos="89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320" w:right="180" w:firstLine="331"/>
        <w:spacing w:after="0" w:line="261" w:lineRule="auto"/>
        <w:tabs>
          <w:tab w:leader="none" w:pos="90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2" w:lineRule="exact"/>
        <w:rPr>
          <w:rFonts w:ascii="Times New Roman" w:cs="Times New Roman" w:eastAsia="Times New Roman" w:hAnsi="Times New Roman"/>
          <w:sz w:val="18"/>
          <w:szCs w:val="18"/>
          <w:color w:val="auto"/>
        </w:rPr>
      </w:pPr>
    </w:p>
    <w:p>
      <w:pPr>
        <w:ind w:right="440" w:firstLine="327"/>
        <w:spacing w:after="0" w:line="266" w:lineRule="auto"/>
        <w:tabs>
          <w:tab w:leader="none" w:pos="53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jc w:val="both"/>
        <w:ind w:left="320" w:right="60" w:firstLine="331"/>
        <w:spacing w:after="0" w:line="266" w:lineRule="auto"/>
        <w:tabs>
          <w:tab w:leader="none" w:pos="89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320" w:right="80" w:firstLine="331"/>
        <w:spacing w:after="0" w:line="282" w:lineRule="auto"/>
        <w:tabs>
          <w:tab w:leader="none" w:pos="88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tbl>
      <w:tblPr>
        <w:tblLayout w:type="fixed"/>
        <w:tblInd w:w="458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DEVINA A. RANKIN</w:t>
            </w:r>
          </w:p>
        </w:tc>
      </w:tr>
      <w:tr>
        <w:trPr>
          <w:trHeight w:val="189"/>
        </w:trPr>
        <w:tc>
          <w:tcPr>
            <w:tcW w:w="300" w:type="dxa"/>
            <w:vAlign w:val="bottom"/>
          </w:tcPr>
          <w:p>
            <w:pPr>
              <w:spacing w:after="0"/>
              <w:rPr>
                <w:sz w:val="16"/>
                <w:szCs w:val="16"/>
                <w:color w:val="auto"/>
              </w:rPr>
            </w:pPr>
          </w:p>
        </w:tc>
        <w:tc>
          <w:tcPr>
            <w:tcW w:w="4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Devina A. Rankin</w:t>
            </w:r>
          </w:p>
        </w:tc>
      </w:tr>
      <w:tr>
        <w:trPr>
          <w:trHeight w:val="236"/>
        </w:trPr>
        <w:tc>
          <w:tcPr>
            <w:tcW w:w="30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Senior Vice President and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7" w:right="141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Waste Management, Inc. (the “Company”) on Form 10-Q for the period ended September 30, 2019 as filed with the Securities and Exchange Commission on the date hereof (the “Report”), I, James C. Fish, Jr., Chief Executive Officer of the Company, certify, pursuant to 18 U.S.C. § 1350, as adopted pursuant to § 906 of the Sarbanes-Oxley Act of 2002, that:</w:t>
      </w:r>
    </w:p>
    <w:p>
      <w:pPr>
        <w:spacing w:after="0" w:line="180" w:lineRule="exact"/>
        <w:rPr>
          <w:sz w:val="20"/>
          <w:szCs w:val="20"/>
          <w:color w:val="auto"/>
        </w:rPr>
      </w:pPr>
    </w:p>
    <w:p>
      <w:pPr>
        <w:ind w:left="320" w:right="320" w:firstLine="331"/>
        <w:spacing w:after="0" w:line="282" w:lineRule="auto"/>
        <w:tabs>
          <w:tab w:leader="none" w:pos="94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320" w:right="400" w:firstLine="331"/>
        <w:spacing w:after="0" w:line="282" w:lineRule="auto"/>
        <w:tabs>
          <w:tab w:leader="none" w:pos="94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54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C. FISH, JR.</w:t>
            </w:r>
          </w:p>
        </w:tc>
      </w:tr>
      <w:tr>
        <w:trPr>
          <w:trHeight w:val="189"/>
        </w:trPr>
        <w:tc>
          <w:tcPr>
            <w:tcW w:w="340" w:type="dxa"/>
            <w:vAlign w:val="bottom"/>
          </w:tcPr>
          <w:p>
            <w:pPr>
              <w:spacing w:after="0"/>
              <w:rPr>
                <w:sz w:val="16"/>
                <w:szCs w:val="16"/>
                <w:color w:val="auto"/>
              </w:rPr>
            </w:pPr>
          </w:p>
        </w:tc>
        <w:tc>
          <w:tcPr>
            <w:tcW w:w="4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James C. Fish, Jr.</w:t>
            </w:r>
          </w:p>
        </w:tc>
      </w:tr>
      <w:tr>
        <w:trPr>
          <w:trHeight w:val="236"/>
        </w:trPr>
        <w:tc>
          <w:tcPr>
            <w:tcW w:w="34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7" w:right="141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Waste Management, Inc. (the “Company”) on Form 10-Q for the period ended September 30, 2019 as filed with the Securities and Exchange Commission on the date hereof (the “Report”), I, Devina A. Rankin, Chief Financial Officer of the Company, certify, pursuant to 18 U.S.C. § 1350, as adopted pursuant to § 906 of the Sarbanes-Oxley Act of 2002, that:</w:t>
      </w:r>
    </w:p>
    <w:p>
      <w:pPr>
        <w:spacing w:after="0" w:line="180" w:lineRule="exact"/>
        <w:rPr>
          <w:sz w:val="20"/>
          <w:szCs w:val="20"/>
          <w:color w:val="auto"/>
        </w:rPr>
      </w:pPr>
    </w:p>
    <w:p>
      <w:pPr>
        <w:ind w:left="320" w:right="320" w:firstLine="331"/>
        <w:spacing w:after="0" w:line="282" w:lineRule="auto"/>
        <w:tabs>
          <w:tab w:leader="none" w:pos="94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320" w:firstLine="331"/>
        <w:spacing w:after="0" w:line="282" w:lineRule="auto"/>
        <w:tabs>
          <w:tab w:leader="none" w:pos="98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22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DEVINA A. RANKIN</w:t>
            </w:r>
          </w:p>
        </w:tc>
      </w:tr>
      <w:tr>
        <w:trPr>
          <w:trHeight w:val="189"/>
        </w:trPr>
        <w:tc>
          <w:tcPr>
            <w:tcW w:w="320" w:type="dxa"/>
            <w:vAlign w:val="bottom"/>
          </w:tcPr>
          <w:p>
            <w:pPr>
              <w:spacing w:after="0"/>
              <w:rPr>
                <w:sz w:val="16"/>
                <w:szCs w:val="16"/>
                <w:color w:val="auto"/>
              </w:rPr>
            </w:pPr>
          </w:p>
        </w:tc>
        <w:tc>
          <w:tcPr>
            <w:tcW w:w="45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Devina A. Rankin</w:t>
            </w:r>
          </w:p>
        </w:tc>
      </w:tr>
      <w:tr>
        <w:trPr>
          <w:trHeight w:val="236"/>
        </w:trPr>
        <w:tc>
          <w:tcPr>
            <w:tcW w:w="32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Senior Vice President and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497840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7" w:right="141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Disclosures</w:t>
      </w:r>
    </w:p>
    <w:p>
      <w:pPr>
        <w:spacing w:after="0" w:line="148"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18" w:lineRule="exact"/>
        <w:rPr>
          <w:sz w:val="20"/>
          <w:szCs w:val="20"/>
          <w:color w:val="auto"/>
        </w:rPr>
      </w:pPr>
    </w:p>
    <w:p>
      <w:pPr>
        <w:jc w:val="both"/>
        <w:ind w:firstLine="324"/>
        <w:spacing w:after="0" w:line="212" w:lineRule="auto"/>
        <w:rPr>
          <w:sz w:val="20"/>
          <w:szCs w:val="20"/>
          <w:color w:val="auto"/>
        </w:rPr>
      </w:pPr>
      <w:r>
        <w:rPr>
          <w:rFonts w:ascii="Times New Roman" w:cs="Times New Roman" w:eastAsia="Times New Roman" w:hAnsi="Times New Roman"/>
          <w:sz w:val="18"/>
          <w:szCs w:val="18"/>
          <w:color w:val="auto"/>
        </w:rPr>
        <w:t>During the quarter ended September 30, 2019,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117" w:lineRule="exact"/>
        <w:rPr>
          <w:sz w:val="20"/>
          <w:szCs w:val="20"/>
          <w:color w:val="auto"/>
        </w:rPr>
      </w:pPr>
    </w:p>
    <w:p>
      <w:pPr>
        <w:jc w:val="both"/>
        <w:ind w:firstLine="324"/>
        <w:spacing w:after="0" w:line="217" w:lineRule="auto"/>
        <w:rPr>
          <w:sz w:val="20"/>
          <w:szCs w:val="20"/>
          <w:color w:val="auto"/>
        </w:rPr>
      </w:pPr>
      <w:r>
        <w:rPr>
          <w:rFonts w:ascii="Times New Roman" w:cs="Times New Roman" w:eastAsia="Times New Roman" w:hAnsi="Times New Roman"/>
          <w:sz w:val="18"/>
          <w:szCs w:val="18"/>
          <w:color w:val="auto"/>
        </w:rPr>
        <w:t>In addition, during the quarter ended September 30, 2019,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575310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4"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decimal"/>
      <w:start w:val="2"/>
    </w:lvl>
  </w:abstractNum>
  <w:abstractNum w:abstractNumId="4">
    <w:nsid w:val="519B500D"/>
    <w:multiLevelType w:val="hybridMultilevel"/>
    <w:lvl w:ilvl="0">
      <w:lvlJc w:val="left"/>
      <w:lvlText w:val="(%1)"/>
      <w:numFmt w:val="lowerLetter"/>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decimal"/>
      <w:start w:val="6"/>
    </w:lvl>
  </w:abstractNum>
  <w:abstractNum w:abstractNumId="8">
    <w:nsid w:val="257130A3"/>
    <w:multiLevelType w:val="hybridMultilevel"/>
    <w:lvl w:ilvl="0">
      <w:lvlJc w:val="left"/>
      <w:lvlText w:val="(%1)"/>
      <w:numFmt w:val="lowerLetter"/>
      <w:start w:val="1"/>
    </w:lvl>
  </w:abstractNum>
  <w:abstractNum w:abstractNumId="9">
    <w:nsid w:val="62BBD95A"/>
    <w:multiLevelType w:val="hybridMultilevel"/>
    <w:lvl w:ilvl="0">
      <w:lvlJc w:val="left"/>
      <w:lvlText w:val="(%1)"/>
      <w:numFmt w:val="lowerLetter"/>
      <w:start w:val="1"/>
    </w:lvl>
    <w:lvl w:ilvl="1">
      <w:lvlJc w:val="left"/>
      <w:lvlText w:val="(%2)"/>
      <w:numFmt w:val="lowerLetter"/>
      <w:start w:val="61"/>
    </w:lvl>
  </w:abstractNum>
  <w:abstractNum w:abstractNumId="10">
    <w:nsid w:val="436C6125"/>
    <w:multiLevelType w:val="hybridMultilevel"/>
    <w:lvl w:ilvl="0">
      <w:lvlJc w:val="left"/>
      <w:lvlText w:val="(%1)"/>
      <w:numFmt w:val="lowerLetter"/>
      <w:start w:val="1"/>
    </w:lvl>
  </w:abstractNum>
  <w:abstractNum w:abstractNumId="11">
    <w:nsid w:val="628C895D"/>
    <w:multiLevelType w:val="hybridMultilevel"/>
    <w:lvl w:ilvl="0">
      <w:lvlJc w:val="left"/>
      <w:lvlText w:val="(%1)"/>
      <w:numFmt w:val="lowerLetter"/>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1)"/>
      <w:numFmt w:val="lowerLetter"/>
      <w:start w:val="1"/>
    </w:lvl>
    <w:lvl w:ilvl="1">
      <w:lvlJc w:val="left"/>
      <w:lvlText w:val="(%2)"/>
      <w:numFmt w:val="lowerLetter"/>
      <w:start w:val="61"/>
    </w:lvl>
  </w:abstractNum>
  <w:abstractNum w:abstractNumId="14">
    <w:nsid w:val="2443A858"/>
    <w:multiLevelType w:val="hybridMultilevel"/>
    <w:lvl w:ilvl="0">
      <w:lvlJc w:val="left"/>
      <w:lvlText w:val="(%1)"/>
      <w:numFmt w:val="lowerLetter"/>
      <w:start w:val="1"/>
    </w:lvl>
  </w:abstractNum>
  <w:abstractNum w:abstractNumId="15">
    <w:nsid w:val="2D1D5AE9"/>
    <w:multiLevelType w:val="hybridMultilevel"/>
    <w:lvl w:ilvl="0">
      <w:lvlJc w:val="left"/>
      <w:lvlText w:val="(%1)"/>
      <w:numFmt w:val="lowerRoman"/>
      <w:start w:val="2"/>
    </w:lvl>
  </w:abstractNum>
  <w:abstractNum w:abstractNumId="16">
    <w:nsid w:val="6763845E"/>
    <w:multiLevelType w:val="hybridMultilevel"/>
    <w:lvl w:ilvl="0">
      <w:lvlJc w:val="left"/>
      <w:lvlText w:val="●"/>
      <w:numFmt w:val="bullet"/>
      <w:start w:val="1"/>
    </w:lvl>
    <w:lvl w:ilvl="1">
      <w:lvlJc w:val="left"/>
      <w:lvlText w:val="(%2)"/>
      <w:numFmt w:val="lowerRoman"/>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lowerLetter"/>
      <w:start w:val="1"/>
    </w:lvl>
  </w:abstractNum>
  <w:abstractNum w:abstractNumId="19">
    <w:nsid w:val="79838CB2"/>
    <w:multiLevelType w:val="hybridMultilevel"/>
    <w:lvl w:ilvl="0">
      <w:lvlJc w:val="left"/>
      <w:lvlText w:val="(%1)"/>
      <w:numFmt w:val="lowerRoman"/>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lowerRoman"/>
      <w:start w:val="1"/>
    </w:lvl>
    <w:lvl w:ilvl="1">
      <w:lvlJc w:val="left"/>
      <w:lvlText w:val="%2."/>
      <w:numFmt w:val="upperLetter"/>
      <w:start w:val="1"/>
    </w:lvl>
  </w:abstractNum>
  <w:abstractNum w:abstractNumId="27">
    <w:nsid w:val="2901D82"/>
    <w:multiLevelType w:val="hybridMultilevel"/>
    <w:lvl w:ilvl="0">
      <w:lvlJc w:val="left"/>
      <w:lvlText w:val="%1."/>
      <w:numFmt w:val="lowerRoman"/>
      <w:start w:val="1"/>
    </w:lvl>
    <w:lvl w:ilvl="1">
      <w:lvlJc w:val="left"/>
      <w:lvlText w:val="%2."/>
      <w:numFmt w:val="upp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2019-12-28T05:05:53Z</dcterms:created>
  <dcterms:modified xsi:type="dcterms:W3CDTF">2019-12-28T05:05:53Z</dcterms:modified>
</cp:coreProperties>
</file>