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5"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8" w:lineRule="exact"/>
        <w:rPr>
          <w:sz w:val="24"/>
          <w:szCs w:val="24"/>
          <w:color w:val="auto"/>
        </w:rPr>
      </w:pPr>
    </w:p>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726757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14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220"/>
        <w:spacing w:after="0"/>
        <w:rPr>
          <w:sz w:val="20"/>
          <w:szCs w:val="20"/>
          <w:color w:val="auto"/>
        </w:rPr>
      </w:pPr>
      <w:r>
        <w:rPr>
          <w:rFonts w:ascii="Arial" w:cs="Arial" w:eastAsia="Arial" w:hAnsi="Arial"/>
          <w:sz w:val="27"/>
          <w:szCs w:val="27"/>
          <w:b w:val="1"/>
          <w:bCs w:val="1"/>
          <w:color w:val="auto"/>
        </w:rPr>
        <w:t>SCHEDULE 14A</w:t>
      </w:r>
    </w:p>
    <w:p>
      <w:pPr>
        <w:spacing w:after="0" w:line="19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117475</wp:posOffset>
            </wp:positionV>
            <wp:extent cx="19043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436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140"/>
        <w:spacing w:after="0" w:line="173" w:lineRule="exact"/>
        <w:tabs>
          <w:tab w:leader="none" w:pos="3160" w:val="left"/>
        </w:tabs>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Filed by a Party other than the Registrant o</w:t>
      </w:r>
    </w:p>
    <w:p>
      <w:pPr>
        <w:spacing w:after="0" w:line="200" w:lineRule="exact"/>
        <w:rPr>
          <w:sz w:val="24"/>
          <w:szCs w:val="24"/>
          <w:color w:val="auto"/>
        </w:rPr>
      </w:pPr>
    </w:p>
    <w:p>
      <w:pPr>
        <w:spacing w:after="0" w:line="387"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Check the appropriate box:</w:t>
      </w:r>
    </w:p>
    <w:p>
      <w:pPr>
        <w:spacing w:after="0" w:line="194" w:lineRule="exact"/>
        <w:rPr>
          <w:sz w:val="24"/>
          <w:szCs w:val="24"/>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89" w:lineRule="exact"/>
        <w:rPr>
          <w:rFonts w:ascii="Arial" w:cs="Arial" w:eastAsia="Arial" w:hAnsi="Arial"/>
          <w:sz w:val="15"/>
          <w:szCs w:val="15"/>
          <w:color w:val="auto"/>
        </w:rPr>
      </w:pPr>
    </w:p>
    <w:p>
      <w:pPr>
        <w:ind w:left="1460" w:hanging="324"/>
        <w:spacing w:after="0"/>
        <w:tabs>
          <w:tab w:leader="none" w:pos="14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98" w:lineRule="exact"/>
        <w:rPr>
          <w:sz w:val="24"/>
          <w:szCs w:val="24"/>
          <w:color w:val="auto"/>
        </w:rPr>
      </w:pPr>
    </w:p>
    <w:p>
      <w:pPr>
        <w:ind w:left="1460" w:hanging="324"/>
        <w:spacing w:after="0"/>
        <w:tabs>
          <w:tab w:leader="none" w:pos="14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94" w:lineRule="exact"/>
        <w:rPr>
          <w:sz w:val="24"/>
          <w:szCs w:val="24"/>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193" w:lineRule="exact"/>
        <w:rPr>
          <w:rFonts w:ascii="Arial" w:cs="Arial" w:eastAsia="Arial" w:hAnsi="Arial"/>
          <w:sz w:val="15"/>
          <w:szCs w:val="15"/>
          <w:color w:val="auto"/>
        </w:rPr>
      </w:pPr>
    </w:p>
    <w:p>
      <w:pPr>
        <w:ind w:left="1460" w:hanging="324"/>
        <w:spacing w:after="0"/>
        <w:tabs>
          <w:tab w:leader="none" w:pos="1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Pursuant to Rule 14a-12</w:t>
      </w:r>
    </w:p>
    <w:p>
      <w:pPr>
        <w:spacing w:after="0" w:line="165" w:lineRule="exact"/>
        <w:rPr>
          <w:sz w:val="24"/>
          <w:szCs w:val="24"/>
          <w:color w:val="auto"/>
        </w:rPr>
      </w:pPr>
    </w:p>
    <w:p>
      <w:pPr>
        <w:ind w:left="4260"/>
        <w:spacing w:after="0"/>
        <w:rPr>
          <w:sz w:val="20"/>
          <w:szCs w:val="20"/>
          <w:color w:val="auto"/>
        </w:rPr>
      </w:pPr>
      <w:r>
        <w:rPr>
          <w:rFonts w:ascii="Arial" w:cs="Arial" w:eastAsia="Arial" w:hAnsi="Arial"/>
          <w:sz w:val="27"/>
          <w:szCs w:val="27"/>
          <w:b w:val="1"/>
          <w:bCs w:val="1"/>
          <w:color w:val="auto"/>
        </w:rPr>
        <w:t>Waste Management, Inc.</w:t>
      </w:r>
    </w:p>
    <w:p>
      <w:pPr>
        <w:spacing w:after="0" w:line="40" w:lineRule="exact"/>
        <w:rPr>
          <w:sz w:val="24"/>
          <w:szCs w:val="24"/>
          <w:color w:val="auto"/>
        </w:rPr>
      </w:pPr>
    </w:p>
    <w:p>
      <w:pPr>
        <w:ind w:left="4180"/>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178" w:lineRule="exact"/>
        <w:rPr>
          <w:sz w:val="24"/>
          <w:szCs w:val="24"/>
          <w:color w:val="auto"/>
        </w:rPr>
      </w:pPr>
    </w:p>
    <w:p>
      <w:pPr>
        <w:ind w:left="3960"/>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186"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Payment of Filing Fee (Check the appropriate box):</w:t>
      </w:r>
    </w:p>
    <w:p>
      <w:pPr>
        <w:spacing w:after="0" w:line="194" w:lineRule="exact"/>
        <w:rPr>
          <w:sz w:val="24"/>
          <w:szCs w:val="24"/>
          <w:color w:val="auto"/>
        </w:rPr>
      </w:pPr>
    </w:p>
    <w:p>
      <w:pPr>
        <w:ind w:left="1460" w:hanging="324"/>
        <w:spacing w:after="0"/>
        <w:tabs>
          <w:tab w:leader="none" w:pos="146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94" w:lineRule="exact"/>
        <w:rPr>
          <w:sz w:val="24"/>
          <w:szCs w:val="24"/>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14a-6(i)(4) and 0-11.</w:t>
      </w:r>
    </w:p>
    <w:p>
      <w:pPr>
        <w:spacing w:after="0" w:line="193" w:lineRule="exact"/>
        <w:rPr>
          <w:rFonts w:ascii="Arial" w:cs="Arial" w:eastAsia="Arial" w:hAnsi="Arial"/>
          <w:sz w:val="15"/>
          <w:szCs w:val="15"/>
          <w:color w:val="auto"/>
        </w:rPr>
      </w:pPr>
    </w:p>
    <w:p>
      <w:pPr>
        <w:ind w:left="1820" w:hanging="363"/>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05" w:lineRule="exact"/>
        <w:rPr>
          <w:rFonts w:ascii="Arial" w:cs="Arial" w:eastAsia="Arial" w:hAnsi="Arial"/>
          <w:sz w:val="15"/>
          <w:szCs w:val="15"/>
          <w:color w:val="auto"/>
        </w:rPr>
      </w:pPr>
    </w:p>
    <w:p>
      <w:pPr>
        <w:ind w:left="1820" w:hanging="363"/>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05" w:lineRule="exact"/>
        <w:rPr>
          <w:rFonts w:ascii="Arial" w:cs="Arial" w:eastAsia="Arial" w:hAnsi="Arial"/>
          <w:sz w:val="15"/>
          <w:szCs w:val="15"/>
          <w:color w:val="auto"/>
        </w:rPr>
      </w:pPr>
    </w:p>
    <w:p>
      <w:pPr>
        <w:ind w:left="1820" w:right="259" w:hanging="363"/>
        <w:spacing w:after="0" w:line="277" w:lineRule="auto"/>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Arial" w:cs="Arial" w:eastAsia="Arial" w:hAnsi="Arial"/>
          <w:sz w:val="15"/>
          <w:szCs w:val="15"/>
          <w:color w:val="auto"/>
        </w:rPr>
      </w:pPr>
    </w:p>
    <w:p>
      <w:pPr>
        <w:ind w:left="1820" w:hanging="363"/>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5" w:lineRule="exact"/>
        <w:rPr>
          <w:rFonts w:ascii="Arial" w:cs="Arial" w:eastAsia="Arial" w:hAnsi="Arial"/>
          <w:sz w:val="15"/>
          <w:szCs w:val="15"/>
          <w:color w:val="auto"/>
        </w:rPr>
      </w:pPr>
    </w:p>
    <w:p>
      <w:pPr>
        <w:ind w:left="1820" w:hanging="363"/>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342" w:lineRule="exact"/>
        <w:rPr>
          <w:rFonts w:ascii="Arial" w:cs="Arial" w:eastAsia="Arial" w:hAnsi="Arial"/>
          <w:sz w:val="15"/>
          <w:szCs w:val="15"/>
          <w:color w:val="auto"/>
        </w:rPr>
      </w:pPr>
    </w:p>
    <w:p>
      <w:pPr>
        <w:ind w:left="1460" w:hanging="324"/>
        <w:spacing w:after="0"/>
        <w:tabs>
          <w:tab w:leader="none" w:pos="1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147" w:lineRule="exact"/>
        <w:rPr>
          <w:rFonts w:ascii="Arial" w:cs="Arial" w:eastAsia="Arial" w:hAnsi="Arial"/>
          <w:sz w:val="15"/>
          <w:szCs w:val="15"/>
          <w:color w:val="auto"/>
        </w:rPr>
      </w:pPr>
    </w:p>
    <w:p>
      <w:pPr>
        <w:ind w:left="1460" w:right="59" w:hanging="324"/>
        <w:spacing w:after="0" w:line="314" w:lineRule="auto"/>
        <w:tabs>
          <w:tab w:leader="none" w:pos="1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2" w:lineRule="exact"/>
        <w:rPr>
          <w:rFonts w:ascii="Arial" w:cs="Arial" w:eastAsia="Arial" w:hAnsi="Arial"/>
          <w:sz w:val="14"/>
          <w:szCs w:val="14"/>
          <w:color w:val="auto"/>
        </w:rPr>
      </w:pPr>
    </w:p>
    <w:p>
      <w:pPr>
        <w:ind w:left="1820" w:hanging="363"/>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05" w:lineRule="exact"/>
        <w:rPr>
          <w:rFonts w:ascii="Arial" w:cs="Arial" w:eastAsia="Arial" w:hAnsi="Arial"/>
          <w:sz w:val="15"/>
          <w:szCs w:val="15"/>
          <w:color w:val="auto"/>
        </w:rPr>
      </w:pPr>
    </w:p>
    <w:p>
      <w:pPr>
        <w:ind w:left="1820" w:hanging="363"/>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5" w:lineRule="exact"/>
        <w:rPr>
          <w:rFonts w:ascii="Arial" w:cs="Arial" w:eastAsia="Arial" w:hAnsi="Arial"/>
          <w:sz w:val="15"/>
          <w:szCs w:val="15"/>
          <w:color w:val="auto"/>
        </w:rPr>
      </w:pPr>
    </w:p>
    <w:p>
      <w:pPr>
        <w:ind w:left="1820" w:hanging="363"/>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5" w:lineRule="exact"/>
        <w:rPr>
          <w:rFonts w:ascii="Arial" w:cs="Arial" w:eastAsia="Arial" w:hAnsi="Arial"/>
          <w:sz w:val="15"/>
          <w:szCs w:val="15"/>
          <w:color w:val="auto"/>
        </w:rPr>
      </w:pPr>
    </w:p>
    <w:p>
      <w:pPr>
        <w:ind w:left="1820" w:hanging="363"/>
        <w:spacing w:after="0"/>
        <w:tabs>
          <w:tab w:leader="none" w:pos="182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6757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1460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379095</wp:posOffset>
            </wp:positionV>
            <wp:extent cx="727265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-2517140</wp:posOffset>
            </wp:positionV>
            <wp:extent cx="53778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77815" cy="69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-2277110</wp:posOffset>
            </wp:positionV>
            <wp:extent cx="53778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77815" cy="69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-1920875</wp:posOffset>
            </wp:positionV>
            <wp:extent cx="53778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7815" cy="69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-1681480</wp:posOffset>
            </wp:positionV>
            <wp:extent cx="53778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7815" cy="69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-1441450</wp:posOffset>
            </wp:positionV>
            <wp:extent cx="53778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7815" cy="69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-591185</wp:posOffset>
            </wp:positionV>
            <wp:extent cx="53778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7815" cy="69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-351155</wp:posOffset>
            </wp:positionV>
            <wp:extent cx="53778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7815" cy="69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-111760</wp:posOffset>
            </wp:positionV>
            <wp:extent cx="53778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7815" cy="6985"/>
                    </a:xfrm>
                    <a:prstGeom prst="rect">
                      <a:avLst/>
                    </a:prstGeom>
                    <a:noFill/>
                  </pic:spPr>
                </pic:pic>
              </a:graphicData>
            </a:graphic>
          </wp:anchor>
        </w:drawing>
        <w:drawing>
          <wp:anchor simplePos="0" relativeHeight="251657728" behindDoc="1" locked="0" layoutInCell="0" allowOverlap="1">
            <wp:simplePos x="0" y="0"/>
            <wp:positionH relativeFrom="column">
              <wp:posOffset>1157605</wp:posOffset>
            </wp:positionH>
            <wp:positionV relativeFrom="paragraph">
              <wp:posOffset>127635</wp:posOffset>
            </wp:positionV>
            <wp:extent cx="53778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7815" cy="6985"/>
                    </a:xfrm>
                    <a:prstGeom prst="rect">
                      <a:avLst/>
                    </a:prstGeom>
                    <a:noFill/>
                  </pic:spPr>
                </pic:pic>
              </a:graphicData>
            </a:graphic>
          </wp:anchor>
        </w:drawing>
      </w:r>
    </w:p>
    <w:p>
      <w:pPr>
        <w:sectPr>
          <w:pgSz w:w="11900" w:h="16838" w:orient="portrait"/>
          <w:cols w:equalWidth="0" w:num="1">
            <w:col w:w="10219"/>
          </w:cols>
          <w:pgMar w:left="240" w:top="601" w:right="1440" w:bottom="1440" w:gutter="0" w:footer="0" w:header="0"/>
        </w:sectPr>
      </w:pPr>
    </w:p>
    <w:bookmarkStart w:id="1" w:name="page2"/>
    <w:bookmarkEnd w:id="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127635</wp:posOffset>
            </wp:positionV>
            <wp:extent cx="1925955" cy="719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5955" cy="71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1001 Fannin Street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Houston, Texas 77002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WASTE MANAGEMENT, INC.</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and Time: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May 14, 2019 at 11:00 a.m., Central Time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Place: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Maury Myers Conference Center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Waste Management, Inc.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1021 Main Street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Houston, Texas 77002</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w:t>
      </w:r>
    </w:p>
    <w:p>
      <w:pPr>
        <w:spacing w:after="0" w:line="209" w:lineRule="exact"/>
        <w:rPr>
          <w:sz w:val="20"/>
          <w:szCs w:val="20"/>
          <w:color w:val="auto"/>
        </w:rPr>
      </w:pPr>
    </w:p>
    <w:p>
      <w:pPr>
        <w:ind w:left="900" w:hanging="45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eight directors;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vote on a proposal to ratify the appointment of Ernst &amp; Young LLP as our independent registered public accounting firm for the fiscal year ending December 31, 2019;</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vote on a proposal to approve our executive compensation;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vote on a stockholder proposal regarding a policy on acceleration of vesting of equity awards in the event of a change in control, if properly presented at the meeting; and</w:t>
      </w:r>
    </w:p>
    <w:p>
      <w:pPr>
        <w:spacing w:after="0" w:line="239" w:lineRule="exact"/>
        <w:rPr>
          <w:rFonts w:ascii="Arial" w:cs="Arial" w:eastAsia="Arial" w:hAnsi="Arial"/>
          <w:sz w:val="13"/>
          <w:szCs w:val="13"/>
          <w:color w:val="auto"/>
        </w:rPr>
      </w:pPr>
    </w:p>
    <w:p>
      <w:pPr>
        <w:ind w:left="900" w:hanging="451"/>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conduct other business that is properly raised at the meeting.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Only stockholders of record on March 19, 2019 may vote at the meeting.</w:t>
      </w:r>
    </w:p>
    <w:p>
      <w:pPr>
        <w:spacing w:after="0" w:line="194" w:lineRule="exact"/>
        <w:rPr>
          <w:sz w:val="20"/>
          <w:szCs w:val="20"/>
          <w:color w:val="auto"/>
        </w:rPr>
      </w:pPr>
    </w:p>
    <w:p>
      <w:pPr>
        <w:ind w:firstLine="504"/>
        <w:spacing w:after="0" w:line="277" w:lineRule="auto"/>
        <w:rPr>
          <w:sz w:val="20"/>
          <w:szCs w:val="20"/>
          <w:color w:val="auto"/>
        </w:rPr>
      </w:pPr>
      <w:r>
        <w:rPr>
          <w:rFonts w:ascii="Arial" w:cs="Arial" w:eastAsia="Arial" w:hAnsi="Arial"/>
          <w:sz w:val="15"/>
          <w:szCs w:val="15"/>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100330</wp:posOffset>
            </wp:positionV>
            <wp:extent cx="1577340" cy="544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7340" cy="54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360"/>
        <w:spacing w:after="0"/>
        <w:rPr>
          <w:sz w:val="20"/>
          <w:szCs w:val="20"/>
          <w:color w:val="auto"/>
        </w:rPr>
      </w:pPr>
      <w:r>
        <w:rPr>
          <w:rFonts w:ascii="Arial" w:cs="Arial" w:eastAsia="Arial" w:hAnsi="Arial"/>
          <w:sz w:val="15"/>
          <w:szCs w:val="15"/>
          <w:color w:val="auto"/>
        </w:rPr>
        <w:t>COURTNEY A. TIPPY</w:t>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5"/>
          <w:szCs w:val="15"/>
          <w:i w:val="1"/>
          <w:iCs w:val="1"/>
          <w:color w:val="auto"/>
        </w:rPr>
        <w:t>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March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267575" cy="712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71247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left="100" w:right="100"/>
        <w:spacing w:after="0" w:line="268" w:lineRule="auto"/>
        <w:rPr>
          <w:sz w:val="20"/>
          <w:szCs w:val="20"/>
          <w:color w:val="auto"/>
        </w:rPr>
      </w:pPr>
      <w:r>
        <w:rPr>
          <w:rFonts w:ascii="Arial" w:cs="Arial" w:eastAsia="Arial" w:hAnsi="Arial"/>
          <w:sz w:val="15"/>
          <w:szCs w:val="15"/>
          <w:b w:val="1"/>
          <w:bCs w:val="1"/>
          <w:color w:val="auto"/>
        </w:rPr>
        <w:t>IMPORTANT NOTICE REGARDING THE AVAILABILITY OF PROXY MATERIALS FOR THE ANNUAL MEETING OF STOCKHOLDERS TO BE HELD ON MAY 14, 2019: This Notice of Annual Meeting and Proxy Statement and the Company's Annual Report on Form 10-K for the year ended December 31, 2018 are available at 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27265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80" w:type="dxa"/>
            <w:vAlign w:val="bottom"/>
            <w:gridSpan w:val="13"/>
          </w:tcPr>
          <w:p>
            <w:pPr>
              <w:ind w:left="60"/>
              <w:spacing w:after="0"/>
              <w:rPr>
                <w:sz w:val="20"/>
                <w:szCs w:val="20"/>
                <w:color w:val="auto"/>
              </w:rPr>
            </w:pPr>
            <w:r>
              <w:rPr>
                <w:rFonts w:ascii="Arial" w:cs="Arial" w:eastAsia="Arial" w:hAnsi="Arial"/>
                <w:sz w:val="15"/>
                <w:szCs w:val="15"/>
                <w:b w:val="1"/>
                <w:bCs w:val="1"/>
                <w:color w:val="auto"/>
              </w:rPr>
              <w:t>TABLE OF CONTENTS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66"/>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gridSpan w:val="5"/>
          </w:tcPr>
          <w:p>
            <w:pPr>
              <w:ind w:left="160"/>
              <w:spacing w:after="0"/>
              <w:rPr>
                <w:sz w:val="20"/>
                <w:szCs w:val="20"/>
                <w:color w:val="auto"/>
              </w:rPr>
            </w:pPr>
            <w:r>
              <w:rPr>
                <w:rFonts w:ascii="Arial" w:cs="Arial" w:eastAsia="Arial" w:hAnsi="Arial"/>
                <w:sz w:val="15"/>
                <w:szCs w:val="15"/>
                <w:b w:val="1"/>
                <w:bCs w:val="1"/>
                <w:color w:val="auto"/>
              </w:rPr>
              <w:t>Page</w:t>
            </w:r>
          </w:p>
        </w:tc>
      </w:tr>
      <w:tr>
        <w:trPr>
          <w:trHeight w:val="142"/>
        </w:trPr>
        <w:tc>
          <w:tcPr>
            <w:tcW w:w="1140" w:type="dxa"/>
            <w:vAlign w:val="bottom"/>
          </w:tcPr>
          <w:p>
            <w:pPr>
              <w:spacing w:after="0"/>
              <w:rPr>
                <w:sz w:val="12"/>
                <w:szCs w:val="12"/>
                <w:color w:val="auto"/>
              </w:rPr>
            </w:pPr>
          </w:p>
        </w:tc>
        <w:tc>
          <w:tcPr>
            <w:tcW w:w="8380" w:type="dxa"/>
            <w:vAlign w:val="bottom"/>
            <w:gridSpan w:val="39"/>
          </w:tcPr>
          <w:p>
            <w:pPr>
              <w:spacing w:after="0" w:line="142" w:lineRule="exact"/>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GENERAL INFORMATION</w:t>
              </w:r>
            </w:hyperlink>
          </w:p>
        </w:tc>
        <w:tc>
          <w:tcPr>
            <w:tcW w:w="640" w:type="dxa"/>
            <w:vAlign w:val="bottom"/>
            <w:tcBorders>
              <w:top w:val="single" w:sz="8" w:color="auto"/>
            </w:tcBorders>
            <w:gridSpan w:val="4"/>
          </w:tcPr>
          <w:p>
            <w:pPr>
              <w:jc w:val="right"/>
              <w:spacing w:after="0" w:line="142" w:lineRule="exact"/>
              <w:rPr>
                <w:rFonts w:ascii="Arial" w:cs="Arial" w:eastAsia="Arial" w:hAnsi="Arial"/>
                <w:sz w:val="15"/>
                <w:szCs w:val="15"/>
                <w:color w:val="0000EE"/>
              </w:rPr>
            </w:pPr>
            <w:hyperlink w:anchor="page4">
              <w:r>
                <w:rPr>
                  <w:rFonts w:ascii="Arial" w:cs="Arial" w:eastAsia="Arial" w:hAnsi="Arial"/>
                  <w:sz w:val="15"/>
                  <w:szCs w:val="15"/>
                  <w:color w:val="0000EE"/>
                </w:rPr>
                <w:t>1</w:t>
              </w:r>
            </w:hyperlink>
          </w:p>
        </w:tc>
        <w:tc>
          <w:tcPr>
            <w:tcW w:w="1280" w:type="dxa"/>
            <w:vAlign w:val="bottom"/>
          </w:tcPr>
          <w:p>
            <w:pPr>
              <w:spacing w:after="0"/>
              <w:rPr>
                <w:sz w:val="12"/>
                <w:szCs w:val="12"/>
                <w:color w:val="auto"/>
              </w:rPr>
            </w:pPr>
          </w:p>
        </w:tc>
      </w:tr>
      <w:tr>
        <w:trPr>
          <w:trHeight w:val="163"/>
        </w:trPr>
        <w:tc>
          <w:tcPr>
            <w:tcW w:w="114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10"/>
          </w:tcPr>
          <w:p>
            <w:pPr>
              <w:spacing w:after="0" w:line="163" w:lineRule="exact"/>
              <w:rPr>
                <w:rFonts w:ascii="Arial" w:cs="Arial" w:eastAsia="Arial" w:hAnsi="Arial"/>
                <w:sz w:val="15"/>
                <w:szCs w:val="15"/>
                <w:b w:val="1"/>
                <w:bCs w:val="1"/>
                <w:color w:val="0000EE"/>
                <w:w w:val="97"/>
              </w:rPr>
            </w:pPr>
            <w:hyperlink w:anchor="page8">
              <w:r>
                <w:rPr>
                  <w:rFonts w:ascii="Arial" w:cs="Arial" w:eastAsia="Arial" w:hAnsi="Arial"/>
                  <w:sz w:val="15"/>
                  <w:szCs w:val="15"/>
                  <w:b w:val="1"/>
                  <w:bCs w:val="1"/>
                  <w:color w:val="0000EE"/>
                  <w:w w:val="97"/>
                </w:rPr>
                <w:t>BOARD OF DIRECTORS</w:t>
              </w:r>
            </w:hyperlink>
          </w:p>
        </w:tc>
        <w:tc>
          <w:tcPr>
            <w:tcW w:w="160" w:type="dxa"/>
            <w:vAlign w:val="bottom"/>
            <w:tcBorders>
              <w:top w:val="single" w:sz="8" w:color="0000EE"/>
            </w:tcBorders>
            <w:gridSpan w:val="2"/>
          </w:tcPr>
          <w:p>
            <w:pPr>
              <w:spacing w:after="0"/>
              <w:rPr>
                <w:sz w:val="14"/>
                <w:szCs w:val="14"/>
                <w:color w:val="auto"/>
              </w:rPr>
            </w:pPr>
          </w:p>
        </w:tc>
        <w:tc>
          <w:tcPr>
            <w:tcW w:w="6520" w:type="dxa"/>
            <w:vAlign w:val="bottom"/>
            <w:gridSpan w:val="27"/>
          </w:tcPr>
          <w:p>
            <w:pPr>
              <w:spacing w:after="0"/>
              <w:rPr>
                <w:sz w:val="14"/>
                <w:szCs w:val="14"/>
                <w:color w:val="auto"/>
              </w:rPr>
            </w:pPr>
          </w:p>
        </w:tc>
        <w:tc>
          <w:tcPr>
            <w:tcW w:w="560" w:type="dxa"/>
            <w:vAlign w:val="bottom"/>
            <w:gridSpan w:val="3"/>
          </w:tcPr>
          <w:p>
            <w:pPr>
              <w:spacing w:after="0"/>
              <w:rPr>
                <w:sz w:val="14"/>
                <w:szCs w:val="14"/>
                <w:color w:val="auto"/>
              </w:rPr>
            </w:pPr>
          </w:p>
        </w:tc>
        <w:tc>
          <w:tcPr>
            <w:tcW w:w="80" w:type="dxa"/>
            <w:vAlign w:val="bottom"/>
            <w:tcBorders>
              <w:top w:val="single" w:sz="8" w:color="0000EE"/>
              <w:bottom w:val="single" w:sz="8" w:color="0000EE"/>
            </w:tcBorders>
          </w:tcPr>
          <w:p>
            <w:pPr>
              <w:jc w:val="right"/>
              <w:spacing w:after="0" w:line="163" w:lineRule="exact"/>
              <w:rPr>
                <w:rFonts w:ascii="Arial" w:cs="Arial" w:eastAsia="Arial" w:hAnsi="Arial"/>
                <w:sz w:val="15"/>
                <w:szCs w:val="15"/>
                <w:color w:val="0000EE"/>
                <w:w w:val="71"/>
              </w:rPr>
            </w:pPr>
            <w:hyperlink w:anchor="page8">
              <w:r>
                <w:rPr>
                  <w:rFonts w:ascii="Arial" w:cs="Arial" w:eastAsia="Arial" w:hAnsi="Arial"/>
                  <w:sz w:val="15"/>
                  <w:szCs w:val="15"/>
                  <w:color w:val="0000EE"/>
                  <w:w w:val="71"/>
                </w:rPr>
                <w:t>5</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0000EE"/>
            </w:tcBorders>
            <w:gridSpan w:val="4"/>
          </w:tcPr>
          <w:p>
            <w:pPr>
              <w:spacing w:after="0" w:line="163" w:lineRule="exact"/>
              <w:rPr>
                <w:rFonts w:ascii="Arial" w:cs="Arial" w:eastAsia="Arial" w:hAnsi="Arial"/>
                <w:sz w:val="15"/>
                <w:szCs w:val="15"/>
                <w:color w:val="0000EE"/>
                <w:w w:val="89"/>
              </w:rPr>
            </w:pPr>
            <w:hyperlink w:anchor="page8">
              <w:r>
                <w:rPr>
                  <w:rFonts w:ascii="Arial" w:cs="Arial" w:eastAsia="Arial" w:hAnsi="Arial"/>
                  <w:sz w:val="15"/>
                  <w:szCs w:val="15"/>
                  <w:color w:val="0000EE"/>
                  <w:w w:val="89"/>
                </w:rPr>
                <w:t>Leadership Structure</w:t>
              </w:r>
            </w:hyperlink>
          </w:p>
        </w:tc>
        <w:tc>
          <w:tcPr>
            <w:tcW w:w="6980" w:type="dxa"/>
            <w:vAlign w:val="bottom"/>
            <w:gridSpan w:val="34"/>
          </w:tcPr>
          <w:p>
            <w:pPr>
              <w:spacing w:after="0"/>
              <w:rPr>
                <w:sz w:val="14"/>
                <w:szCs w:val="14"/>
                <w:color w:val="auto"/>
              </w:rPr>
            </w:pPr>
          </w:p>
        </w:tc>
        <w:tc>
          <w:tcPr>
            <w:tcW w:w="560" w:type="dxa"/>
            <w:vAlign w:val="bottom"/>
            <w:gridSpan w:val="3"/>
          </w:tcPr>
          <w:p>
            <w:pPr>
              <w:spacing w:after="0"/>
              <w:rPr>
                <w:sz w:val="14"/>
                <w:szCs w:val="14"/>
                <w:color w:val="auto"/>
              </w:rPr>
            </w:pPr>
          </w:p>
        </w:tc>
        <w:tc>
          <w:tcPr>
            <w:tcW w:w="80" w:type="dxa"/>
            <w:vAlign w:val="bottom"/>
            <w:tcBorders>
              <w:bottom w:val="single" w:sz="8" w:color="0000EE"/>
            </w:tcBorders>
          </w:tcPr>
          <w:p>
            <w:pPr>
              <w:jc w:val="right"/>
              <w:spacing w:after="0" w:line="163" w:lineRule="exact"/>
              <w:rPr>
                <w:rFonts w:ascii="Arial" w:cs="Arial" w:eastAsia="Arial" w:hAnsi="Arial"/>
                <w:sz w:val="15"/>
                <w:szCs w:val="15"/>
                <w:color w:val="0000EE"/>
                <w:w w:val="71"/>
              </w:rPr>
            </w:pPr>
            <w:hyperlink w:anchor="page8">
              <w:r>
                <w:rPr>
                  <w:rFonts w:ascii="Arial" w:cs="Arial" w:eastAsia="Arial" w:hAnsi="Arial"/>
                  <w:sz w:val="15"/>
                  <w:szCs w:val="15"/>
                  <w:color w:val="0000EE"/>
                  <w:w w:val="71"/>
                </w:rPr>
                <w:t>5</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Borders>
              <w:bottom w:val="single" w:sz="8" w:color="0000EE"/>
            </w:tcBorders>
            <w:gridSpan w:val="6"/>
          </w:tcPr>
          <w:p>
            <w:pPr>
              <w:spacing w:after="0" w:line="163" w:lineRule="exact"/>
              <w:rPr>
                <w:rFonts w:ascii="Arial" w:cs="Arial" w:eastAsia="Arial" w:hAnsi="Arial"/>
                <w:sz w:val="15"/>
                <w:szCs w:val="15"/>
                <w:color w:val="0000EE"/>
                <w:w w:val="92"/>
              </w:rPr>
            </w:pPr>
            <w:hyperlink w:anchor="page8">
              <w:r>
                <w:rPr>
                  <w:rFonts w:ascii="Arial" w:cs="Arial" w:eastAsia="Arial" w:hAnsi="Arial"/>
                  <w:sz w:val="15"/>
                  <w:szCs w:val="15"/>
                  <w:color w:val="0000EE"/>
                  <w:w w:val="92"/>
                </w:rPr>
                <w:t>Role in Risk Oversight</w:t>
              </w:r>
            </w:hyperlink>
          </w:p>
        </w:tc>
        <w:tc>
          <w:tcPr>
            <w:tcW w:w="6840" w:type="dxa"/>
            <w:vAlign w:val="bottom"/>
            <w:gridSpan w:val="32"/>
          </w:tcPr>
          <w:p>
            <w:pPr>
              <w:spacing w:after="0"/>
              <w:rPr>
                <w:sz w:val="14"/>
                <w:szCs w:val="14"/>
                <w:color w:val="auto"/>
              </w:rPr>
            </w:pPr>
          </w:p>
        </w:tc>
        <w:tc>
          <w:tcPr>
            <w:tcW w:w="560" w:type="dxa"/>
            <w:vAlign w:val="bottom"/>
            <w:gridSpan w:val="3"/>
          </w:tcPr>
          <w:p>
            <w:pPr>
              <w:spacing w:after="0"/>
              <w:rPr>
                <w:sz w:val="14"/>
                <w:szCs w:val="14"/>
                <w:color w:val="auto"/>
              </w:rPr>
            </w:pPr>
          </w:p>
        </w:tc>
        <w:tc>
          <w:tcPr>
            <w:tcW w:w="80" w:type="dxa"/>
            <w:vAlign w:val="bottom"/>
            <w:tcBorders>
              <w:bottom w:val="single" w:sz="8" w:color="0000EE"/>
            </w:tcBorders>
          </w:tcPr>
          <w:p>
            <w:pPr>
              <w:jc w:val="right"/>
              <w:spacing w:after="0" w:line="163" w:lineRule="exact"/>
              <w:rPr>
                <w:rFonts w:ascii="Arial" w:cs="Arial" w:eastAsia="Arial" w:hAnsi="Arial"/>
                <w:sz w:val="15"/>
                <w:szCs w:val="15"/>
                <w:color w:val="0000EE"/>
                <w:w w:val="71"/>
              </w:rPr>
            </w:pPr>
            <w:hyperlink w:anchor="page8">
              <w:r>
                <w:rPr>
                  <w:rFonts w:ascii="Arial" w:cs="Arial" w:eastAsia="Arial" w:hAnsi="Arial"/>
                  <w:sz w:val="15"/>
                  <w:szCs w:val="15"/>
                  <w:color w:val="0000EE"/>
                  <w:w w:val="71"/>
                </w:rPr>
                <w:t>5</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Borders>
              <w:bottom w:val="single" w:sz="8" w:color="0000EE"/>
            </w:tcBorders>
            <w:gridSpan w:val="13"/>
          </w:tcPr>
          <w:p>
            <w:pPr>
              <w:spacing w:after="0" w:line="163" w:lineRule="exact"/>
              <w:rPr>
                <w:rFonts w:ascii="Arial" w:cs="Arial" w:eastAsia="Arial" w:hAnsi="Arial"/>
                <w:sz w:val="15"/>
                <w:szCs w:val="15"/>
                <w:color w:val="0000EE"/>
                <w:w w:val="88"/>
              </w:rPr>
            </w:pPr>
            <w:hyperlink w:anchor="page9">
              <w:r>
                <w:rPr>
                  <w:rFonts w:ascii="Arial" w:cs="Arial" w:eastAsia="Arial" w:hAnsi="Arial"/>
                  <w:sz w:val="15"/>
                  <w:szCs w:val="15"/>
                  <w:color w:val="0000EE"/>
                  <w:w w:val="88"/>
                </w:rPr>
                <w:t>Independence of Board Members</w:t>
              </w:r>
            </w:hyperlink>
          </w:p>
        </w:tc>
        <w:tc>
          <w:tcPr>
            <w:tcW w:w="6240" w:type="dxa"/>
            <w:vAlign w:val="bottom"/>
            <w:gridSpan w:val="25"/>
          </w:tcPr>
          <w:p>
            <w:pPr>
              <w:spacing w:after="0"/>
              <w:rPr>
                <w:sz w:val="14"/>
                <w:szCs w:val="14"/>
                <w:color w:val="auto"/>
              </w:rPr>
            </w:pPr>
          </w:p>
        </w:tc>
        <w:tc>
          <w:tcPr>
            <w:tcW w:w="560" w:type="dxa"/>
            <w:vAlign w:val="bottom"/>
            <w:gridSpan w:val="3"/>
          </w:tcPr>
          <w:p>
            <w:pPr>
              <w:spacing w:after="0"/>
              <w:rPr>
                <w:sz w:val="14"/>
                <w:szCs w:val="14"/>
                <w:color w:val="auto"/>
              </w:rPr>
            </w:pPr>
          </w:p>
        </w:tc>
        <w:tc>
          <w:tcPr>
            <w:tcW w:w="80" w:type="dxa"/>
            <w:vAlign w:val="bottom"/>
            <w:tcBorders>
              <w:bottom w:val="single" w:sz="8" w:color="0000EE"/>
            </w:tcBorders>
          </w:tcPr>
          <w:p>
            <w:pPr>
              <w:jc w:val="right"/>
              <w:spacing w:after="0" w:line="163" w:lineRule="exact"/>
              <w:rPr>
                <w:rFonts w:ascii="Arial" w:cs="Arial" w:eastAsia="Arial" w:hAnsi="Arial"/>
                <w:sz w:val="15"/>
                <w:szCs w:val="15"/>
                <w:color w:val="0000EE"/>
                <w:w w:val="71"/>
              </w:rPr>
            </w:pPr>
            <w:hyperlink w:anchor="page9">
              <w:r>
                <w:rPr>
                  <w:rFonts w:ascii="Arial" w:cs="Arial" w:eastAsia="Arial" w:hAnsi="Arial"/>
                  <w:sz w:val="15"/>
                  <w:szCs w:val="15"/>
                  <w:color w:val="0000EE"/>
                  <w:w w:val="71"/>
                </w:rPr>
                <w:t>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Borders>
              <w:bottom w:val="single" w:sz="8" w:color="0000EE"/>
            </w:tcBorders>
            <w:gridSpan w:val="12"/>
          </w:tcPr>
          <w:p>
            <w:pPr>
              <w:spacing w:after="0" w:line="163" w:lineRule="exact"/>
              <w:rPr>
                <w:rFonts w:ascii="Arial" w:cs="Arial" w:eastAsia="Arial" w:hAnsi="Arial"/>
                <w:sz w:val="15"/>
                <w:szCs w:val="15"/>
                <w:color w:val="0000EE"/>
                <w:w w:val="89"/>
              </w:rPr>
            </w:pPr>
            <w:hyperlink w:anchor="page10">
              <w:r>
                <w:rPr>
                  <w:rFonts w:ascii="Arial" w:cs="Arial" w:eastAsia="Arial" w:hAnsi="Arial"/>
                  <w:sz w:val="15"/>
                  <w:szCs w:val="15"/>
                  <w:color w:val="0000EE"/>
                  <w:w w:val="89"/>
                </w:rPr>
                <w:t>Meetings and Board Committees</w:t>
              </w:r>
            </w:hyperlink>
          </w:p>
        </w:tc>
        <w:tc>
          <w:tcPr>
            <w:tcW w:w="6260" w:type="dxa"/>
            <w:vAlign w:val="bottom"/>
            <w:gridSpan w:val="26"/>
          </w:tcPr>
          <w:p>
            <w:pPr>
              <w:spacing w:after="0"/>
              <w:rPr>
                <w:sz w:val="14"/>
                <w:szCs w:val="14"/>
                <w:color w:val="auto"/>
              </w:rPr>
            </w:pPr>
          </w:p>
        </w:tc>
        <w:tc>
          <w:tcPr>
            <w:tcW w:w="560" w:type="dxa"/>
            <w:vAlign w:val="bottom"/>
            <w:gridSpan w:val="3"/>
          </w:tcPr>
          <w:p>
            <w:pPr>
              <w:spacing w:after="0"/>
              <w:rPr>
                <w:sz w:val="14"/>
                <w:szCs w:val="14"/>
                <w:color w:val="auto"/>
              </w:rPr>
            </w:pPr>
          </w:p>
        </w:tc>
        <w:tc>
          <w:tcPr>
            <w:tcW w:w="80" w:type="dxa"/>
            <w:vAlign w:val="bottom"/>
            <w:tcBorders>
              <w:bottom w:val="single" w:sz="8" w:color="0000EE"/>
            </w:tcBorders>
          </w:tcPr>
          <w:p>
            <w:pPr>
              <w:jc w:val="right"/>
              <w:spacing w:after="0" w:line="163" w:lineRule="exact"/>
              <w:rPr>
                <w:rFonts w:ascii="Arial" w:cs="Arial" w:eastAsia="Arial" w:hAnsi="Arial"/>
                <w:sz w:val="15"/>
                <w:szCs w:val="15"/>
                <w:color w:val="0000EE"/>
                <w:w w:val="71"/>
              </w:rPr>
            </w:pPr>
            <w:hyperlink w:anchor="page10">
              <w:r>
                <w:rPr>
                  <w:rFonts w:ascii="Arial" w:cs="Arial" w:eastAsia="Arial" w:hAnsi="Arial"/>
                  <w:sz w:val="15"/>
                  <w:szCs w:val="15"/>
                  <w:color w:val="0000EE"/>
                  <w:w w:val="71"/>
                </w:rPr>
                <w:t>7</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40" w:type="dxa"/>
            <w:vAlign w:val="bottom"/>
            <w:gridSpan w:val="38"/>
          </w:tcPr>
          <w:p>
            <w:pPr>
              <w:spacing w:after="0" w:line="163" w:lineRule="exact"/>
              <w:rPr>
                <w:rFonts w:ascii="Arial" w:cs="Arial" w:eastAsia="Arial" w:hAnsi="Arial"/>
                <w:sz w:val="15"/>
                <w:szCs w:val="15"/>
                <w:color w:val="0000EE"/>
              </w:rPr>
            </w:pPr>
            <w:hyperlink w:anchor="page10">
              <w:r>
                <w:rPr>
                  <w:rFonts w:ascii="Arial" w:cs="Arial" w:eastAsia="Arial" w:hAnsi="Arial"/>
                  <w:sz w:val="15"/>
                  <w:szCs w:val="15"/>
                  <w:color w:val="0000EE"/>
                </w:rPr>
                <w:t>Audit Committee</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10">
              <w:r>
                <w:rPr>
                  <w:rFonts w:ascii="Arial" w:cs="Arial" w:eastAsia="Arial" w:hAnsi="Arial"/>
                  <w:sz w:val="15"/>
                  <w:szCs w:val="15"/>
                  <w:color w:val="0000EE"/>
                </w:rPr>
                <w:t>7</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40" w:type="dxa"/>
            <w:vAlign w:val="bottom"/>
            <w:gridSpan w:val="38"/>
          </w:tcPr>
          <w:p>
            <w:pPr>
              <w:spacing w:after="0" w:line="163" w:lineRule="exact"/>
              <w:rPr>
                <w:rFonts w:ascii="Arial" w:cs="Arial" w:eastAsia="Arial" w:hAnsi="Arial"/>
                <w:sz w:val="15"/>
                <w:szCs w:val="15"/>
                <w:color w:val="0000EE"/>
              </w:rPr>
            </w:pPr>
            <w:hyperlink w:anchor="page12">
              <w:r>
                <w:rPr>
                  <w:rFonts w:ascii="Arial" w:cs="Arial" w:eastAsia="Arial" w:hAnsi="Arial"/>
                  <w:sz w:val="15"/>
                  <w:szCs w:val="15"/>
                  <w:color w:val="0000EE"/>
                </w:rPr>
                <w:t>Audit Committee Report</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12">
              <w:r>
                <w:rPr>
                  <w:rFonts w:ascii="Arial" w:cs="Arial" w:eastAsia="Arial" w:hAnsi="Arial"/>
                  <w:sz w:val="15"/>
                  <w:szCs w:val="15"/>
                  <w:color w:val="0000EE"/>
                </w:rPr>
                <w:t>9</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80" w:type="dxa"/>
            <w:vAlign w:val="bottom"/>
            <w:tcBorders>
              <w:bottom w:val="single" w:sz="8" w:color="0000EE"/>
            </w:tcBorders>
            <w:gridSpan w:val="24"/>
          </w:tcPr>
          <w:p>
            <w:pPr>
              <w:spacing w:after="0" w:line="163" w:lineRule="exact"/>
              <w:rPr>
                <w:rFonts w:ascii="Arial" w:cs="Arial" w:eastAsia="Arial" w:hAnsi="Arial"/>
                <w:sz w:val="15"/>
                <w:szCs w:val="15"/>
                <w:color w:val="0000EE"/>
                <w:w w:val="89"/>
              </w:rPr>
            </w:pPr>
            <w:hyperlink w:anchor="page13">
              <w:r>
                <w:rPr>
                  <w:rFonts w:ascii="Arial" w:cs="Arial" w:eastAsia="Arial" w:hAnsi="Arial"/>
                  <w:sz w:val="15"/>
                  <w:szCs w:val="15"/>
                  <w:color w:val="0000EE"/>
                  <w:w w:val="89"/>
                </w:rPr>
                <w:t>Management Development and Compensation Committee</w:t>
              </w:r>
            </w:hyperlink>
          </w:p>
        </w:tc>
        <w:tc>
          <w:tcPr>
            <w:tcW w:w="4760" w:type="dxa"/>
            <w:vAlign w:val="bottom"/>
            <w:gridSpan w:val="14"/>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13">
              <w:r>
                <w:rPr>
                  <w:rFonts w:ascii="Arial" w:cs="Arial" w:eastAsia="Arial" w:hAnsi="Arial"/>
                  <w:sz w:val="15"/>
                  <w:szCs w:val="15"/>
                  <w:color w:val="0000EE"/>
                  <w:w w:val="83"/>
                </w:rPr>
                <w:t>10</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13"/>
          </w:tcPr>
          <w:p>
            <w:pPr>
              <w:spacing w:after="0" w:line="163" w:lineRule="exact"/>
              <w:rPr>
                <w:rFonts w:ascii="Arial" w:cs="Arial" w:eastAsia="Arial" w:hAnsi="Arial"/>
                <w:sz w:val="15"/>
                <w:szCs w:val="15"/>
                <w:color w:val="0000EE"/>
                <w:w w:val="88"/>
              </w:rPr>
            </w:pPr>
            <w:hyperlink w:anchor="page14">
              <w:r>
                <w:rPr>
                  <w:rFonts w:ascii="Arial" w:cs="Arial" w:eastAsia="Arial" w:hAnsi="Arial"/>
                  <w:sz w:val="15"/>
                  <w:szCs w:val="15"/>
                  <w:color w:val="0000EE"/>
                  <w:w w:val="88"/>
                </w:rPr>
                <w:t>Compensation Committee Report</w:t>
              </w:r>
            </w:hyperlink>
          </w:p>
        </w:tc>
        <w:tc>
          <w:tcPr>
            <w:tcW w:w="6240" w:type="dxa"/>
            <w:vAlign w:val="bottom"/>
            <w:gridSpan w:val="25"/>
          </w:tcPr>
          <w:p>
            <w:pPr>
              <w:spacing w:after="0"/>
              <w:rPr>
                <w:sz w:val="14"/>
                <w:szCs w:val="14"/>
                <w:color w:val="auto"/>
              </w:rPr>
            </w:pPr>
          </w:p>
        </w:tc>
        <w:tc>
          <w:tcPr>
            <w:tcW w:w="640" w:type="dxa"/>
            <w:vAlign w:val="bottom"/>
            <w:gridSpan w:val="4"/>
          </w:tcPr>
          <w:p>
            <w:pPr>
              <w:jc w:val="right"/>
              <w:spacing w:after="0" w:line="163" w:lineRule="exact"/>
              <w:rPr>
                <w:rFonts w:ascii="Arial" w:cs="Arial" w:eastAsia="Arial" w:hAnsi="Arial"/>
                <w:sz w:val="15"/>
                <w:szCs w:val="15"/>
                <w:color w:val="0000EE"/>
              </w:rPr>
            </w:pPr>
            <w:hyperlink w:anchor="page14">
              <w:r>
                <w:rPr>
                  <w:rFonts w:ascii="Arial" w:cs="Arial" w:eastAsia="Arial" w:hAnsi="Arial"/>
                  <w:sz w:val="15"/>
                  <w:szCs w:val="15"/>
                  <w:color w:val="0000EE"/>
                </w:rPr>
                <w:t>11</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gridSpan w:val="27"/>
          </w:tcPr>
          <w:p>
            <w:pPr>
              <w:spacing w:after="0" w:line="163" w:lineRule="exact"/>
              <w:rPr>
                <w:rFonts w:ascii="Arial" w:cs="Arial" w:eastAsia="Arial" w:hAnsi="Arial"/>
                <w:sz w:val="15"/>
                <w:szCs w:val="15"/>
                <w:color w:val="0000EE"/>
                <w:w w:val="90"/>
              </w:rPr>
            </w:pPr>
            <w:hyperlink w:anchor="page14">
              <w:r>
                <w:rPr>
                  <w:rFonts w:ascii="Arial" w:cs="Arial" w:eastAsia="Arial" w:hAnsi="Arial"/>
                  <w:sz w:val="15"/>
                  <w:szCs w:val="15"/>
                  <w:color w:val="0000EE"/>
                  <w:w w:val="90"/>
                </w:rPr>
                <w:t>Compensation Committee Interlocks and Insider Participation</w:t>
              </w:r>
            </w:hyperlink>
          </w:p>
        </w:tc>
        <w:tc>
          <w:tcPr>
            <w:tcW w:w="4540" w:type="dxa"/>
            <w:vAlign w:val="bottom"/>
            <w:gridSpan w:val="11"/>
          </w:tcPr>
          <w:p>
            <w:pPr>
              <w:spacing w:after="0"/>
              <w:rPr>
                <w:sz w:val="14"/>
                <w:szCs w:val="14"/>
                <w:color w:val="auto"/>
              </w:rPr>
            </w:pPr>
          </w:p>
        </w:tc>
        <w:tc>
          <w:tcPr>
            <w:tcW w:w="640" w:type="dxa"/>
            <w:vAlign w:val="bottom"/>
            <w:gridSpan w:val="4"/>
          </w:tcPr>
          <w:p>
            <w:pPr>
              <w:jc w:val="right"/>
              <w:spacing w:after="0" w:line="163" w:lineRule="exact"/>
              <w:rPr>
                <w:rFonts w:ascii="Arial" w:cs="Arial" w:eastAsia="Arial" w:hAnsi="Arial"/>
                <w:sz w:val="15"/>
                <w:szCs w:val="15"/>
                <w:color w:val="0000EE"/>
              </w:rPr>
            </w:pPr>
            <w:hyperlink w:anchor="page14">
              <w:r>
                <w:rPr>
                  <w:rFonts w:ascii="Arial" w:cs="Arial" w:eastAsia="Arial" w:hAnsi="Arial"/>
                  <w:sz w:val="15"/>
                  <w:szCs w:val="15"/>
                  <w:color w:val="0000EE"/>
                </w:rPr>
                <w:t>11</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00" w:type="dxa"/>
            <w:vAlign w:val="bottom"/>
            <w:gridSpan w:val="27"/>
          </w:tcPr>
          <w:p>
            <w:pPr>
              <w:spacing w:after="0" w:line="163" w:lineRule="exact"/>
              <w:rPr>
                <w:rFonts w:ascii="Arial" w:cs="Arial" w:eastAsia="Arial" w:hAnsi="Arial"/>
                <w:sz w:val="15"/>
                <w:szCs w:val="15"/>
                <w:color w:val="0000EE"/>
              </w:rPr>
            </w:pPr>
            <w:hyperlink w:anchor="page14">
              <w:r>
                <w:rPr>
                  <w:rFonts w:ascii="Arial" w:cs="Arial" w:eastAsia="Arial" w:hAnsi="Arial"/>
                  <w:sz w:val="15"/>
                  <w:szCs w:val="15"/>
                  <w:color w:val="0000EE"/>
                </w:rPr>
                <w:t>Nominating and Governance Committee</w:t>
              </w:r>
            </w:hyperlink>
          </w:p>
        </w:tc>
        <w:tc>
          <w:tcPr>
            <w:tcW w:w="4540" w:type="dxa"/>
            <w:vAlign w:val="bottom"/>
            <w:gridSpan w:val="11"/>
          </w:tcPr>
          <w:p>
            <w:pPr>
              <w:spacing w:after="0"/>
              <w:rPr>
                <w:sz w:val="14"/>
                <w:szCs w:val="14"/>
                <w:color w:val="auto"/>
              </w:rPr>
            </w:pPr>
          </w:p>
        </w:tc>
        <w:tc>
          <w:tcPr>
            <w:tcW w:w="640" w:type="dxa"/>
            <w:vAlign w:val="bottom"/>
            <w:gridSpan w:val="4"/>
          </w:tcPr>
          <w:p>
            <w:pPr>
              <w:jc w:val="right"/>
              <w:spacing w:after="0" w:line="163" w:lineRule="exact"/>
              <w:rPr>
                <w:rFonts w:ascii="Arial" w:cs="Arial" w:eastAsia="Arial" w:hAnsi="Arial"/>
                <w:sz w:val="15"/>
                <w:szCs w:val="15"/>
                <w:color w:val="0000EE"/>
              </w:rPr>
            </w:pPr>
            <w:hyperlink w:anchor="page14">
              <w:r>
                <w:rPr>
                  <w:rFonts w:ascii="Arial" w:cs="Arial" w:eastAsia="Arial" w:hAnsi="Arial"/>
                  <w:sz w:val="15"/>
                  <w:szCs w:val="15"/>
                  <w:color w:val="0000EE"/>
                </w:rPr>
                <w:t>11</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17"/>
          </w:tcPr>
          <w:p>
            <w:pPr>
              <w:spacing w:after="0" w:line="163" w:lineRule="exact"/>
              <w:rPr>
                <w:rFonts w:ascii="Arial" w:cs="Arial" w:eastAsia="Arial" w:hAnsi="Arial"/>
                <w:sz w:val="15"/>
                <w:szCs w:val="15"/>
                <w:color w:val="0000EE"/>
              </w:rPr>
            </w:pPr>
            <w:hyperlink w:anchor="page15">
              <w:r>
                <w:rPr>
                  <w:rFonts w:ascii="Arial" w:cs="Arial" w:eastAsia="Arial" w:hAnsi="Arial"/>
                  <w:sz w:val="15"/>
                  <w:szCs w:val="15"/>
                  <w:color w:val="0000EE"/>
                </w:rPr>
                <w:t>Related Party Transactions</w:t>
              </w:r>
            </w:hyperlink>
          </w:p>
        </w:tc>
        <w:tc>
          <w:tcPr>
            <w:tcW w:w="5820" w:type="dxa"/>
            <w:vAlign w:val="bottom"/>
            <w:gridSpan w:val="21"/>
          </w:tcPr>
          <w:p>
            <w:pPr>
              <w:spacing w:after="0"/>
              <w:rPr>
                <w:sz w:val="14"/>
                <w:szCs w:val="14"/>
                <w:color w:val="auto"/>
              </w:rPr>
            </w:pPr>
          </w:p>
        </w:tc>
        <w:tc>
          <w:tcPr>
            <w:tcW w:w="640" w:type="dxa"/>
            <w:vAlign w:val="bottom"/>
            <w:gridSpan w:val="4"/>
          </w:tcPr>
          <w:p>
            <w:pPr>
              <w:jc w:val="right"/>
              <w:spacing w:after="0" w:line="163" w:lineRule="exact"/>
              <w:rPr>
                <w:rFonts w:ascii="Arial" w:cs="Arial" w:eastAsia="Arial" w:hAnsi="Arial"/>
                <w:sz w:val="15"/>
                <w:szCs w:val="15"/>
                <w:color w:val="0000EE"/>
              </w:rPr>
            </w:pPr>
            <w:hyperlink w:anchor="page15">
              <w:r>
                <w:rPr>
                  <w:rFonts w:ascii="Arial" w:cs="Arial" w:eastAsia="Arial" w:hAnsi="Arial"/>
                  <w:sz w:val="15"/>
                  <w:szCs w:val="15"/>
                  <w:color w:val="0000EE"/>
                </w:rPr>
                <w:t>12</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Borders>
              <w:bottom w:val="single" w:sz="8" w:color="0000EE"/>
            </w:tcBorders>
            <w:gridSpan w:val="19"/>
          </w:tcPr>
          <w:p>
            <w:pPr>
              <w:spacing w:after="0" w:line="163" w:lineRule="exact"/>
              <w:rPr>
                <w:rFonts w:ascii="Arial" w:cs="Arial" w:eastAsia="Arial" w:hAnsi="Arial"/>
                <w:sz w:val="15"/>
                <w:szCs w:val="15"/>
                <w:color w:val="0000EE"/>
                <w:w w:val="91"/>
              </w:rPr>
            </w:pPr>
            <w:hyperlink w:anchor="page16">
              <w:r>
                <w:rPr>
                  <w:rFonts w:ascii="Arial" w:cs="Arial" w:eastAsia="Arial" w:hAnsi="Arial"/>
                  <w:sz w:val="15"/>
                  <w:szCs w:val="15"/>
                  <w:color w:val="0000EE"/>
                  <w:w w:val="91"/>
                </w:rPr>
                <w:t>Board of Directors Governing Documents</w:t>
              </w:r>
            </w:hyperlink>
          </w:p>
        </w:tc>
        <w:tc>
          <w:tcPr>
            <w:tcW w:w="5720" w:type="dxa"/>
            <w:vAlign w:val="bottom"/>
            <w:gridSpan w:val="19"/>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16">
              <w:r>
                <w:rPr>
                  <w:rFonts w:ascii="Arial" w:cs="Arial" w:eastAsia="Arial" w:hAnsi="Arial"/>
                  <w:sz w:val="15"/>
                  <w:szCs w:val="15"/>
                  <w:color w:val="0000EE"/>
                  <w:w w:val="83"/>
                </w:rPr>
                <w:t>13</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40" w:type="dxa"/>
            <w:vAlign w:val="bottom"/>
            <w:gridSpan w:val="38"/>
          </w:tcPr>
          <w:p>
            <w:pPr>
              <w:spacing w:after="0" w:line="163" w:lineRule="exact"/>
              <w:rPr>
                <w:rFonts w:ascii="Arial" w:cs="Arial" w:eastAsia="Arial" w:hAnsi="Arial"/>
                <w:sz w:val="15"/>
                <w:szCs w:val="15"/>
                <w:color w:val="0000EE"/>
              </w:rPr>
            </w:pPr>
            <w:hyperlink w:anchor="page17">
              <w:r>
                <w:rPr>
                  <w:rFonts w:ascii="Arial" w:cs="Arial" w:eastAsia="Arial" w:hAnsi="Arial"/>
                  <w:sz w:val="15"/>
                  <w:szCs w:val="15"/>
                  <w:color w:val="0000EE"/>
                </w:rPr>
                <w:t>Non-Employee Director Compensation</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17">
              <w:r>
                <w:rPr>
                  <w:rFonts w:ascii="Arial" w:cs="Arial" w:eastAsia="Arial" w:hAnsi="Arial"/>
                  <w:sz w:val="15"/>
                  <w:szCs w:val="15"/>
                  <w:color w:val="0000EE"/>
                </w:rPr>
                <w:t>14</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380" w:type="dxa"/>
            <w:vAlign w:val="bottom"/>
            <w:gridSpan w:val="39"/>
          </w:tcPr>
          <w:p>
            <w:pPr>
              <w:spacing w:after="0" w:line="163" w:lineRule="exact"/>
              <w:rPr>
                <w:rFonts w:ascii="Arial" w:cs="Arial" w:eastAsia="Arial" w:hAnsi="Arial"/>
                <w:sz w:val="15"/>
                <w:szCs w:val="15"/>
                <w:b w:val="1"/>
                <w:bCs w:val="1"/>
                <w:color w:val="0000EE"/>
              </w:rPr>
            </w:pPr>
            <w:hyperlink w:anchor="page19">
              <w:r>
                <w:rPr>
                  <w:rFonts w:ascii="Arial" w:cs="Arial" w:eastAsia="Arial" w:hAnsi="Arial"/>
                  <w:sz w:val="15"/>
                  <w:szCs w:val="15"/>
                  <w:b w:val="1"/>
                  <w:bCs w:val="1"/>
                  <w:color w:val="0000EE"/>
                </w:rPr>
                <w:t>ELECTION OF DIRECTORS (Item 1 on the Proxy Card)</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19">
              <w:r>
                <w:rPr>
                  <w:rFonts w:ascii="Arial" w:cs="Arial" w:eastAsia="Arial" w:hAnsi="Arial"/>
                  <w:sz w:val="15"/>
                  <w:szCs w:val="15"/>
                  <w:color w:val="0000EE"/>
                </w:rPr>
                <w:t>16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23"/>
          </w:tcPr>
          <w:p>
            <w:pPr>
              <w:spacing w:after="0" w:line="163" w:lineRule="exact"/>
              <w:rPr>
                <w:rFonts w:ascii="Arial" w:cs="Arial" w:eastAsia="Arial" w:hAnsi="Arial"/>
                <w:sz w:val="15"/>
                <w:szCs w:val="15"/>
                <w:b w:val="1"/>
                <w:bCs w:val="1"/>
                <w:color w:val="0000EE"/>
                <w:w w:val="99"/>
              </w:rPr>
            </w:pPr>
            <w:hyperlink w:anchor="page24">
              <w:r>
                <w:rPr>
                  <w:rFonts w:ascii="Arial" w:cs="Arial" w:eastAsia="Arial" w:hAnsi="Arial"/>
                  <w:sz w:val="15"/>
                  <w:szCs w:val="15"/>
                  <w:b w:val="1"/>
                  <w:bCs w:val="1"/>
                  <w:color w:val="0000EE"/>
                  <w:w w:val="99"/>
                </w:rPr>
                <w:t>DIRECTOR AND OFFICER STOCK OWNERSHIP</w:t>
              </w:r>
            </w:hyperlink>
          </w:p>
        </w:tc>
        <w:tc>
          <w:tcPr>
            <w:tcW w:w="320" w:type="dxa"/>
            <w:vAlign w:val="bottom"/>
            <w:tcBorders>
              <w:top w:val="single" w:sz="8" w:color="0000EE"/>
            </w:tcBorders>
            <w:gridSpan w:val="3"/>
          </w:tcPr>
          <w:p>
            <w:pPr>
              <w:spacing w:after="0"/>
              <w:rPr>
                <w:sz w:val="14"/>
                <w:szCs w:val="14"/>
                <w:color w:val="auto"/>
              </w:rPr>
            </w:pPr>
          </w:p>
        </w:tc>
        <w:tc>
          <w:tcPr>
            <w:tcW w:w="4680" w:type="dxa"/>
            <w:vAlign w:val="bottom"/>
            <w:gridSpan w:val="13"/>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4">
              <w:r>
                <w:rPr>
                  <w:rFonts w:ascii="Arial" w:cs="Arial" w:eastAsia="Arial" w:hAnsi="Arial"/>
                  <w:sz w:val="15"/>
                  <w:szCs w:val="15"/>
                  <w:color w:val="0000EE"/>
                  <w:w w:val="83"/>
                </w:rPr>
                <w:t>21</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380" w:type="dxa"/>
            <w:vAlign w:val="bottom"/>
            <w:gridSpan w:val="39"/>
          </w:tcPr>
          <w:p>
            <w:pPr>
              <w:spacing w:after="0" w:line="163" w:lineRule="exact"/>
              <w:rPr>
                <w:rFonts w:ascii="Arial" w:cs="Arial" w:eastAsia="Arial" w:hAnsi="Arial"/>
                <w:sz w:val="15"/>
                <w:szCs w:val="15"/>
                <w:b w:val="1"/>
                <w:bCs w:val="1"/>
                <w:color w:val="0000EE"/>
              </w:rPr>
            </w:pPr>
            <w:hyperlink w:anchor="page26">
              <w:r>
                <w:rPr>
                  <w:rFonts w:ascii="Arial" w:cs="Arial" w:eastAsia="Arial" w:hAnsi="Arial"/>
                  <w:sz w:val="15"/>
                  <w:szCs w:val="15"/>
                  <w:b w:val="1"/>
                  <w:bCs w:val="1"/>
                  <w:color w:val="0000EE"/>
                </w:rPr>
                <w:t>SECURITY OWNERSHIP OF CERTAIN BENEFICIAL OWNERS</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26">
              <w:r>
                <w:rPr>
                  <w:rFonts w:ascii="Arial" w:cs="Arial" w:eastAsia="Arial" w:hAnsi="Arial"/>
                  <w:sz w:val="15"/>
                  <w:szCs w:val="15"/>
                  <w:color w:val="0000EE"/>
                </w:rPr>
                <w:t>23</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380" w:type="dxa"/>
            <w:vAlign w:val="bottom"/>
            <w:gridSpan w:val="39"/>
          </w:tcPr>
          <w:p>
            <w:pPr>
              <w:spacing w:after="0" w:line="163" w:lineRule="exact"/>
              <w:rPr>
                <w:rFonts w:ascii="Arial" w:cs="Arial" w:eastAsia="Arial" w:hAnsi="Arial"/>
                <w:sz w:val="15"/>
                <w:szCs w:val="15"/>
                <w:b w:val="1"/>
                <w:bCs w:val="1"/>
                <w:color w:val="0000EE"/>
              </w:rPr>
            </w:pPr>
            <w:hyperlink w:anchor="page26">
              <w:r>
                <w:rPr>
                  <w:rFonts w:ascii="Arial" w:cs="Arial" w:eastAsia="Arial" w:hAnsi="Arial"/>
                  <w:sz w:val="15"/>
                  <w:szCs w:val="15"/>
                  <w:b w:val="1"/>
                  <w:bCs w:val="1"/>
                  <w:color w:val="0000EE"/>
                </w:rPr>
                <w:t>SECTION 16(A) BENEFICIAL OWNERSHIP REPORTING COMPLIANCE</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26">
              <w:r>
                <w:rPr>
                  <w:rFonts w:ascii="Arial" w:cs="Arial" w:eastAsia="Arial" w:hAnsi="Arial"/>
                  <w:sz w:val="15"/>
                  <w:szCs w:val="15"/>
                  <w:color w:val="0000EE"/>
                </w:rPr>
                <w:t>23</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680" w:type="dxa"/>
            <w:vAlign w:val="bottom"/>
            <w:tcBorders>
              <w:top w:val="single" w:sz="8" w:color="0000EE"/>
              <w:bottom w:val="single" w:sz="8" w:color="0000EE"/>
            </w:tcBorders>
            <w:gridSpan w:val="9"/>
          </w:tcPr>
          <w:p>
            <w:pPr>
              <w:spacing w:after="0" w:line="163" w:lineRule="exact"/>
              <w:rPr>
                <w:rFonts w:ascii="Arial" w:cs="Arial" w:eastAsia="Arial" w:hAnsi="Arial"/>
                <w:sz w:val="15"/>
                <w:szCs w:val="15"/>
                <w:b w:val="1"/>
                <w:bCs w:val="1"/>
                <w:color w:val="0000EE"/>
              </w:rPr>
            </w:pPr>
            <w:hyperlink w:anchor="page27">
              <w:r>
                <w:rPr>
                  <w:rFonts w:ascii="Arial" w:cs="Arial" w:eastAsia="Arial" w:hAnsi="Arial"/>
                  <w:sz w:val="15"/>
                  <w:szCs w:val="15"/>
                  <w:b w:val="1"/>
                  <w:bCs w:val="1"/>
                  <w:color w:val="0000EE"/>
                </w:rPr>
                <w:t>EXECUTIVE OFFICERS</w:t>
              </w:r>
            </w:hyperlink>
          </w:p>
        </w:tc>
        <w:tc>
          <w:tcPr>
            <w:tcW w:w="3300" w:type="dxa"/>
            <w:vAlign w:val="bottom"/>
            <w:tcBorders>
              <w:top w:val="single" w:sz="8" w:color="0000EE"/>
            </w:tcBorders>
            <w:gridSpan w:val="27"/>
          </w:tcPr>
          <w:p>
            <w:pPr>
              <w:spacing w:after="0"/>
              <w:rPr>
                <w:sz w:val="14"/>
                <w:szCs w:val="14"/>
                <w:color w:val="auto"/>
              </w:rPr>
            </w:pPr>
          </w:p>
        </w:tc>
        <w:tc>
          <w:tcPr>
            <w:tcW w:w="3400" w:type="dxa"/>
            <w:vAlign w:val="bottom"/>
            <w:gridSpan w:val="3"/>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7">
              <w:r>
                <w:rPr>
                  <w:rFonts w:ascii="Arial" w:cs="Arial" w:eastAsia="Arial" w:hAnsi="Arial"/>
                  <w:sz w:val="15"/>
                  <w:szCs w:val="15"/>
                  <w:color w:val="0000EE"/>
                  <w:w w:val="83"/>
                </w:rPr>
                <w:t>24</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2140" w:type="dxa"/>
            <w:vAlign w:val="bottom"/>
            <w:tcBorders>
              <w:bottom w:val="single" w:sz="8" w:color="0000EE"/>
            </w:tcBorders>
            <w:gridSpan w:val="14"/>
          </w:tcPr>
          <w:p>
            <w:pPr>
              <w:spacing w:after="0" w:line="163" w:lineRule="exact"/>
              <w:rPr>
                <w:rFonts w:ascii="Arial" w:cs="Arial" w:eastAsia="Arial" w:hAnsi="Arial"/>
                <w:sz w:val="15"/>
                <w:szCs w:val="15"/>
                <w:b w:val="1"/>
                <w:bCs w:val="1"/>
                <w:color w:val="0000EE"/>
                <w:w w:val="99"/>
              </w:rPr>
            </w:pPr>
            <w:hyperlink w:anchor="page29">
              <w:r>
                <w:rPr>
                  <w:rFonts w:ascii="Arial" w:cs="Arial" w:eastAsia="Arial" w:hAnsi="Arial"/>
                  <w:sz w:val="15"/>
                  <w:szCs w:val="15"/>
                  <w:b w:val="1"/>
                  <w:bCs w:val="1"/>
                  <w:color w:val="0000EE"/>
                  <w:w w:val="99"/>
                </w:rPr>
                <w:t>EXECUTIVE COMPENSATION</w:t>
              </w:r>
            </w:hyperlink>
          </w:p>
        </w:tc>
        <w:tc>
          <w:tcPr>
            <w:tcW w:w="6240" w:type="dxa"/>
            <w:vAlign w:val="bottom"/>
            <w:gridSpan w:val="25"/>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9">
              <w:r>
                <w:rPr>
                  <w:rFonts w:ascii="Arial" w:cs="Arial" w:eastAsia="Arial" w:hAnsi="Arial"/>
                  <w:sz w:val="15"/>
                  <w:szCs w:val="15"/>
                  <w:color w:val="0000EE"/>
                  <w:w w:val="83"/>
                </w:rPr>
                <w:t>26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40" w:type="dxa"/>
            <w:vAlign w:val="bottom"/>
            <w:gridSpan w:val="38"/>
          </w:tcPr>
          <w:p>
            <w:pPr>
              <w:spacing w:after="0" w:line="163" w:lineRule="exact"/>
              <w:rPr>
                <w:rFonts w:ascii="Arial" w:cs="Arial" w:eastAsia="Arial" w:hAnsi="Arial"/>
                <w:sz w:val="15"/>
                <w:szCs w:val="15"/>
                <w:b w:val="1"/>
                <w:bCs w:val="1"/>
                <w:color w:val="0000EE"/>
              </w:rPr>
            </w:pPr>
            <w:hyperlink w:anchor="page29">
              <w:r>
                <w:rPr>
                  <w:rFonts w:ascii="Arial" w:cs="Arial" w:eastAsia="Arial" w:hAnsi="Arial"/>
                  <w:sz w:val="15"/>
                  <w:szCs w:val="15"/>
                  <w:b w:val="1"/>
                  <w:bCs w:val="1"/>
                  <w:color w:val="0000EE"/>
                </w:rPr>
                <w:t>Compensation Discussion and Analysis</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29">
              <w:r>
                <w:rPr>
                  <w:rFonts w:ascii="Arial" w:cs="Arial" w:eastAsia="Arial" w:hAnsi="Arial"/>
                  <w:sz w:val="15"/>
                  <w:szCs w:val="15"/>
                  <w:color w:val="0000EE"/>
                </w:rPr>
                <w:t>26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20" w:type="dxa"/>
            <w:vAlign w:val="bottom"/>
            <w:tcBorders>
              <w:top w:val="single" w:sz="8" w:color="0000EE"/>
              <w:bottom w:val="single" w:sz="8" w:color="0000EE"/>
            </w:tcBorders>
            <w:gridSpan w:val="4"/>
          </w:tcPr>
          <w:p>
            <w:pPr>
              <w:spacing w:after="0" w:line="163" w:lineRule="exact"/>
              <w:rPr>
                <w:rFonts w:ascii="Arial" w:cs="Arial" w:eastAsia="Arial" w:hAnsi="Arial"/>
                <w:sz w:val="15"/>
                <w:szCs w:val="15"/>
                <w:color w:val="0000EE"/>
                <w:w w:val="89"/>
              </w:rPr>
            </w:pPr>
            <w:hyperlink w:anchor="page29">
              <w:r>
                <w:rPr>
                  <w:rFonts w:ascii="Arial" w:cs="Arial" w:eastAsia="Arial" w:hAnsi="Arial"/>
                  <w:sz w:val="15"/>
                  <w:szCs w:val="15"/>
                  <w:color w:val="0000EE"/>
                  <w:w w:val="89"/>
                </w:rPr>
                <w:t>Executive Summary</w:t>
              </w:r>
            </w:hyperlink>
          </w:p>
        </w:tc>
        <w:tc>
          <w:tcPr>
            <w:tcW w:w="1100" w:type="dxa"/>
            <w:vAlign w:val="bottom"/>
            <w:tcBorders>
              <w:top w:val="single" w:sz="8" w:color="0000EE"/>
            </w:tcBorders>
            <w:gridSpan w:val="13"/>
          </w:tcPr>
          <w:p>
            <w:pPr>
              <w:spacing w:after="0"/>
              <w:rPr>
                <w:sz w:val="14"/>
                <w:szCs w:val="14"/>
                <w:color w:val="auto"/>
              </w:rPr>
            </w:pPr>
          </w:p>
        </w:tc>
        <w:tc>
          <w:tcPr>
            <w:tcW w:w="5760" w:type="dxa"/>
            <w:vAlign w:val="bottom"/>
            <w:gridSpan w:val="20"/>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29">
              <w:r>
                <w:rPr>
                  <w:rFonts w:ascii="Arial" w:cs="Arial" w:eastAsia="Arial" w:hAnsi="Arial"/>
                  <w:sz w:val="15"/>
                  <w:szCs w:val="15"/>
                  <w:color w:val="0000EE"/>
                  <w:w w:val="83"/>
                </w:rPr>
                <w:t>26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Borders>
              <w:bottom w:val="single" w:sz="8" w:color="0000EE"/>
            </w:tcBorders>
            <w:gridSpan w:val="30"/>
          </w:tcPr>
          <w:p>
            <w:pPr>
              <w:spacing w:after="0" w:line="163" w:lineRule="exact"/>
              <w:rPr>
                <w:rFonts w:ascii="Arial" w:cs="Arial" w:eastAsia="Arial" w:hAnsi="Arial"/>
                <w:sz w:val="15"/>
                <w:szCs w:val="15"/>
                <w:color w:val="0000EE"/>
                <w:w w:val="90"/>
              </w:rPr>
            </w:pPr>
            <w:hyperlink w:anchor="page32">
              <w:r>
                <w:rPr>
                  <w:rFonts w:ascii="Arial" w:cs="Arial" w:eastAsia="Arial" w:hAnsi="Arial"/>
                  <w:sz w:val="15"/>
                  <w:szCs w:val="15"/>
                  <w:color w:val="0000EE"/>
                  <w:w w:val="90"/>
                </w:rPr>
                <w:t>Our Compensation Philosophy for Named Executive Officers</w:t>
              </w:r>
            </w:hyperlink>
          </w:p>
        </w:tc>
        <w:tc>
          <w:tcPr>
            <w:tcW w:w="4400" w:type="dxa"/>
            <w:vAlign w:val="bottom"/>
            <w:gridSpan w:val="7"/>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32">
              <w:r>
                <w:rPr>
                  <w:rFonts w:ascii="Arial" w:cs="Arial" w:eastAsia="Arial" w:hAnsi="Arial"/>
                  <w:sz w:val="15"/>
                  <w:szCs w:val="15"/>
                  <w:color w:val="0000EE"/>
                  <w:w w:val="83"/>
                </w:rPr>
                <w:t>29</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tcBorders>
              <w:bottom w:val="single" w:sz="8" w:color="0000EE"/>
            </w:tcBorders>
            <w:gridSpan w:val="27"/>
          </w:tcPr>
          <w:p>
            <w:pPr>
              <w:spacing w:after="0" w:line="163" w:lineRule="exact"/>
              <w:rPr>
                <w:rFonts w:ascii="Arial" w:cs="Arial" w:eastAsia="Arial" w:hAnsi="Arial"/>
                <w:sz w:val="15"/>
                <w:szCs w:val="15"/>
                <w:color w:val="0000EE"/>
                <w:w w:val="90"/>
              </w:rPr>
            </w:pPr>
            <w:hyperlink w:anchor="page33">
              <w:r>
                <w:rPr>
                  <w:rFonts w:ascii="Arial" w:cs="Arial" w:eastAsia="Arial" w:hAnsi="Arial"/>
                  <w:sz w:val="15"/>
                  <w:szCs w:val="15"/>
                  <w:color w:val="0000EE"/>
                  <w:w w:val="90"/>
                </w:rPr>
                <w:t>Overview of Elements of Our 2018 Compensation Program</w:t>
              </w:r>
            </w:hyperlink>
          </w:p>
        </w:tc>
        <w:tc>
          <w:tcPr>
            <w:tcW w:w="4520" w:type="dxa"/>
            <w:vAlign w:val="bottom"/>
            <w:gridSpan w:val="10"/>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33">
              <w:r>
                <w:rPr>
                  <w:rFonts w:ascii="Arial" w:cs="Arial" w:eastAsia="Arial" w:hAnsi="Arial"/>
                  <w:sz w:val="15"/>
                  <w:szCs w:val="15"/>
                  <w:color w:val="0000EE"/>
                  <w:w w:val="83"/>
                </w:rPr>
                <w:t>30</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80" w:type="dxa"/>
            <w:vAlign w:val="bottom"/>
            <w:gridSpan w:val="37"/>
          </w:tcPr>
          <w:p>
            <w:pPr>
              <w:spacing w:after="0" w:line="163" w:lineRule="exact"/>
              <w:rPr>
                <w:rFonts w:ascii="Arial" w:cs="Arial" w:eastAsia="Arial" w:hAnsi="Arial"/>
                <w:sz w:val="15"/>
                <w:szCs w:val="15"/>
                <w:color w:val="0000EE"/>
              </w:rPr>
            </w:pPr>
            <w:hyperlink w:anchor="page34">
              <w:r>
                <w:rPr>
                  <w:rFonts w:ascii="Arial" w:cs="Arial" w:eastAsia="Arial" w:hAnsi="Arial"/>
                  <w:sz w:val="15"/>
                  <w:szCs w:val="15"/>
                  <w:color w:val="0000EE"/>
                </w:rPr>
                <w:t>How Named Executive Officer Compensation Decisions are Made</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34">
              <w:r>
                <w:rPr>
                  <w:rFonts w:ascii="Arial" w:cs="Arial" w:eastAsia="Arial" w:hAnsi="Arial"/>
                  <w:sz w:val="15"/>
                  <w:szCs w:val="15"/>
                  <w:color w:val="0000EE"/>
                </w:rPr>
                <w:t>31</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Borders>
              <w:top w:val="single" w:sz="8" w:color="0000EE"/>
              <w:bottom w:val="single" w:sz="8" w:color="0000EE"/>
            </w:tcBorders>
            <w:gridSpan w:val="29"/>
          </w:tcPr>
          <w:p>
            <w:pPr>
              <w:spacing w:after="0" w:line="163" w:lineRule="exact"/>
              <w:rPr>
                <w:rFonts w:ascii="Arial" w:cs="Arial" w:eastAsia="Arial" w:hAnsi="Arial"/>
                <w:sz w:val="15"/>
                <w:szCs w:val="15"/>
                <w:color w:val="0000EE"/>
                <w:w w:val="88"/>
              </w:rPr>
            </w:pPr>
            <w:hyperlink w:anchor="page39">
              <w:r>
                <w:rPr>
                  <w:rFonts w:ascii="Arial" w:cs="Arial" w:eastAsia="Arial" w:hAnsi="Arial"/>
                  <w:sz w:val="15"/>
                  <w:szCs w:val="15"/>
                  <w:color w:val="0000EE"/>
                  <w:w w:val="88"/>
                </w:rPr>
                <w:t>Named Executives' 2018 Compensation Program and Results</w:t>
              </w:r>
            </w:hyperlink>
          </w:p>
        </w:tc>
        <w:tc>
          <w:tcPr>
            <w:tcW w:w="300" w:type="dxa"/>
            <w:vAlign w:val="bottom"/>
            <w:tcBorders>
              <w:top w:val="single" w:sz="8" w:color="0000EE"/>
            </w:tcBorders>
            <w:gridSpan w:val="2"/>
          </w:tcPr>
          <w:p>
            <w:pPr>
              <w:spacing w:after="0"/>
              <w:rPr>
                <w:sz w:val="14"/>
                <w:szCs w:val="14"/>
                <w:color w:val="auto"/>
              </w:rPr>
            </w:pPr>
          </w:p>
        </w:tc>
        <w:tc>
          <w:tcPr>
            <w:tcW w:w="4120" w:type="dxa"/>
            <w:vAlign w:val="bottom"/>
            <w:gridSpan w:val="6"/>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39">
              <w:r>
                <w:rPr>
                  <w:rFonts w:ascii="Arial" w:cs="Arial" w:eastAsia="Arial" w:hAnsi="Arial"/>
                  <w:sz w:val="15"/>
                  <w:szCs w:val="15"/>
                  <w:color w:val="0000EE"/>
                  <w:w w:val="83"/>
                </w:rPr>
                <w:t>36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80" w:type="dxa"/>
            <w:vAlign w:val="bottom"/>
            <w:gridSpan w:val="37"/>
          </w:tcPr>
          <w:p>
            <w:pPr>
              <w:spacing w:after="0" w:line="163" w:lineRule="exact"/>
              <w:rPr>
                <w:rFonts w:ascii="Arial" w:cs="Arial" w:eastAsia="Arial" w:hAnsi="Arial"/>
                <w:sz w:val="15"/>
                <w:szCs w:val="15"/>
                <w:color w:val="0000EE"/>
              </w:rPr>
            </w:pPr>
            <w:hyperlink w:anchor="page44">
              <w:r>
                <w:rPr>
                  <w:rFonts w:ascii="Arial" w:cs="Arial" w:eastAsia="Arial" w:hAnsi="Arial"/>
                  <w:sz w:val="15"/>
                  <w:szCs w:val="15"/>
                  <w:color w:val="0000EE"/>
                </w:rPr>
                <w:t>Post-Employment and Change in Control Compensation; Clawback Policies</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44">
              <w:r>
                <w:rPr>
                  <w:rFonts w:ascii="Arial" w:cs="Arial" w:eastAsia="Arial" w:hAnsi="Arial"/>
                  <w:sz w:val="15"/>
                  <w:szCs w:val="15"/>
                  <w:color w:val="0000EE"/>
                </w:rPr>
                <w:t>41</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Borders>
              <w:top w:val="single" w:sz="8" w:color="0000EE"/>
              <w:bottom w:val="single" w:sz="8" w:color="0000EE"/>
            </w:tcBorders>
            <w:gridSpan w:val="19"/>
          </w:tcPr>
          <w:p>
            <w:pPr>
              <w:spacing w:after="0" w:line="163" w:lineRule="exact"/>
              <w:rPr>
                <w:rFonts w:ascii="Arial" w:cs="Arial" w:eastAsia="Arial" w:hAnsi="Arial"/>
                <w:sz w:val="15"/>
                <w:szCs w:val="15"/>
                <w:color w:val="0000EE"/>
                <w:w w:val="88"/>
              </w:rPr>
            </w:pPr>
            <w:hyperlink w:anchor="page45">
              <w:r>
                <w:rPr>
                  <w:rFonts w:ascii="Arial" w:cs="Arial" w:eastAsia="Arial" w:hAnsi="Arial"/>
                  <w:sz w:val="15"/>
                  <w:szCs w:val="15"/>
                  <w:color w:val="0000EE"/>
                  <w:w w:val="88"/>
                </w:rPr>
                <w:t>Other Compensation Policies and Practices</w:t>
              </w:r>
            </w:hyperlink>
          </w:p>
        </w:tc>
        <w:tc>
          <w:tcPr>
            <w:tcW w:w="1960" w:type="dxa"/>
            <w:vAlign w:val="bottom"/>
            <w:tcBorders>
              <w:top w:val="single" w:sz="8" w:color="0000EE"/>
            </w:tcBorders>
            <w:gridSpan w:val="14"/>
          </w:tcPr>
          <w:p>
            <w:pPr>
              <w:spacing w:after="0"/>
              <w:rPr>
                <w:sz w:val="14"/>
                <w:szCs w:val="14"/>
                <w:color w:val="auto"/>
              </w:rPr>
            </w:pPr>
          </w:p>
        </w:tc>
        <w:tc>
          <w:tcPr>
            <w:tcW w:w="3540" w:type="dxa"/>
            <w:vAlign w:val="bottom"/>
            <w:gridSpan w:val="4"/>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45">
              <w:r>
                <w:rPr>
                  <w:rFonts w:ascii="Arial" w:cs="Arial" w:eastAsia="Arial" w:hAnsi="Arial"/>
                  <w:sz w:val="15"/>
                  <w:szCs w:val="15"/>
                  <w:color w:val="0000EE"/>
                  <w:w w:val="83"/>
                </w:rPr>
                <w:t>42</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40" w:type="dxa"/>
            <w:vAlign w:val="bottom"/>
            <w:gridSpan w:val="38"/>
          </w:tcPr>
          <w:p>
            <w:pPr>
              <w:spacing w:after="0" w:line="163" w:lineRule="exact"/>
              <w:rPr>
                <w:rFonts w:ascii="Arial" w:cs="Arial" w:eastAsia="Arial" w:hAnsi="Arial"/>
                <w:sz w:val="15"/>
                <w:szCs w:val="15"/>
                <w:b w:val="1"/>
                <w:bCs w:val="1"/>
                <w:color w:val="0000EE"/>
              </w:rPr>
            </w:pPr>
            <w:hyperlink w:anchor="page47">
              <w:r>
                <w:rPr>
                  <w:rFonts w:ascii="Arial" w:cs="Arial" w:eastAsia="Arial" w:hAnsi="Arial"/>
                  <w:sz w:val="15"/>
                  <w:szCs w:val="15"/>
                  <w:b w:val="1"/>
                  <w:bCs w:val="1"/>
                  <w:color w:val="0000EE"/>
                </w:rPr>
                <w:t>Executive Compensation Tables</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47">
              <w:r>
                <w:rPr>
                  <w:rFonts w:ascii="Arial" w:cs="Arial" w:eastAsia="Arial" w:hAnsi="Arial"/>
                  <w:sz w:val="15"/>
                  <w:szCs w:val="15"/>
                  <w:color w:val="0000EE"/>
                </w:rPr>
                <w:t>44</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840" w:type="dxa"/>
            <w:vAlign w:val="bottom"/>
            <w:tcBorders>
              <w:top w:val="single" w:sz="8" w:color="0000EE"/>
            </w:tcBorders>
            <w:gridSpan w:val="12"/>
          </w:tcPr>
          <w:p>
            <w:pPr>
              <w:spacing w:after="0" w:line="163" w:lineRule="exact"/>
              <w:rPr>
                <w:rFonts w:ascii="Arial" w:cs="Arial" w:eastAsia="Arial" w:hAnsi="Arial"/>
                <w:sz w:val="15"/>
                <w:szCs w:val="15"/>
                <w:color w:val="0000EE"/>
                <w:w w:val="87"/>
              </w:rPr>
            </w:pPr>
            <w:hyperlink w:anchor="page47">
              <w:r>
                <w:rPr>
                  <w:rFonts w:ascii="Arial" w:cs="Arial" w:eastAsia="Arial" w:hAnsi="Arial"/>
                  <w:sz w:val="15"/>
                  <w:szCs w:val="15"/>
                  <w:color w:val="0000EE"/>
                  <w:w w:val="87"/>
                </w:rPr>
                <w:t>Summary Compensation Table</w:t>
              </w:r>
            </w:hyperlink>
          </w:p>
        </w:tc>
        <w:tc>
          <w:tcPr>
            <w:tcW w:w="6240" w:type="dxa"/>
            <w:vAlign w:val="bottom"/>
            <w:gridSpan w:val="25"/>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tcBorders>
            <w:gridSpan w:val="3"/>
          </w:tcPr>
          <w:p>
            <w:pPr>
              <w:jc w:val="right"/>
              <w:spacing w:after="0" w:line="163" w:lineRule="exact"/>
              <w:rPr>
                <w:rFonts w:ascii="Arial" w:cs="Arial" w:eastAsia="Arial" w:hAnsi="Arial"/>
                <w:sz w:val="15"/>
                <w:szCs w:val="15"/>
                <w:color w:val="0000EE"/>
                <w:w w:val="83"/>
              </w:rPr>
            </w:pPr>
            <w:hyperlink w:anchor="page47">
              <w:r>
                <w:rPr>
                  <w:rFonts w:ascii="Arial" w:cs="Arial" w:eastAsia="Arial" w:hAnsi="Arial"/>
                  <w:sz w:val="15"/>
                  <w:szCs w:val="15"/>
                  <w:color w:val="0000EE"/>
                  <w:w w:val="83"/>
                </w:rPr>
                <w:t>44</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Borders>
              <w:bottom w:val="single" w:sz="8" w:color="0000EE"/>
            </w:tcBorders>
            <w:gridSpan w:val="16"/>
          </w:tcPr>
          <w:p>
            <w:pPr>
              <w:spacing w:after="0" w:line="163" w:lineRule="exact"/>
              <w:rPr>
                <w:rFonts w:ascii="Arial" w:cs="Arial" w:eastAsia="Arial" w:hAnsi="Arial"/>
                <w:sz w:val="15"/>
                <w:szCs w:val="15"/>
                <w:color w:val="0000EE"/>
                <w:w w:val="91"/>
              </w:rPr>
            </w:pPr>
            <w:hyperlink w:anchor="page49">
              <w:r>
                <w:rPr>
                  <w:rFonts w:ascii="Arial" w:cs="Arial" w:eastAsia="Arial" w:hAnsi="Arial"/>
                  <w:sz w:val="15"/>
                  <w:szCs w:val="15"/>
                  <w:color w:val="0000EE"/>
                  <w:w w:val="91"/>
                </w:rPr>
                <w:t>Grant of Plan-Based Awards in 2018</w:t>
              </w:r>
            </w:hyperlink>
          </w:p>
        </w:tc>
        <w:tc>
          <w:tcPr>
            <w:tcW w:w="5820" w:type="dxa"/>
            <w:vAlign w:val="bottom"/>
            <w:gridSpan w:val="21"/>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49">
              <w:r>
                <w:rPr>
                  <w:rFonts w:ascii="Arial" w:cs="Arial" w:eastAsia="Arial" w:hAnsi="Arial"/>
                  <w:sz w:val="15"/>
                  <w:szCs w:val="15"/>
                  <w:color w:val="0000EE"/>
                  <w:w w:val="83"/>
                </w:rPr>
                <w:t>46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Borders>
              <w:bottom w:val="single" w:sz="8" w:color="0000EE"/>
            </w:tcBorders>
            <w:gridSpan w:val="22"/>
          </w:tcPr>
          <w:p>
            <w:pPr>
              <w:spacing w:after="0" w:line="163" w:lineRule="exact"/>
              <w:rPr>
                <w:rFonts w:ascii="Arial" w:cs="Arial" w:eastAsia="Arial" w:hAnsi="Arial"/>
                <w:sz w:val="15"/>
                <w:szCs w:val="15"/>
                <w:color w:val="0000EE"/>
                <w:w w:val="89"/>
              </w:rPr>
            </w:pPr>
            <w:hyperlink w:anchor="page50">
              <w:r>
                <w:rPr>
                  <w:rFonts w:ascii="Arial" w:cs="Arial" w:eastAsia="Arial" w:hAnsi="Arial"/>
                  <w:sz w:val="15"/>
                  <w:szCs w:val="15"/>
                  <w:color w:val="0000EE"/>
                  <w:w w:val="89"/>
                </w:rPr>
                <w:t>Outstanding Equity Awards as of December 31, 2018</w:t>
              </w:r>
            </w:hyperlink>
          </w:p>
        </w:tc>
        <w:tc>
          <w:tcPr>
            <w:tcW w:w="4900" w:type="dxa"/>
            <w:vAlign w:val="bottom"/>
            <w:gridSpan w:val="15"/>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0">
              <w:r>
                <w:rPr>
                  <w:rFonts w:ascii="Arial" w:cs="Arial" w:eastAsia="Arial" w:hAnsi="Arial"/>
                  <w:sz w:val="15"/>
                  <w:szCs w:val="15"/>
                  <w:color w:val="0000EE"/>
                  <w:w w:val="83"/>
                </w:rPr>
                <w:t>47</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80" w:type="dxa"/>
            <w:vAlign w:val="bottom"/>
            <w:gridSpan w:val="37"/>
          </w:tcPr>
          <w:p>
            <w:pPr>
              <w:spacing w:after="0" w:line="163" w:lineRule="exact"/>
              <w:rPr>
                <w:rFonts w:ascii="Arial" w:cs="Arial" w:eastAsia="Arial" w:hAnsi="Arial"/>
                <w:sz w:val="15"/>
                <w:szCs w:val="15"/>
                <w:color w:val="0000EE"/>
              </w:rPr>
            </w:pPr>
            <w:hyperlink w:anchor="page51">
              <w:r>
                <w:rPr>
                  <w:rFonts w:ascii="Arial" w:cs="Arial" w:eastAsia="Arial" w:hAnsi="Arial"/>
                  <w:sz w:val="15"/>
                  <w:szCs w:val="15"/>
                  <w:color w:val="0000EE"/>
                </w:rPr>
                <w:t>Option Exercises and Stock Vested</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51">
              <w:r>
                <w:rPr>
                  <w:rFonts w:ascii="Arial" w:cs="Arial" w:eastAsia="Arial" w:hAnsi="Arial"/>
                  <w:sz w:val="15"/>
                  <w:szCs w:val="15"/>
                  <w:color w:val="0000EE"/>
                </w:rPr>
                <w:t>48</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Borders>
              <w:bottom w:val="single" w:sz="8" w:color="0000EE"/>
            </w:tcBorders>
            <w:gridSpan w:val="20"/>
          </w:tcPr>
          <w:p>
            <w:pPr>
              <w:spacing w:after="0" w:line="163" w:lineRule="exact"/>
              <w:rPr>
                <w:rFonts w:ascii="Arial" w:cs="Arial" w:eastAsia="Arial" w:hAnsi="Arial"/>
                <w:sz w:val="15"/>
                <w:szCs w:val="15"/>
                <w:color w:val="0000EE"/>
                <w:w w:val="90"/>
              </w:rPr>
            </w:pPr>
            <w:hyperlink w:anchor="page52">
              <w:r>
                <w:rPr>
                  <w:rFonts w:ascii="Arial" w:cs="Arial" w:eastAsia="Arial" w:hAnsi="Arial"/>
                  <w:sz w:val="15"/>
                  <w:szCs w:val="15"/>
                  <w:color w:val="0000EE"/>
                  <w:w w:val="90"/>
                </w:rPr>
                <w:t>Nonqualified Deferred Compensation in 2018</w:t>
              </w:r>
            </w:hyperlink>
          </w:p>
        </w:tc>
        <w:tc>
          <w:tcPr>
            <w:tcW w:w="5340" w:type="dxa"/>
            <w:vAlign w:val="bottom"/>
            <w:gridSpan w:val="17"/>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2">
              <w:r>
                <w:rPr>
                  <w:rFonts w:ascii="Arial" w:cs="Arial" w:eastAsia="Arial" w:hAnsi="Arial"/>
                  <w:sz w:val="15"/>
                  <w:szCs w:val="15"/>
                  <w:color w:val="0000EE"/>
                  <w:w w:val="83"/>
                </w:rPr>
                <w:t>49</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tcBorders>
              <w:bottom w:val="single" w:sz="8" w:color="0000EE"/>
            </w:tcBorders>
            <w:gridSpan w:val="28"/>
          </w:tcPr>
          <w:p>
            <w:pPr>
              <w:spacing w:after="0" w:line="163" w:lineRule="exact"/>
              <w:rPr>
                <w:rFonts w:ascii="Arial" w:cs="Arial" w:eastAsia="Arial" w:hAnsi="Arial"/>
                <w:sz w:val="15"/>
                <w:szCs w:val="15"/>
                <w:color w:val="0000EE"/>
                <w:w w:val="90"/>
              </w:rPr>
            </w:pPr>
            <w:hyperlink w:anchor="page53">
              <w:r>
                <w:rPr>
                  <w:rFonts w:ascii="Arial" w:cs="Arial" w:eastAsia="Arial" w:hAnsi="Arial"/>
                  <w:sz w:val="15"/>
                  <w:szCs w:val="15"/>
                  <w:color w:val="0000EE"/>
                  <w:w w:val="90"/>
                </w:rPr>
                <w:t>Potential Payments Upon Termination or Change in Control</w:t>
              </w:r>
            </w:hyperlink>
          </w:p>
        </w:tc>
        <w:tc>
          <w:tcPr>
            <w:tcW w:w="4500" w:type="dxa"/>
            <w:vAlign w:val="bottom"/>
            <w:gridSpan w:val="9"/>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3">
              <w:r>
                <w:rPr>
                  <w:rFonts w:ascii="Arial" w:cs="Arial" w:eastAsia="Arial" w:hAnsi="Arial"/>
                  <w:sz w:val="15"/>
                  <w:szCs w:val="15"/>
                  <w:color w:val="0000EE"/>
                  <w:w w:val="83"/>
                </w:rPr>
                <w:t>50</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80" w:type="dxa"/>
            <w:vAlign w:val="bottom"/>
            <w:gridSpan w:val="37"/>
          </w:tcPr>
          <w:p>
            <w:pPr>
              <w:spacing w:after="0" w:line="163" w:lineRule="exact"/>
              <w:rPr>
                <w:rFonts w:ascii="Arial" w:cs="Arial" w:eastAsia="Arial" w:hAnsi="Arial"/>
                <w:sz w:val="15"/>
                <w:szCs w:val="15"/>
                <w:color w:val="0000EE"/>
              </w:rPr>
            </w:pPr>
            <w:hyperlink w:anchor="page56">
              <w:r>
                <w:rPr>
                  <w:rFonts w:ascii="Arial" w:cs="Arial" w:eastAsia="Arial" w:hAnsi="Arial"/>
                  <w:sz w:val="15"/>
                  <w:szCs w:val="15"/>
                  <w:color w:val="0000EE"/>
                </w:rPr>
                <w:t>Chief Executive Officer Pay Ratio</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56">
              <w:r>
                <w:rPr>
                  <w:rFonts w:ascii="Arial" w:cs="Arial" w:eastAsia="Arial" w:hAnsi="Arial"/>
                  <w:sz w:val="15"/>
                  <w:szCs w:val="15"/>
                  <w:color w:val="0000EE"/>
                </w:rPr>
                <w:t>53</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Borders>
              <w:top w:val="single" w:sz="8" w:color="0000EE"/>
            </w:tcBorders>
            <w:gridSpan w:val="14"/>
          </w:tcPr>
          <w:p>
            <w:pPr>
              <w:spacing w:after="0" w:line="163" w:lineRule="exact"/>
              <w:rPr>
                <w:rFonts w:ascii="Arial" w:cs="Arial" w:eastAsia="Arial" w:hAnsi="Arial"/>
                <w:sz w:val="15"/>
                <w:szCs w:val="15"/>
                <w:color w:val="0000EE"/>
                <w:w w:val="93"/>
              </w:rPr>
            </w:pPr>
            <w:hyperlink w:anchor="page57">
              <w:r>
                <w:rPr>
                  <w:rFonts w:ascii="Arial" w:cs="Arial" w:eastAsia="Arial" w:hAnsi="Arial"/>
                  <w:sz w:val="15"/>
                  <w:szCs w:val="15"/>
                  <w:color w:val="0000EE"/>
                  <w:w w:val="93"/>
                </w:rPr>
                <w:t>Equity Compensation Plan Table</w:t>
              </w:r>
            </w:hyperlink>
          </w:p>
        </w:tc>
        <w:tc>
          <w:tcPr>
            <w:tcW w:w="6000" w:type="dxa"/>
            <w:vAlign w:val="bottom"/>
            <w:gridSpan w:val="23"/>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tcBorders>
            <w:gridSpan w:val="3"/>
          </w:tcPr>
          <w:p>
            <w:pPr>
              <w:jc w:val="right"/>
              <w:spacing w:after="0" w:line="163" w:lineRule="exact"/>
              <w:rPr>
                <w:rFonts w:ascii="Arial" w:cs="Arial" w:eastAsia="Arial" w:hAnsi="Arial"/>
                <w:sz w:val="15"/>
                <w:szCs w:val="15"/>
                <w:color w:val="0000EE"/>
                <w:w w:val="83"/>
              </w:rPr>
            </w:pPr>
            <w:hyperlink w:anchor="page57">
              <w:r>
                <w:rPr>
                  <w:rFonts w:ascii="Arial" w:cs="Arial" w:eastAsia="Arial" w:hAnsi="Arial"/>
                  <w:sz w:val="15"/>
                  <w:szCs w:val="15"/>
                  <w:color w:val="0000EE"/>
                  <w:w w:val="83"/>
                </w:rPr>
                <w:t>54</w:t>
              </w:r>
            </w:hyperlink>
          </w:p>
        </w:tc>
        <w:tc>
          <w:tcPr>
            <w:tcW w:w="128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1500" w:type="dxa"/>
            <w:vAlign w:val="bottom"/>
            <w:gridSpan w:val="12"/>
          </w:tcPr>
          <w:p>
            <w:pPr>
              <w:spacing w:after="0" w:line="20" w:lineRule="exact"/>
              <w:rPr>
                <w:sz w:val="1"/>
                <w:szCs w:val="1"/>
                <w:color w:val="auto"/>
              </w:rPr>
            </w:pPr>
          </w:p>
        </w:tc>
        <w:tc>
          <w:tcPr>
            <w:tcW w:w="1680" w:type="dxa"/>
            <w:vAlign w:val="bottom"/>
            <w:gridSpan w:val="1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380" w:type="dxa"/>
            <w:vAlign w:val="bottom"/>
            <w:gridSpan w:val="39"/>
          </w:tcPr>
          <w:p>
            <w:pPr>
              <w:spacing w:after="0" w:line="163" w:lineRule="exact"/>
              <w:rPr>
                <w:rFonts w:ascii="Arial" w:cs="Arial" w:eastAsia="Arial" w:hAnsi="Arial"/>
                <w:sz w:val="15"/>
                <w:szCs w:val="15"/>
                <w:b w:val="1"/>
                <w:bCs w:val="1"/>
                <w:color w:val="0000EE"/>
              </w:rPr>
            </w:pPr>
            <w:hyperlink w:anchor="page58">
              <w:r>
                <w:rPr>
                  <w:rFonts w:ascii="Arial" w:cs="Arial" w:eastAsia="Arial" w:hAnsi="Arial"/>
                  <w:sz w:val="15"/>
                  <w:szCs w:val="15"/>
                  <w:b w:val="1"/>
                  <w:bCs w:val="1"/>
                  <w:color w:val="0000EE"/>
                </w:rPr>
                <w:t>RATIFICATION OF INDEPENDENT REGISTERED PUBLIC ACCOUNTING FIRM (Item 2 on the Proxy Card)</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58">
              <w:r>
                <w:rPr>
                  <w:rFonts w:ascii="Arial" w:cs="Arial" w:eastAsia="Arial" w:hAnsi="Arial"/>
                  <w:sz w:val="15"/>
                  <w:szCs w:val="15"/>
                  <w:color w:val="0000EE"/>
                </w:rPr>
                <w:t>55</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5440" w:type="dxa"/>
            <w:vAlign w:val="bottom"/>
            <w:tcBorders>
              <w:top w:val="single" w:sz="8" w:color="0000EE"/>
              <w:bottom w:val="single" w:sz="8" w:color="0000EE"/>
            </w:tcBorders>
            <w:gridSpan w:val="37"/>
          </w:tcPr>
          <w:p>
            <w:pPr>
              <w:spacing w:after="0" w:line="163" w:lineRule="exact"/>
              <w:rPr>
                <w:rFonts w:ascii="Arial" w:cs="Arial" w:eastAsia="Arial" w:hAnsi="Arial"/>
                <w:sz w:val="15"/>
                <w:szCs w:val="15"/>
                <w:b w:val="1"/>
                <w:bCs w:val="1"/>
                <w:color w:val="0000EE"/>
                <w:w w:val="97"/>
              </w:rPr>
            </w:pPr>
            <w:hyperlink w:anchor="page59">
              <w:r>
                <w:rPr>
                  <w:rFonts w:ascii="Arial" w:cs="Arial" w:eastAsia="Arial" w:hAnsi="Arial"/>
                  <w:sz w:val="15"/>
                  <w:szCs w:val="15"/>
                  <w:b w:val="1"/>
                  <w:bCs w:val="1"/>
                  <w:color w:val="0000EE"/>
                  <w:w w:val="97"/>
                </w:rPr>
                <w:t>ADVISORY VOTE ON EXECUTIVE COMPENSATION (Item 3 on the Proxy Card)</w:t>
              </w:r>
            </w:hyperlink>
          </w:p>
        </w:tc>
        <w:tc>
          <w:tcPr>
            <w:tcW w:w="188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bottom w:val="single" w:sz="8" w:color="0000EE"/>
            </w:tcBorders>
            <w:gridSpan w:val="3"/>
          </w:tcPr>
          <w:p>
            <w:pPr>
              <w:jc w:val="right"/>
              <w:spacing w:after="0" w:line="163" w:lineRule="exact"/>
              <w:rPr>
                <w:rFonts w:ascii="Arial" w:cs="Arial" w:eastAsia="Arial" w:hAnsi="Arial"/>
                <w:sz w:val="15"/>
                <w:szCs w:val="15"/>
                <w:color w:val="0000EE"/>
                <w:w w:val="83"/>
              </w:rPr>
            </w:pPr>
            <w:hyperlink w:anchor="page59">
              <w:r>
                <w:rPr>
                  <w:rFonts w:ascii="Arial" w:cs="Arial" w:eastAsia="Arial" w:hAnsi="Arial"/>
                  <w:sz w:val="15"/>
                  <w:szCs w:val="15"/>
                  <w:color w:val="0000EE"/>
                  <w:w w:val="83"/>
                </w:rPr>
                <w:t>56</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380" w:type="dxa"/>
            <w:vAlign w:val="bottom"/>
            <w:gridSpan w:val="39"/>
          </w:tcPr>
          <w:p>
            <w:pPr>
              <w:spacing w:after="0" w:line="163" w:lineRule="exact"/>
              <w:rPr>
                <w:rFonts w:ascii="Arial" w:cs="Arial" w:eastAsia="Arial" w:hAnsi="Arial"/>
                <w:sz w:val="15"/>
                <w:szCs w:val="15"/>
                <w:b w:val="1"/>
                <w:bCs w:val="1"/>
                <w:color w:val="0000EE"/>
              </w:rPr>
            </w:pPr>
            <w:hyperlink w:anchor="page59">
              <w:r>
                <w:rPr>
                  <w:rFonts w:ascii="Arial" w:cs="Arial" w:eastAsia="Arial" w:hAnsi="Arial"/>
                  <w:sz w:val="15"/>
                  <w:szCs w:val="15"/>
                  <w:b w:val="1"/>
                  <w:bCs w:val="1"/>
                  <w:color w:val="0000EE"/>
                </w:rPr>
                <w:t>STOCKHOLDER PROPOSAL (Item 4 on the Proxy Card)</w:t>
              </w:r>
            </w:hyperlink>
          </w:p>
        </w:tc>
        <w:tc>
          <w:tcPr>
            <w:tcW w:w="640" w:type="dxa"/>
            <w:vAlign w:val="bottom"/>
            <w:gridSpan w:val="4"/>
          </w:tcPr>
          <w:p>
            <w:pPr>
              <w:jc w:val="right"/>
              <w:spacing w:after="0" w:line="163" w:lineRule="exact"/>
              <w:rPr>
                <w:rFonts w:ascii="Arial" w:cs="Arial" w:eastAsia="Arial" w:hAnsi="Arial"/>
                <w:sz w:val="15"/>
                <w:szCs w:val="15"/>
                <w:color w:val="0000EE"/>
              </w:rPr>
            </w:pPr>
            <w:hyperlink w:anchor="page59">
              <w:r>
                <w:rPr>
                  <w:rFonts w:ascii="Arial" w:cs="Arial" w:eastAsia="Arial" w:hAnsi="Arial"/>
                  <w:sz w:val="15"/>
                  <w:szCs w:val="15"/>
                  <w:color w:val="0000EE"/>
                </w:rPr>
                <w:t>58</w:t>
              </w:r>
            </w:hyperlink>
          </w:p>
        </w:tc>
        <w:tc>
          <w:tcPr>
            <w:tcW w:w="128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3760" w:type="dxa"/>
            <w:vAlign w:val="bottom"/>
            <w:tcBorders>
              <w:top w:val="single" w:sz="8" w:color="0000EE"/>
            </w:tcBorders>
            <w:gridSpan w:val="27"/>
          </w:tcPr>
          <w:p>
            <w:pPr>
              <w:spacing w:after="0" w:line="163" w:lineRule="exact"/>
              <w:rPr>
                <w:rFonts w:ascii="Arial" w:cs="Arial" w:eastAsia="Arial" w:hAnsi="Arial"/>
                <w:sz w:val="15"/>
                <w:szCs w:val="15"/>
                <w:b w:val="1"/>
                <w:bCs w:val="1"/>
                <w:color w:val="0000EE"/>
              </w:rPr>
            </w:pPr>
            <w:hyperlink w:anchor="page63">
              <w:r>
                <w:rPr>
                  <w:rFonts w:ascii="Arial" w:cs="Arial" w:eastAsia="Arial" w:hAnsi="Arial"/>
                  <w:sz w:val="15"/>
                  <w:szCs w:val="15"/>
                  <w:b w:val="1"/>
                  <w:bCs w:val="1"/>
                  <w:color w:val="0000EE"/>
                </w:rPr>
                <w:t>OTHER MATTERS</w:t>
              </w:r>
            </w:hyperlink>
          </w:p>
        </w:tc>
        <w:tc>
          <w:tcPr>
            <w:tcW w:w="4620" w:type="dxa"/>
            <w:vAlign w:val="bottom"/>
            <w:gridSpan w:val="12"/>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0000EE"/>
            </w:tcBorders>
            <w:gridSpan w:val="3"/>
          </w:tcPr>
          <w:p>
            <w:pPr>
              <w:jc w:val="right"/>
              <w:spacing w:after="0" w:line="163" w:lineRule="exact"/>
              <w:rPr>
                <w:rFonts w:ascii="Arial" w:cs="Arial" w:eastAsia="Arial" w:hAnsi="Arial"/>
                <w:sz w:val="15"/>
                <w:szCs w:val="15"/>
                <w:color w:val="0000EE"/>
                <w:w w:val="83"/>
              </w:rPr>
            </w:pPr>
            <w:hyperlink w:anchor="page63">
              <w:r>
                <w:rPr>
                  <w:rFonts w:ascii="Arial" w:cs="Arial" w:eastAsia="Arial" w:hAnsi="Arial"/>
                  <w:sz w:val="15"/>
                  <w:szCs w:val="15"/>
                  <w:color w:val="0000EE"/>
                  <w:w w:val="83"/>
                </w:rPr>
                <w:t>60</w:t>
              </w:r>
            </w:hyperlink>
          </w:p>
        </w:tc>
        <w:tc>
          <w:tcPr>
            <w:tcW w:w="1280" w:type="dxa"/>
            <w:vAlign w:val="bottom"/>
          </w:tcPr>
          <w:p>
            <w:pPr>
              <w:spacing w:after="0"/>
              <w:rPr>
                <w:sz w:val="14"/>
                <w:szCs w:val="14"/>
                <w:color w:val="auto"/>
              </w:rPr>
            </w:pPr>
          </w:p>
        </w:tc>
      </w:tr>
      <w:tr>
        <w:trPr>
          <w:trHeight w:val="113"/>
        </w:trPr>
        <w:tc>
          <w:tcPr>
            <w:tcW w:w="1140" w:type="dxa"/>
            <w:vAlign w:val="bottom"/>
            <w:tcBorders>
              <w:bottom w:val="single" w:sz="8" w:color="808080"/>
            </w:tcBorders>
          </w:tcPr>
          <w:p>
            <w:pPr>
              <w:spacing w:after="0"/>
              <w:rPr>
                <w:sz w:val="9"/>
                <w:szCs w:val="9"/>
                <w:color w:val="auto"/>
              </w:rPr>
            </w:pPr>
          </w:p>
        </w:tc>
        <w:tc>
          <w:tcPr>
            <w:tcW w:w="140" w:type="dxa"/>
            <w:vAlign w:val="bottom"/>
            <w:tcBorders>
              <w:top w:val="single" w:sz="8" w:color="0000EE"/>
              <w:bottom w:val="single" w:sz="8" w:color="808080"/>
            </w:tcBorders>
          </w:tcPr>
          <w:p>
            <w:pPr>
              <w:spacing w:after="0"/>
              <w:rPr>
                <w:sz w:val="9"/>
                <w:szCs w:val="9"/>
                <w:color w:val="auto"/>
              </w:rPr>
            </w:pPr>
          </w:p>
        </w:tc>
        <w:tc>
          <w:tcPr>
            <w:tcW w:w="160" w:type="dxa"/>
            <w:vAlign w:val="bottom"/>
            <w:tcBorders>
              <w:top w:val="single" w:sz="8" w:color="0000EE"/>
              <w:bottom w:val="single" w:sz="8" w:color="808080"/>
            </w:tcBorders>
          </w:tcPr>
          <w:p>
            <w:pPr>
              <w:spacing w:after="0"/>
              <w:rPr>
                <w:sz w:val="9"/>
                <w:szCs w:val="9"/>
                <w:color w:val="auto"/>
              </w:rPr>
            </w:pPr>
          </w:p>
        </w:tc>
        <w:tc>
          <w:tcPr>
            <w:tcW w:w="88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6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1001 Fannin Street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Houston, Texas 77002</w:t>
      </w:r>
    </w:p>
    <w:p>
      <w:pPr>
        <w:spacing w:after="0" w:line="188"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5"/>
          <w:szCs w:val="15"/>
          <w:color w:val="auto"/>
        </w:rPr>
        <w:t>Waste Management, Inc. is a holding company, and all operations are conducted by its subsidiaries. Our subsidiaries are operated and managed locally and focus on providing services in distinct geographic areas. Through our subsidiaries, we are North America's leading provider of comprehensive waste management environmental services, and we are also a leading developer, operator and owner of landfill gas-to-energy facilities in the United States.</w:t>
      </w:r>
    </w:p>
    <w:p>
      <w:pPr>
        <w:spacing w:after="0" w:line="161"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5"/>
          <w:szCs w:val="15"/>
          <w:color w:val="auto"/>
        </w:rPr>
        <w:t>Our Board of Directors is soliciting your proxy for the 2019 Annual Meeting of Stockholders and at any postponement or adjournment of the meeting. We are furnishing proxy materials to our stockholders primarily via the Internet. On March 27, 2019, we sent an electronic notice of how to access our proxy materials and our Annual Report to stockholders that have previously signed up to receive their proxy materials via the Internet. On March 27, 2019,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20"/>
                <w:szCs w:val="20"/>
                <w:color w:val="auto"/>
              </w:rPr>
            </w:pPr>
            <w:r>
              <w:rPr>
                <w:rFonts w:ascii="Arial" w:cs="Arial" w:eastAsia="Arial" w:hAnsi="Arial"/>
                <w:sz w:val="15"/>
                <w:szCs w:val="15"/>
                <w:b w:val="1"/>
                <w:bCs w:val="1"/>
                <w:color w:val="auto"/>
              </w:rPr>
              <w:t>Record Date</w:t>
            </w:r>
          </w:p>
        </w:tc>
        <w:tc>
          <w:tcPr>
            <w:tcW w:w="8700" w:type="dxa"/>
            <w:vAlign w:val="bottom"/>
          </w:tcPr>
          <w:p>
            <w:pPr>
              <w:ind w:left="1380"/>
              <w:spacing w:after="0"/>
              <w:rPr>
                <w:sz w:val="20"/>
                <w:szCs w:val="20"/>
                <w:color w:val="auto"/>
              </w:rPr>
            </w:pPr>
            <w:r>
              <w:rPr>
                <w:rFonts w:ascii="Arial" w:cs="Arial" w:eastAsia="Arial" w:hAnsi="Arial"/>
                <w:sz w:val="15"/>
                <w:szCs w:val="15"/>
                <w:color w:val="auto"/>
              </w:rPr>
              <w:t>March 19, 2019.</w:t>
            </w:r>
          </w:p>
        </w:tc>
      </w:tr>
      <w:tr>
        <w:trPr>
          <w:trHeight w:val="389"/>
        </w:trPr>
        <w:tc>
          <w:tcPr>
            <w:tcW w:w="2740" w:type="dxa"/>
            <w:vAlign w:val="bottom"/>
          </w:tcPr>
          <w:p>
            <w:pPr>
              <w:spacing w:after="0"/>
              <w:rPr>
                <w:sz w:val="20"/>
                <w:szCs w:val="20"/>
                <w:color w:val="auto"/>
              </w:rPr>
            </w:pPr>
            <w:r>
              <w:rPr>
                <w:rFonts w:ascii="Arial" w:cs="Arial" w:eastAsia="Arial" w:hAnsi="Arial"/>
                <w:sz w:val="15"/>
                <w:szCs w:val="15"/>
                <w:b w:val="1"/>
                <w:bCs w:val="1"/>
                <w:color w:val="auto"/>
              </w:rPr>
              <w:t>Quorum</w:t>
            </w:r>
          </w:p>
        </w:tc>
        <w:tc>
          <w:tcPr>
            <w:tcW w:w="8700" w:type="dxa"/>
            <w:vAlign w:val="bottom"/>
          </w:tcPr>
          <w:p>
            <w:pPr>
              <w:ind w:left="1380"/>
              <w:spacing w:after="0"/>
              <w:rPr>
                <w:sz w:val="20"/>
                <w:szCs w:val="20"/>
                <w:color w:val="auto"/>
              </w:rPr>
            </w:pPr>
            <w:r>
              <w:rPr>
                <w:rFonts w:ascii="Arial" w:cs="Arial" w:eastAsia="Arial" w:hAnsi="Arial"/>
                <w:sz w:val="15"/>
                <w:szCs w:val="15"/>
                <w:color w:val="auto"/>
              </w:rPr>
              <w:t>A majority of shares outstanding on the record date must be present in person or by proxy.</w:t>
            </w:r>
          </w:p>
        </w:tc>
      </w:tr>
      <w:tr>
        <w:trPr>
          <w:trHeight w:val="389"/>
        </w:trPr>
        <w:tc>
          <w:tcPr>
            <w:tcW w:w="2740" w:type="dxa"/>
            <w:vAlign w:val="bottom"/>
          </w:tcPr>
          <w:p>
            <w:pPr>
              <w:spacing w:after="0"/>
              <w:rPr>
                <w:sz w:val="20"/>
                <w:szCs w:val="20"/>
                <w:color w:val="auto"/>
              </w:rPr>
            </w:pPr>
            <w:r>
              <w:rPr>
                <w:rFonts w:ascii="Arial" w:cs="Arial" w:eastAsia="Arial" w:hAnsi="Arial"/>
                <w:sz w:val="15"/>
                <w:szCs w:val="15"/>
                <w:b w:val="1"/>
                <w:bCs w:val="1"/>
                <w:color w:val="auto"/>
              </w:rPr>
              <w:t>Shares Outstanding</w:t>
            </w:r>
          </w:p>
        </w:tc>
        <w:tc>
          <w:tcPr>
            <w:tcW w:w="8700" w:type="dxa"/>
            <w:vAlign w:val="bottom"/>
          </w:tcPr>
          <w:p>
            <w:pPr>
              <w:ind w:left="1380"/>
              <w:spacing w:after="0"/>
              <w:rPr>
                <w:sz w:val="20"/>
                <w:szCs w:val="20"/>
                <w:color w:val="auto"/>
              </w:rPr>
            </w:pPr>
            <w:r>
              <w:rPr>
                <w:rFonts w:ascii="Arial" w:cs="Arial" w:eastAsia="Arial" w:hAnsi="Arial"/>
                <w:sz w:val="15"/>
                <w:szCs w:val="15"/>
                <w:color w:val="auto"/>
              </w:rPr>
              <w:t>There were 424,681,723 shares of our Common Stock outstanding and entitled to vote as of March 19, 2019.</w:t>
            </w:r>
          </w:p>
        </w:tc>
      </w:tr>
      <w:tr>
        <w:trPr>
          <w:trHeight w:val="389"/>
        </w:trPr>
        <w:tc>
          <w:tcPr>
            <w:tcW w:w="2740" w:type="dxa"/>
            <w:vAlign w:val="bottom"/>
          </w:tcPr>
          <w:p>
            <w:pPr>
              <w:spacing w:after="0"/>
              <w:rPr>
                <w:sz w:val="20"/>
                <w:szCs w:val="20"/>
                <w:color w:val="auto"/>
              </w:rPr>
            </w:pPr>
            <w:r>
              <w:rPr>
                <w:rFonts w:ascii="Arial" w:cs="Arial" w:eastAsia="Arial" w:hAnsi="Arial"/>
                <w:sz w:val="15"/>
                <w:szCs w:val="15"/>
                <w:b w:val="1"/>
                <w:bCs w:val="1"/>
                <w:color w:val="auto"/>
              </w:rPr>
              <w:t>Voting by Proxy</w:t>
            </w:r>
          </w:p>
        </w:tc>
        <w:tc>
          <w:tcPr>
            <w:tcW w:w="8700" w:type="dxa"/>
            <w:vAlign w:val="bottom"/>
          </w:tcPr>
          <w:p>
            <w:pPr>
              <w:ind w:left="1380"/>
              <w:spacing w:after="0"/>
              <w:rPr>
                <w:sz w:val="20"/>
                <w:szCs w:val="20"/>
                <w:color w:val="auto"/>
              </w:rPr>
            </w:pPr>
            <w:r>
              <w:rPr>
                <w:rFonts w:ascii="Arial" w:cs="Arial" w:eastAsia="Arial" w:hAnsi="Arial"/>
                <w:sz w:val="15"/>
                <w:szCs w:val="15"/>
                <w:color w:val="auto"/>
              </w:rPr>
              <w:t>Internet, phone, or mail.</w:t>
            </w:r>
          </w:p>
        </w:tc>
      </w:tr>
      <w:tr>
        <w:trPr>
          <w:trHeight w:val="384"/>
        </w:trPr>
        <w:tc>
          <w:tcPr>
            <w:tcW w:w="2740" w:type="dxa"/>
            <w:vAlign w:val="bottom"/>
          </w:tcPr>
          <w:p>
            <w:pPr>
              <w:spacing w:after="0"/>
              <w:rPr>
                <w:sz w:val="20"/>
                <w:szCs w:val="20"/>
                <w:color w:val="auto"/>
              </w:rPr>
            </w:pPr>
            <w:r>
              <w:rPr>
                <w:rFonts w:ascii="Arial" w:cs="Arial" w:eastAsia="Arial" w:hAnsi="Arial"/>
                <w:sz w:val="15"/>
                <w:szCs w:val="15"/>
                <w:b w:val="1"/>
                <w:bCs w:val="1"/>
                <w:color w:val="auto"/>
              </w:rPr>
              <w:t>Voting at the Meeting</w:t>
            </w:r>
          </w:p>
        </w:tc>
        <w:tc>
          <w:tcPr>
            <w:tcW w:w="8700" w:type="dxa"/>
            <w:vAlign w:val="bottom"/>
          </w:tcPr>
          <w:p>
            <w:pPr>
              <w:ind w:left="1380"/>
              <w:spacing w:after="0"/>
              <w:rPr>
                <w:sz w:val="20"/>
                <w:szCs w:val="20"/>
                <w:color w:val="auto"/>
              </w:rPr>
            </w:pPr>
            <w:r>
              <w:rPr>
                <w:rFonts w:ascii="Arial" w:cs="Arial" w:eastAsia="Arial" w:hAnsi="Arial"/>
                <w:sz w:val="15"/>
                <w:szCs w:val="15"/>
                <w:color w:val="auto"/>
                <w:w w:val="95"/>
              </w:rPr>
              <w:t>Stockholders can vote in person during the meeting. Stockholders of record will be on a list held by the inspector of</w:t>
            </w:r>
          </w:p>
        </w:tc>
      </w:tr>
      <w:tr>
        <w:trPr>
          <w:trHeight w:val="183"/>
        </w:trPr>
        <w:tc>
          <w:tcPr>
            <w:tcW w:w="2740" w:type="dxa"/>
            <w:vAlign w:val="bottom"/>
          </w:tcPr>
          <w:p>
            <w:pPr>
              <w:spacing w:after="0"/>
              <w:rPr>
                <w:sz w:val="15"/>
                <w:szCs w:val="15"/>
                <w:color w:val="auto"/>
              </w:rPr>
            </w:pPr>
          </w:p>
        </w:tc>
        <w:tc>
          <w:tcPr>
            <w:tcW w:w="8700" w:type="dxa"/>
            <w:vAlign w:val="bottom"/>
          </w:tcPr>
          <w:p>
            <w:pPr>
              <w:ind w:left="1380"/>
              <w:spacing w:after="0"/>
              <w:rPr>
                <w:sz w:val="20"/>
                <w:szCs w:val="20"/>
                <w:color w:val="auto"/>
              </w:rPr>
            </w:pPr>
            <w:r>
              <w:rPr>
                <w:rFonts w:ascii="Arial" w:cs="Arial" w:eastAsia="Arial" w:hAnsi="Arial"/>
                <w:sz w:val="15"/>
                <w:szCs w:val="15"/>
                <w:color w:val="auto"/>
                <w:w w:val="95"/>
              </w:rPr>
              <w:t>elections. Beneficial holders must obtain a proxy from their brokerage firm, bank, or other stockholder of record and</w:t>
            </w:r>
          </w:p>
        </w:tc>
      </w:tr>
      <w:tr>
        <w:trPr>
          <w:trHeight w:val="183"/>
        </w:trPr>
        <w:tc>
          <w:tcPr>
            <w:tcW w:w="2740" w:type="dxa"/>
            <w:vAlign w:val="bottom"/>
          </w:tcPr>
          <w:p>
            <w:pPr>
              <w:spacing w:after="0"/>
              <w:rPr>
                <w:sz w:val="15"/>
                <w:szCs w:val="15"/>
                <w:color w:val="auto"/>
              </w:rPr>
            </w:pPr>
          </w:p>
        </w:tc>
        <w:tc>
          <w:tcPr>
            <w:tcW w:w="8700" w:type="dxa"/>
            <w:vAlign w:val="bottom"/>
          </w:tcPr>
          <w:p>
            <w:pPr>
              <w:ind w:left="1380"/>
              <w:spacing w:after="0"/>
              <w:rPr>
                <w:sz w:val="20"/>
                <w:szCs w:val="20"/>
                <w:color w:val="auto"/>
              </w:rPr>
            </w:pPr>
            <w:r>
              <w:rPr>
                <w:rFonts w:ascii="Arial" w:cs="Arial" w:eastAsia="Arial" w:hAnsi="Arial"/>
                <w:sz w:val="15"/>
                <w:szCs w:val="15"/>
                <w:color w:val="auto"/>
                <w:w w:val="92"/>
              </w:rPr>
              <w:t>present it to the inspector of elections with their ballot. Voting in person by a stockholder will replace any previous votes</w:t>
            </w:r>
          </w:p>
        </w:tc>
      </w:tr>
      <w:tr>
        <w:trPr>
          <w:trHeight w:val="189"/>
        </w:trPr>
        <w:tc>
          <w:tcPr>
            <w:tcW w:w="2740" w:type="dxa"/>
            <w:vAlign w:val="bottom"/>
          </w:tcPr>
          <w:p>
            <w:pPr>
              <w:spacing w:after="0"/>
              <w:rPr>
                <w:sz w:val="16"/>
                <w:szCs w:val="16"/>
                <w:color w:val="auto"/>
              </w:rPr>
            </w:pPr>
          </w:p>
        </w:tc>
        <w:tc>
          <w:tcPr>
            <w:tcW w:w="8700" w:type="dxa"/>
            <w:vAlign w:val="bottom"/>
          </w:tcPr>
          <w:p>
            <w:pPr>
              <w:ind w:left="1380"/>
              <w:spacing w:after="0"/>
              <w:rPr>
                <w:sz w:val="20"/>
                <w:szCs w:val="20"/>
                <w:color w:val="auto"/>
              </w:rPr>
            </w:pPr>
            <w:r>
              <w:rPr>
                <w:rFonts w:ascii="Arial" w:cs="Arial" w:eastAsia="Arial" w:hAnsi="Arial"/>
                <w:sz w:val="15"/>
                <w:szCs w:val="15"/>
                <w:color w:val="auto"/>
              </w:rPr>
              <w:t>submitted by proxy.</w:t>
            </w:r>
          </w:p>
        </w:tc>
      </w:tr>
      <w:tr>
        <w:trPr>
          <w:trHeight w:val="384"/>
        </w:trPr>
        <w:tc>
          <w:tcPr>
            <w:tcW w:w="2740" w:type="dxa"/>
            <w:vAlign w:val="bottom"/>
          </w:tcPr>
          <w:p>
            <w:pPr>
              <w:spacing w:after="0"/>
              <w:rPr>
                <w:sz w:val="20"/>
                <w:szCs w:val="20"/>
                <w:color w:val="auto"/>
              </w:rPr>
            </w:pPr>
            <w:r>
              <w:rPr>
                <w:rFonts w:ascii="Arial" w:cs="Arial" w:eastAsia="Arial" w:hAnsi="Arial"/>
                <w:sz w:val="15"/>
                <w:szCs w:val="15"/>
                <w:b w:val="1"/>
                <w:bCs w:val="1"/>
                <w:color w:val="auto"/>
              </w:rPr>
              <w:t>Changing Your Vote</w:t>
            </w:r>
          </w:p>
        </w:tc>
        <w:tc>
          <w:tcPr>
            <w:tcW w:w="8700" w:type="dxa"/>
            <w:vAlign w:val="bottom"/>
          </w:tcPr>
          <w:p>
            <w:pPr>
              <w:ind w:left="1380"/>
              <w:spacing w:after="0"/>
              <w:rPr>
                <w:sz w:val="20"/>
                <w:szCs w:val="20"/>
                <w:color w:val="auto"/>
              </w:rPr>
            </w:pPr>
            <w:r>
              <w:rPr>
                <w:rFonts w:ascii="Arial" w:cs="Arial" w:eastAsia="Arial" w:hAnsi="Arial"/>
                <w:sz w:val="15"/>
                <w:szCs w:val="15"/>
                <w:color w:val="auto"/>
                <w:w w:val="93"/>
              </w:rPr>
              <w:t>Stockholders of record may revoke their proxy at any time before we vote it at the meeting by submitting a later-dated</w:t>
            </w:r>
          </w:p>
        </w:tc>
      </w:tr>
      <w:tr>
        <w:trPr>
          <w:trHeight w:val="183"/>
        </w:trPr>
        <w:tc>
          <w:tcPr>
            <w:tcW w:w="2740" w:type="dxa"/>
            <w:vAlign w:val="bottom"/>
          </w:tcPr>
          <w:p>
            <w:pPr>
              <w:spacing w:after="0"/>
              <w:rPr>
                <w:sz w:val="15"/>
                <w:szCs w:val="15"/>
                <w:color w:val="auto"/>
              </w:rPr>
            </w:pPr>
          </w:p>
        </w:tc>
        <w:tc>
          <w:tcPr>
            <w:tcW w:w="8700" w:type="dxa"/>
            <w:vAlign w:val="bottom"/>
          </w:tcPr>
          <w:p>
            <w:pPr>
              <w:ind w:left="1380"/>
              <w:spacing w:after="0"/>
              <w:rPr>
                <w:sz w:val="20"/>
                <w:szCs w:val="20"/>
                <w:color w:val="auto"/>
              </w:rPr>
            </w:pPr>
            <w:r>
              <w:rPr>
                <w:rFonts w:ascii="Arial" w:cs="Arial" w:eastAsia="Arial" w:hAnsi="Arial"/>
                <w:sz w:val="15"/>
                <w:szCs w:val="15"/>
                <w:color w:val="auto"/>
                <w:w w:val="95"/>
              </w:rPr>
              <w:t>proxy via the Internet, by telephone, by mail, by delivering instructions to our Corporate Secretary before the annual</w:t>
            </w:r>
          </w:p>
        </w:tc>
      </w:tr>
      <w:tr>
        <w:trPr>
          <w:trHeight w:val="183"/>
        </w:trPr>
        <w:tc>
          <w:tcPr>
            <w:tcW w:w="2740" w:type="dxa"/>
            <w:vAlign w:val="bottom"/>
          </w:tcPr>
          <w:p>
            <w:pPr>
              <w:spacing w:after="0"/>
              <w:rPr>
                <w:sz w:val="15"/>
                <w:szCs w:val="15"/>
                <w:color w:val="auto"/>
              </w:rPr>
            </w:pPr>
          </w:p>
        </w:tc>
        <w:tc>
          <w:tcPr>
            <w:tcW w:w="8700" w:type="dxa"/>
            <w:vAlign w:val="bottom"/>
          </w:tcPr>
          <w:p>
            <w:pPr>
              <w:ind w:left="1380"/>
              <w:spacing w:after="0"/>
              <w:rPr>
                <w:sz w:val="20"/>
                <w:szCs w:val="20"/>
                <w:color w:val="auto"/>
              </w:rPr>
            </w:pPr>
            <w:r>
              <w:rPr>
                <w:rFonts w:ascii="Arial" w:cs="Arial" w:eastAsia="Arial" w:hAnsi="Arial"/>
                <w:sz w:val="15"/>
                <w:szCs w:val="15"/>
                <w:color w:val="auto"/>
                <w:w w:val="91"/>
              </w:rPr>
              <w:t>meeting revoking the proxy or by voting in person at the annual meeting. If you hold shares through a bank or brokerage</w:t>
            </w:r>
          </w:p>
        </w:tc>
      </w:tr>
      <w:tr>
        <w:trPr>
          <w:trHeight w:val="189"/>
        </w:trPr>
        <w:tc>
          <w:tcPr>
            <w:tcW w:w="2740" w:type="dxa"/>
            <w:vAlign w:val="bottom"/>
          </w:tcPr>
          <w:p>
            <w:pPr>
              <w:spacing w:after="0"/>
              <w:rPr>
                <w:sz w:val="16"/>
                <w:szCs w:val="16"/>
                <w:color w:val="auto"/>
              </w:rPr>
            </w:pPr>
          </w:p>
        </w:tc>
        <w:tc>
          <w:tcPr>
            <w:tcW w:w="8700" w:type="dxa"/>
            <w:vAlign w:val="bottom"/>
          </w:tcPr>
          <w:p>
            <w:pPr>
              <w:ind w:left="1380"/>
              <w:spacing w:after="0"/>
              <w:rPr>
                <w:sz w:val="20"/>
                <w:szCs w:val="20"/>
                <w:color w:val="auto"/>
              </w:rPr>
            </w:pPr>
            <w:r>
              <w:rPr>
                <w:rFonts w:ascii="Arial" w:cs="Arial" w:eastAsia="Arial" w:hAnsi="Arial"/>
                <w:sz w:val="15"/>
                <w:szCs w:val="15"/>
                <w:color w:val="auto"/>
              </w:rPr>
              <w:t>firm, you may revoke any prior voting instructions by contacting that firm.</w:t>
            </w:r>
          </w:p>
        </w:tc>
      </w:tr>
      <w:tr>
        <w:trPr>
          <w:trHeight w:val="366"/>
        </w:trPr>
        <w:tc>
          <w:tcPr>
            <w:tcW w:w="2740" w:type="dxa"/>
            <w:vAlign w:val="bottom"/>
          </w:tcPr>
          <w:p>
            <w:pPr>
              <w:spacing w:after="0"/>
              <w:rPr>
                <w:sz w:val="24"/>
                <w:szCs w:val="24"/>
                <w:color w:val="auto"/>
              </w:rPr>
            </w:pPr>
          </w:p>
        </w:tc>
        <w:tc>
          <w:tcPr>
            <w:tcW w:w="8700" w:type="dxa"/>
            <w:vAlign w:val="bottom"/>
          </w:tcPr>
          <w:p>
            <w:pPr>
              <w:ind w:left="2940"/>
              <w:spacing w:after="0"/>
              <w:rPr>
                <w:sz w:val="20"/>
                <w:szCs w:val="20"/>
                <w:color w:val="auto"/>
              </w:rPr>
            </w:pPr>
            <w:r>
              <w:rPr>
                <w:rFonts w:ascii="Arial" w:cs="Arial" w:eastAsia="Arial" w:hAnsi="Arial"/>
                <w:sz w:val="15"/>
                <w:szCs w:val="15"/>
                <w:color w:val="auto"/>
              </w:rPr>
              <w:t>1</w:t>
            </w:r>
          </w:p>
        </w:tc>
      </w:tr>
      <w:tr>
        <w:trPr>
          <w:trHeight w:val="192"/>
        </w:trPr>
        <w:tc>
          <w:tcPr>
            <w:tcW w:w="2740" w:type="dxa"/>
            <w:vAlign w:val="bottom"/>
            <w:tcBorders>
              <w:bottom w:val="single" w:sz="8" w:color="808080"/>
            </w:tcBorders>
          </w:tcPr>
          <w:p>
            <w:pPr>
              <w:spacing w:after="0"/>
              <w:rPr>
                <w:sz w:val="16"/>
                <w:szCs w:val="16"/>
                <w:color w:val="auto"/>
              </w:rPr>
            </w:pPr>
          </w:p>
        </w:tc>
        <w:tc>
          <w:tcPr>
            <w:tcW w:w="87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3440" w:type="dxa"/>
            <w:vAlign w:val="bottom"/>
            <w:gridSpan w:val="2"/>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Table of Contents</w:t>
              </w:r>
            </w:hyperlink>
          </w:p>
        </w:tc>
        <w:tc>
          <w:tcPr>
            <w:tcW w:w="8000" w:type="dxa"/>
            <w:vAlign w:val="bottom"/>
          </w:tcPr>
          <w:p>
            <w:pPr>
              <w:spacing w:after="0"/>
              <w:rPr>
                <w:sz w:val="14"/>
                <w:szCs w:val="14"/>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579"/>
        </w:trPr>
        <w:tc>
          <w:tcPr>
            <w:tcW w:w="3440" w:type="dxa"/>
            <w:vAlign w:val="bottom"/>
            <w:gridSpan w:val="2"/>
          </w:tcPr>
          <w:p>
            <w:pPr>
              <w:spacing w:after="0"/>
              <w:rPr>
                <w:sz w:val="20"/>
                <w:szCs w:val="20"/>
                <w:color w:val="auto"/>
              </w:rPr>
            </w:pPr>
            <w:r>
              <w:rPr>
                <w:rFonts w:ascii="Arial" w:cs="Arial" w:eastAsia="Arial" w:hAnsi="Arial"/>
                <w:sz w:val="15"/>
                <w:szCs w:val="15"/>
                <w:b w:val="1"/>
                <w:bCs w:val="1"/>
                <w:color w:val="auto"/>
              </w:rPr>
              <w:t>Votes Required to Adopt Proposals</w:t>
            </w:r>
          </w:p>
        </w:tc>
        <w:tc>
          <w:tcPr>
            <w:tcW w:w="8000" w:type="dxa"/>
            <w:vAlign w:val="bottom"/>
          </w:tcPr>
          <w:p>
            <w:pPr>
              <w:ind w:left="680"/>
              <w:spacing w:after="0"/>
              <w:rPr>
                <w:sz w:val="20"/>
                <w:szCs w:val="20"/>
                <w:color w:val="auto"/>
              </w:rPr>
            </w:pPr>
            <w:r>
              <w:rPr>
                <w:rFonts w:ascii="Arial" w:cs="Arial" w:eastAsia="Arial" w:hAnsi="Arial"/>
                <w:sz w:val="15"/>
                <w:szCs w:val="15"/>
                <w:color w:val="auto"/>
                <w:w w:val="94"/>
              </w:rPr>
              <w:t>Each share of our Common Stock outstanding on the record date is entitled to one vote on each of the eight director</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88"/>
              </w:rPr>
              <w:t>nominees and one vote on each other matter. To be elected, a director must receive a majority of the votes cast with respect</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1"/>
              </w:rPr>
              <w:t>to that director at the meeting. This means that the number of shares voted "for" a director must exceed 50% of the votes</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88"/>
              </w:rPr>
              <w:t>cast with respect to that director. Each of the other proposals requires the favorable vote of a majority of the shares present,</w:t>
            </w:r>
          </w:p>
        </w:tc>
      </w:tr>
      <w:tr>
        <w:trPr>
          <w:trHeight w:val="189"/>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either by proxy or in person, and entitled to vote.</w:t>
            </w:r>
          </w:p>
        </w:tc>
      </w:tr>
      <w:tr>
        <w:trPr>
          <w:trHeight w:val="384"/>
        </w:trPr>
        <w:tc>
          <w:tcPr>
            <w:tcW w:w="3440" w:type="dxa"/>
            <w:vAlign w:val="bottom"/>
            <w:gridSpan w:val="2"/>
          </w:tcPr>
          <w:p>
            <w:pPr>
              <w:spacing w:after="0"/>
              <w:rPr>
                <w:sz w:val="20"/>
                <w:szCs w:val="20"/>
                <w:color w:val="auto"/>
              </w:rPr>
            </w:pPr>
            <w:r>
              <w:rPr>
                <w:rFonts w:ascii="Arial" w:cs="Arial" w:eastAsia="Arial" w:hAnsi="Arial"/>
                <w:sz w:val="15"/>
                <w:szCs w:val="15"/>
                <w:b w:val="1"/>
                <w:bCs w:val="1"/>
                <w:color w:val="auto"/>
              </w:rPr>
              <w:t>Effect of Abstentions and Broker Non-Votes</w:t>
            </w:r>
          </w:p>
        </w:tc>
        <w:tc>
          <w:tcPr>
            <w:tcW w:w="8000" w:type="dxa"/>
            <w:vAlign w:val="bottom"/>
          </w:tcPr>
          <w:p>
            <w:pPr>
              <w:ind w:left="680"/>
              <w:spacing w:after="0"/>
              <w:rPr>
                <w:sz w:val="20"/>
                <w:szCs w:val="20"/>
                <w:color w:val="auto"/>
              </w:rPr>
            </w:pPr>
            <w:r>
              <w:rPr>
                <w:rFonts w:ascii="Arial" w:cs="Arial" w:eastAsia="Arial" w:hAnsi="Arial"/>
                <w:sz w:val="15"/>
                <w:szCs w:val="15"/>
                <w:color w:val="auto"/>
                <w:w w:val="89"/>
              </w:rPr>
              <w:t>Abstentions will have no effect on the election of directors. For each of the other proposals, abstentions will have the same</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 xml:space="preserve">effect as a vote </w:t>
            </w:r>
            <w:r>
              <w:rPr>
                <w:rFonts w:ascii="Arial" w:cs="Arial" w:eastAsia="Arial" w:hAnsi="Arial"/>
                <w:sz w:val="15"/>
                <w:szCs w:val="15"/>
                <w:b w:val="1"/>
                <w:bCs w:val="1"/>
                <w:i w:val="1"/>
                <w:iCs w:val="1"/>
                <w:color w:val="auto"/>
              </w:rPr>
              <w:t>against</w:t>
            </w:r>
            <w:r>
              <w:rPr>
                <w:rFonts w:ascii="Arial" w:cs="Arial" w:eastAsia="Arial" w:hAnsi="Arial"/>
                <w:sz w:val="15"/>
                <w:szCs w:val="15"/>
                <w:color w:val="auto"/>
              </w:rPr>
              <w:t xml:space="preserve"> these matters because they are considered present and entitled to vote.</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2"/>
              </w:rPr>
              <w:t>If your shares are held by a broker, the broker will ask you how you want your shares to be voted. If you give the broker</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6"/>
              </w:rPr>
              <w:t>instructions, your shares must be voted as you direct. If you do not give instructions, one of two things can happen</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3"/>
              </w:rPr>
              <w:t>depending on the type of proposal. For the proposal to ratify selection of the Company's independent registered public</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4"/>
              </w:rPr>
              <w:t>accounting firm, the broker may vote your shares at its discretion. But for all other proposals in this Proxy Statement,</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1"/>
              </w:rPr>
              <w:t>including the election of directors, the advisory vote on executive compensation and the stockholder proposal, the broker</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5"/>
              </w:rPr>
              <w:t>cannot vote your shares at all. When that happens, it is called a "broker non-vote." Broker non-votes are counted in</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4"/>
              </w:rPr>
              <w:t>determining the presence of a quorum at the meeting, but they are not counted for purposes of calculating the shares</w:t>
            </w:r>
          </w:p>
        </w:tc>
      </w:tr>
      <w:tr>
        <w:trPr>
          <w:trHeight w:val="189"/>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present and entitled to vote on particular proposals at the meeting.</w:t>
            </w:r>
          </w:p>
        </w:tc>
      </w:tr>
      <w:tr>
        <w:trPr>
          <w:trHeight w:val="384"/>
        </w:trPr>
        <w:tc>
          <w:tcPr>
            <w:tcW w:w="3440" w:type="dxa"/>
            <w:vAlign w:val="bottom"/>
            <w:gridSpan w:val="2"/>
          </w:tcPr>
          <w:p>
            <w:pPr>
              <w:spacing w:after="0"/>
              <w:rPr>
                <w:sz w:val="20"/>
                <w:szCs w:val="20"/>
                <w:color w:val="auto"/>
              </w:rPr>
            </w:pPr>
            <w:r>
              <w:rPr>
                <w:rFonts w:ascii="Arial" w:cs="Arial" w:eastAsia="Arial" w:hAnsi="Arial"/>
                <w:sz w:val="15"/>
                <w:szCs w:val="15"/>
                <w:b w:val="1"/>
                <w:bCs w:val="1"/>
                <w:color w:val="auto"/>
              </w:rPr>
              <w:t>Voting Instructions</w:t>
            </w:r>
          </w:p>
        </w:tc>
        <w:tc>
          <w:tcPr>
            <w:tcW w:w="8000" w:type="dxa"/>
            <w:vAlign w:val="bottom"/>
          </w:tcPr>
          <w:p>
            <w:pPr>
              <w:ind w:left="680"/>
              <w:spacing w:after="0"/>
              <w:rPr>
                <w:sz w:val="20"/>
                <w:szCs w:val="20"/>
                <w:color w:val="auto"/>
              </w:rPr>
            </w:pPr>
            <w:r>
              <w:rPr>
                <w:rFonts w:ascii="Arial" w:cs="Arial" w:eastAsia="Arial" w:hAnsi="Arial"/>
                <w:sz w:val="15"/>
                <w:szCs w:val="15"/>
                <w:color w:val="auto"/>
                <w:w w:val="91"/>
              </w:rPr>
              <w:t>You may receive more than one proxy card depending on how you hold your shares. If you hold shares through a broker,</w:t>
            </w:r>
          </w:p>
        </w:tc>
      </w:tr>
      <w:tr>
        <w:trPr>
          <w:trHeight w:val="183"/>
        </w:trPr>
        <w:tc>
          <w:tcPr>
            <w:tcW w:w="1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89"/>
              </w:rPr>
              <w:t>your ability to vote by phone or over the Internet depends on your broker's voting process. You should complete and return</w:t>
            </w:r>
          </w:p>
        </w:tc>
      </w:tr>
      <w:tr>
        <w:trPr>
          <w:trHeight w:val="189"/>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each proxy or other voting instruction request provided to you.</w:t>
            </w:r>
          </w:p>
        </w:tc>
      </w:tr>
      <w:tr>
        <w:trPr>
          <w:trHeight w:val="384"/>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3"/>
              </w:rPr>
              <w:t>If you complete and submit your proxy voting instructions, the persons named as proxies will follow your instructions. If</w:t>
            </w:r>
          </w:p>
        </w:tc>
      </w:tr>
      <w:tr>
        <w:trPr>
          <w:trHeight w:val="189"/>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you submit your proxy but do not give voting instructions, we will vote your shares as follows:</w:t>
            </w:r>
          </w:p>
        </w:tc>
      </w:tr>
      <w:tr>
        <w:trPr>
          <w:trHeight w:val="366"/>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0" w:type="dxa"/>
            <w:vAlign w:val="bottom"/>
          </w:tcPr>
          <w:p>
            <w:pPr>
              <w:ind w:left="11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FOR</w:t>
            </w:r>
            <w:r>
              <w:rPr>
                <w:rFonts w:ascii="Arial" w:cs="Arial" w:eastAsia="Arial" w:hAnsi="Arial"/>
                <w:sz w:val="15"/>
                <w:szCs w:val="15"/>
                <w:color w:val="auto"/>
              </w:rPr>
              <w:t xml:space="preserve"> our director nominees;</w:t>
            </w:r>
          </w:p>
        </w:tc>
      </w:tr>
      <w:tr>
        <w:trPr>
          <w:trHeight w:val="366"/>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0" w:type="dxa"/>
            <w:vAlign w:val="bottom"/>
          </w:tcPr>
          <w:p>
            <w:pPr>
              <w:ind w:left="11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FOR</w:t>
            </w:r>
            <w:r>
              <w:rPr>
                <w:rFonts w:ascii="Arial" w:cs="Arial" w:eastAsia="Arial" w:hAnsi="Arial"/>
                <w:sz w:val="15"/>
                <w:szCs w:val="15"/>
                <w:color w:val="auto"/>
              </w:rPr>
              <w:t xml:space="preserve"> the ratification of the independent registered public accounting firm;</w:t>
            </w:r>
          </w:p>
        </w:tc>
      </w:tr>
      <w:tr>
        <w:trPr>
          <w:trHeight w:val="366"/>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0" w:type="dxa"/>
            <w:vAlign w:val="bottom"/>
          </w:tcPr>
          <w:p>
            <w:pPr>
              <w:ind w:left="11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FOR</w:t>
            </w:r>
            <w:r>
              <w:rPr>
                <w:rFonts w:ascii="Arial" w:cs="Arial" w:eastAsia="Arial" w:hAnsi="Arial"/>
                <w:sz w:val="15"/>
                <w:szCs w:val="15"/>
                <w:color w:val="auto"/>
              </w:rPr>
              <w:t xml:space="preserve"> approval of our executive compensation; and</w:t>
            </w:r>
          </w:p>
        </w:tc>
      </w:tr>
      <w:tr>
        <w:trPr>
          <w:trHeight w:val="361"/>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0" w:type="dxa"/>
            <w:vAlign w:val="bottom"/>
          </w:tcPr>
          <w:p>
            <w:pPr>
              <w:ind w:left="1120"/>
              <w:spacing w:after="0"/>
              <w:rPr>
                <w:sz w:val="20"/>
                <w:szCs w:val="20"/>
                <w:color w:val="auto"/>
              </w:rPr>
            </w:pPr>
            <w:r>
              <w:rPr>
                <w:rFonts w:ascii="Arial" w:cs="Arial" w:eastAsia="Arial" w:hAnsi="Arial"/>
                <w:sz w:val="15"/>
                <w:szCs w:val="15"/>
                <w:color w:val="auto"/>
                <w:w w:val="93"/>
              </w:rPr>
              <w:t xml:space="preserve">•  </w:t>
            </w:r>
            <w:r>
              <w:rPr>
                <w:rFonts w:ascii="Arial" w:cs="Arial" w:eastAsia="Arial" w:hAnsi="Arial"/>
                <w:sz w:val="15"/>
                <w:szCs w:val="15"/>
                <w:i w:val="1"/>
                <w:iCs w:val="1"/>
                <w:color w:val="auto"/>
                <w:w w:val="93"/>
              </w:rPr>
              <w:t>AGAINST</w:t>
            </w:r>
            <w:r>
              <w:rPr>
                <w:rFonts w:ascii="Arial" w:cs="Arial" w:eastAsia="Arial" w:hAnsi="Arial"/>
                <w:sz w:val="15"/>
                <w:szCs w:val="15"/>
                <w:color w:val="auto"/>
                <w:w w:val="93"/>
              </w:rPr>
              <w:t xml:space="preserve"> the stockholder proposal regarding a policy restricting accelerated vesting of equity awards upon a</w:t>
            </w:r>
          </w:p>
        </w:tc>
      </w:tr>
      <w:tr>
        <w:trPr>
          <w:trHeight w:val="189"/>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00" w:type="dxa"/>
            <w:vAlign w:val="bottom"/>
          </w:tcPr>
          <w:p>
            <w:pPr>
              <w:ind w:left="1320"/>
              <w:spacing w:after="0"/>
              <w:rPr>
                <w:sz w:val="20"/>
                <w:szCs w:val="20"/>
                <w:color w:val="auto"/>
              </w:rPr>
            </w:pPr>
            <w:r>
              <w:rPr>
                <w:rFonts w:ascii="Arial" w:cs="Arial" w:eastAsia="Arial" w:hAnsi="Arial"/>
                <w:sz w:val="15"/>
                <w:szCs w:val="15"/>
                <w:color w:val="auto"/>
              </w:rPr>
              <w:t>change in control.</w:t>
            </w:r>
          </w:p>
        </w:tc>
      </w:tr>
      <w:tr>
        <w:trPr>
          <w:trHeight w:val="384"/>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w w:val="92"/>
              </w:rPr>
              <w:t>If you give us your proxy, any other matters that may properly come before the meeting will be voted at the discretion of</w:t>
            </w:r>
          </w:p>
        </w:tc>
      </w:tr>
      <w:tr>
        <w:trPr>
          <w:trHeight w:val="189"/>
        </w:trPr>
        <w:tc>
          <w:tcPr>
            <w:tcW w:w="1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00" w:type="dxa"/>
            <w:vAlign w:val="bottom"/>
          </w:tcPr>
          <w:p>
            <w:pPr>
              <w:ind w:left="680"/>
              <w:spacing w:after="0"/>
              <w:rPr>
                <w:sz w:val="20"/>
                <w:szCs w:val="20"/>
                <w:color w:val="auto"/>
              </w:rPr>
            </w:pPr>
            <w:r>
              <w:rPr>
                <w:rFonts w:ascii="Arial" w:cs="Arial" w:eastAsia="Arial" w:hAnsi="Arial"/>
                <w:sz w:val="15"/>
                <w:szCs w:val="15"/>
                <w:color w:val="auto"/>
              </w:rPr>
              <w:t>the proxy holders.</w:t>
            </w:r>
          </w:p>
        </w:tc>
      </w:tr>
      <w:tr>
        <w:trPr>
          <w:trHeight w:val="366"/>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0" w:type="dxa"/>
            <w:vAlign w:val="bottom"/>
          </w:tcPr>
          <w:p>
            <w:pPr>
              <w:ind w:left="2240"/>
              <w:spacing w:after="0"/>
              <w:rPr>
                <w:sz w:val="20"/>
                <w:szCs w:val="20"/>
                <w:color w:val="auto"/>
              </w:rPr>
            </w:pPr>
            <w:r>
              <w:rPr>
                <w:rFonts w:ascii="Arial" w:cs="Arial" w:eastAsia="Arial" w:hAnsi="Arial"/>
                <w:sz w:val="15"/>
                <w:szCs w:val="15"/>
                <w:color w:val="auto"/>
              </w:rPr>
              <w:t>2</w:t>
            </w:r>
          </w:p>
        </w:tc>
      </w:tr>
      <w:tr>
        <w:trPr>
          <w:trHeight w:val="192"/>
        </w:trPr>
        <w:tc>
          <w:tcPr>
            <w:tcW w:w="1040" w:type="dxa"/>
            <w:vAlign w:val="bottom"/>
            <w:tcBorders>
              <w:bottom w:val="single" w:sz="8" w:color="808080"/>
            </w:tcBorders>
          </w:tcPr>
          <w:p>
            <w:pPr>
              <w:spacing w:after="0"/>
              <w:rPr>
                <w:sz w:val="16"/>
                <w:szCs w:val="16"/>
                <w:color w:val="auto"/>
              </w:rPr>
            </w:pPr>
          </w:p>
        </w:tc>
        <w:tc>
          <w:tcPr>
            <w:tcW w:w="2400" w:type="dxa"/>
            <w:vAlign w:val="bottom"/>
            <w:tcBorders>
              <w:bottom w:val="single" w:sz="8" w:color="808080"/>
            </w:tcBorders>
          </w:tcPr>
          <w:p>
            <w:pPr>
              <w:spacing w:after="0"/>
              <w:rPr>
                <w:sz w:val="16"/>
                <w:szCs w:val="16"/>
                <w:color w:val="auto"/>
              </w:rPr>
            </w:pPr>
          </w:p>
        </w:tc>
        <w:tc>
          <w:tcPr>
            <w:tcW w:w="80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Attending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b w:val="1"/>
          <w:bCs w:val="1"/>
          <w:color w:val="auto"/>
        </w:rPr>
        <w:t>Stockholder Proposals and Nominees for the 2019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Inc. stock in order to be admitted to the meeting. If you are planning to attend our annual meeting and require directions to the meeting, please contact our Corporate Secretary at 713-512-6200.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only items on the agenda for this year's annual meeting are the items set out in the Notice. There will be no presentations.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Eligible stockholders who wish to submit a proposal for inclusion in the proxy statement for our 2020 Annual Meeting should notify our Corporate Secretary at Waste Management, Inc., 1001 Fannin Street, Houston, Texas 77002. The written proposal must be received at our offices on or before November 28, 2019, and the stockholder must have been the registered or beneficial owner of (a) at least 1% of our outstanding Common Stock or (b) shares of our Common Stock with a market value of $2,000 for at least one year before submitting the proposal. The proposal must comply with the requirements set forth in the federal securities laws, including Rule 14a-8 under the Securities Exchange Act of 1934, as amended (the "Exchange Act"), in order to be included in the Company's proxy statement and proxy card for the 2020 Annual Meeting.</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In addition, the Company's By-laws establish an advance notice procedure with regard to certain matters to be brought before an annual meeting of stockholders, including stockholder proposals that are not included in the Company's proxy materials and nominations of persons for election as directors. In accordance with our By-laws, for a proposal or nominee not included in our proxy materials to be properly brought before the 2020 Annual Meeting, a stockholder's notice must be delivered to or mailed and received by the Company not less than 120 days nor more than 150 days in advance of the first anniversary of the 2019 Annual Meeting. As a result, any such stockholder's notice for the 2020 Annual Meeting shall be received no earlier than December 16, 2019 and no later than January 15, 2020 and must contain certain information specified in the Company's By-laws. The stockholder's notice should be delivered to our Corporate Secretary at Waste Management, Inc., 1001 Fannin Street, Houston, Texas 77002. A copy of our By-laws may be obtained free of charge by writing to our Corporate Secretary and is available in the "ESG — Corporate Governance" section of the "Investor Relations" page on our website at </w:t>
      </w:r>
      <w:r>
        <w:rPr>
          <w:rFonts w:ascii="Arial" w:cs="Arial" w:eastAsia="Arial" w:hAnsi="Arial"/>
          <w:sz w:val="14"/>
          <w:szCs w:val="14"/>
          <w:i w:val="1"/>
          <w:iCs w:val="1"/>
          <w:color w:val="auto"/>
        </w:rPr>
        <w:t>www.wm.com</w:t>
      </w:r>
      <w:r>
        <w:rPr>
          <w:rFonts w:ascii="Arial" w:cs="Arial" w:eastAsia="Arial" w:hAnsi="Arial"/>
          <w:sz w:val="14"/>
          <w:szCs w:val="14"/>
          <w:color w:val="auto"/>
        </w:rPr>
        <w:t>.</w:t>
      </w:r>
    </w:p>
    <w:p>
      <w:pPr>
        <w:spacing w:after="0" w:line="153"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125095</wp:posOffset>
            </wp:positionV>
            <wp:extent cx="727265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2">
            <w:col w:w="3400" w:space="720"/>
            <w:col w:w="7320"/>
          </w:cols>
          <w:pgMar w:left="240" w:top="132"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2900" w:type="dxa"/>
            <w:vAlign w:val="bottom"/>
            <w:gridSpan w:val="2"/>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Table of Contents</w:t>
              </w:r>
            </w:hyperlink>
          </w:p>
        </w:tc>
        <w:tc>
          <w:tcPr>
            <w:tcW w:w="8540" w:type="dxa"/>
            <w:vAlign w:val="bottom"/>
          </w:tcPr>
          <w:p>
            <w:pPr>
              <w:spacing w:after="0"/>
              <w:rPr>
                <w:sz w:val="14"/>
                <w:szCs w:val="14"/>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579"/>
        </w:trPr>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Expenses of Solicitation</w:t>
            </w:r>
          </w:p>
        </w:tc>
        <w:tc>
          <w:tcPr>
            <w:tcW w:w="8540" w:type="dxa"/>
            <w:vAlign w:val="bottom"/>
          </w:tcPr>
          <w:p>
            <w:pPr>
              <w:ind w:left="1220"/>
              <w:spacing w:after="0"/>
              <w:rPr>
                <w:sz w:val="20"/>
                <w:szCs w:val="20"/>
                <w:color w:val="auto"/>
              </w:rPr>
            </w:pPr>
            <w:r>
              <w:rPr>
                <w:rFonts w:ascii="Arial" w:cs="Arial" w:eastAsia="Arial" w:hAnsi="Arial"/>
                <w:sz w:val="15"/>
                <w:szCs w:val="15"/>
                <w:color w:val="auto"/>
                <w:w w:val="94"/>
              </w:rPr>
              <w:t>We pay the cost of preparing, assembling and mailing this proxy-soliciting material. In addition to the use of the mail,</w:t>
            </w:r>
          </w:p>
        </w:tc>
      </w:tr>
      <w:tr>
        <w:trPr>
          <w:trHeight w:val="183"/>
        </w:trPr>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2"/>
              </w:rPr>
              <w:t>proxies may be solicited personally, by Internet or telephone, or by Waste Management officers and employees without</w:t>
            </w:r>
          </w:p>
        </w:tc>
      </w:tr>
      <w:tr>
        <w:trPr>
          <w:trHeight w:val="183"/>
        </w:trPr>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2"/>
              </w:rPr>
              <w:t>additional compensation. We pay all costs of solicitation, including certain expenses of brokers and nominees who mail</w:t>
            </w:r>
          </w:p>
        </w:tc>
      </w:tr>
      <w:tr>
        <w:trPr>
          <w:trHeight w:val="183"/>
        </w:trPr>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9"/>
              </w:rPr>
              <w:t>proxy materials to their customers or principals. Also, Innisfree M&amp;A Incorporated has been hired to help in the</w:t>
            </w:r>
          </w:p>
        </w:tc>
      </w:tr>
      <w:tr>
        <w:trPr>
          <w:trHeight w:val="189"/>
        </w:trPr>
        <w:tc>
          <w:tcPr>
            <w:tcW w:w="1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rPr>
              <w:t>solicitation of proxies for the 2019 Annual Meeting for a fee of $15,000 plus associated costs and expenses.</w:t>
            </w:r>
          </w:p>
        </w:tc>
      </w:tr>
      <w:tr>
        <w:trPr>
          <w:trHeight w:val="384"/>
        </w:trPr>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Annual Report</w:t>
            </w:r>
          </w:p>
        </w:tc>
        <w:tc>
          <w:tcPr>
            <w:tcW w:w="8540" w:type="dxa"/>
            <w:vAlign w:val="bottom"/>
          </w:tcPr>
          <w:p>
            <w:pPr>
              <w:ind w:left="1220"/>
              <w:spacing w:after="0"/>
              <w:rPr>
                <w:sz w:val="20"/>
                <w:szCs w:val="20"/>
                <w:color w:val="auto"/>
              </w:rPr>
            </w:pPr>
            <w:r>
              <w:rPr>
                <w:rFonts w:ascii="Arial" w:cs="Arial" w:eastAsia="Arial" w:hAnsi="Arial"/>
                <w:sz w:val="15"/>
                <w:szCs w:val="15"/>
                <w:color w:val="auto"/>
                <w:w w:val="99"/>
              </w:rPr>
              <w:t>A copy of our Annual Report on Form 10-K for the year ended December 31, 2018, which includes our financial</w:t>
            </w:r>
          </w:p>
        </w:tc>
      </w:tr>
      <w:tr>
        <w:trPr>
          <w:trHeight w:val="183"/>
        </w:trPr>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rPr>
              <w:t>statements for fiscal year 2018, is included with this Proxy Statement. The Annual Report on Form 10-K is not</w:t>
            </w:r>
          </w:p>
        </w:tc>
      </w:tr>
      <w:tr>
        <w:trPr>
          <w:trHeight w:val="189"/>
        </w:trPr>
        <w:tc>
          <w:tcPr>
            <w:tcW w:w="1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1"/>
              </w:rPr>
              <w:t>incorporated by reference into this Proxy Statement or deemed to be a part of the materials for the solicitation of proxies.</w:t>
            </w:r>
          </w:p>
        </w:tc>
      </w:tr>
      <w:tr>
        <w:trPr>
          <w:trHeight w:val="384"/>
        </w:trPr>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Householding Information</w:t>
            </w:r>
          </w:p>
        </w:tc>
        <w:tc>
          <w:tcPr>
            <w:tcW w:w="8540" w:type="dxa"/>
            <w:vAlign w:val="bottom"/>
          </w:tcPr>
          <w:p>
            <w:pPr>
              <w:ind w:left="1220"/>
              <w:spacing w:after="0"/>
              <w:rPr>
                <w:sz w:val="20"/>
                <w:szCs w:val="20"/>
                <w:color w:val="auto"/>
              </w:rPr>
            </w:pPr>
            <w:r>
              <w:rPr>
                <w:rFonts w:ascii="Arial" w:cs="Arial" w:eastAsia="Arial" w:hAnsi="Arial"/>
                <w:sz w:val="15"/>
                <w:szCs w:val="15"/>
                <w:color w:val="auto"/>
                <w:w w:val="91"/>
              </w:rPr>
              <w:t>We have adopted a procedure approved by the SEC called "householding." Under this procedure, stockholders of record</w:t>
            </w:r>
          </w:p>
        </w:tc>
      </w:tr>
      <w:tr>
        <w:trPr>
          <w:trHeight w:val="183"/>
        </w:trPr>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0"/>
              </w:rPr>
              <w:t>who have the same address and last name and do not participate in electronic delivery of proxy materials will receive only</w:t>
            </w:r>
          </w:p>
        </w:tc>
      </w:tr>
      <w:tr>
        <w:trPr>
          <w:trHeight w:val="183"/>
        </w:trPr>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0"/>
              </w:rPr>
              <w:t>one copy of the Proxy Statement and Annual Report unless we are notified that one or more of these individuals wishes to</w:t>
            </w:r>
          </w:p>
        </w:tc>
      </w:tr>
      <w:tr>
        <w:trPr>
          <w:trHeight w:val="189"/>
        </w:trPr>
        <w:tc>
          <w:tcPr>
            <w:tcW w:w="1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rPr>
              <w:t>receive separate copies. This procedure helps reduce our printing costs and postage fees.</w:t>
            </w:r>
          </w:p>
        </w:tc>
      </w:tr>
      <w:tr>
        <w:trPr>
          <w:trHeight w:val="384"/>
        </w:trPr>
        <w:tc>
          <w:tcPr>
            <w:tcW w:w="1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rPr>
              <w:t>If you wish to receive a separate copy of this Proxy Statement and the Annual Report, please contact: Waste</w:t>
            </w:r>
          </w:p>
        </w:tc>
      </w:tr>
      <w:tr>
        <w:trPr>
          <w:trHeight w:val="189"/>
        </w:trPr>
        <w:tc>
          <w:tcPr>
            <w:tcW w:w="1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9"/>
              </w:rPr>
              <w:t>Management, Inc., Corporate Secretary, 1001 Fannin Street, Houston, Texas 77002, telephone 713-512-6200.</w:t>
            </w:r>
          </w:p>
        </w:tc>
      </w:tr>
      <w:tr>
        <w:trPr>
          <w:trHeight w:val="384"/>
        </w:trPr>
        <w:tc>
          <w:tcPr>
            <w:tcW w:w="1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0"/>
              </w:rPr>
              <w:t>If you do not wish to participate in householding in the future and prefer to receive separate copies of the proxy materials,</w:t>
            </w:r>
          </w:p>
        </w:tc>
      </w:tr>
      <w:tr>
        <w:trPr>
          <w:trHeight w:val="183"/>
        </w:trPr>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2"/>
              </w:rPr>
              <w:t>please contact: Broadridge Financial Solutions, Attention Householding Department, 51 Mercedes Way, Edgewood, NY</w:t>
            </w:r>
          </w:p>
        </w:tc>
      </w:tr>
      <w:tr>
        <w:trPr>
          <w:trHeight w:val="183"/>
        </w:trPr>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w w:val="93"/>
              </w:rPr>
              <w:t>11717, telephone 1-866-540-7095. If you are currently receiving multiple copies of proxy materials and wish to receive</w:t>
            </w:r>
          </w:p>
        </w:tc>
      </w:tr>
      <w:tr>
        <w:trPr>
          <w:trHeight w:val="189"/>
        </w:trPr>
        <w:tc>
          <w:tcPr>
            <w:tcW w:w="1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540" w:type="dxa"/>
            <w:vAlign w:val="bottom"/>
          </w:tcPr>
          <w:p>
            <w:pPr>
              <w:ind w:left="1220"/>
              <w:spacing w:after="0"/>
              <w:rPr>
                <w:sz w:val="20"/>
                <w:szCs w:val="20"/>
                <w:color w:val="auto"/>
              </w:rPr>
            </w:pPr>
            <w:r>
              <w:rPr>
                <w:rFonts w:ascii="Arial" w:cs="Arial" w:eastAsia="Arial" w:hAnsi="Arial"/>
                <w:sz w:val="15"/>
                <w:szCs w:val="15"/>
                <w:color w:val="auto"/>
              </w:rPr>
              <w:t>only one copy for your household, please contact Broadridge.</w:t>
            </w:r>
          </w:p>
        </w:tc>
      </w:tr>
      <w:tr>
        <w:trPr>
          <w:trHeight w:val="366"/>
        </w:trPr>
        <w:tc>
          <w:tcPr>
            <w:tcW w:w="1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540" w:type="dxa"/>
            <w:vAlign w:val="bottom"/>
          </w:tcPr>
          <w:p>
            <w:pPr>
              <w:ind w:left="2780"/>
              <w:spacing w:after="0"/>
              <w:rPr>
                <w:sz w:val="20"/>
                <w:szCs w:val="20"/>
                <w:color w:val="auto"/>
              </w:rPr>
            </w:pPr>
            <w:r>
              <w:rPr>
                <w:rFonts w:ascii="Arial" w:cs="Arial" w:eastAsia="Arial" w:hAnsi="Arial"/>
                <w:sz w:val="15"/>
                <w:szCs w:val="15"/>
                <w:color w:val="auto"/>
              </w:rPr>
              <w:t>4</w:t>
            </w:r>
          </w:p>
        </w:tc>
      </w:tr>
      <w:tr>
        <w:trPr>
          <w:trHeight w:val="192"/>
        </w:trPr>
        <w:tc>
          <w:tcPr>
            <w:tcW w:w="1040" w:type="dxa"/>
            <w:vAlign w:val="bottom"/>
            <w:tcBorders>
              <w:bottom w:val="single" w:sz="8" w:color="808080"/>
            </w:tcBorders>
          </w:tcPr>
          <w:p>
            <w:pPr>
              <w:spacing w:after="0"/>
              <w:rPr>
                <w:sz w:val="16"/>
                <w:szCs w:val="16"/>
                <w:color w:val="auto"/>
              </w:rPr>
            </w:pPr>
          </w:p>
        </w:tc>
        <w:tc>
          <w:tcPr>
            <w:tcW w:w="1860" w:type="dxa"/>
            <w:vAlign w:val="bottom"/>
            <w:tcBorders>
              <w:bottom w:val="single" w:sz="8" w:color="808080"/>
            </w:tcBorders>
          </w:tcPr>
          <w:p>
            <w:pPr>
              <w:spacing w:after="0"/>
              <w:rPr>
                <w:sz w:val="16"/>
                <w:szCs w:val="16"/>
                <w:color w:val="auto"/>
              </w:rPr>
            </w:pPr>
          </w:p>
        </w:tc>
        <w:tc>
          <w:tcPr>
            <w:tcW w:w="85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4" w:lineRule="exact"/>
        <w:rPr>
          <w:sz w:val="20"/>
          <w:szCs w:val="20"/>
          <w:color w:val="auto"/>
        </w:rPr>
      </w:pPr>
    </w:p>
    <w:p>
      <w:pPr>
        <w:jc w:val="both"/>
        <w:ind w:firstLine="483"/>
        <w:spacing w:after="0" w:line="277" w:lineRule="auto"/>
        <w:rPr>
          <w:sz w:val="20"/>
          <w:szCs w:val="20"/>
          <w:color w:val="auto"/>
        </w:rPr>
      </w:pPr>
      <w:r>
        <w:rPr>
          <w:rFonts w:ascii="Arial" w:cs="Arial" w:eastAsia="Arial" w:hAnsi="Arial"/>
          <w:sz w:val="15"/>
          <w:szCs w:val="15"/>
          <w:color w:val="auto"/>
        </w:rPr>
        <w:t>Our Board of Directors currently has eight members. Each member of our Board is elected annually. Mr. Thomas H. Weidemeyer is the Non-Executive Chairman of the Board and presides over all meetings of the Board, including executive sessions that only non-employee directors attend.</w:t>
      </w:r>
    </w:p>
    <w:p>
      <w:pPr>
        <w:spacing w:after="0" w:line="15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5"/>
          <w:szCs w:val="15"/>
          <w:color w:val="auto"/>
        </w:rPr>
        <w:t>Stockholders and interested parties wishing to communicate with the Board or the non-employee directors should address their communications to Mr. Thomas H. Weidemeyer, Non-Executive Chairman of the Board, c/o Waste Management, Inc., P.O. Box 53569, Houston, Texas 77052-3569.</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Leadership Structure</w:t>
      </w:r>
    </w:p>
    <w:p>
      <w:pPr>
        <w:spacing w:after="0" w:line="198" w:lineRule="exact"/>
        <w:rPr>
          <w:sz w:val="20"/>
          <w:szCs w:val="20"/>
          <w:color w:val="auto"/>
        </w:rPr>
      </w:pPr>
    </w:p>
    <w:p>
      <w:pPr>
        <w:jc w:val="both"/>
        <w:ind w:firstLine="442"/>
        <w:spacing w:after="0" w:line="283" w:lineRule="auto"/>
        <w:rPr>
          <w:sz w:val="20"/>
          <w:szCs w:val="20"/>
          <w:color w:val="auto"/>
        </w:rPr>
      </w:pPr>
      <w:r>
        <w:rPr>
          <w:rFonts w:ascii="Arial" w:cs="Arial" w:eastAsia="Arial" w:hAnsi="Arial"/>
          <w:sz w:val="14"/>
          <w:szCs w:val="14"/>
          <w:color w:val="auto"/>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Non-Executive Chairman's responsibilities include leading full Board meetings and executive sessions and managing the Board function. Effective May 17, 2018, the Board elected Mr. Thomas H. Weidemeyer to serve as Chairman of the Board due to his many years as a valuable member of our Board, his experience serving on boards of other large public companies, and his extensive operational and leadership experience. Mr. Weidemeyer also serves on all three Board committees.</w:t>
      </w:r>
    </w:p>
    <w:p>
      <w:pPr>
        <w:spacing w:after="0" w:line="150"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5"/>
          <w:szCs w:val="15"/>
          <w:color w:val="auto"/>
        </w:rPr>
        <w:t>The separation of the positions allows our Chairman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in Risk Oversight</w:t>
      </w:r>
    </w:p>
    <w:p>
      <w:pPr>
        <w:spacing w:after="0" w:line="198" w:lineRule="exact"/>
        <w:rPr>
          <w:sz w:val="20"/>
          <w:szCs w:val="20"/>
          <w:color w:val="auto"/>
        </w:rPr>
      </w:pPr>
    </w:p>
    <w:p>
      <w:pPr>
        <w:jc w:val="both"/>
        <w:ind w:firstLine="433"/>
        <w:spacing w:after="0" w:line="260" w:lineRule="auto"/>
        <w:rPr>
          <w:sz w:val="20"/>
          <w:szCs w:val="20"/>
          <w:color w:val="auto"/>
        </w:rPr>
      </w:pPr>
      <w:r>
        <w:rPr>
          <w:rFonts w:ascii="Arial" w:cs="Arial" w:eastAsia="Arial" w:hAnsi="Arial"/>
          <w:sz w:val="15"/>
          <w:szCs w:val="15"/>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164" w:lineRule="exact"/>
        <w:rPr>
          <w:sz w:val="20"/>
          <w:szCs w:val="20"/>
          <w:color w:val="auto"/>
        </w:rPr>
      </w:pPr>
    </w:p>
    <w:p>
      <w:pPr>
        <w:jc w:val="both"/>
        <w:ind w:firstLine="412"/>
        <w:spacing w:after="0" w:line="293" w:lineRule="auto"/>
        <w:rPr>
          <w:sz w:val="20"/>
          <w:szCs w:val="20"/>
          <w:color w:val="auto"/>
        </w:rPr>
      </w:pPr>
      <w:r>
        <w:rPr>
          <w:rFonts w:ascii="Arial" w:cs="Arial" w:eastAsia="Arial" w:hAnsi="Arial"/>
          <w:sz w:val="14"/>
          <w:szCs w:val="14"/>
          <w:color w:val="auto"/>
        </w:rPr>
        <w:t>Our ERM process is supported by regular inquiries of our Company's Senior Leadership Team, and additional members of management and operations leadership across the enterprise, as to the risks, including emerging risks, that may affect the execution of our strategic priorities or achievement of our long-term outlook. For the most significant risks, the ERM process is designed to generate actionable insights that are actively discussed and reviewed with the Senior Leadership Team and our Board of Directors.</w:t>
      </w:r>
    </w:p>
    <w:p>
      <w:pPr>
        <w:spacing w:after="0" w:line="143"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4"/>
          <w:szCs w:val="14"/>
          <w:color w:val="auto"/>
        </w:rPr>
        <w:t>Risks and opportunities are assessed and then prioritized using internal evaluations of financial impact, likelihood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forward-looking action plans with measurable indicators and progress updates on action plans from previous assessments.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4"/>
          <w:szCs w:val="14"/>
          <w:color w:val="auto"/>
        </w:rPr>
        <w:t>Our Board of Directors generally has seven regular meetings per year, five of which are in person, including one meeting that is dedicated specifically to strategic planning, and regular updates are given to our Board of Directors on Company risks. At each of these meetings, our President and Chief Executive Officer, Chief Operating Officer, Chief Financial Officer and Chief Legal Officer report to our Board and, when appropriate, specific committees. Additionally, other members of management and employees attend meetings periodically and present information, including those responsible for our Internal Audit, Environmental Audit, Business Ethics and Compliance, Human Resources, Government Affairs, Digital, Insurance, Safety, Finance and Accounting functions. These presentations allow our Board to have direct communication with members of management and assess management's evaluation and administration of the Company's risk profile through our ERM process. For example, our Digital organization briefs our Board or Audit Committee on cybersecurity risk and potentially disruptive technologies at least twice a year, and environmental impacts, risks and opportunities are discussed with our Board or Audit Committee at least annually. Other key areas of assessment addressed by our ERM process and overseen by our Board include legislative and regulatory risk and opportunity; operational risk; financial policy and capital allocation risk; employee engagement, readiness, safety and health risk; new acquisition evaluation for environment, health, safety and social indicators; recycling market risk and municipal contract risk. Consistent with our Company's long-standing commitment to corporate sustainability and environmental stewardship, we have published our 2018 Sustainability Report, "Driving Change," which provides additional information about our management of these risks. The information in this report can be found on our Company website but does not constitute a part of our Proxy Statement or Annual Report.</w:t>
      </w:r>
    </w:p>
    <w:p>
      <w:pPr>
        <w:spacing w:after="0" w:line="159" w:lineRule="exact"/>
        <w:rPr>
          <w:sz w:val="20"/>
          <w:szCs w:val="20"/>
          <w:color w:val="auto"/>
        </w:rPr>
      </w:pPr>
    </w:p>
    <w:p>
      <w:pPr>
        <w:jc w:val="both"/>
        <w:ind w:firstLine="510"/>
        <w:spacing w:after="0" w:line="309" w:lineRule="auto"/>
        <w:rPr>
          <w:sz w:val="20"/>
          <w:szCs w:val="20"/>
          <w:color w:val="auto"/>
        </w:rPr>
      </w:pPr>
      <w:r>
        <w:rPr>
          <w:rFonts w:ascii="Arial" w:cs="Arial" w:eastAsia="Arial" w:hAnsi="Arial"/>
          <w:sz w:val="13"/>
          <w:szCs w:val="13"/>
          <w:color w:val="auto"/>
        </w:rPr>
        <w:t>Management is also encouraged to communicate with our Board of Directors with respect to extraordinary risk issues or developments that may require more immediate attention between regularly scheduled Board meetings. Our Non-Executive Chairman of the Board facilitates communications with our Board of Directors as a whole and is integral in initiating the discussions among the independent Board members necessary to ensure management is adequately evaluating and overseeing our Company's risk management. Additionally, in accordance with New York Stock Exchange requirements, the Audit Committee of our Board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Independence of Board Members</w:t>
      </w:r>
    </w:p>
    <w:p>
      <w:pPr>
        <w:spacing w:after="0" w:line="198" w:lineRule="exact"/>
        <w:rPr>
          <w:sz w:val="20"/>
          <w:szCs w:val="20"/>
          <w:color w:val="auto"/>
        </w:rPr>
      </w:pPr>
    </w:p>
    <w:p>
      <w:pPr>
        <w:jc w:val="both"/>
        <w:ind w:right="20" w:firstLine="503"/>
        <w:spacing w:after="0" w:line="277" w:lineRule="auto"/>
        <w:rPr>
          <w:sz w:val="20"/>
          <w:szCs w:val="20"/>
          <w:color w:val="auto"/>
        </w:rPr>
      </w:pPr>
      <w:r>
        <w:rPr>
          <w:rFonts w:ascii="Arial" w:cs="Arial" w:eastAsia="Arial" w:hAnsi="Arial"/>
          <w:sz w:val="15"/>
          <w:szCs w:val="15"/>
          <w:color w:val="auto"/>
        </w:rPr>
        <w:t>The Board of Directors has determined that each of the following seven non-employee director nominees is independent in accordance with the New York Stock Exchange listing standards: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Frank M. Clark, Jr.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Andrés R. Gluski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Patrick W. Gross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Victoria M. Holt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Kathleen M. Mazzarella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John C. Pope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Thomas H. Weidemeyer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Mr. James C. Fish, Jr., our President and Chief Executive Officer, is also a director of the Company. As an employee of the Company, Mr. Fish is not an "independent" director.</w:t>
      </w:r>
    </w:p>
    <w:p>
      <w:pPr>
        <w:spacing w:after="0" w:line="205" w:lineRule="exact"/>
        <w:rPr>
          <w:sz w:val="20"/>
          <w:szCs w:val="20"/>
          <w:color w:val="auto"/>
        </w:rPr>
      </w:pPr>
    </w:p>
    <w:p>
      <w:pPr>
        <w:jc w:val="both"/>
        <w:ind w:firstLine="372"/>
        <w:spacing w:after="0" w:line="293" w:lineRule="auto"/>
        <w:rPr>
          <w:sz w:val="20"/>
          <w:szCs w:val="20"/>
          <w:color w:val="auto"/>
        </w:rPr>
      </w:pPr>
      <w:r>
        <w:rPr>
          <w:rFonts w:ascii="Arial" w:cs="Arial" w:eastAsia="Arial" w:hAnsi="Arial"/>
          <w:sz w:val="14"/>
          <w:szCs w:val="14"/>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on our website.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these categorical standards, our Board makes a subjective determination of independence considering relevant facts and circumstances.</w:t>
      </w:r>
    </w:p>
    <w:p>
      <w:pPr>
        <w:spacing w:after="0" w:line="194" w:lineRule="exact"/>
        <w:rPr>
          <w:sz w:val="20"/>
          <w:szCs w:val="20"/>
          <w:color w:val="auto"/>
        </w:rPr>
      </w:pPr>
    </w:p>
    <w:p>
      <w:pPr>
        <w:jc w:val="both"/>
        <w:ind w:firstLine="385"/>
        <w:spacing w:after="0" w:line="279" w:lineRule="auto"/>
        <w:rPr>
          <w:sz w:val="20"/>
          <w:szCs w:val="20"/>
          <w:color w:val="auto"/>
        </w:rPr>
      </w:pPr>
      <w:r>
        <w:rPr>
          <w:rFonts w:ascii="Arial" w:cs="Arial" w:eastAsia="Arial" w:hAnsi="Arial"/>
          <w:sz w:val="14"/>
          <w:szCs w:val="14"/>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and The AES Corporation. Ms. Mazzarella and Mr. Gluski, respectively, are the chief executive officer of these entities. The Board concluded there are no transactions between the Company and any entity with which a non-employee director is affiliated that (a) are prohibited by our categorical standards of independence, (b) are material individually or in the aggregate or (c) give rise to a material direct or indirect interest for that non-employee director. Accordingly, the Board has determined that each non-employee director candidate meets the categorical standards of independence and that there are no relationships that would affect independence.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and Board Committees</w:t>
      </w:r>
    </w:p>
    <w:p>
      <w:pPr>
        <w:spacing w:after="0" w:line="198" w:lineRule="exact"/>
        <w:rPr>
          <w:sz w:val="20"/>
          <w:szCs w:val="20"/>
          <w:color w:val="auto"/>
        </w:rPr>
      </w:pPr>
    </w:p>
    <w:p>
      <w:pPr>
        <w:jc w:val="both"/>
        <w:ind w:firstLine="407"/>
        <w:spacing w:after="0" w:line="325" w:lineRule="auto"/>
        <w:rPr>
          <w:sz w:val="20"/>
          <w:szCs w:val="20"/>
          <w:color w:val="auto"/>
        </w:rPr>
      </w:pPr>
      <w:r>
        <w:rPr>
          <w:rFonts w:ascii="Arial" w:cs="Arial" w:eastAsia="Arial" w:hAnsi="Arial"/>
          <w:sz w:val="13"/>
          <w:szCs w:val="13"/>
          <w:color w:val="auto"/>
        </w:rPr>
        <w:t>Last year the Board held seven regular meetings and three special meetings, and each committee of the Board met independently as set forth below. Each director attended at least 75% of the meetings of the Board and the committees on which he or she served. In addition, all directors attended the 2018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12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5"/>
          <w:szCs w:val="15"/>
          <w:color w:val="auto"/>
        </w:rPr>
        <w:t>The Board appoints committees to help carry out its duties. Committee members take on greater responsibility for key issues, although all members of the Board are invited to attend all committee meetings and the committee reviews the results of its meetings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The Audit Committee</w:t>
      </w:r>
    </w:p>
    <w:p>
      <w:pPr>
        <w:spacing w:after="0" w:line="194" w:lineRule="exact"/>
        <w:rPr>
          <w:sz w:val="20"/>
          <w:szCs w:val="20"/>
          <w:color w:val="auto"/>
        </w:rPr>
      </w:pPr>
    </w:p>
    <w:p>
      <w:pPr>
        <w:jc w:val="both"/>
        <w:ind w:firstLine="407"/>
        <w:spacing w:after="0" w:line="265" w:lineRule="auto"/>
        <w:rPr>
          <w:sz w:val="20"/>
          <w:szCs w:val="20"/>
          <w:color w:val="auto"/>
        </w:rPr>
      </w:pPr>
      <w:r>
        <w:rPr>
          <w:rFonts w:ascii="Arial" w:cs="Arial" w:eastAsia="Arial" w:hAnsi="Arial"/>
          <w:sz w:val="15"/>
          <w:szCs w:val="15"/>
          <w:color w:val="auto"/>
        </w:rPr>
        <w:t>Mr. Gross has been the Chairman of our Audit Committee since May 2010. The other members of our Audit Committee are Messrs. Clark, Gluski and Weidemeyer and Ms. Holt. Each member of our Audit Committee satisfies the additional New York Stock Exchange independence standards for audit committees set forth in Section 10A of the Exchange Act. Our Audit Committee held nine meetings in 2018.</w:t>
      </w:r>
    </w:p>
    <w:p>
      <w:pPr>
        <w:spacing w:after="0" w:line="161" w:lineRule="exact"/>
        <w:rPr>
          <w:sz w:val="20"/>
          <w:szCs w:val="20"/>
          <w:color w:val="auto"/>
        </w:rPr>
      </w:pPr>
    </w:p>
    <w:p>
      <w:pPr>
        <w:jc w:val="both"/>
        <w:ind w:right="20" w:firstLine="465"/>
        <w:spacing w:after="0" w:line="277" w:lineRule="auto"/>
        <w:rPr>
          <w:sz w:val="20"/>
          <w:szCs w:val="20"/>
          <w:color w:val="auto"/>
        </w:rPr>
      </w:pPr>
      <w:r>
        <w:rPr>
          <w:rFonts w:ascii="Arial" w:cs="Arial" w:eastAsia="Arial" w:hAnsi="Arial"/>
          <w:sz w:val="15"/>
          <w:szCs w:val="15"/>
          <w:color w:val="auto"/>
        </w:rPr>
        <w:t>Our Board of Directors has determined that Audit Committee Chairman Mr. Gross, Mr. Clark, Mr. Gluski and Ms. Holt are audit committee financial experts as defined by the SEC based on a thorough review of their education and financial and public company experience.</w:t>
      </w:r>
    </w:p>
    <w:p>
      <w:pPr>
        <w:spacing w:after="0" w:line="151" w:lineRule="exact"/>
        <w:rPr>
          <w:sz w:val="20"/>
          <w:szCs w:val="20"/>
          <w:color w:val="auto"/>
        </w:rPr>
      </w:pPr>
    </w:p>
    <w:p>
      <w:pPr>
        <w:jc w:val="both"/>
        <w:ind w:left="440" w:firstLine="480"/>
        <w:spacing w:after="0" w:line="265" w:lineRule="auto"/>
        <w:rPr>
          <w:sz w:val="20"/>
          <w:szCs w:val="20"/>
          <w:color w:val="auto"/>
        </w:rPr>
      </w:pPr>
      <w:r>
        <w:rPr>
          <w:rFonts w:ascii="Arial" w:cs="Arial" w:eastAsia="Arial" w:hAnsi="Arial"/>
          <w:sz w:val="15"/>
          <w:szCs w:val="15"/>
          <w:color w:val="auto"/>
        </w:rPr>
        <w:t>Mr. Gross was a founder of American Management Systems Inc. where he was principal executive officer for over 30 years. Since 2001, he has served as Chairman of The Lovell Group, a private investment and advisory firm. Mr. Gross holds an MBA from the Stanford University Graduate School of Business, a master's degree in engineering science from the University of Michigan and a bachelor's degree in engineering science from Rensselaer Polytechnic Institute.</w:t>
      </w:r>
    </w:p>
    <w:p>
      <w:pPr>
        <w:spacing w:after="0" w:line="161" w:lineRule="exact"/>
        <w:rPr>
          <w:sz w:val="20"/>
          <w:szCs w:val="20"/>
          <w:color w:val="auto"/>
        </w:rPr>
      </w:pPr>
    </w:p>
    <w:p>
      <w:pPr>
        <w:jc w:val="both"/>
        <w:ind w:left="440" w:firstLine="480"/>
        <w:spacing w:after="0" w:line="277" w:lineRule="auto"/>
        <w:rPr>
          <w:sz w:val="20"/>
          <w:szCs w:val="20"/>
          <w:color w:val="auto"/>
        </w:rPr>
      </w:pPr>
      <w:r>
        <w:rPr>
          <w:rFonts w:ascii="Arial" w:cs="Arial" w:eastAsia="Arial" w:hAnsi="Arial"/>
          <w:sz w:val="15"/>
          <w:szCs w:val="15"/>
          <w:color w:val="auto"/>
        </w:rPr>
        <w:t>Mr. Clark served as Chairman and Chief Executive Officer of ComEd from 2005 to 2012 and President of ComEd from 2001 to 2005. Mr. Clark holds a LLB from DePaul University College of Law and a BBA from DePaul University.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440" w:firstLine="416"/>
        <w:spacing w:after="0" w:line="314" w:lineRule="auto"/>
        <w:rPr>
          <w:sz w:val="20"/>
          <w:szCs w:val="20"/>
          <w:color w:val="auto"/>
        </w:rPr>
      </w:pPr>
      <w:r>
        <w:rPr>
          <w:rFonts w:ascii="Arial" w:cs="Arial" w:eastAsia="Arial" w:hAnsi="Arial"/>
          <w:sz w:val="14"/>
          <w:szCs w:val="14"/>
          <w:color w:val="auto"/>
        </w:rPr>
        <w:t>Mr. Gluski has served as President, Chief Executive Officer and Director of The AES Corporation since 2011 and was Executive Vice President and Chief Operating Officer of The AES Corporation from 2007 to 2011. Mr. Gluski is a graduate of Wake Forest University and holds a PhD and MA in Economics from the University of Virginia.</w:t>
      </w:r>
    </w:p>
    <w:p>
      <w:pPr>
        <w:spacing w:after="0" w:line="128" w:lineRule="exact"/>
        <w:rPr>
          <w:sz w:val="20"/>
          <w:szCs w:val="20"/>
          <w:color w:val="auto"/>
        </w:rPr>
      </w:pPr>
    </w:p>
    <w:p>
      <w:pPr>
        <w:jc w:val="both"/>
        <w:ind w:left="440" w:firstLine="493"/>
        <w:spacing w:after="0" w:line="265" w:lineRule="auto"/>
        <w:rPr>
          <w:sz w:val="20"/>
          <w:szCs w:val="20"/>
          <w:color w:val="auto"/>
        </w:rPr>
      </w:pPr>
      <w:r>
        <w:rPr>
          <w:rFonts w:ascii="Arial" w:cs="Arial" w:eastAsia="Arial" w:hAnsi="Arial"/>
          <w:sz w:val="15"/>
          <w:szCs w:val="15"/>
          <w:color w:val="auto"/>
        </w:rPr>
        <w:t>Ms. Holt has served as President, Chief Executive Officer and Director of Proto Labs, Inc. since February 2014 and was President and Chief Executive Officer of Spartech Corporation from 2010 to 2013. Prior to joining Spartech, she served as Senior Vice President of PPG Industries, Inc. for over five years. Ms. Holt holds an MBA from Pace University and a bachelor's degree in chemistry from Duke University.</w:t>
      </w:r>
    </w:p>
    <w:p>
      <w:pPr>
        <w:spacing w:after="0" w:line="161"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5"/>
          <w:szCs w:val="15"/>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Administrative Responsibilities</w:t>
      </w:r>
    </w:p>
    <w:p>
      <w:pPr>
        <w:spacing w:after="0" w:line="205" w:lineRule="exact"/>
        <w:rPr>
          <w:sz w:val="20"/>
          <w:szCs w:val="20"/>
          <w:color w:val="auto"/>
        </w:rPr>
      </w:pPr>
    </w:p>
    <w:p>
      <w:pPr>
        <w:ind w:left="900" w:hanging="451"/>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Report to the Board, at least annually, all public company audit committee memberships by members of the Audit Committee;</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Perform an annual review of its performance relative to its charter and report the results of its evaluation to the full Board;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Adopt an orientation program for new Audit Committee members.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Financial Statements</w:t>
      </w:r>
    </w:p>
    <w:p>
      <w:pPr>
        <w:spacing w:after="0" w:line="205" w:lineRule="exact"/>
        <w:rPr>
          <w:sz w:val="20"/>
          <w:szCs w:val="20"/>
          <w:color w:val="auto"/>
        </w:rPr>
      </w:pPr>
    </w:p>
    <w:p>
      <w:pPr>
        <w:ind w:left="900" w:hanging="451"/>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 financial statements and Forms 10-K and 10-Q with management and the independent auditor;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 all earnings press releases and discuss with management the type of earnings guidance that we provide to analysts and rating agencies;</w:t>
      </w:r>
    </w:p>
    <w:p>
      <w:pPr>
        <w:spacing w:after="0" w:line="205"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5"/>
          <w:szCs w:val="15"/>
          <w:i w:val="1"/>
          <w:iCs w:val="1"/>
          <w:color w:val="auto"/>
        </w:rPr>
        <w:t>Communications with Audit Committees;</w:t>
      </w:r>
    </w:p>
    <w:p>
      <w:pPr>
        <w:spacing w:after="0" w:line="162" w:lineRule="exact"/>
        <w:rPr>
          <w:rFonts w:ascii="Arial" w:cs="Arial" w:eastAsia="Arial" w:hAnsi="Arial"/>
          <w:sz w:val="15"/>
          <w:szCs w:val="15"/>
          <w:color w:val="auto"/>
        </w:rPr>
      </w:pPr>
    </w:p>
    <w:p>
      <w:pPr>
        <w:ind w:left="900" w:hanging="451"/>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 our financial reporting, accounting and auditing practices with management, the independent auditor and our internal auditors;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 management's and the independent auditor's assessment of the adequacy and effectiveness of internal controls over financial reporting;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 executive officer certifications related to our reports and filings.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Independent Auditor</w:t>
      </w:r>
    </w:p>
    <w:p>
      <w:pPr>
        <w:spacing w:after="0" w:line="205" w:lineRule="exact"/>
        <w:rPr>
          <w:sz w:val="20"/>
          <w:szCs w:val="20"/>
          <w:color w:val="auto"/>
        </w:rPr>
      </w:pPr>
    </w:p>
    <w:p>
      <w:pPr>
        <w:ind w:left="900" w:hanging="451"/>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Engage an independent auditor, determine the auditor's compensation and replace the auditor if necessary;</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Review the independence of the independent auditor and establish our policies for hiring current or former employees of the independent auditor;</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Evaluate the lead partner of our independent audit team and review a report, at least annually, describing the independent auditor's internal control procedures; and</w:t>
      </w:r>
    </w:p>
    <w:p>
      <w:pPr>
        <w:spacing w:after="0" w:line="205" w:lineRule="exact"/>
        <w:rPr>
          <w:rFonts w:ascii="Arial" w:cs="Arial" w:eastAsia="Arial" w:hAnsi="Arial"/>
          <w:sz w:val="14"/>
          <w:szCs w:val="14"/>
          <w:color w:val="auto"/>
        </w:rPr>
      </w:pPr>
    </w:p>
    <w:p>
      <w:pPr>
        <w:ind w:left="5680"/>
        <w:spacing w:after="0"/>
        <w:rPr>
          <w:rFonts w:ascii="Arial" w:cs="Arial" w:eastAsia="Arial" w:hAnsi="Arial"/>
          <w:sz w:val="14"/>
          <w:szCs w:val="14"/>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hanging="451"/>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Pre-approve all services, including non-audit engagements, provided by the independent auditor.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Internal Audit</w:t>
      </w:r>
    </w:p>
    <w:p>
      <w:pPr>
        <w:spacing w:after="0" w:line="217" w:lineRule="exact"/>
        <w:rPr>
          <w:sz w:val="20"/>
          <w:szCs w:val="20"/>
          <w:color w:val="auto"/>
        </w:rPr>
      </w:pPr>
    </w:p>
    <w:p>
      <w:pPr>
        <w:ind w:left="900" w:hanging="451"/>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 the plans, staffing, reports and activities of the internal auditors; and</w:t>
      </w:r>
    </w:p>
    <w:p>
      <w:pPr>
        <w:spacing w:after="0" w:line="205"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Review and establish procedures for receiving, retaining and handling complaints, including anonymous complaints by our employees, regarding accounting, internal controls and auditing matters.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Committee Report</w:t>
      </w:r>
    </w:p>
    <w:p>
      <w:pPr>
        <w:spacing w:after="0" w:line="198" w:lineRule="exact"/>
        <w:rPr>
          <w:sz w:val="20"/>
          <w:szCs w:val="20"/>
          <w:color w:val="auto"/>
        </w:rPr>
      </w:pPr>
    </w:p>
    <w:p>
      <w:pPr>
        <w:jc w:val="both"/>
        <w:ind w:firstLine="416"/>
        <w:spacing w:after="0" w:line="260" w:lineRule="auto"/>
        <w:rPr>
          <w:sz w:val="20"/>
          <w:szCs w:val="20"/>
          <w:color w:val="auto"/>
        </w:rPr>
      </w:pPr>
      <w:r>
        <w:rPr>
          <w:rFonts w:ascii="Arial" w:cs="Arial" w:eastAsia="Arial" w:hAnsi="Arial"/>
          <w:sz w:val="15"/>
          <w:szCs w:val="15"/>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164" w:lineRule="exact"/>
        <w:rPr>
          <w:sz w:val="20"/>
          <w:szCs w:val="20"/>
          <w:color w:val="auto"/>
        </w:rPr>
      </w:pPr>
    </w:p>
    <w:p>
      <w:pPr>
        <w:jc w:val="both"/>
        <w:ind w:firstLine="439"/>
        <w:spacing w:after="0" w:line="314" w:lineRule="auto"/>
        <w:rPr>
          <w:sz w:val="20"/>
          <w:szCs w:val="20"/>
          <w:color w:val="auto"/>
        </w:rPr>
      </w:pPr>
      <w:r>
        <w:rPr>
          <w:rFonts w:ascii="Arial" w:cs="Arial" w:eastAsia="Arial" w:hAnsi="Arial"/>
          <w:sz w:val="14"/>
          <w:szCs w:val="14"/>
          <w:color w:val="auto"/>
        </w:rPr>
        <w:t>The Audit Committee has reviewed and discussed the Company's audited financial statements as of and for the year ended December 31, 2018 with management and the independent registered public accounting firm, and has taken the following steps in making its recommendation that the Company's financial statements be included in its annual report:</w:t>
      </w:r>
    </w:p>
    <w:p>
      <w:pPr>
        <w:spacing w:after="0" w:line="140" w:lineRule="exact"/>
        <w:rPr>
          <w:sz w:val="20"/>
          <w:szCs w:val="20"/>
          <w:color w:val="auto"/>
        </w:rPr>
      </w:pPr>
    </w:p>
    <w:p>
      <w:pPr>
        <w:jc w:val="both"/>
        <w:ind w:left="900" w:right="20" w:hanging="451"/>
        <w:spacing w:after="0" w:line="262"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First, the Audit Committee discussed with Ernst &amp; Young, the Company's independent registered public accounting firm for fiscal year 2018, those matters required to be discussed by Public Company Accounting Oversight Board (United States) Auditing Standard No. 1301 </w:t>
      </w:r>
      <w:r>
        <w:rPr>
          <w:rFonts w:ascii="Arial" w:cs="Arial" w:eastAsia="Arial" w:hAnsi="Arial"/>
          <w:sz w:val="15"/>
          <w:szCs w:val="15"/>
          <w:i w:val="1"/>
          <w:iCs w:val="1"/>
          <w:color w:val="auto"/>
        </w:rPr>
        <w:t>Communications with Audit Committees</w:t>
      </w:r>
      <w:r>
        <w:rPr>
          <w:rFonts w:ascii="Arial" w:cs="Arial" w:eastAsia="Arial" w:hAnsi="Arial"/>
          <w:sz w:val="15"/>
          <w:szCs w:val="15"/>
          <w:color w:val="auto"/>
        </w:rPr>
        <w:t>, including information regarding the scope and results of the audit. These communications and discussions are intended to assist the Audit Committee in overseeing the financial reporting and disclosure process.</w:t>
      </w:r>
    </w:p>
    <w:p>
      <w:pPr>
        <w:spacing w:after="0" w:line="185" w:lineRule="exact"/>
        <w:rPr>
          <w:rFonts w:ascii="Arial" w:cs="Arial" w:eastAsia="Arial" w:hAnsi="Arial"/>
          <w:sz w:val="15"/>
          <w:szCs w:val="15"/>
          <w:color w:val="auto"/>
        </w:rPr>
      </w:pPr>
    </w:p>
    <w:p>
      <w:pPr>
        <w:jc w:val="both"/>
        <w:ind w:left="900" w:hanging="451"/>
        <w:spacing w:after="0" w:line="293"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154" w:lineRule="exact"/>
        <w:rPr>
          <w:rFonts w:ascii="Arial" w:cs="Arial" w:eastAsia="Arial" w:hAnsi="Arial"/>
          <w:sz w:val="14"/>
          <w:szCs w:val="14"/>
          <w:color w:val="auto"/>
        </w:rPr>
      </w:pPr>
    </w:p>
    <w:p>
      <w:pPr>
        <w:jc w:val="both"/>
        <w:ind w:left="900" w:right="20" w:hanging="451"/>
        <w:spacing w:after="0" w:line="265"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2018, as well as Ernst &amp; Young's report regarding the effectiveness of internal control over financial reporting.</w:t>
      </w:r>
    </w:p>
    <w:p>
      <w:pPr>
        <w:spacing w:after="0" w:line="172" w:lineRule="exact"/>
        <w:rPr>
          <w:rFonts w:ascii="Arial" w:cs="Arial" w:eastAsia="Arial" w:hAnsi="Arial"/>
          <w:sz w:val="15"/>
          <w:szCs w:val="15"/>
          <w:color w:val="auto"/>
        </w:rPr>
      </w:pPr>
    </w:p>
    <w:p>
      <w:pPr>
        <w:jc w:val="both"/>
        <w:ind w:left="900" w:right="20" w:hanging="451"/>
        <w:spacing w:after="0" w:line="293" w:lineRule="auto"/>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Finally, the Audit Committee reviewed and discussed, with the Company's management and Ernst &amp; Young, the Company's audited consolidated balance sheet as of December 31, 2018, and consolidated statements of operations, comprehensive income, cash flows and changes in equity for the fiscal year ended December 31, 2018, including the quality, not just the acceptability, of the accounting principles, the reasonableness of significant judgments and the clarity of the disclosure.</w:t>
      </w:r>
    </w:p>
    <w:p>
      <w:pPr>
        <w:spacing w:after="0" w:line="143" w:lineRule="exact"/>
        <w:rPr>
          <w:sz w:val="20"/>
          <w:szCs w:val="20"/>
          <w:color w:val="auto"/>
        </w:rPr>
      </w:pPr>
    </w:p>
    <w:p>
      <w:pPr>
        <w:ind w:right="20" w:firstLine="454"/>
        <w:spacing w:after="0" w:line="277" w:lineRule="auto"/>
        <w:rPr>
          <w:sz w:val="20"/>
          <w:szCs w:val="20"/>
          <w:color w:val="auto"/>
        </w:rPr>
      </w:pPr>
      <w:r>
        <w:rPr>
          <w:rFonts w:ascii="Arial" w:cs="Arial" w:eastAsia="Arial" w:hAnsi="Arial"/>
          <w:sz w:val="15"/>
          <w:szCs w:val="15"/>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without management present, to discuss the results of their examinations and their evaluations of the Company's internal controls over financial reporting.</w:t>
      </w:r>
    </w:p>
    <w:p>
      <w:pPr>
        <w:spacing w:after="0" w:line="194" w:lineRule="exact"/>
        <w:rPr>
          <w:sz w:val="20"/>
          <w:szCs w:val="20"/>
          <w:color w:val="auto"/>
        </w:rPr>
      </w:pPr>
    </w:p>
    <w:p>
      <w:pPr>
        <w:jc w:val="both"/>
        <w:ind w:firstLine="459"/>
        <w:spacing w:after="0" w:line="265" w:lineRule="auto"/>
        <w:rPr>
          <w:sz w:val="20"/>
          <w:szCs w:val="20"/>
          <w:color w:val="auto"/>
        </w:rPr>
      </w:pPr>
      <w:r>
        <w:rPr>
          <w:rFonts w:ascii="Arial" w:cs="Arial" w:eastAsia="Arial" w:hAnsi="Arial"/>
          <w:sz w:val="15"/>
          <w:szCs w:val="15"/>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161"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2018. The Committee has also approved the selection of Ernst &amp; Young LLP as the Company's independent registered public accounting firm for fiscal year 2019.</w:t>
      </w:r>
    </w:p>
    <w:p>
      <w:pPr>
        <w:spacing w:after="0" w:line="367"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The Audit Committee of the Board of Directors</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 xml:space="preserve">Patrick W. Gross, </w:t>
      </w:r>
      <w:r>
        <w:rPr>
          <w:rFonts w:ascii="Arial" w:cs="Arial" w:eastAsia="Arial" w:hAnsi="Arial"/>
          <w:sz w:val="15"/>
          <w:szCs w:val="15"/>
          <w:i w:val="1"/>
          <w:iCs w:val="1"/>
          <w:color w:val="auto"/>
        </w:rPr>
        <w:t>Chairman</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Frank M. Clark, Jr.</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Andrés R. Gluski</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Victoria M. Holt</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Thomas H. Weidemeyer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The Management Development and Compensation Committee</w:t>
      </w:r>
    </w:p>
    <w:p>
      <w:pPr>
        <w:spacing w:after="0" w:line="194" w:lineRule="exact"/>
        <w:rPr>
          <w:sz w:val="20"/>
          <w:szCs w:val="20"/>
          <w:color w:val="auto"/>
        </w:rPr>
      </w:pPr>
    </w:p>
    <w:p>
      <w:pPr>
        <w:jc w:val="both"/>
        <w:ind w:firstLine="519"/>
        <w:spacing w:after="0" w:line="265" w:lineRule="auto"/>
        <w:rPr>
          <w:sz w:val="20"/>
          <w:szCs w:val="20"/>
          <w:color w:val="auto"/>
        </w:rPr>
      </w:pPr>
      <w:r>
        <w:rPr>
          <w:rFonts w:ascii="Arial" w:cs="Arial" w:eastAsia="Arial" w:hAnsi="Arial"/>
          <w:sz w:val="15"/>
          <w:szCs w:val="15"/>
          <w:color w:val="auto"/>
        </w:rPr>
        <w:t>Mr. Clark has served as the Chairman of our MD&amp;C Committee since May 2011. The other members of the Committee are Mr. Gluski, Ms. Holt, Ms. Mazzarella, Mr. Pope and Mr. Weidemeyer. Each member of our MD&amp;C Committee is independent in accordance with the rules and regulations of the New York Stock Exchange. The MD&amp;C Committee held six meetings in 2018.</w:t>
      </w:r>
    </w:p>
    <w:p>
      <w:pPr>
        <w:spacing w:after="0" w:line="161" w:lineRule="exact"/>
        <w:rPr>
          <w:sz w:val="20"/>
          <w:szCs w:val="20"/>
          <w:color w:val="auto"/>
        </w:rPr>
      </w:pPr>
    </w:p>
    <w:p>
      <w:pPr>
        <w:jc w:val="both"/>
        <w:ind w:right="20" w:firstLine="549"/>
        <w:spacing w:after="0" w:line="314" w:lineRule="auto"/>
        <w:rPr>
          <w:sz w:val="20"/>
          <w:szCs w:val="20"/>
          <w:color w:val="auto"/>
        </w:rPr>
      </w:pPr>
      <w:r>
        <w:rPr>
          <w:rFonts w:ascii="Arial" w:cs="Arial" w:eastAsia="Arial" w:hAnsi="Arial"/>
          <w:sz w:val="14"/>
          <w:szCs w:val="14"/>
          <w:color w:val="auto"/>
        </w:rPr>
        <w:t>Our MD&amp;C Committee is responsible for overseeing our executive officer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140" w:lineRule="exact"/>
        <w:rPr>
          <w:sz w:val="20"/>
          <w:szCs w:val="20"/>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 and establish policies governing the compensation and benefits of our executive officers;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Approve the compensation of our executive officers and set the bonus plan goals for those individuals;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Conduct an annual evaluation of our Chief Executive Officer by all independent directors and set his compensation;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Oversee the administration of our equity-based incentive plans;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Review the results of the stockholder advisory vote on executive compensation and consider any implications of such voting results on the Company's compensation programs;</w:t>
      </w:r>
    </w:p>
    <w:p>
      <w:pPr>
        <w:spacing w:after="0" w:line="228" w:lineRule="exact"/>
        <w:rPr>
          <w:rFonts w:ascii="Arial" w:cs="Arial" w:eastAsia="Arial" w:hAnsi="Arial"/>
          <w:sz w:val="13"/>
          <w:szCs w:val="13"/>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Recommend to the full Board new Company compensation and benefit plans or changes to our existing plans;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Evaluate and recommend to the Board the compensation paid to our non-employee directors;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 the independence of the MD&amp;C Committee's compensation consultant annually;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Perform an annual review of its performance relative to its charter and report the results of its evaluation to the full Board.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firstLine="501"/>
        <w:spacing w:after="0" w:line="262" w:lineRule="auto"/>
        <w:rPr>
          <w:sz w:val="20"/>
          <w:szCs w:val="20"/>
          <w:color w:val="auto"/>
        </w:rPr>
      </w:pPr>
      <w:r>
        <w:rPr>
          <w:rFonts w:ascii="Arial" w:cs="Arial" w:eastAsia="Arial" w:hAnsi="Arial"/>
          <w:sz w:val="15"/>
          <w:szCs w:val="15"/>
          <w:color w:val="auto"/>
        </w:rPr>
        <w:t xml:space="preserve">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to Company employees under those plans for matters affecting the compensation and benefits of the executive officers. For additional information on the MD&amp;C Committee, see the </w:t>
      </w:r>
      <w:r>
        <w:rPr>
          <w:rFonts w:ascii="Arial" w:cs="Arial" w:eastAsia="Arial" w:hAnsi="Arial"/>
          <w:sz w:val="15"/>
          <w:szCs w:val="15"/>
          <w:i w:val="1"/>
          <w:iCs w:val="1"/>
          <w:color w:val="auto"/>
        </w:rPr>
        <w:t xml:space="preserve">Compensation Discussion and Analysis </w:t>
      </w:r>
      <w:r>
        <w:rPr>
          <w:rFonts w:ascii="Arial" w:cs="Arial" w:eastAsia="Arial" w:hAnsi="Arial"/>
          <w:sz w:val="15"/>
          <w:szCs w:val="15"/>
          <w:color w:val="auto"/>
        </w:rPr>
        <w:t>beginning on page 26.</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Report</w:t>
      </w:r>
    </w:p>
    <w:p>
      <w:pPr>
        <w:spacing w:after="0" w:line="198" w:lineRule="exact"/>
        <w:rPr>
          <w:sz w:val="20"/>
          <w:szCs w:val="20"/>
          <w:color w:val="auto"/>
        </w:rPr>
      </w:pPr>
    </w:p>
    <w:p>
      <w:pPr>
        <w:jc w:val="both"/>
        <w:ind w:firstLine="477"/>
        <w:spacing w:after="0" w:line="277" w:lineRule="auto"/>
        <w:rPr>
          <w:sz w:val="20"/>
          <w:szCs w:val="20"/>
          <w:color w:val="auto"/>
        </w:rPr>
      </w:pPr>
      <w:r>
        <w:rPr>
          <w:rFonts w:ascii="Arial" w:cs="Arial" w:eastAsia="Arial" w:hAnsi="Arial"/>
          <w:sz w:val="15"/>
          <w:szCs w:val="15"/>
          <w:color w:val="auto"/>
        </w:rPr>
        <w:t xml:space="preserve">The MD&amp;C Committee has reviewed and discussed the </w:t>
      </w:r>
      <w:r>
        <w:rPr>
          <w:rFonts w:ascii="Arial" w:cs="Arial" w:eastAsia="Arial" w:hAnsi="Arial"/>
          <w:sz w:val="15"/>
          <w:szCs w:val="15"/>
          <w:i w:val="1"/>
          <w:iCs w:val="1"/>
          <w:color w:val="auto"/>
        </w:rPr>
        <w:t>Compensation Discussion and Analysis</w:t>
      </w:r>
      <w:r>
        <w:rPr>
          <w:rFonts w:ascii="Arial" w:cs="Arial" w:eastAsia="Arial" w:hAnsi="Arial"/>
          <w:sz w:val="15"/>
          <w:szCs w:val="15"/>
          <w:color w:val="auto"/>
        </w:rPr>
        <w:t xml:space="preserve">, beginning on page 26, with management. Based on the review and discussions, the MD&amp;C Committee recommended to the Board of Directors that the </w:t>
      </w:r>
      <w:r>
        <w:rPr>
          <w:rFonts w:ascii="Arial" w:cs="Arial" w:eastAsia="Arial" w:hAnsi="Arial"/>
          <w:sz w:val="15"/>
          <w:szCs w:val="15"/>
          <w:i w:val="1"/>
          <w:iCs w:val="1"/>
          <w:color w:val="auto"/>
        </w:rPr>
        <w:t>Compensation Discussion and Analysis</w:t>
      </w:r>
      <w:r>
        <w:rPr>
          <w:rFonts w:ascii="Arial" w:cs="Arial" w:eastAsia="Arial" w:hAnsi="Arial"/>
          <w:sz w:val="15"/>
          <w:szCs w:val="15"/>
          <w:color w:val="auto"/>
        </w:rPr>
        <w:t xml:space="preserve"> be included in the Company's Proxy Statement.</w:t>
      </w:r>
    </w:p>
    <w:p>
      <w:pPr>
        <w:spacing w:after="0" w:line="357"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The Management Development and Compensation</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Committee of the Board of Directors</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 xml:space="preserve">Frank M. Clark, Jr., </w:t>
      </w:r>
      <w:r>
        <w:rPr>
          <w:rFonts w:ascii="Arial" w:cs="Arial" w:eastAsia="Arial" w:hAnsi="Arial"/>
          <w:sz w:val="15"/>
          <w:szCs w:val="15"/>
          <w:i w:val="1"/>
          <w:iCs w:val="1"/>
          <w:color w:val="auto"/>
        </w:rPr>
        <w:t>Chairman</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Andrés R. Gluski</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Victoria M. Holt</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Kathleen M. Mazzarella</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John C. Pope</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Thomas H. Weidemeyer</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5"/>
          <w:szCs w:val="15"/>
          <w:color w:val="auto"/>
        </w:rPr>
        <w:t>During 2018, Ms. Holt, Ms. Mazzarella and Messrs. Clark, Gluski, Pope and Weidemeyer served on the MD&amp;C Committee. Mr. Bradbury H. Anderson also served on the MD&amp;C Committee and attended two meetings in 2018 before he resigned from our Board in April 2018. No member of the MD&amp;C Committee was an officer or employee of the Company during 2018; no member of the MD&amp;C Committee is a former officer of the Company; and during 2018, none of our executive officers served as a member of a board of directors or compensation committee of any entity that has one or more executive officers who serve on our Board of Directors or MD&amp;C Committee.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The Nominating and Governance Committee</w:t>
      </w:r>
    </w:p>
    <w:p>
      <w:pPr>
        <w:spacing w:after="0" w:line="194" w:lineRule="exact"/>
        <w:rPr>
          <w:sz w:val="20"/>
          <w:szCs w:val="20"/>
          <w:color w:val="auto"/>
        </w:rPr>
      </w:pPr>
    </w:p>
    <w:p>
      <w:pPr>
        <w:jc w:val="both"/>
        <w:ind w:firstLine="392"/>
        <w:spacing w:after="0" w:line="265" w:lineRule="auto"/>
        <w:rPr>
          <w:sz w:val="20"/>
          <w:szCs w:val="20"/>
          <w:color w:val="auto"/>
        </w:rPr>
      </w:pPr>
      <w:r>
        <w:rPr>
          <w:rFonts w:ascii="Arial" w:cs="Arial" w:eastAsia="Arial" w:hAnsi="Arial"/>
          <w:sz w:val="15"/>
          <w:szCs w:val="15"/>
          <w:color w:val="auto"/>
        </w:rPr>
        <w:t>Ms. Mazzarella was named Chairman of our Nominating and Governance Committee in May 2018. The other members of the Committee include Messrs. Gross, Pope and Weidemeyer. Each member of our Nominating and Governance Committee is independent in accordance with the rules and regulations of the New York Stock Exchange. In 2018, the Nominating and Governance Committee met five times.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Nominating and Governance Committee has a written charter that has been approved by the Board of Directors and can be found on our website. It is the duty of the Nominating and</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Governance Committee to oversee matters regarding corporate governance. In fulfilling its duties, the Nominating and Governance Committee has the following responsibilities:</w:t>
      </w:r>
    </w:p>
    <w:p>
      <w:pPr>
        <w:spacing w:after="0" w:line="211" w:lineRule="exact"/>
        <w:rPr>
          <w:sz w:val="20"/>
          <w:szCs w:val="20"/>
          <w:color w:val="auto"/>
        </w:rPr>
      </w:pPr>
    </w:p>
    <w:p>
      <w:pPr>
        <w:ind w:left="900" w:hanging="451"/>
        <w:spacing w:after="0"/>
        <w:tabs>
          <w:tab w:leader="none" w:pos="9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 and recommend the composition of our Board, including the nature and duties of each of our committees, in accordance with our Corporate Governance Guidelines;</w:t>
      </w:r>
    </w:p>
    <w:p>
      <w:pPr>
        <w:spacing w:after="0" w:line="239" w:lineRule="exact"/>
        <w:rPr>
          <w:rFonts w:ascii="Arial" w:cs="Arial" w:eastAsia="Arial" w:hAnsi="Arial"/>
          <w:sz w:val="13"/>
          <w:szCs w:val="13"/>
          <w:color w:val="auto"/>
        </w:rPr>
      </w:pPr>
    </w:p>
    <w:p>
      <w:pPr>
        <w:ind w:left="900" w:hanging="45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Evaluate the charters of each of the committees and recommend directors to serve as committee chairs;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 individual director's performance in consultation with the Chairman of the Board and review the overall effectiveness of the Board;</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Recommend retirement policies for the Board, the terms for directors and the proper ratio of employee directors to outside directors;</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Perform an annual review of its performance relative to its charter and report the results of its evaluation to the full Board;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 stockholder proposals received for inclusion in the Company's proxy statement and recommend action to be taken with regard to the proposals to the Board; and</w:t>
      </w:r>
    </w:p>
    <w:p>
      <w:pPr>
        <w:spacing w:after="0" w:line="228" w:lineRule="exact"/>
        <w:rPr>
          <w:rFonts w:ascii="Arial" w:cs="Arial" w:eastAsia="Arial" w:hAnsi="Arial"/>
          <w:sz w:val="14"/>
          <w:szCs w:val="14"/>
          <w:color w:val="auto"/>
        </w:rPr>
      </w:pPr>
    </w:p>
    <w:p>
      <w:pPr>
        <w:ind w:left="900" w:hanging="451"/>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Identify and recommend to the Board candidates to fill director vacancies.</w:t>
      </w:r>
    </w:p>
    <w:p>
      <w:pPr>
        <w:spacing w:after="0" w:line="194" w:lineRule="exact"/>
        <w:rPr>
          <w:sz w:val="20"/>
          <w:szCs w:val="20"/>
          <w:color w:val="auto"/>
        </w:rPr>
      </w:pPr>
    </w:p>
    <w:p>
      <w:pPr>
        <w:jc w:val="both"/>
        <w:ind w:firstLine="429"/>
        <w:spacing w:after="0" w:line="277" w:lineRule="auto"/>
        <w:rPr>
          <w:sz w:val="20"/>
          <w:szCs w:val="20"/>
          <w:color w:val="auto"/>
        </w:rPr>
      </w:pPr>
      <w:r>
        <w:rPr>
          <w:rFonts w:ascii="Arial" w:cs="Arial" w:eastAsia="Arial" w:hAnsi="Arial"/>
          <w:sz w:val="14"/>
          <w:szCs w:val="14"/>
          <w:color w:val="auto"/>
        </w:rPr>
        <w:t>Potential new director candidates are identified through various methods; the Nominating and Governance Committee welcomes suggestions from directors, members of management, and stockholders. From time to time, the Nominating and Governance Committee uses outside consultants to assist with identifying potential director candidates. 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Nominating and Governance Committee has considered the gender and racial / ethnic composition of our Board, including the presence of two women, Mr. Clark's self-identification as African American / Black and Mr. Gluski's self-identification as Hispanic, and believes these factors, among numerous others, contribute to a valuable diversity of background, thoughts and opinions on our Board. The Committee uses a matrix of experience, skills and expertise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typically include other members of the Board, representatives from senior levels of management and an outside consultant.</w:t>
      </w:r>
    </w:p>
    <w:p>
      <w:pPr>
        <w:spacing w:after="0" w:line="153"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4"/>
          <w:szCs w:val="14"/>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1001 Fannin Street, Houston, Texas 77002, between October 29, 2019 and November 28, 2019.</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 Party Transactions</w:t>
      </w:r>
    </w:p>
    <w:p>
      <w:pPr>
        <w:spacing w:after="0" w:line="198" w:lineRule="exact"/>
        <w:rPr>
          <w:sz w:val="20"/>
          <w:szCs w:val="20"/>
          <w:color w:val="auto"/>
        </w:rPr>
      </w:pPr>
    </w:p>
    <w:p>
      <w:pPr>
        <w:jc w:val="both"/>
        <w:ind w:firstLine="461"/>
        <w:spacing w:after="0" w:line="281" w:lineRule="auto"/>
        <w:rPr>
          <w:sz w:val="20"/>
          <w:szCs w:val="20"/>
          <w:color w:val="auto"/>
        </w:rPr>
      </w:pPr>
      <w:r>
        <w:rPr>
          <w:rFonts w:ascii="Arial" w:cs="Arial" w:eastAsia="Arial" w:hAnsi="Arial"/>
          <w:sz w:val="14"/>
          <w:szCs w:val="14"/>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314" w:lineRule="auto"/>
        <w:rPr>
          <w:sz w:val="20"/>
          <w:szCs w:val="20"/>
          <w:color w:val="auto"/>
        </w:rPr>
      </w:pPr>
      <w:r>
        <w:rPr>
          <w:rFonts w:ascii="Arial" w:cs="Arial" w:eastAsia="Arial" w:hAnsi="Arial"/>
          <w:sz w:val="14"/>
          <w:szCs w:val="14"/>
          <w:color w:val="auto"/>
        </w:rPr>
        <w:t>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128" w:lineRule="exact"/>
        <w:rPr>
          <w:sz w:val="20"/>
          <w:szCs w:val="20"/>
          <w:color w:val="auto"/>
        </w:rPr>
      </w:pPr>
    </w:p>
    <w:p>
      <w:pPr>
        <w:jc w:val="both"/>
        <w:ind w:firstLine="411"/>
        <w:spacing w:after="0" w:line="265" w:lineRule="auto"/>
        <w:rPr>
          <w:sz w:val="20"/>
          <w:szCs w:val="20"/>
          <w:color w:val="auto"/>
        </w:rPr>
      </w:pPr>
      <w:r>
        <w:rPr>
          <w:rFonts w:ascii="Arial" w:cs="Arial" w:eastAsia="Arial" w:hAnsi="Arial"/>
          <w:sz w:val="15"/>
          <w:szCs w:val="15"/>
          <w:color w:val="auto"/>
        </w:rPr>
        <w:t>All executive officers and directors are required to notify the Chief Legal Officer or the Corporate Secretary as soon as practicable of any proposed transaction that they or their family members are considering entering into that involves the Company. The Chief Legal Officer will determine whether potential transactions or relationships constitute related party transactions that must be referred to the Nominating and Governance Committee.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Nominating and Governance Committee will review a detailed description of the transaction, including:</w:t>
      </w:r>
    </w:p>
    <w:p>
      <w:pPr>
        <w:spacing w:after="0" w:line="205" w:lineRule="exact"/>
        <w:rPr>
          <w:sz w:val="20"/>
          <w:szCs w:val="20"/>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terms of the transaction;</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business purpose of the transaction;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benefits to the Company and to the relevant related party;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whether the transaction would require a waiver of the Company's Code of Conduct.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determining whether to approve a related party transaction, the Nominating and Governance Committee will consider, among other things, whether:</w:t>
      </w:r>
    </w:p>
    <w:p>
      <w:pPr>
        <w:spacing w:after="0" w:line="217" w:lineRule="exact"/>
        <w:rPr>
          <w:sz w:val="20"/>
          <w:szCs w:val="20"/>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terms of the related party transaction are fair to the Company and such terms would be reasonable in an arms-length transaction;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there are business reasons for the Company to enter into the related party transaction;</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related party transaction would impair the independence of any non-employee director;</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related party transaction would present an improper conflict of interest for any director or executive officer of the Company;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related party transaction is material to the Company or the individual.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Any member of the Nominating and Governance Committee who has an interest in a transaction presented for consideration will abstain from voting on the related party transaction.</w:t>
      </w:r>
    </w:p>
    <w:p>
      <w:pPr>
        <w:spacing w:after="0" w:line="217" w:lineRule="exact"/>
        <w:rPr>
          <w:sz w:val="20"/>
          <w:szCs w:val="20"/>
          <w:color w:val="auto"/>
        </w:rPr>
      </w:pPr>
    </w:p>
    <w:p>
      <w:pPr>
        <w:jc w:val="both"/>
        <w:ind w:firstLine="428"/>
        <w:spacing w:after="0" w:line="262" w:lineRule="auto"/>
        <w:rPr>
          <w:sz w:val="20"/>
          <w:szCs w:val="20"/>
          <w:color w:val="auto"/>
        </w:rPr>
      </w:pPr>
      <w:r>
        <w:rPr>
          <w:rFonts w:ascii="Arial" w:cs="Arial" w:eastAsia="Arial" w:hAnsi="Arial"/>
          <w:sz w:val="15"/>
          <w:szCs w:val="15"/>
          <w:color w:val="auto"/>
        </w:rPr>
        <w:t>The Nominating and Governance Committee's consideration of related party transactions and its determination of whether to approve such a transaction are reflected in the minutes of the Nominating and Governance Committee's meetings. As discussed above under "Independence of Board Members," the Company reviewed all transactions between the Company and each entity with which a non-employee director is affiliated, as well as all transactions between the Company and each entity with which an executive officer is affiliated, and the Company is not aware of any transactions in 2018 that are required to be disclosed.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Governing Documents</w:t>
      </w:r>
    </w:p>
    <w:p>
      <w:pPr>
        <w:spacing w:after="0" w:line="198" w:lineRule="exact"/>
        <w:rPr>
          <w:sz w:val="20"/>
          <w:szCs w:val="20"/>
          <w:color w:val="auto"/>
        </w:rPr>
      </w:pPr>
    </w:p>
    <w:p>
      <w:pPr>
        <w:jc w:val="both"/>
        <w:ind w:right="20" w:firstLine="382"/>
        <w:spacing w:after="0" w:line="265" w:lineRule="auto"/>
        <w:rPr>
          <w:sz w:val="20"/>
          <w:szCs w:val="20"/>
          <w:color w:val="auto"/>
        </w:rPr>
      </w:pPr>
      <w:r>
        <w:rPr>
          <w:rFonts w:ascii="Arial" w:cs="Arial" w:eastAsia="Arial" w:hAnsi="Arial"/>
          <w:sz w:val="15"/>
          <w:szCs w:val="15"/>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Houston, Texas 77002 or by accessing the "ESG — Corporate Governance" section of the "Investor Relations" page on our website at </w:t>
      </w:r>
      <w:r>
        <w:rPr>
          <w:rFonts w:ascii="Arial" w:cs="Arial" w:eastAsia="Arial" w:hAnsi="Arial"/>
          <w:sz w:val="15"/>
          <w:szCs w:val="15"/>
          <w:i w:val="1"/>
          <w:iCs w:val="1"/>
          <w:color w:val="auto"/>
        </w:rPr>
        <w:t>www.wm.com</w:t>
      </w:r>
      <w:r>
        <w:rPr>
          <w:rFonts w:ascii="Arial" w:cs="Arial" w:eastAsia="Arial" w:hAnsi="Arial"/>
          <w:sz w:val="15"/>
          <w:szCs w:val="15"/>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Non-Employee Director Compensation</w:t>
      </w:r>
    </w:p>
    <w:p>
      <w:pPr>
        <w:spacing w:after="0" w:line="198" w:lineRule="exact"/>
        <w:rPr>
          <w:sz w:val="20"/>
          <w:szCs w:val="20"/>
          <w:color w:val="auto"/>
        </w:rPr>
      </w:pPr>
    </w:p>
    <w:p>
      <w:pPr>
        <w:jc w:val="both"/>
        <w:ind w:firstLine="431"/>
        <w:spacing w:after="0" w:line="281" w:lineRule="auto"/>
        <w:rPr>
          <w:sz w:val="20"/>
          <w:szCs w:val="20"/>
          <w:color w:val="auto"/>
        </w:rPr>
      </w:pPr>
      <w:r>
        <w:rPr>
          <w:rFonts w:ascii="Arial" w:cs="Arial" w:eastAsia="Arial" w:hAnsi="Arial"/>
          <w:sz w:val="14"/>
          <w:szCs w:val="14"/>
          <w:color w:val="auto"/>
        </w:rPr>
        <w:t>Our non-employee director compensation program consists of equity awards and cash consideration. Director compensation is recommended annually by the MD&amp;C Committee, with the assistance of an independent third-party consultant, and set by action of the Board of Directors. Non-employee director compensation had been held flat since 2014, until the equity component of our non-employee director compensation was increased in February 2017.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94" w:lineRule="exact"/>
        <w:rPr>
          <w:sz w:val="20"/>
          <w:szCs w:val="20"/>
          <w:color w:val="auto"/>
        </w:rPr>
      </w:pPr>
    </w:p>
    <w:p>
      <w:pPr>
        <w:jc w:val="both"/>
        <w:ind w:firstLine="411"/>
        <w:spacing w:after="0" w:line="286" w:lineRule="auto"/>
        <w:rPr>
          <w:sz w:val="20"/>
          <w:szCs w:val="20"/>
          <w:color w:val="auto"/>
        </w:rPr>
      </w:pPr>
      <w:r>
        <w:rPr>
          <w:rFonts w:ascii="Arial" w:cs="Arial" w:eastAsia="Arial" w:hAnsi="Arial"/>
          <w:sz w:val="14"/>
          <w:szCs w:val="14"/>
          <w:color w:val="auto"/>
        </w:rPr>
        <w:t>Non-employee directors receive an annual grant of shares of Common Stock under the Company's 2014 Stock Incentive Plan. The shares are fully vested at the time of grant; however, non-employee directors are required to hold all net shares until one year after retirement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received a grant of Common Stock valued at $77,500 in each of January 2018 and July 2018.</w:t>
      </w:r>
    </w:p>
    <w:p>
      <w:pPr>
        <w:spacing w:after="0" w:line="148"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4"/>
          <w:szCs w:val="14"/>
          <w:color w:val="auto"/>
        </w:rPr>
        <w:t>Mr. Bradbury H. Anderson served as our Non-Executive Chairman of the Board until his resignation in April 2018. On January 15, 2018, he received an additional grant of Common Stock valued at $50,000 for his service in such role for the first half of 2018. Upon Mr. Weidemeyer's election as Non-Executive Chairman of the Board in May 2018, he received an additional prorated grant of Common Stock valued at approximately $16,500 for his service in such role from the date of his election until July 15, 2018. Mr. Weidemeyer then received an additional grant of Common Stock valued at $50,000 on July 15, 2018 for his service as Non-Executive Chairman of the Board for the remainder of 2018.</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194" w:lineRule="exact"/>
        <w:rPr>
          <w:sz w:val="20"/>
          <w:szCs w:val="20"/>
          <w:color w:val="auto"/>
        </w:rPr>
      </w:pPr>
    </w:p>
    <w:p>
      <w:pPr>
        <w:jc w:val="both"/>
        <w:ind w:right="20" w:firstLine="463"/>
        <w:spacing w:after="0" w:line="356" w:lineRule="auto"/>
        <w:rPr>
          <w:sz w:val="20"/>
          <w:szCs w:val="20"/>
          <w:color w:val="auto"/>
        </w:rPr>
      </w:pPr>
      <w:r>
        <w:rPr>
          <w:rFonts w:ascii="Arial" w:cs="Arial" w:eastAsia="Arial" w:hAnsi="Arial"/>
          <w:sz w:val="13"/>
          <w:szCs w:val="13"/>
          <w:color w:val="auto"/>
        </w:rPr>
        <w:t>All non-employee directors receive an annual cash retainer for Board service and additional cash retainers for serving as a committee chair. Directors do not receive meeting fees in addition to the retainers. The annual cash retainer is generally paid in advance in two equal installments in January and July of each year. The table below sets forth the cash retainers for 2018:</w:t>
      </w:r>
    </w:p>
    <w:p>
      <w:pPr>
        <w:sectPr>
          <w:pgSz w:w="11900" w:h="16838" w:orient="portrait"/>
          <w:cols w:equalWidth="0" w:num="1">
            <w:col w:w="11440"/>
          </w:cols>
          <w:pgMar w:left="240" w:top="132" w:right="219" w:bottom="1440" w:gutter="0" w:footer="0" w:header="0"/>
        </w:sectPr>
      </w:pPr>
    </w:p>
    <w:p>
      <w:pPr>
        <w:spacing w:after="0" w:line="102" w:lineRule="exact"/>
        <w:rPr>
          <w:sz w:val="20"/>
          <w:szCs w:val="20"/>
          <w:color w:val="auto"/>
        </w:rPr>
      </w:pPr>
    </w:p>
    <w:p>
      <w:pPr>
        <w:ind w:left="1140"/>
        <w:spacing w:after="0" w:line="363" w:lineRule="auto"/>
        <w:rPr>
          <w:sz w:val="20"/>
          <w:szCs w:val="20"/>
          <w:color w:val="auto"/>
        </w:rPr>
      </w:pPr>
      <w:r>
        <w:rPr>
          <w:rFonts w:ascii="Arial" w:cs="Arial" w:eastAsia="Arial" w:hAnsi="Arial"/>
          <w:sz w:val="13"/>
          <w:szCs w:val="13"/>
          <w:b w:val="1"/>
          <w:bCs w:val="1"/>
          <w:color w:val="auto"/>
        </w:rPr>
        <w:t>Annual Retainer Annual Chair Retainers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$110,000</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$100,000 for Non-Executive Chairman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$25,000 for Audit Committee Chair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$20,000 for MD&amp;C Committee Chair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$15,000 for Nominating and Governance Committee Chair</w:t>
      </w:r>
    </w:p>
    <w:p>
      <w:pPr>
        <w:spacing w:after="0" w:line="200" w:lineRule="exact"/>
        <w:rPr>
          <w:sz w:val="20"/>
          <w:szCs w:val="20"/>
          <w:color w:val="auto"/>
        </w:rPr>
      </w:pPr>
    </w:p>
    <w:p>
      <w:pPr>
        <w:sectPr>
          <w:pgSz w:w="11900" w:h="16838" w:orient="portrait"/>
          <w:cols w:equalWidth="0" w:num="2">
            <w:col w:w="2660" w:space="200"/>
            <w:col w:w="8580"/>
          </w:cols>
          <w:pgMar w:left="240" w:top="132" w:right="219" w:bottom="1440" w:gutter="0" w:footer="0" w:header="0"/>
          <w:type w:val="continuous"/>
        </w:sectPr>
      </w:pPr>
    </w:p>
    <w:p>
      <w:pPr>
        <w:spacing w:after="0" w:line="1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Stock Ownership Guidelines for Non-Employee Directors</w:t>
      </w:r>
    </w:p>
    <w:p>
      <w:pPr>
        <w:spacing w:after="0" w:line="19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5"/>
          <w:szCs w:val="15"/>
          <w:color w:val="auto"/>
        </w:rPr>
        <w:t>Our non-employee directors are subject to ownership guidelines that establish a minimum ownership level and require that all net shares received in connection with a stock award, after selling shares to pay all applicable taxes, be held during their tenure as a director and for one year following termination of Board service. The MD&amp;C Committee amended the ownership guidelines for employees and directors in November 2018 to increase the assumed stock price from $60 per share to $80 per share, to better reflect more recent sustained market prices for our Common Stock. As a result, non-employee directors are now required to hold 7,000 shares, valued at approximately five times the 2018 annual cash retainer for non-employee directors. There is no deadline for non-employee directors to reach their ownership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7" w:name="page18"/>
    <w:bookmarkEnd w:id="1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8"/>
        <w:spacing w:after="0" w:line="262" w:lineRule="auto"/>
        <w:rPr>
          <w:sz w:val="20"/>
          <w:szCs w:val="20"/>
          <w:color w:val="auto"/>
        </w:rPr>
      </w:pPr>
      <w:r>
        <w:rPr>
          <w:rFonts w:ascii="Arial" w:cs="Arial" w:eastAsia="Arial" w:hAnsi="Arial"/>
          <w:sz w:val="15"/>
          <w:szCs w:val="15"/>
          <w:color w:val="auto"/>
        </w:rPr>
        <w:t>guideline; however, the MD&amp;C Committee performs regular reviews to confirm that all non-employee directors are in compliance or are showing sustained progress toward achievement of their ownership guideline. All of our non-employee directors have reached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162"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color w:val="auto"/>
        </w:rPr>
        <w:t>Director Compensation Table</w:t>
      </w:r>
    </w:p>
    <w:p>
      <w:pPr>
        <w:spacing w:after="0" w:line="194" w:lineRule="exact"/>
        <w:rPr>
          <w:sz w:val="20"/>
          <w:szCs w:val="20"/>
          <w:color w:val="auto"/>
        </w:rPr>
      </w:pPr>
    </w:p>
    <w:p>
      <w:pPr>
        <w:ind w:left="368"/>
        <w:spacing w:after="0"/>
        <w:rPr>
          <w:sz w:val="20"/>
          <w:szCs w:val="20"/>
          <w:color w:val="auto"/>
        </w:rPr>
      </w:pPr>
      <w:r>
        <w:rPr>
          <w:rFonts w:ascii="Arial" w:cs="Arial" w:eastAsia="Arial" w:hAnsi="Arial"/>
          <w:sz w:val="15"/>
          <w:szCs w:val="15"/>
          <w:color w:val="auto"/>
        </w:rPr>
        <w:t>The table below shows the aggregate cash paid, and stock awards issued, to the non-employee directors in 2018 in accordance with the descriptions set forth above:</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17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Fees Earned</w:t>
            </w:r>
          </w:p>
        </w:tc>
        <w:tc>
          <w:tcPr>
            <w:tcW w:w="600" w:type="dxa"/>
            <w:vAlign w:val="bottom"/>
          </w:tcPr>
          <w:p>
            <w:pPr>
              <w:ind w:left="120"/>
              <w:spacing w:after="0"/>
              <w:rPr>
                <w:sz w:val="20"/>
                <w:szCs w:val="20"/>
                <w:color w:val="auto"/>
              </w:rPr>
            </w:pPr>
            <w:r>
              <w:rPr>
                <w:rFonts w:ascii="Arial" w:cs="Arial" w:eastAsia="Arial" w:hAnsi="Arial"/>
                <w:sz w:val="15"/>
                <w:szCs w:val="15"/>
                <w:b w:val="1"/>
                <w:bCs w:val="1"/>
                <w:color w:val="auto"/>
              </w:rPr>
              <w:t>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4"/>
        </w:trPr>
        <w:tc>
          <w:tcPr>
            <w:tcW w:w="17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or Paid in</w:t>
            </w:r>
          </w:p>
        </w:tc>
        <w:tc>
          <w:tcPr>
            <w:tcW w:w="600" w:type="dxa"/>
            <w:vAlign w:val="bottom"/>
          </w:tcPr>
          <w:p>
            <w:pPr>
              <w:ind w:left="60"/>
              <w:spacing w:after="0"/>
              <w:rPr>
                <w:sz w:val="20"/>
                <w:szCs w:val="20"/>
                <w:color w:val="auto"/>
              </w:rPr>
            </w:pPr>
            <w:r>
              <w:rPr>
                <w:rFonts w:ascii="Arial" w:cs="Arial" w:eastAsia="Arial" w:hAnsi="Arial"/>
                <w:sz w:val="15"/>
                <w:szCs w:val="15"/>
                <w:b w:val="1"/>
                <w:bCs w:val="1"/>
                <w:color w:val="auto"/>
                <w:w w:val="95"/>
              </w:rPr>
              <w:t>Awards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7"/>
        </w:trPr>
        <w:tc>
          <w:tcPr>
            <w:tcW w:w="174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Cash ($)</w:t>
            </w:r>
          </w:p>
        </w:tc>
        <w:tc>
          <w:tcPr>
            <w:tcW w:w="140" w:type="dxa"/>
            <w:vAlign w:val="bottom"/>
          </w:tcPr>
          <w:p>
            <w:pPr>
              <w:spacing w:after="0"/>
              <w:rPr>
                <w:sz w:val="19"/>
                <w:szCs w:val="19"/>
                <w:color w:val="auto"/>
              </w:rPr>
            </w:pPr>
          </w:p>
        </w:tc>
        <w:tc>
          <w:tcPr>
            <w:tcW w:w="600" w:type="dxa"/>
            <w:vAlign w:val="bottom"/>
            <w:tcBorders>
              <w:bottom w:val="single" w:sz="8" w:color="auto"/>
            </w:tcBorders>
          </w:tcPr>
          <w:p>
            <w:pPr>
              <w:ind w:left="140"/>
              <w:spacing w:after="0" w:line="227"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24"/>
                <w:szCs w:val="24"/>
                <w:b w:val="1"/>
                <w:bCs w:val="1"/>
                <w:color w:val="auto"/>
                <w:vertAlign w:val="superscript"/>
              </w:rPr>
              <w:t>(1)</w:t>
            </w:r>
          </w:p>
        </w:tc>
        <w:tc>
          <w:tcPr>
            <w:tcW w:w="140" w:type="dxa"/>
            <w:vAlign w:val="bottom"/>
          </w:tcPr>
          <w:p>
            <w:pPr>
              <w:spacing w:after="0"/>
              <w:rPr>
                <w:sz w:val="19"/>
                <w:szCs w:val="19"/>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9"/>
              </w:rPr>
              <w:t>Total ($)</w:t>
            </w:r>
          </w:p>
        </w:tc>
        <w:tc>
          <w:tcPr>
            <w:tcW w:w="140" w:type="dxa"/>
            <w:vAlign w:val="bottom"/>
          </w:tcPr>
          <w:p>
            <w:pPr>
              <w:spacing w:after="0"/>
              <w:rPr>
                <w:sz w:val="19"/>
                <w:szCs w:val="19"/>
                <w:color w:val="auto"/>
              </w:rPr>
            </w:pPr>
          </w:p>
        </w:tc>
      </w:tr>
      <w:tr>
        <w:trPr>
          <w:trHeight w:val="209"/>
        </w:trPr>
        <w:tc>
          <w:tcPr>
            <w:tcW w:w="1740" w:type="dxa"/>
            <w:vAlign w:val="bottom"/>
            <w:tcBorders>
              <w:right w:val="single" w:sz="8" w:color="CCEEFF"/>
            </w:tcBorders>
          </w:tcPr>
          <w:p>
            <w:pPr>
              <w:spacing w:after="0"/>
              <w:rPr>
                <w:sz w:val="18"/>
                <w:szCs w:val="18"/>
                <w:color w:val="auto"/>
              </w:rPr>
            </w:pPr>
          </w:p>
        </w:tc>
        <w:tc>
          <w:tcPr>
            <w:tcW w:w="526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Bradbury H. Anderson</w:t>
            </w:r>
            <w:r>
              <w:rPr>
                <w:rFonts w:ascii="Arial" w:cs="Arial" w:eastAsia="Arial" w:hAnsi="Arial"/>
                <w:sz w:val="24"/>
                <w:szCs w:val="24"/>
                <w:color w:val="auto"/>
                <w:vertAlign w:val="superscript"/>
              </w:rPr>
              <w:t>(2)</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105,000</w:t>
            </w:r>
          </w:p>
        </w:tc>
        <w:tc>
          <w:tcPr>
            <w:tcW w:w="6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4"/>
              </w:rPr>
              <w:t>127,501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232,501</w:t>
            </w:r>
          </w:p>
        </w:tc>
      </w:tr>
      <w:tr>
        <w:trPr>
          <w:trHeight w:val="183"/>
        </w:trPr>
        <w:tc>
          <w:tcPr>
            <w:tcW w:w="174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Frank M. Clark, Jr.</w:t>
            </w:r>
          </w:p>
        </w:tc>
        <w:tc>
          <w:tcPr>
            <w:tcW w:w="1180" w:type="dxa"/>
            <w:vAlign w:val="bottom"/>
            <w:gridSpan w:val="3"/>
          </w:tcPr>
          <w:p>
            <w:pPr>
              <w:jc w:val="right"/>
              <w:ind w:right="140"/>
              <w:spacing w:after="0"/>
              <w:rPr>
                <w:sz w:val="20"/>
                <w:szCs w:val="20"/>
                <w:color w:val="auto"/>
              </w:rPr>
            </w:pPr>
            <w:r>
              <w:rPr>
                <w:rFonts w:ascii="Arial" w:cs="Arial" w:eastAsia="Arial" w:hAnsi="Arial"/>
                <w:sz w:val="15"/>
                <w:szCs w:val="15"/>
                <w:color w:val="auto"/>
              </w:rPr>
              <w:t>130,000</w:t>
            </w:r>
          </w:p>
        </w:tc>
        <w:tc>
          <w:tcPr>
            <w:tcW w:w="600" w:type="dxa"/>
            <w:vAlign w:val="bottom"/>
          </w:tcPr>
          <w:p>
            <w:pPr>
              <w:ind w:left="120"/>
              <w:spacing w:after="0"/>
              <w:rPr>
                <w:sz w:val="20"/>
                <w:szCs w:val="20"/>
                <w:color w:val="auto"/>
              </w:rPr>
            </w:pPr>
            <w:r>
              <w:rPr>
                <w:rFonts w:ascii="Arial" w:cs="Arial" w:eastAsia="Arial" w:hAnsi="Arial"/>
                <w:sz w:val="15"/>
                <w:szCs w:val="15"/>
                <w:color w:val="auto"/>
                <w:w w:val="84"/>
              </w:rPr>
              <w:t>154,954</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284,954</w:t>
            </w:r>
          </w:p>
        </w:tc>
      </w:tr>
      <w:tr>
        <w:trPr>
          <w:trHeight w:val="183"/>
        </w:trPr>
        <w:tc>
          <w:tcPr>
            <w:tcW w:w="1740" w:type="dxa"/>
            <w:vAlign w:val="bottom"/>
            <w:tcBorders>
              <w:right w:val="single" w:sz="8" w:color="CCEEFF"/>
            </w:tcBorders>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Andrés R. Gluski</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110,000</w:t>
            </w:r>
          </w:p>
        </w:tc>
        <w:tc>
          <w:tcPr>
            <w:tcW w:w="6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4"/>
              </w:rPr>
              <w:t>154,954</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264,954</w:t>
            </w:r>
          </w:p>
        </w:tc>
      </w:tr>
      <w:tr>
        <w:trPr>
          <w:trHeight w:val="183"/>
        </w:trPr>
        <w:tc>
          <w:tcPr>
            <w:tcW w:w="174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Patrick W. Gross</w:t>
            </w:r>
          </w:p>
        </w:tc>
        <w:tc>
          <w:tcPr>
            <w:tcW w:w="1180" w:type="dxa"/>
            <w:vAlign w:val="bottom"/>
            <w:gridSpan w:val="3"/>
          </w:tcPr>
          <w:p>
            <w:pPr>
              <w:jc w:val="right"/>
              <w:ind w:right="140"/>
              <w:spacing w:after="0"/>
              <w:rPr>
                <w:sz w:val="20"/>
                <w:szCs w:val="20"/>
                <w:color w:val="auto"/>
              </w:rPr>
            </w:pPr>
            <w:r>
              <w:rPr>
                <w:rFonts w:ascii="Arial" w:cs="Arial" w:eastAsia="Arial" w:hAnsi="Arial"/>
                <w:sz w:val="15"/>
                <w:szCs w:val="15"/>
                <w:color w:val="auto"/>
              </w:rPr>
              <w:t>135,000</w:t>
            </w:r>
          </w:p>
        </w:tc>
        <w:tc>
          <w:tcPr>
            <w:tcW w:w="600" w:type="dxa"/>
            <w:vAlign w:val="bottom"/>
          </w:tcPr>
          <w:p>
            <w:pPr>
              <w:ind w:left="120"/>
              <w:spacing w:after="0"/>
              <w:rPr>
                <w:sz w:val="20"/>
                <w:szCs w:val="20"/>
                <w:color w:val="auto"/>
              </w:rPr>
            </w:pPr>
            <w:r>
              <w:rPr>
                <w:rFonts w:ascii="Arial" w:cs="Arial" w:eastAsia="Arial" w:hAnsi="Arial"/>
                <w:sz w:val="15"/>
                <w:szCs w:val="15"/>
                <w:color w:val="auto"/>
                <w:w w:val="84"/>
              </w:rPr>
              <w:t>154,954</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289,954</w:t>
            </w:r>
          </w:p>
        </w:tc>
      </w:tr>
      <w:tr>
        <w:trPr>
          <w:trHeight w:val="183"/>
        </w:trPr>
        <w:tc>
          <w:tcPr>
            <w:tcW w:w="1740" w:type="dxa"/>
            <w:vAlign w:val="bottom"/>
            <w:tcBorders>
              <w:right w:val="single" w:sz="8" w:color="CCEEFF"/>
            </w:tcBorders>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Victoria M. Holt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110,000</w:t>
            </w:r>
          </w:p>
        </w:tc>
        <w:tc>
          <w:tcPr>
            <w:tcW w:w="6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4"/>
              </w:rPr>
              <w:t>154,954</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264,954</w:t>
            </w:r>
          </w:p>
        </w:tc>
      </w:tr>
      <w:tr>
        <w:trPr>
          <w:trHeight w:val="217"/>
        </w:trPr>
        <w:tc>
          <w:tcPr>
            <w:tcW w:w="1740" w:type="dxa"/>
            <w:vAlign w:val="bottom"/>
          </w:tcPr>
          <w:p>
            <w:pPr>
              <w:spacing w:after="0"/>
              <w:rPr>
                <w:sz w:val="18"/>
                <w:szCs w:val="18"/>
                <w:color w:val="auto"/>
              </w:rPr>
            </w:pPr>
          </w:p>
        </w:tc>
        <w:tc>
          <w:tcPr>
            <w:tcW w:w="5260" w:type="dxa"/>
            <w:vAlign w:val="bottom"/>
          </w:tcPr>
          <w:p>
            <w:pPr>
              <w:spacing w:after="0" w:line="218" w:lineRule="exact"/>
              <w:rPr>
                <w:sz w:val="20"/>
                <w:szCs w:val="20"/>
                <w:color w:val="auto"/>
              </w:rPr>
            </w:pPr>
            <w:r>
              <w:rPr>
                <w:rFonts w:ascii="Arial" w:cs="Arial" w:eastAsia="Arial" w:hAnsi="Arial"/>
                <w:sz w:val="15"/>
                <w:szCs w:val="15"/>
                <w:color w:val="auto"/>
              </w:rPr>
              <w:t>Kathleen M. Mazzarella</w:t>
            </w:r>
            <w:r>
              <w:rPr>
                <w:rFonts w:ascii="Arial" w:cs="Arial" w:eastAsia="Arial" w:hAnsi="Arial"/>
                <w:sz w:val="24"/>
                <w:szCs w:val="24"/>
                <w:color w:val="auto"/>
                <w:vertAlign w:val="superscript"/>
              </w:rPr>
              <w:t>(3)</w:t>
            </w:r>
          </w:p>
        </w:tc>
        <w:tc>
          <w:tcPr>
            <w:tcW w:w="1180" w:type="dxa"/>
            <w:vAlign w:val="bottom"/>
            <w:gridSpan w:val="3"/>
          </w:tcPr>
          <w:p>
            <w:pPr>
              <w:jc w:val="right"/>
              <w:ind w:right="140"/>
              <w:spacing w:after="0"/>
              <w:rPr>
                <w:sz w:val="20"/>
                <w:szCs w:val="20"/>
                <w:color w:val="auto"/>
              </w:rPr>
            </w:pPr>
            <w:r>
              <w:rPr>
                <w:rFonts w:ascii="Arial" w:cs="Arial" w:eastAsia="Arial" w:hAnsi="Arial"/>
                <w:sz w:val="15"/>
                <w:szCs w:val="15"/>
                <w:color w:val="auto"/>
              </w:rPr>
              <w:t>120,000</w:t>
            </w:r>
          </w:p>
        </w:tc>
        <w:tc>
          <w:tcPr>
            <w:tcW w:w="600" w:type="dxa"/>
            <w:vAlign w:val="bottom"/>
          </w:tcPr>
          <w:p>
            <w:pPr>
              <w:ind w:left="120"/>
              <w:spacing w:after="0"/>
              <w:rPr>
                <w:sz w:val="20"/>
                <w:szCs w:val="20"/>
                <w:color w:val="auto"/>
              </w:rPr>
            </w:pPr>
            <w:r>
              <w:rPr>
                <w:rFonts w:ascii="Arial" w:cs="Arial" w:eastAsia="Arial" w:hAnsi="Arial"/>
                <w:sz w:val="15"/>
                <w:szCs w:val="15"/>
                <w:color w:val="auto"/>
                <w:w w:val="84"/>
              </w:rPr>
              <w:t>154,954</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274,954</w:t>
            </w:r>
          </w:p>
        </w:tc>
      </w:tr>
      <w:tr>
        <w:trPr>
          <w:trHeight w:val="183"/>
        </w:trPr>
        <w:tc>
          <w:tcPr>
            <w:tcW w:w="1740" w:type="dxa"/>
            <w:vAlign w:val="bottom"/>
            <w:tcBorders>
              <w:right w:val="single" w:sz="8" w:color="CCEEFF"/>
            </w:tcBorders>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John C. Pope</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110,000</w:t>
            </w:r>
          </w:p>
        </w:tc>
        <w:tc>
          <w:tcPr>
            <w:tcW w:w="6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4"/>
              </w:rPr>
              <w:t>154,954</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264,954</w:t>
            </w:r>
          </w:p>
        </w:tc>
      </w:tr>
      <w:tr>
        <w:trPr>
          <w:trHeight w:val="309"/>
        </w:trPr>
        <w:tc>
          <w:tcPr>
            <w:tcW w:w="174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Thomas H. Weidemeyer</w:t>
            </w:r>
            <w:r>
              <w:rPr>
                <w:rFonts w:ascii="Arial" w:cs="Arial" w:eastAsia="Arial" w:hAnsi="Arial"/>
                <w:sz w:val="24"/>
                <w:szCs w:val="24"/>
                <w:color w:val="auto"/>
                <w:vertAlign w:val="superscript"/>
              </w:rPr>
              <w:t>(4)</w:t>
            </w:r>
          </w:p>
        </w:tc>
        <w:tc>
          <w:tcPr>
            <w:tcW w:w="1180" w:type="dxa"/>
            <w:vAlign w:val="bottom"/>
            <w:gridSpan w:val="3"/>
          </w:tcPr>
          <w:p>
            <w:pPr>
              <w:jc w:val="right"/>
              <w:ind w:right="140"/>
              <w:spacing w:after="0"/>
              <w:rPr>
                <w:sz w:val="20"/>
                <w:szCs w:val="20"/>
                <w:color w:val="auto"/>
              </w:rPr>
            </w:pPr>
            <w:r>
              <w:rPr>
                <w:rFonts w:ascii="Arial" w:cs="Arial" w:eastAsia="Arial" w:hAnsi="Arial"/>
                <w:sz w:val="15"/>
                <w:szCs w:val="15"/>
                <w:color w:val="auto"/>
              </w:rPr>
              <w:t>184,167</w:t>
            </w:r>
          </w:p>
        </w:tc>
        <w:tc>
          <w:tcPr>
            <w:tcW w:w="600" w:type="dxa"/>
            <w:vAlign w:val="bottom"/>
          </w:tcPr>
          <w:p>
            <w:pPr>
              <w:ind w:left="120"/>
              <w:spacing w:after="0"/>
              <w:rPr>
                <w:sz w:val="20"/>
                <w:szCs w:val="20"/>
                <w:color w:val="auto"/>
              </w:rPr>
            </w:pPr>
            <w:r>
              <w:rPr>
                <w:rFonts w:ascii="Arial" w:cs="Arial" w:eastAsia="Arial" w:hAnsi="Arial"/>
                <w:sz w:val="15"/>
                <w:szCs w:val="15"/>
                <w:color w:val="auto"/>
                <w:w w:val="84"/>
              </w:rPr>
              <w:t>221,668</w:t>
            </w: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405,835</w:t>
            </w:r>
          </w:p>
        </w:tc>
      </w:tr>
      <w:tr>
        <w:trPr>
          <w:trHeight w:val="20"/>
        </w:trPr>
        <w:tc>
          <w:tcPr>
            <w:tcW w:w="1740" w:type="dxa"/>
            <w:vAlign w:val="bottom"/>
            <w:tcBorders>
              <w:right w:val="single" w:sz="8" w:color="auto"/>
            </w:tcBorders>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448" w:hanging="448"/>
        <w:spacing w:after="0" w:line="257" w:lineRule="auto"/>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Amounts in this column represent the grant date fair value of stock awards granted in 2018,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18" w:lineRule="exact"/>
        <w:rPr>
          <w:rFonts w:ascii="Arial" w:cs="Arial" w:eastAsia="Arial" w:hAnsi="Arial"/>
          <w:sz w:val="15"/>
          <w:szCs w:val="15"/>
          <w:color w:val="auto"/>
        </w:rPr>
      </w:pPr>
    </w:p>
    <w:p>
      <w:pPr>
        <w:ind w:left="448" w:hanging="448"/>
        <w:spacing w:after="0"/>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Mr. Anderson served as a director and Non-Executive Chairman of the Board until his resignation in April 2018.</w:t>
      </w:r>
    </w:p>
    <w:p>
      <w:pPr>
        <w:spacing w:after="0" w:line="22" w:lineRule="exact"/>
        <w:rPr>
          <w:rFonts w:ascii="Arial" w:cs="Arial" w:eastAsia="Arial" w:hAnsi="Arial"/>
          <w:sz w:val="15"/>
          <w:szCs w:val="15"/>
          <w:color w:val="auto"/>
        </w:rPr>
      </w:pPr>
    </w:p>
    <w:p>
      <w:pPr>
        <w:ind w:left="448" w:hanging="448"/>
        <w:spacing w:after="0" w:line="258" w:lineRule="auto"/>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"Fees Earned or Paid in Cash" includes a prorated cash retainer installment of $2,500 for Ms. Mazzarella's service as Chairman of the Nominating and Governance Committee from her appointment in May 2018 to July 15, 2018. She received an additional $7,500 cash retainer for her service in such role for the remainder of 2018.</w:t>
      </w:r>
    </w:p>
    <w:p>
      <w:pPr>
        <w:spacing w:after="0" w:line="6" w:lineRule="exact"/>
        <w:rPr>
          <w:rFonts w:ascii="Arial" w:cs="Arial" w:eastAsia="Arial" w:hAnsi="Arial"/>
          <w:sz w:val="15"/>
          <w:szCs w:val="15"/>
          <w:color w:val="auto"/>
        </w:rPr>
      </w:pPr>
    </w:p>
    <w:p>
      <w:pPr>
        <w:jc w:val="both"/>
        <w:ind w:left="448" w:hanging="448"/>
        <w:spacing w:after="0" w:line="265" w:lineRule="auto"/>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"Fees Earned or Paid in Cash" includes a cash retainer of $7,500 for Mr. Weidemeyer's service as Chairman of the Nominating and Governance Committee prior to Ms. Mazzarella's appointment to such position and a prorated cash retainer installment of $16,667 for Mr. Weidemeyer's service as Non-Executive Chairman of the Board from his election in May 2018 to July 15, 2018. He received an additional $50,000 cash retainer for his service in such role for the remainder of 2018.</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(ITEM 1 ON THE PROXY CARD)</w:t>
      </w:r>
    </w:p>
    <w:p>
      <w:pPr>
        <w:spacing w:after="0" w:line="198" w:lineRule="exact"/>
        <w:rPr>
          <w:sz w:val="20"/>
          <w:szCs w:val="20"/>
          <w:color w:val="auto"/>
        </w:rPr>
      </w:pPr>
    </w:p>
    <w:p>
      <w:pPr>
        <w:jc w:val="both"/>
        <w:ind w:firstLine="411"/>
        <w:spacing w:after="0" w:line="281" w:lineRule="auto"/>
        <w:rPr>
          <w:sz w:val="20"/>
          <w:szCs w:val="20"/>
          <w:color w:val="auto"/>
        </w:rPr>
      </w:pPr>
      <w:r>
        <w:rPr>
          <w:rFonts w:ascii="Arial" w:cs="Arial" w:eastAsia="Arial" w:hAnsi="Arial"/>
          <w:sz w:val="14"/>
          <w:szCs w:val="14"/>
          <w:color w:val="auto"/>
        </w:rPr>
        <w:t xml:space="preserve">The first item on the proxy card is the election of eight directors to serve until the 2020 Annual Meeting of Stockholders or until their respective successors have been duly elected and qualified. The Board has nominated the eight director candidates named below and recommends that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or she will tender his or her resignation to the Board of Directors. The Nominating and Governance Committee will then make a recommendation to the Board on whether to accept or reject the resignation, or whether other action should be taken.</w:t>
      </w:r>
    </w:p>
    <w:p>
      <w:pPr>
        <w:spacing w:after="0" w:line="151"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5"/>
          <w:szCs w:val="15"/>
          <w:color w:val="auto"/>
        </w:rPr>
        <w:t>The table below shows all of our director nominees; their ages, terms of office on our Board; experience within at least the past five years; and qualifications our Board considered when inviting them to serve as a director as well as nominating them for re-election. We believe that, as a general matter, our directors' past five years of experience gives an indication of the wealth of knowledge and experience these individuals have and that our Board considered; however, we have also included specific skills and areas of expertise that makes each of these individuals a valuable member of our Board. Each of the director nominees currently serves on our Board of Directors.</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DIRECTOR NOMINEES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FRANK M. CLARK,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67575" cy="116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pacing w:after="0" w:line="380"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auto"/>
        </w:rPr>
        <w:t>POSITION AND BUSINESS EXPERIENCE</w:t>
      </w:r>
    </w:p>
    <w:p>
      <w:pPr>
        <w:spacing w:after="0" w:line="20" w:lineRule="exact"/>
        <w:rPr>
          <w:sz w:val="20"/>
          <w:szCs w:val="20"/>
          <w:color w:val="auto"/>
        </w:rPr>
      </w:pPr>
    </w:p>
    <w:p>
      <w:pPr>
        <w:ind w:left="1980" w:right="20"/>
        <w:spacing w:after="0" w:line="269" w:lineRule="auto"/>
        <w:rPr>
          <w:sz w:val="20"/>
          <w:szCs w:val="20"/>
          <w:color w:val="auto"/>
        </w:rPr>
      </w:pPr>
      <w:r>
        <w:rPr>
          <w:rFonts w:ascii="Arial" w:cs="Arial" w:eastAsia="Arial" w:hAnsi="Arial"/>
          <w:sz w:val="15"/>
          <w:szCs w:val="15"/>
          <w:color w:val="auto"/>
        </w:rPr>
        <w:t>Chairman and Chief Executive Officer — ComEd (energy services company and subsidiary of Exelon Corporation) from 2005 to 2012; President — ComEd from 2001 to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-243840</wp:posOffset>
            </wp:positionV>
            <wp:extent cx="1177290" cy="1468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7290" cy="1468120"/>
                    </a:xfrm>
                    <a:prstGeom prst="rect">
                      <a:avLst/>
                    </a:prstGeom>
                    <a:noFill/>
                  </pic:spPr>
                </pic:pic>
              </a:graphicData>
            </a:graphic>
          </wp:anchor>
        </w:drawing>
      </w:r>
    </w:p>
    <w:p>
      <w:pPr>
        <w:spacing w:after="0" w:line="137" w:lineRule="exact"/>
        <w:rPr>
          <w:sz w:val="20"/>
          <w:szCs w:val="20"/>
          <w:color w:val="auto"/>
        </w:rPr>
      </w:pPr>
    </w:p>
    <w:p>
      <w:pPr>
        <w:ind w:left="1980" w:right="20"/>
        <w:spacing w:after="0" w:line="277" w:lineRule="auto"/>
        <w:rPr>
          <w:sz w:val="20"/>
          <w:szCs w:val="20"/>
          <w:color w:val="auto"/>
        </w:rPr>
      </w:pPr>
      <w:r>
        <w:rPr>
          <w:rFonts w:ascii="Arial" w:cs="Arial" w:eastAsia="Arial" w:hAnsi="Arial"/>
          <w:sz w:val="15"/>
          <w:szCs w:val="15"/>
          <w:color w:val="auto"/>
        </w:rPr>
        <w:t>Executive Vice President and Chief of Staff — Exelon Corporation (public utility holding company) from 2004 to 2005; Senior Vice President — Exelon Corporation from 2001 to 2004.</w:t>
      </w:r>
    </w:p>
    <w:p>
      <w:pPr>
        <w:spacing w:after="0" w:line="151"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Director of Aetna, Inc. since 2006.</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President of the Chicago Board of Education.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Director of BMO Financial Corp., a private company, from 2005 to December 2016.</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tcPr>
          <w:p>
            <w:pPr>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73</w:t>
            </w:r>
          </w:p>
        </w:tc>
        <w:tc>
          <w:tcPr>
            <w:tcW w:w="9800" w:type="dxa"/>
            <w:vAlign w:val="bottom"/>
          </w:tcPr>
          <w:p>
            <w:pPr>
              <w:ind w:left="360"/>
              <w:spacing w:after="0"/>
              <w:rPr>
                <w:sz w:val="20"/>
                <w:szCs w:val="20"/>
                <w:color w:val="auto"/>
              </w:rPr>
            </w:pPr>
            <w:r>
              <w:rPr>
                <w:rFonts w:ascii="Arial" w:cs="Arial" w:eastAsia="Arial" w:hAnsi="Arial"/>
                <w:sz w:val="15"/>
                <w:szCs w:val="15"/>
                <w:b w:val="1"/>
                <w:bCs w:val="1"/>
                <w:color w:val="auto"/>
              </w:rPr>
              <w:t>QUALIFICATIONS</w:t>
            </w:r>
          </w:p>
        </w:tc>
        <w:tc>
          <w:tcPr>
            <w:tcW w:w="0" w:type="dxa"/>
            <w:vAlign w:val="bottom"/>
          </w:tcPr>
          <w:p>
            <w:pPr>
              <w:spacing w:after="0"/>
              <w:rPr>
                <w:sz w:val="1"/>
                <w:szCs w:val="1"/>
                <w:color w:val="auto"/>
              </w:rPr>
            </w:pPr>
          </w:p>
        </w:tc>
      </w:tr>
      <w:tr>
        <w:trPr>
          <w:trHeight w:val="183"/>
        </w:trPr>
        <w:tc>
          <w:tcPr>
            <w:tcW w:w="1620" w:type="dxa"/>
            <w:vAlign w:val="bottom"/>
            <w:vMerge w:val="restart"/>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2002</w:t>
            </w:r>
          </w:p>
        </w:tc>
        <w:tc>
          <w:tcPr>
            <w:tcW w:w="9800" w:type="dxa"/>
            <w:vAlign w:val="bottom"/>
          </w:tcPr>
          <w:p>
            <w:pPr>
              <w:ind w:left="360"/>
              <w:spacing w:after="0"/>
              <w:rPr>
                <w:sz w:val="20"/>
                <w:szCs w:val="20"/>
                <w:color w:val="auto"/>
              </w:rPr>
            </w:pPr>
            <w:r>
              <w:rPr>
                <w:rFonts w:ascii="Arial" w:cs="Arial" w:eastAsia="Arial" w:hAnsi="Arial"/>
                <w:sz w:val="15"/>
                <w:szCs w:val="15"/>
                <w:color w:val="auto"/>
                <w:w w:val="92"/>
              </w:rPr>
              <w:t>Mr. Clark served in executive positions at a large public utility company for over a decade, providing him with extensive experience and knowledge of large</w:t>
            </w:r>
          </w:p>
        </w:tc>
        <w:tc>
          <w:tcPr>
            <w:tcW w:w="0" w:type="dxa"/>
            <w:vAlign w:val="bottom"/>
          </w:tcPr>
          <w:p>
            <w:pPr>
              <w:spacing w:after="0"/>
              <w:rPr>
                <w:sz w:val="1"/>
                <w:szCs w:val="1"/>
                <w:color w:val="auto"/>
              </w:rPr>
            </w:pPr>
          </w:p>
        </w:tc>
      </w:tr>
      <w:tr>
        <w:trPr>
          <w:trHeight w:val="183"/>
        </w:trPr>
        <w:tc>
          <w:tcPr>
            <w:tcW w:w="1620" w:type="dxa"/>
            <w:vAlign w:val="bottom"/>
            <w:vMerge w:val="continue"/>
          </w:tcPr>
          <w:p>
            <w:pPr>
              <w:spacing w:after="0"/>
              <w:rPr>
                <w:sz w:val="15"/>
                <w:szCs w:val="15"/>
                <w:color w:val="auto"/>
              </w:rPr>
            </w:pPr>
          </w:p>
        </w:tc>
        <w:tc>
          <w:tcPr>
            <w:tcW w:w="9800" w:type="dxa"/>
            <w:vAlign w:val="bottom"/>
          </w:tcPr>
          <w:p>
            <w:pPr>
              <w:ind w:left="360"/>
              <w:spacing w:after="0"/>
              <w:rPr>
                <w:sz w:val="20"/>
                <w:szCs w:val="20"/>
                <w:color w:val="auto"/>
              </w:rPr>
            </w:pPr>
            <w:r>
              <w:rPr>
                <w:rFonts w:ascii="Arial" w:cs="Arial" w:eastAsia="Arial" w:hAnsi="Arial"/>
                <w:sz w:val="15"/>
                <w:szCs w:val="15"/>
                <w:color w:val="auto"/>
                <w:w w:val="92"/>
              </w:rPr>
              <w:t>company management, operations and business critical functions. His background in policy-related matters, including regulatory and governmental affairs,</w:t>
            </w:r>
          </w:p>
        </w:tc>
        <w:tc>
          <w:tcPr>
            <w:tcW w:w="0" w:type="dxa"/>
            <w:vAlign w:val="bottom"/>
          </w:tcPr>
          <w:p>
            <w:pPr>
              <w:spacing w:after="0"/>
              <w:rPr>
                <w:sz w:val="1"/>
                <w:szCs w:val="1"/>
                <w:color w:val="auto"/>
              </w:rPr>
            </w:pPr>
          </w:p>
        </w:tc>
      </w:tr>
      <w:tr>
        <w:trPr>
          <w:trHeight w:val="183"/>
        </w:trPr>
        <w:tc>
          <w:tcPr>
            <w:tcW w:w="1620" w:type="dxa"/>
            <w:vAlign w:val="bottom"/>
            <w:vMerge w:val="restart"/>
          </w:tcPr>
          <w:p>
            <w:pPr>
              <w:spacing w:after="0"/>
              <w:rPr>
                <w:sz w:val="20"/>
                <w:szCs w:val="20"/>
                <w:color w:val="auto"/>
              </w:rPr>
            </w:pPr>
            <w:r>
              <w:rPr>
                <w:rFonts w:ascii="Arial" w:cs="Arial" w:eastAsia="Arial" w:hAnsi="Arial"/>
                <w:sz w:val="15"/>
                <w:szCs w:val="15"/>
                <w:b w:val="1"/>
                <w:bCs w:val="1"/>
                <w:color w:val="auto"/>
              </w:rPr>
              <w:t>Board Committees:</w:t>
            </w:r>
          </w:p>
        </w:tc>
        <w:tc>
          <w:tcPr>
            <w:tcW w:w="9800" w:type="dxa"/>
            <w:vAlign w:val="bottom"/>
          </w:tcPr>
          <w:p>
            <w:pPr>
              <w:ind w:left="360"/>
              <w:spacing w:after="0"/>
              <w:rPr>
                <w:sz w:val="20"/>
                <w:szCs w:val="20"/>
                <w:color w:val="auto"/>
              </w:rPr>
            </w:pPr>
            <w:r>
              <w:rPr>
                <w:rFonts w:ascii="Arial" w:cs="Arial" w:eastAsia="Arial" w:hAnsi="Arial"/>
                <w:sz w:val="15"/>
                <w:szCs w:val="15"/>
                <w:color w:val="auto"/>
                <w:w w:val="89"/>
              </w:rPr>
              <w:t>human resources and labor relations are a valuable asset to the Company. He also brings over 15 years of experience as a member of a public company board</w:t>
            </w:r>
          </w:p>
        </w:tc>
        <w:tc>
          <w:tcPr>
            <w:tcW w:w="0" w:type="dxa"/>
            <w:vAlign w:val="bottom"/>
          </w:tcPr>
          <w:p>
            <w:pPr>
              <w:spacing w:after="0"/>
              <w:rPr>
                <w:sz w:val="1"/>
                <w:szCs w:val="1"/>
                <w:color w:val="auto"/>
              </w:rPr>
            </w:pPr>
          </w:p>
        </w:tc>
      </w:tr>
      <w:tr>
        <w:trPr>
          <w:trHeight w:val="189"/>
        </w:trPr>
        <w:tc>
          <w:tcPr>
            <w:tcW w:w="1620" w:type="dxa"/>
            <w:vAlign w:val="bottom"/>
            <w:vMerge w:val="continue"/>
          </w:tcPr>
          <w:p>
            <w:pPr>
              <w:spacing w:after="0"/>
              <w:rPr>
                <w:sz w:val="16"/>
                <w:szCs w:val="16"/>
                <w:color w:val="auto"/>
              </w:rPr>
            </w:pPr>
          </w:p>
        </w:tc>
        <w:tc>
          <w:tcPr>
            <w:tcW w:w="9800" w:type="dxa"/>
            <w:vAlign w:val="bottom"/>
          </w:tcPr>
          <w:p>
            <w:pPr>
              <w:ind w:left="360"/>
              <w:spacing w:after="0"/>
              <w:rPr>
                <w:sz w:val="20"/>
                <w:szCs w:val="20"/>
                <w:color w:val="auto"/>
              </w:rPr>
            </w:pPr>
            <w:r>
              <w:rPr>
                <w:rFonts w:ascii="Arial" w:cs="Arial" w:eastAsia="Arial" w:hAnsi="Arial"/>
                <w:sz w:val="15"/>
                <w:szCs w:val="15"/>
                <w:color w:val="auto"/>
              </w:rPr>
              <w:t>of directors.</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Audit and Management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Development &amp; Compensation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(Chair)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384810</wp:posOffset>
            </wp:positionV>
            <wp:extent cx="1177290" cy="1468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77290" cy="146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56</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since: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November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-464820</wp:posOffset>
            </wp:positionV>
            <wp:extent cx="7267575" cy="116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President and Chief Financial Officer from July 2016 to November 2016.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 Chief Financial Officer from 2012 to July 2016.</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 Eastern Group from 2011 to 2012.</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Area Vice President — Pennsylvania and West Virginia Area from 2009 to 2011.</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Market Area General Manager — Western Pennsylvania/West Virginia from 2008 to 2009 and Rhode Island/Southern Massachusetts from 2006 to 2008.</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Mr. Fish is our President and Chief Executive Officer, having been promoted to the position of Chief Executive Officer and elected to our Board of Directors in November 2016. Mr. Fish joined the Company in 2001 and held several key positions with the Company prior to his promotion, including Executive Vice President and Chief Financial Officer, Senior Vice President for the Company's Eastern Group, Area Vice President for the Pennsylvania and West Virginia Area and Vice President of Price Management. As a result, Mr. Fish has a broad and deep understanding of the Company and the strategic actions necessary to deliver stockholder value.</w:t>
      </w:r>
    </w:p>
    <w:p>
      <w:pPr>
        <w:spacing w:after="0" w:line="519" w:lineRule="exact"/>
        <w:rPr>
          <w:sz w:val="20"/>
          <w:szCs w:val="20"/>
          <w:color w:val="auto"/>
        </w:rPr>
      </w:pPr>
    </w:p>
    <w:p>
      <w:pPr>
        <w:sectPr>
          <w:pgSz w:w="11900" w:h="16838" w:orient="portrait"/>
          <w:cols w:equalWidth="0" w:num="2">
            <w:col w:w="1360" w:space="620"/>
            <w:col w:w="9460"/>
          </w:cols>
          <w:pgMar w:left="240" w:top="132" w:right="219"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ANDRÉS R. GLUSKI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267575" cy="116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-1525905</wp:posOffset>
            </wp:positionV>
            <wp:extent cx="1177290" cy="1177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77290" cy="11772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since: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January 2015</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p>
    <w:p>
      <w:pPr>
        <w:spacing w:after="0" w:line="347" w:lineRule="auto"/>
        <w:rPr>
          <w:sz w:val="20"/>
          <w:szCs w:val="20"/>
          <w:color w:val="auto"/>
        </w:rPr>
      </w:pPr>
      <w:r>
        <w:rPr>
          <w:rFonts w:ascii="Arial" w:cs="Arial" w:eastAsia="Arial" w:hAnsi="Arial"/>
          <w:sz w:val="13"/>
          <w:szCs w:val="13"/>
          <w:color w:val="auto"/>
        </w:rPr>
        <w:t>Audit and Management Development &amp; Compensation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 AND BUSINESS EXPERIENCE</w:t>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President, Chief Executive Officer and Director — The AES Corporation (global energy company) since 2011; Executive Vice President and Chief Operating Officer — The AES Corporation from 2007 to 2011.</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Director of AES Gener (Chile) since 2005.</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Cliffs Natural Resources from 2011 to July 2014.</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During his tenure as President and CEO of The AES Corporation, a Fortune 500 company that is a global energy business in renewables, energy storage and conventional energy, Mr. Gluski has led a major reorganization and cost savings program and construction program. Over the past twenty years, Mr. Gluski has served in executive positions in the electricity, telecoms and banking sectors and has been involved in many aspects of acquisitions, sales, financings and debt restructurings. He has served on boards of Fortune 200 corporations, as well as on President Obama's Export Council, and is the Chairman of the Americas Society and Council of the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6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125095</wp:posOffset>
            </wp:positionV>
            <wp:extent cx="727265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2">
            <w:col w:w="1840" w:space="140"/>
            <w:col w:w="9460"/>
          </w:cols>
          <w:pgMar w:left="240" w:top="132" w:right="219" w:bottom="1440" w:gutter="0" w:footer="0" w:header="0"/>
          <w:type w:val="continuous"/>
        </w:sectPr>
      </w:pPr>
    </w:p>
    <w:bookmarkStart w:id="20" w:name="page21"/>
    <w:bookmarkEnd w:id="2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PATRICK W.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377190</wp:posOffset>
            </wp:positionV>
            <wp:extent cx="1177290" cy="1569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77290" cy="156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74</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2006</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p>
    <w:p>
      <w:pPr>
        <w:spacing w:after="0" w:line="347" w:lineRule="auto"/>
        <w:rPr>
          <w:sz w:val="20"/>
          <w:szCs w:val="20"/>
          <w:color w:val="auto"/>
        </w:rPr>
      </w:pPr>
      <w:r>
        <w:rPr>
          <w:rFonts w:ascii="Arial" w:cs="Arial" w:eastAsia="Arial" w:hAnsi="Arial"/>
          <w:sz w:val="13"/>
          <w:szCs w:val="13"/>
          <w:color w:val="auto"/>
        </w:rPr>
        <w:t>Audit (Chair) and 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-464820</wp:posOffset>
            </wp:positionV>
            <wp:extent cx="7267575" cy="1162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Chairman — The Lovell Group (private investment and advisory firm) since 2001.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Director of Liquidity Services, Inc. since 2001.</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Career Education Corporation since 2005.</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Rosetta Stone, Inc. since 2009.</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Capital One Financial Corporation from 1995 to July 2017.</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Mr. Gross was a founder of American Management Systems, Inc., a global business and information technology firm, where he was a principal executive officer for over 30 years. Mr. Gross was responsible for major corporate clients in providing IT-based applications and advanced data analytics. As a result, he has extensive experience in applying information technology, advanced analytics and risk management analytics in global companies. He has served on boards of major public and private corporations in distribution, technology and services sectors. His background, education and board service provide him with expertise in finance, accounting and cybersecurity.</w:t>
      </w:r>
    </w:p>
    <w:p>
      <w:pPr>
        <w:spacing w:after="0" w:line="1328" w:lineRule="exact"/>
        <w:rPr>
          <w:sz w:val="20"/>
          <w:szCs w:val="20"/>
          <w:color w:val="auto"/>
        </w:rPr>
      </w:pPr>
    </w:p>
    <w:p>
      <w:pPr>
        <w:sectPr>
          <w:pgSz w:w="11900" w:h="16838" w:orient="portrait"/>
          <w:cols w:equalWidth="0" w:num="2">
            <w:col w:w="1620" w:space="360"/>
            <w:col w:w="9460"/>
          </w:cols>
          <w:pgMar w:left="240" w:top="132" w:right="21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VICTORIA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67575" cy="116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pacing w:after="0" w:line="380"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auto"/>
        </w:rPr>
        <w:t>POSITION AND BUSINESS EXPERIENCE</w:t>
      </w:r>
    </w:p>
    <w:p>
      <w:pPr>
        <w:spacing w:after="0" w:line="20"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President, Chief Executive Officer and Director — Proto Labs, Inc. (online and technology-enabled quick-turn manufacturer) since February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1177290" cy="1569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77290" cy="1569720"/>
                    </a:xfrm>
                    <a:prstGeom prst="rect">
                      <a:avLst/>
                    </a:prstGeom>
                    <a:noFill/>
                  </pic:spPr>
                </pic:pic>
              </a:graphicData>
            </a:graphic>
          </wp:anchor>
        </w:drawing>
      </w:r>
    </w:p>
    <w:p>
      <w:pPr>
        <w:spacing w:after="0" w:line="180" w:lineRule="exact"/>
        <w:rPr>
          <w:sz w:val="20"/>
          <w:szCs w:val="20"/>
          <w:color w:val="auto"/>
        </w:rPr>
      </w:pPr>
    </w:p>
    <w:p>
      <w:pPr>
        <w:jc w:val="both"/>
        <w:ind w:left="1980" w:right="20"/>
        <w:spacing w:after="0" w:line="277" w:lineRule="auto"/>
        <w:rPr>
          <w:sz w:val="20"/>
          <w:szCs w:val="20"/>
          <w:color w:val="auto"/>
        </w:rPr>
      </w:pPr>
      <w:r>
        <w:rPr>
          <w:rFonts w:ascii="Arial" w:cs="Arial" w:eastAsia="Arial" w:hAnsi="Arial"/>
          <w:sz w:val="15"/>
          <w:szCs w:val="15"/>
          <w:color w:val="auto"/>
        </w:rPr>
        <w:t>President and Chief Executive Officer — Spartech Corporation (a leading producer of plastic sheet, compounds and packaging products) from 2010 to 2013; Director of Spartech Corporation from 2005 to 2013.</w:t>
      </w:r>
    </w:p>
    <w:p>
      <w:pPr>
        <w:spacing w:after="0" w:line="151"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Senior Vice President, Glass and Fiber Glass, PPG Industries, Inc. (a coatings and specialty products company) from 2005 to 2010.</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Director of Watlow Electric Manufacturing Company, a private company, since 2012.</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auto"/>
        </w:rPr>
        <w:t>QUALIFICATIONS</w:t>
      </w:r>
    </w:p>
    <w:p>
      <w:pPr>
        <w:spacing w:after="0" w:line="198" w:lineRule="exact"/>
        <w:rPr>
          <w:sz w:val="20"/>
          <w:szCs w:val="20"/>
          <w:color w:val="auto"/>
        </w:rPr>
      </w:pPr>
    </w:p>
    <w:p>
      <w:pPr>
        <w:jc w:val="both"/>
        <w:ind w:left="1980"/>
        <w:spacing w:after="0" w:line="325" w:lineRule="auto"/>
        <w:rPr>
          <w:sz w:val="20"/>
          <w:szCs w:val="20"/>
          <w:color w:val="auto"/>
        </w:rPr>
      </w:pPr>
      <w:r>
        <w:rPr>
          <w:rFonts w:ascii="Arial" w:cs="Arial" w:eastAsia="Arial" w:hAnsi="Arial"/>
          <w:sz w:val="13"/>
          <w:szCs w:val="13"/>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 She also has many years of experience serving on a public company board of directors.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61</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2013</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Audit and Management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Development &amp; Compensation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1" w:name="page22"/>
    <w:bookmarkEnd w:id="2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KATHLEEN M. MAZZARELLA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67575" cy="116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-1918335</wp:posOffset>
            </wp:positionV>
            <wp:extent cx="1177290" cy="1569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77290" cy="15697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since:</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October 2015</w:t>
      </w:r>
    </w:p>
    <w:p>
      <w:pPr>
        <w:spacing w:after="0" w:line="213" w:lineRule="exact"/>
        <w:rPr>
          <w:sz w:val="20"/>
          <w:szCs w:val="20"/>
          <w:color w:val="auto"/>
        </w:rPr>
      </w:pPr>
    </w:p>
    <w:p>
      <w:pPr>
        <w:spacing w:after="0" w:line="284" w:lineRule="auto"/>
        <w:rPr>
          <w:sz w:val="20"/>
          <w:szCs w:val="20"/>
          <w:color w:val="auto"/>
        </w:rPr>
      </w:pPr>
      <w:r>
        <w:rPr>
          <w:rFonts w:ascii="Arial" w:cs="Arial" w:eastAsia="Arial" w:hAnsi="Arial"/>
          <w:sz w:val="14"/>
          <w:szCs w:val="14"/>
          <w:b w:val="1"/>
          <w:bCs w:val="1"/>
          <w:color w:val="auto"/>
        </w:rPr>
        <w:t xml:space="preserve">Board Committees: </w:t>
      </w:r>
      <w:r>
        <w:rPr>
          <w:rFonts w:ascii="Arial" w:cs="Arial" w:eastAsia="Arial" w:hAnsi="Arial"/>
          <w:sz w:val="14"/>
          <w:szCs w:val="14"/>
          <w:color w:val="auto"/>
        </w:rPr>
        <w:t>Management Development &amp; Compensation and Nominating &amp; Governance (Chair)</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 AND BUSINESS EXPERIENCE</w:t>
      </w:r>
    </w:p>
    <w:p>
      <w:pPr>
        <w:spacing w:after="0" w:line="20"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Chairman, President and Chief Executive Officer — Graybar Electric Company, Inc. (distributor of electrical, communications and data networking products and provider of related supply chain management and logistics services) since 2013; President and Chief Executive Officer — Graybar Electric Company, Inc. from 2012 to 2013; Executive Vice President and Chief Operating Officer — Graybar Electric Company, Inc. from 2010 to 2012.</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Director of Express Scripts Holding Company from June 2017 until acquisition by Cigna Corporation in December 2018; Director of Cigna Corporation since December 2018.</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Director of Core &amp; Main, a private company, since January 2019.</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Federal Reserve Bank of St. Louis since January 2015; Chair of the Board since April 2016.</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Ms. Mazzarella has experience serving as the chief executive of a large corporation, developing expertise in the areas of logistics and supply chain management. During her 39-year tenure at Graybar, Ms. Mazzarella has held executive-level positions in sales, human resources, strategic planning and marketing. This diverse background combined with her deep and valuable experience leading various aspects of a customer-focused business will help the Company achieve its strategy to know and service its customers better than anyone in the industry. She also has experience serving on large public company, private company and non-profit boards.</w:t>
      </w:r>
    </w:p>
    <w:p>
      <w:pPr>
        <w:spacing w:after="0" w:line="1862" w:lineRule="exact"/>
        <w:rPr>
          <w:sz w:val="20"/>
          <w:szCs w:val="20"/>
          <w:color w:val="auto"/>
        </w:rPr>
      </w:pPr>
    </w:p>
    <w:p>
      <w:pPr>
        <w:sectPr>
          <w:pgSz w:w="11900" w:h="16838" w:orient="portrait"/>
          <w:cols w:equalWidth="0" w:num="2">
            <w:col w:w="1760" w:space="220"/>
            <w:col w:w="9460"/>
          </w:cols>
          <w:pgMar w:left="240" w:top="132" w:right="219" w:bottom="1440" w:gutter="0" w:footer="0" w:header="0"/>
          <w:type w:val="continuous"/>
        </w:sect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JOHN C.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377190</wp:posOffset>
            </wp:positionV>
            <wp:extent cx="1177290" cy="1569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77290" cy="156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69</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1997</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-465455</wp:posOffset>
            </wp:positionV>
            <wp:extent cx="7267575" cy="116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Chairman of the Board — PFI Group (private investment firm) since 1994.</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Chairman of the Board — R.R. Donnelley &amp; Sons Company since May 2014; Director of R.R. Donnelley &amp; Sons Company, or predecessor companies, since 1996.</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Director of The Kraft Heinz Company, or predecessor companies including Kraft Foods Group, Inc., since 2001.</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Talgo S.A. since May 2015.</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Former Directorships: Con-way, Inc., or predecessor companies, from 2003 to October 2015; Dollar Thrifty Automotive Group, Inc. from 1997 to 2012; and Navistar International Corporation from 2012 to 2013.</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Prior to his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on the board of directors for many public companies for over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6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125095</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2">
            <w:col w:w="1760" w:space="220"/>
            <w:col w:w="9460"/>
          </w:cols>
          <w:pgMar w:left="240" w:top="132" w:right="219" w:bottom="1440" w:gutter="0" w:footer="0" w:header="0"/>
          <w:type w:val="continuous"/>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67575" cy="116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11620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 </w:t>
      </w: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-1918335</wp:posOffset>
            </wp:positionV>
            <wp:extent cx="1177290" cy="1569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77290" cy="15697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2005</w:t>
      </w:r>
    </w:p>
    <w:p>
      <w:pPr>
        <w:spacing w:after="0" w:line="217" w:lineRule="exact"/>
        <w:rPr>
          <w:sz w:val="20"/>
          <w:szCs w:val="20"/>
          <w:color w:val="auto"/>
        </w:rPr>
      </w:pPr>
    </w:p>
    <w:p>
      <w:pPr>
        <w:ind w:right="360"/>
        <w:spacing w:after="0" w:line="363" w:lineRule="auto"/>
        <w:rPr>
          <w:sz w:val="20"/>
          <w:szCs w:val="20"/>
          <w:color w:val="auto"/>
        </w:rPr>
      </w:pPr>
      <w:r>
        <w:rPr>
          <w:rFonts w:ascii="Arial" w:cs="Arial" w:eastAsia="Arial" w:hAnsi="Arial"/>
          <w:sz w:val="13"/>
          <w:szCs w:val="13"/>
          <w:b w:val="1"/>
          <w:bCs w:val="1"/>
          <w:color w:val="auto"/>
        </w:rPr>
        <w:t xml:space="preserve">Chairman of the Board since: </w:t>
      </w:r>
      <w:r>
        <w:rPr>
          <w:rFonts w:ascii="Arial" w:cs="Arial" w:eastAsia="Arial" w:hAnsi="Arial"/>
          <w:sz w:val="13"/>
          <w:szCs w:val="13"/>
          <w:color w:val="auto"/>
        </w:rPr>
        <w:t>May 2018</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Audit, Management Development &amp; Compensation and Nominating &amp; Governance</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 AND BUSINESS EXPERIENCE</w:t>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Chief Operating Officer — United Parcel Service, Inc. (package delivery and supply chain services company) from 2001 to 2003; Senior Vice President — United Parcel Service, Inc. from 1994 to 2003.</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President, UPS Airlines (UPS owned airline) from 1994 to 2003.</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NRG Energy, Inc. since 2003.</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The Goodyear Tire &amp; Rubber Company since 2004.</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Director of Amsted Industries Incorporated, a private company, since 2007.</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QUALIFICATIONS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Mr. Weidemeyer served in executive positions at a large public company for several years and has served as our Non-Executive Chairman of the Board since May 2018. His roles encompassed significant operational management responsibility, providing him knowledge and experience in an array of functional areas critical to large public companies, including supply chain and logistics management. Mr. Weidemeyer also has over 15 years of experience serving on the board of directors for public companies.</w:t>
      </w:r>
    </w:p>
    <w:p>
      <w:pPr>
        <w:spacing w:after="0" w:line="2173" w:lineRule="exact"/>
        <w:rPr>
          <w:sz w:val="20"/>
          <w:szCs w:val="20"/>
          <w:color w:val="auto"/>
        </w:rPr>
      </w:pPr>
    </w:p>
    <w:p>
      <w:pPr>
        <w:sectPr>
          <w:pgSz w:w="11900" w:h="16838" w:orient="portrait"/>
          <w:cols w:equalWidth="0" w:num="2">
            <w:col w:w="1840" w:space="140"/>
            <w:col w:w="9460"/>
          </w:cols>
          <w:pgMar w:left="240" w:top="132" w:right="219" w:bottom="1440" w:gutter="0" w:footer="0" w:header="0"/>
          <w:type w:val="continuous"/>
        </w:sectPr>
      </w:pPr>
    </w:p>
    <w:p>
      <w:pPr>
        <w:ind w:left="360"/>
        <w:spacing w:after="0"/>
        <w:rPr>
          <w:sz w:val="20"/>
          <w:szCs w:val="20"/>
          <w:color w:val="auto"/>
        </w:rPr>
      </w:pPr>
      <w:r>
        <w:rPr>
          <w:rFonts w:ascii="Arial" w:cs="Arial" w:eastAsia="Arial" w:hAnsi="Arial"/>
          <w:sz w:val="15"/>
          <w:szCs w:val="15"/>
          <w:b w:val="1"/>
          <w:bCs w:val="1"/>
          <w:color w:val="auto"/>
        </w:rPr>
        <w:t>THE BOARD OF DIRECTORS RECOMMENDS THAT YOU VOTE FOR THE ELECTION OF EACH OF THE EIGHT DIRECTOR NOMINEES.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3" w:name="page24"/>
    <w:bookmarkEnd w:id="2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21"/>
          <w:szCs w:val="21"/>
          <w:b w:val="1"/>
          <w:bCs w:val="1"/>
          <w:color w:val="auto"/>
        </w:rPr>
        <w:t>DIRECTOR AND OFFICER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6757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4" w:lineRule="exact"/>
        <w:rPr>
          <w:sz w:val="20"/>
          <w:szCs w:val="20"/>
          <w:color w:val="auto"/>
        </w:rPr>
      </w:pPr>
    </w:p>
    <w:p>
      <w:pPr>
        <w:jc w:val="both"/>
        <w:ind w:left="8" w:firstLine="402"/>
        <w:spacing w:after="0" w:line="265" w:lineRule="auto"/>
        <w:rPr>
          <w:sz w:val="20"/>
          <w:szCs w:val="20"/>
          <w:color w:val="auto"/>
        </w:rPr>
      </w:pPr>
      <w:r>
        <w:rPr>
          <w:rFonts w:ascii="Arial" w:cs="Arial" w:eastAsia="Arial" w:hAnsi="Arial"/>
          <w:sz w:val="15"/>
          <w:szCs w:val="15"/>
          <w:color w:val="auto"/>
        </w:rPr>
        <w:t xml:space="preserve">Our Board of Directors has adopted stock ownership guidelines for our non-employee directors based on the recommendation of the MD&amp;C Committee, as described in Non-Employee Director Compensation on page 14 of this Proxy Statement. Our executive officers, including Mr. Fish, are also subject to stock ownership guidelines, as described in the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Discussion and Analysis </w:t>
      </w:r>
      <w:r>
        <w:rPr>
          <w:rFonts w:ascii="Arial" w:cs="Arial" w:eastAsia="Arial" w:hAnsi="Arial"/>
          <w:sz w:val="15"/>
          <w:szCs w:val="15"/>
          <w:color w:val="auto"/>
        </w:rPr>
        <w:t>beginning on page 26 of this Proxy Statement.</w:t>
      </w:r>
    </w:p>
    <w:p>
      <w:pPr>
        <w:spacing w:after="0" w:line="161" w:lineRule="exact"/>
        <w:rPr>
          <w:sz w:val="20"/>
          <w:szCs w:val="20"/>
          <w:color w:val="auto"/>
        </w:rPr>
      </w:pPr>
    </w:p>
    <w:p>
      <w:pPr>
        <w:jc w:val="both"/>
        <w:ind w:left="8" w:firstLine="572"/>
        <w:spacing w:after="0" w:line="293" w:lineRule="auto"/>
        <w:rPr>
          <w:sz w:val="20"/>
          <w:szCs w:val="20"/>
          <w:color w:val="auto"/>
        </w:rPr>
      </w:pPr>
      <w:r>
        <w:rPr>
          <w:rFonts w:ascii="Arial" w:cs="Arial" w:eastAsia="Arial" w:hAnsi="Arial"/>
          <w:sz w:val="14"/>
          <w:szCs w:val="14"/>
          <w:color w:val="auto"/>
        </w:rPr>
        <w:t>The Security Ownership of Management table below shows the number of shares of Common Stock each director nominee and each executive officer named in the Summary Compensation Table on page 44 beneficially owned as of March 19, 2019, our record date for the annual meeting, as well as the number owned by all directors and currently-serving executive officers as a group. These individuals, both individually and in the aggregate, own less than 1% of our outstanding shares as of the record date.</w:t>
      </w: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120" w:type="dxa"/>
            <w:vAlign w:val="bottom"/>
            <w:gridSpan w:val="4"/>
          </w:tcPr>
          <w:p>
            <w:pPr>
              <w:ind w:left="1540"/>
              <w:spacing w:after="0"/>
              <w:rPr>
                <w:sz w:val="20"/>
                <w:szCs w:val="20"/>
                <w:color w:val="auto"/>
              </w:rPr>
            </w:pPr>
            <w:r>
              <w:rPr>
                <w:rFonts w:ascii="Arial" w:cs="Arial" w:eastAsia="Arial" w:hAnsi="Arial"/>
                <w:sz w:val="15"/>
                <w:szCs w:val="15"/>
                <w:b w:val="1"/>
                <w:bCs w:val="1"/>
                <w:color w:val="auto"/>
              </w:rPr>
              <w:t>Security Ownership of Management</w:t>
            </w: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7"/>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Shares of Common</w:t>
            </w:r>
          </w:p>
        </w:tc>
      </w:tr>
      <w:tr>
        <w:trPr>
          <w:trHeight w:val="184"/>
        </w:trPr>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5"/>
                <w:szCs w:val="15"/>
                <w:b w:val="1"/>
                <w:bCs w:val="1"/>
                <w:color w:val="auto"/>
                <w:w w:val="97"/>
              </w:rPr>
              <w:t>Shares of Common</w:t>
            </w:r>
          </w:p>
        </w:tc>
        <w:tc>
          <w:tcPr>
            <w:tcW w:w="162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8"/>
              </w:rPr>
              <w:t>Stock Covered by</w:t>
            </w:r>
          </w:p>
        </w:tc>
      </w:tr>
      <w:tr>
        <w:trPr>
          <w:trHeight w:val="227"/>
        </w:trPr>
        <w:tc>
          <w:tcPr>
            <w:tcW w:w="1700" w:type="dxa"/>
            <w:vAlign w:val="bottom"/>
          </w:tcPr>
          <w:p>
            <w:pPr>
              <w:spacing w:after="0"/>
              <w:rPr>
                <w:sz w:val="19"/>
                <w:szCs w:val="19"/>
                <w:color w:val="auto"/>
              </w:rPr>
            </w:pP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Name</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ind w:right="66"/>
              <w:spacing w:after="0" w:line="227" w:lineRule="exact"/>
              <w:rPr>
                <w:sz w:val="20"/>
                <w:szCs w:val="20"/>
                <w:color w:val="auto"/>
              </w:rPr>
            </w:pPr>
            <w:r>
              <w:rPr>
                <w:rFonts w:ascii="Arial" w:cs="Arial" w:eastAsia="Arial" w:hAnsi="Arial"/>
                <w:sz w:val="15"/>
                <w:szCs w:val="15"/>
                <w:b w:val="1"/>
                <w:bCs w:val="1"/>
                <w:color w:val="auto"/>
                <w:w w:val="97"/>
              </w:rPr>
              <w:t>Stock Owned</w:t>
            </w:r>
            <w:r>
              <w:rPr>
                <w:rFonts w:ascii="Arial" w:cs="Arial" w:eastAsia="Arial" w:hAnsi="Arial"/>
                <w:sz w:val="24"/>
                <w:szCs w:val="24"/>
                <w:b w:val="1"/>
                <w:bCs w:val="1"/>
                <w:color w:val="auto"/>
                <w:w w:val="97"/>
                <w:vertAlign w:val="superscript"/>
              </w:rPr>
              <w:t>(1)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center"/>
              <w:spacing w:after="0" w:line="227" w:lineRule="exact"/>
              <w:rPr>
                <w:sz w:val="20"/>
                <w:szCs w:val="20"/>
                <w:color w:val="auto"/>
              </w:rPr>
            </w:pPr>
            <w:r>
              <w:rPr>
                <w:rFonts w:ascii="Arial" w:cs="Arial" w:eastAsia="Arial" w:hAnsi="Arial"/>
                <w:sz w:val="15"/>
                <w:szCs w:val="15"/>
                <w:b w:val="1"/>
                <w:bCs w:val="1"/>
                <w:color w:val="auto"/>
                <w:w w:val="86"/>
              </w:rPr>
              <w:t>Exercisable Options</w:t>
            </w:r>
            <w:r>
              <w:rPr>
                <w:rFonts w:ascii="Arial" w:cs="Arial" w:eastAsia="Arial" w:hAnsi="Arial"/>
                <w:sz w:val="24"/>
                <w:szCs w:val="24"/>
                <w:b w:val="1"/>
                <w:bCs w:val="1"/>
                <w:color w:val="auto"/>
                <w:w w:val="86"/>
                <w:vertAlign w:val="superscript"/>
              </w:rPr>
              <w:t>(2)</w:t>
            </w:r>
          </w:p>
        </w:tc>
        <w:tc>
          <w:tcPr>
            <w:tcW w:w="20" w:type="dxa"/>
            <w:vAlign w:val="bottom"/>
          </w:tcPr>
          <w:p>
            <w:pPr>
              <w:spacing w:after="0"/>
              <w:rPr>
                <w:sz w:val="19"/>
                <w:szCs w:val="19"/>
                <w:color w:val="auto"/>
              </w:rPr>
            </w:pPr>
          </w:p>
        </w:tc>
      </w:tr>
      <w:tr>
        <w:trPr>
          <w:trHeight w:val="175"/>
        </w:trPr>
        <w:tc>
          <w:tcPr>
            <w:tcW w:w="1700" w:type="dxa"/>
            <w:vAlign w:val="bottom"/>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Frank M. Clark, Jr.</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31,352</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Andrés R. Gluski</w:t>
            </w: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9,857</w:t>
            </w:r>
          </w:p>
        </w:tc>
        <w:tc>
          <w:tcPr>
            <w:tcW w:w="16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Patrick W. Gross</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24,207</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Victoria M. Holt</w:t>
            </w: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15,959</w:t>
            </w:r>
          </w:p>
        </w:tc>
        <w:tc>
          <w:tcPr>
            <w:tcW w:w="16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217"/>
        </w:trPr>
        <w:tc>
          <w:tcPr>
            <w:tcW w:w="1700" w:type="dxa"/>
            <w:vAlign w:val="bottom"/>
          </w:tcPr>
          <w:p>
            <w:pPr>
              <w:spacing w:after="0"/>
              <w:rPr>
                <w:sz w:val="18"/>
                <w:szCs w:val="18"/>
                <w:color w:val="auto"/>
              </w:rPr>
            </w:pPr>
          </w:p>
        </w:tc>
        <w:tc>
          <w:tcPr>
            <w:tcW w:w="488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color w:val="auto"/>
              </w:rPr>
              <w:t>Kathleen M. Mazzarella</w:t>
            </w:r>
            <w:r>
              <w:rPr>
                <w:rFonts w:ascii="Arial" w:cs="Arial" w:eastAsia="Arial" w:hAnsi="Arial"/>
                <w:sz w:val="24"/>
                <w:szCs w:val="24"/>
                <w:color w:val="auto"/>
                <w:vertAlign w:val="superscript"/>
              </w:rPr>
              <w:t>(3)</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7,769</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183"/>
        </w:trPr>
        <w:tc>
          <w:tcPr>
            <w:tcW w:w="170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John C. Pope</w:t>
            </w: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52,720</w:t>
            </w:r>
          </w:p>
        </w:tc>
        <w:tc>
          <w:tcPr>
            <w:tcW w:w="160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217"/>
        </w:trPr>
        <w:tc>
          <w:tcPr>
            <w:tcW w:w="1700" w:type="dxa"/>
            <w:vAlign w:val="bottom"/>
          </w:tcPr>
          <w:p>
            <w:pPr>
              <w:spacing w:after="0"/>
              <w:rPr>
                <w:sz w:val="18"/>
                <w:szCs w:val="18"/>
                <w:color w:val="auto"/>
              </w:rPr>
            </w:pPr>
          </w:p>
        </w:tc>
        <w:tc>
          <w:tcPr>
            <w:tcW w:w="488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color w:val="auto"/>
              </w:rPr>
              <w:t>Thomas H. Weidemeyer</w:t>
            </w:r>
            <w:r>
              <w:rPr>
                <w:rFonts w:ascii="Arial" w:cs="Arial" w:eastAsia="Arial" w:hAnsi="Arial"/>
                <w:sz w:val="24"/>
                <w:szCs w:val="24"/>
                <w:color w:val="auto"/>
                <w:vertAlign w:val="superscript"/>
              </w:rPr>
              <w:t>(4)</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29,007</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183"/>
        </w:trPr>
        <w:tc>
          <w:tcPr>
            <w:tcW w:w="170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James C. Fish, Jr.</w:t>
            </w: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249,858</w:t>
            </w:r>
          </w:p>
        </w:tc>
        <w:tc>
          <w:tcPr>
            <w:tcW w:w="1600" w:type="dxa"/>
            <w:vAlign w:val="bottom"/>
          </w:tcPr>
          <w:p>
            <w:pPr>
              <w:jc w:val="right"/>
              <w:spacing w:after="0"/>
              <w:rPr>
                <w:sz w:val="20"/>
                <w:szCs w:val="20"/>
                <w:color w:val="auto"/>
              </w:rPr>
            </w:pPr>
            <w:r>
              <w:rPr>
                <w:rFonts w:ascii="Arial" w:cs="Arial" w:eastAsia="Arial" w:hAnsi="Arial"/>
                <w:sz w:val="15"/>
                <w:szCs w:val="15"/>
                <w:color w:val="auto"/>
              </w:rPr>
              <w:t>84,314</w:t>
            </w:r>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Devina A. Rankin</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20,017</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26,329</w:t>
            </w:r>
          </w:p>
        </w:tc>
        <w:tc>
          <w:tcPr>
            <w:tcW w:w="20" w:type="dxa"/>
            <w:vAlign w:val="bottom"/>
          </w:tcPr>
          <w:p>
            <w:pPr>
              <w:spacing w:after="0"/>
              <w:rPr>
                <w:sz w:val="15"/>
                <w:szCs w:val="15"/>
                <w:color w:val="auto"/>
              </w:rPr>
            </w:pPr>
          </w:p>
        </w:tc>
      </w:tr>
      <w:tr>
        <w:trPr>
          <w:trHeight w:val="217"/>
        </w:trPr>
        <w:tc>
          <w:tcPr>
            <w:tcW w:w="1700" w:type="dxa"/>
            <w:vAlign w:val="bottom"/>
          </w:tcPr>
          <w:p>
            <w:pPr>
              <w:spacing w:after="0"/>
              <w:rPr>
                <w:sz w:val="18"/>
                <w:szCs w:val="18"/>
                <w:color w:val="auto"/>
              </w:rPr>
            </w:pPr>
          </w:p>
        </w:tc>
        <w:tc>
          <w:tcPr>
            <w:tcW w:w="4880" w:type="dxa"/>
            <w:vAlign w:val="bottom"/>
            <w:gridSpan w:val="2"/>
          </w:tcPr>
          <w:p>
            <w:pPr>
              <w:spacing w:after="0" w:line="218" w:lineRule="exact"/>
              <w:rPr>
                <w:sz w:val="20"/>
                <w:szCs w:val="20"/>
                <w:color w:val="auto"/>
              </w:rPr>
            </w:pPr>
            <w:r>
              <w:rPr>
                <w:rFonts w:ascii="Arial" w:cs="Arial" w:eastAsia="Arial" w:hAnsi="Arial"/>
                <w:sz w:val="15"/>
                <w:szCs w:val="15"/>
                <w:color w:val="auto"/>
              </w:rPr>
              <w:t>James E. Trevathan, Jr.</w:t>
            </w:r>
            <w:r>
              <w:rPr>
                <w:rFonts w:ascii="Arial" w:cs="Arial" w:eastAsia="Arial" w:hAnsi="Arial"/>
                <w:sz w:val="24"/>
                <w:szCs w:val="24"/>
                <w:color w:val="auto"/>
                <w:vertAlign w:val="superscript"/>
              </w:rPr>
              <w:t>(5)</w:t>
            </w: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398,038</w:t>
            </w:r>
          </w:p>
        </w:tc>
        <w:tc>
          <w:tcPr>
            <w:tcW w:w="1600" w:type="dxa"/>
            <w:vAlign w:val="bottom"/>
          </w:tcPr>
          <w:p>
            <w:pPr>
              <w:jc w:val="right"/>
              <w:spacing w:after="0"/>
              <w:rPr>
                <w:sz w:val="20"/>
                <w:szCs w:val="20"/>
                <w:color w:val="auto"/>
              </w:rPr>
            </w:pPr>
            <w:r>
              <w:rPr>
                <w:rFonts w:ascii="Arial" w:cs="Arial" w:eastAsia="Arial" w:hAnsi="Arial"/>
                <w:sz w:val="15"/>
                <w:szCs w:val="15"/>
                <w:color w:val="auto"/>
              </w:rPr>
              <w:t>135,310</w:t>
            </w:r>
          </w:p>
        </w:tc>
        <w:tc>
          <w:tcPr>
            <w:tcW w:w="20" w:type="dxa"/>
            <w:vAlign w:val="bottom"/>
          </w:tcPr>
          <w:p>
            <w:pPr>
              <w:spacing w:after="0"/>
              <w:rPr>
                <w:sz w:val="18"/>
                <w:szCs w:val="18"/>
                <w:color w:val="auto"/>
              </w:rPr>
            </w:pPr>
          </w:p>
        </w:tc>
      </w:tr>
      <w:tr>
        <w:trPr>
          <w:trHeight w:val="217"/>
        </w:trPr>
        <w:tc>
          <w:tcPr>
            <w:tcW w:w="1700" w:type="dxa"/>
            <w:vAlign w:val="bottom"/>
          </w:tcPr>
          <w:p>
            <w:pPr>
              <w:spacing w:after="0"/>
              <w:rPr>
                <w:sz w:val="18"/>
                <w:szCs w:val="18"/>
                <w:color w:val="auto"/>
              </w:rPr>
            </w:pPr>
          </w:p>
        </w:tc>
        <w:tc>
          <w:tcPr>
            <w:tcW w:w="488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color w:val="auto"/>
              </w:rPr>
              <w:t>Jeff M. Harris</w:t>
            </w:r>
            <w:r>
              <w:rPr>
                <w:rFonts w:ascii="Arial" w:cs="Arial" w:eastAsia="Arial" w:hAnsi="Arial"/>
                <w:sz w:val="24"/>
                <w:szCs w:val="24"/>
                <w:color w:val="auto"/>
                <w:vertAlign w:val="superscript"/>
              </w:rPr>
              <w:t>(5)</w:t>
            </w:r>
            <w:r>
              <w:rPr>
                <w:rFonts w:ascii="Arial" w:cs="Arial" w:eastAsia="Arial" w:hAnsi="Arial"/>
                <w:sz w:val="15"/>
                <w:szCs w:val="15"/>
                <w:color w:val="auto"/>
              </w:rPr>
              <w:t>.</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51,490</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183"/>
        </w:trPr>
        <w:tc>
          <w:tcPr>
            <w:tcW w:w="170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John J. Morris, Jr.</w:t>
            </w:r>
          </w:p>
        </w:tc>
        <w:tc>
          <w:tcPr>
            <w:tcW w:w="1540" w:type="dxa"/>
            <w:vAlign w:val="bottom"/>
            <w:gridSpan w:val="3"/>
          </w:tcPr>
          <w:p>
            <w:pPr>
              <w:jc w:val="right"/>
              <w:ind w:right="120"/>
              <w:spacing w:after="0"/>
              <w:rPr>
                <w:sz w:val="20"/>
                <w:szCs w:val="20"/>
                <w:color w:val="auto"/>
              </w:rPr>
            </w:pPr>
            <w:r>
              <w:rPr>
                <w:rFonts w:ascii="Arial" w:cs="Arial" w:eastAsia="Arial" w:hAnsi="Arial"/>
                <w:sz w:val="15"/>
                <w:szCs w:val="15"/>
                <w:color w:val="auto"/>
              </w:rPr>
              <w:t>80,151</w:t>
            </w:r>
          </w:p>
        </w:tc>
        <w:tc>
          <w:tcPr>
            <w:tcW w:w="1600" w:type="dxa"/>
            <w:vAlign w:val="bottom"/>
          </w:tcPr>
          <w:p>
            <w:pPr>
              <w:jc w:val="right"/>
              <w:spacing w:after="0"/>
              <w:rPr>
                <w:sz w:val="20"/>
                <w:szCs w:val="20"/>
                <w:color w:val="auto"/>
              </w:rPr>
            </w:pPr>
            <w:r>
              <w:rPr>
                <w:rFonts w:ascii="Arial" w:cs="Arial" w:eastAsia="Arial" w:hAnsi="Arial"/>
                <w:sz w:val="15"/>
                <w:szCs w:val="15"/>
                <w:color w:val="auto"/>
              </w:rPr>
              <w:t>50,196</w:t>
            </w:r>
          </w:p>
        </w:tc>
        <w:tc>
          <w:tcPr>
            <w:tcW w:w="20" w:type="dxa"/>
            <w:vAlign w:val="bottom"/>
          </w:tcPr>
          <w:p>
            <w:pPr>
              <w:spacing w:after="0"/>
              <w:rPr>
                <w:sz w:val="15"/>
                <w:szCs w:val="15"/>
                <w:color w:val="auto"/>
              </w:rPr>
            </w:pPr>
          </w:p>
        </w:tc>
      </w:tr>
      <w:tr>
        <w:trPr>
          <w:trHeight w:val="217"/>
        </w:trPr>
        <w:tc>
          <w:tcPr>
            <w:tcW w:w="1700" w:type="dxa"/>
            <w:vAlign w:val="bottom"/>
          </w:tcPr>
          <w:p>
            <w:pPr>
              <w:spacing w:after="0"/>
              <w:rPr>
                <w:sz w:val="18"/>
                <w:szCs w:val="18"/>
                <w:color w:val="auto"/>
              </w:rPr>
            </w:pPr>
          </w:p>
        </w:tc>
        <w:tc>
          <w:tcPr>
            <w:tcW w:w="488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color w:val="auto"/>
                <w:w w:val="92"/>
              </w:rPr>
              <w:t>All directors and currently-serving executive officers as a group (17 persons)</w:t>
            </w:r>
            <w:r>
              <w:rPr>
                <w:rFonts w:ascii="Arial" w:cs="Arial" w:eastAsia="Arial" w:hAnsi="Arial"/>
                <w:sz w:val="24"/>
                <w:szCs w:val="24"/>
                <w:color w:val="auto"/>
                <w:w w:val="92"/>
                <w:vertAlign w:val="superscript"/>
              </w:rPr>
              <w:t>(6)</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585,375</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317,174</w:t>
            </w:r>
          </w:p>
        </w:tc>
        <w:tc>
          <w:tcPr>
            <w:tcW w:w="20" w:type="dxa"/>
            <w:vAlign w:val="bottom"/>
          </w:tcPr>
          <w:p>
            <w:pPr>
              <w:spacing w:after="0"/>
              <w:rPr>
                <w:sz w:val="18"/>
                <w:szCs w:val="18"/>
                <w:color w:val="auto"/>
              </w:rPr>
            </w:pPr>
          </w:p>
        </w:tc>
      </w:tr>
      <w:tr>
        <w:trPr>
          <w:trHeight w:val="92"/>
        </w:trPr>
        <w:tc>
          <w:tcPr>
            <w:tcW w:w="17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87" w:lineRule="exact"/>
        <w:rPr>
          <w:sz w:val="20"/>
          <w:szCs w:val="20"/>
          <w:color w:val="auto"/>
        </w:rPr>
      </w:pPr>
    </w:p>
    <w:p>
      <w:pPr>
        <w:jc w:val="both"/>
        <w:ind w:left="448" w:hanging="448"/>
        <w:spacing w:after="0" w:line="314" w:lineRule="auto"/>
        <w:tabs>
          <w:tab w:leader="none" w:pos="448"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table reports beneficial ownership in accordance with Rule 13d-3 under the Exchange Act. The amounts reported above include 3,883 stock equivalents attributed to Mr. Fish and 2,184 stock equivalents attributable to Mr. Morris, based on their holdings in the Company's 401(k) Retirement Savings Plan stock fund. The amounts reported above also include 94,844 shares of Common Stock deferred by Mr. Fish and 54,785 shares of Common Stock deferred by Mr. Trevathan. Deferred shares were earned on account of vested equity awards and pay out in shares of Common Stock after the executive's departure from the Company pursuant to the Company's 409A Deferral Savings Plan ("409A Deferral Plan").</w:t>
      </w:r>
    </w:p>
    <w:p>
      <w:pPr>
        <w:spacing w:after="0" w:line="133" w:lineRule="exact"/>
        <w:rPr>
          <w:rFonts w:ascii="Arial" w:cs="Arial" w:eastAsia="Arial" w:hAnsi="Arial"/>
          <w:sz w:val="13"/>
          <w:szCs w:val="13"/>
          <w:color w:val="auto"/>
        </w:rPr>
      </w:pPr>
    </w:p>
    <w:p>
      <w:pPr>
        <w:jc w:val="both"/>
        <w:ind w:left="448"/>
        <w:spacing w:after="0" w:line="262" w:lineRule="auto"/>
        <w:rPr>
          <w:rFonts w:ascii="Arial" w:cs="Arial" w:eastAsia="Arial" w:hAnsi="Arial"/>
          <w:sz w:val="13"/>
          <w:szCs w:val="13"/>
          <w:color w:val="auto"/>
        </w:rPr>
      </w:pPr>
      <w:r>
        <w:rPr>
          <w:rFonts w:ascii="Arial" w:cs="Arial" w:eastAsia="Arial" w:hAnsi="Arial"/>
          <w:sz w:val="15"/>
          <w:szCs w:val="15"/>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and are paid out in cash after the executive's departure from the Company. Phantom stock is not included in the table above, but it represents an investment risk based on the performance of our Common Stock. Mr. Morris has 2,370 phantom stock equivalents under the 409A Deferral Plan.</w:t>
      </w:r>
    </w:p>
    <w:p>
      <w:pPr>
        <w:spacing w:after="0" w:line="185" w:lineRule="exact"/>
        <w:rPr>
          <w:rFonts w:ascii="Arial" w:cs="Arial" w:eastAsia="Arial" w:hAnsi="Arial"/>
          <w:sz w:val="13"/>
          <w:szCs w:val="13"/>
          <w:color w:val="auto"/>
        </w:rPr>
      </w:pPr>
    </w:p>
    <w:p>
      <w:pPr>
        <w:ind w:left="448" w:hanging="448"/>
        <w:spacing w:after="0"/>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the number of options currently exercisable and options that will become exercisable within 60 days of our record date.</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24" w:name="page25"/>
    <w:bookmarkEnd w:id="2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Shares are held by the Mazzarella Living Trust, a joint revocable trust for which Ms. Mazzarella and her husband serve as trustees.</w:t>
      </w:r>
    </w:p>
    <w:p>
      <w:pPr>
        <w:spacing w:after="0" w:line="216"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Shares are held by the Weidemeyer Living Trust, a joint revocable trust for which Mr. Weidemeyer and his wife serve as trustees.</w:t>
      </w:r>
    </w:p>
    <w:p>
      <w:pPr>
        <w:spacing w:after="0" w:line="205" w:lineRule="exact"/>
        <w:rPr>
          <w:rFonts w:ascii="Arial" w:cs="Arial" w:eastAsia="Arial" w:hAnsi="Arial"/>
          <w:sz w:val="15"/>
          <w:szCs w:val="15"/>
          <w:color w:val="auto"/>
        </w:rPr>
      </w:pPr>
    </w:p>
    <w:p>
      <w:pPr>
        <w:jc w:val="both"/>
        <w:ind w:left="448" w:hanging="448"/>
        <w:spacing w:after="0" w:line="262" w:lineRule="auto"/>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Ownership information for Mr. Harris and Mr. Trevathan is as of December 31, 2018, which is the date that they each retired from the Company and the last date that each of them verified their ownership of the Company's Common Stock. As of that date, (i) the shares owned by Mr. Harris were held by the Jeff Harris Revocable Trust, for which Mr. Harris serves as trustee and (ii) the number of shares owned by Mr. Trevathan included 170,171 shares that are pledged as security for a loan. None of our directors or currently-serving executive officers have pledged Company Common Stock.</w:t>
      </w:r>
    </w:p>
    <w:p>
      <w:pPr>
        <w:spacing w:after="0" w:line="173" w:lineRule="exact"/>
        <w:rPr>
          <w:rFonts w:ascii="Arial" w:cs="Arial" w:eastAsia="Arial" w:hAnsi="Arial"/>
          <w:sz w:val="15"/>
          <w:szCs w:val="15"/>
          <w:color w:val="auto"/>
        </w:rPr>
      </w:pPr>
    </w:p>
    <w:p>
      <w:pPr>
        <w:jc w:val="both"/>
        <w:ind w:left="448" w:right="20" w:hanging="448"/>
        <w:spacing w:after="0" w:line="265" w:lineRule="auto"/>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Included in the "All directors and currently-serving executive officers as a group" are 10,145 stock equivalents attributable to the executive officers' collective holdings in the Company's 401(k) Retirement Savings Plan stock fund. This group also holds an aggregate of 8,939 phantom stock equivalents under the 409A Deferral Plan that are not included in the table.</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table below shows information for persons known to us to beneficially own more than 5% of our Common Stock based on their filings with the SEC through March 19, 2019.</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3"/>
          </w:tcPr>
          <w:p>
            <w:pPr>
              <w:jc w:val="center"/>
              <w:ind w:right="1040"/>
              <w:spacing w:after="0"/>
              <w:rPr>
                <w:sz w:val="20"/>
                <w:szCs w:val="20"/>
                <w:color w:val="auto"/>
              </w:rPr>
            </w:pPr>
            <w:r>
              <w:rPr>
                <w:rFonts w:ascii="Arial" w:cs="Arial" w:eastAsia="Arial" w:hAnsi="Arial"/>
                <w:sz w:val="15"/>
                <w:szCs w:val="15"/>
                <w:b w:val="1"/>
                <w:bCs w:val="1"/>
                <w:color w:val="auto"/>
                <w:w w:val="87"/>
              </w:rPr>
              <w:t>Shares Beneficially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2"/>
          </w:tcPr>
          <w:p>
            <w:pPr>
              <w:jc w:val="center"/>
              <w:ind w:right="1320"/>
              <w:spacing w:after="0"/>
              <w:rPr>
                <w:sz w:val="20"/>
                <w:szCs w:val="20"/>
                <w:color w:val="auto"/>
              </w:rPr>
            </w:pPr>
            <w:r>
              <w:rPr>
                <w:rFonts w:ascii="Arial" w:cs="Arial" w:eastAsia="Arial" w:hAnsi="Arial"/>
                <w:sz w:val="15"/>
                <w:szCs w:val="15"/>
                <w:b w:val="1"/>
                <w:bCs w:val="1"/>
                <w:color w:val="auto"/>
                <w:w w:val="87"/>
              </w:rPr>
              <w:t>Owned</w:t>
            </w:r>
          </w:p>
        </w:tc>
        <w:tc>
          <w:tcPr>
            <w:tcW w:w="0" w:type="dxa"/>
            <w:vAlign w:val="bottom"/>
          </w:tcPr>
          <w:p>
            <w:pPr>
              <w:spacing w:after="0"/>
              <w:rPr>
                <w:sz w:val="1"/>
                <w:szCs w:val="1"/>
                <w:color w:val="auto"/>
              </w:rPr>
            </w:pPr>
          </w:p>
        </w:tc>
      </w:tr>
      <w:tr>
        <w:trPr>
          <w:trHeight w:val="210"/>
        </w:trPr>
        <w:tc>
          <w:tcPr>
            <w:tcW w:w="5720" w:type="dxa"/>
            <w:vAlign w:val="bottom"/>
            <w:gridSpan w:val="4"/>
          </w:tcPr>
          <w:p>
            <w:pPr>
              <w:spacing w:after="0"/>
              <w:rPr>
                <w:sz w:val="20"/>
                <w:szCs w:val="20"/>
                <w:color w:val="auto"/>
              </w:rPr>
            </w:pPr>
            <w:r>
              <w:rPr>
                <w:rFonts w:ascii="Arial" w:cs="Arial" w:eastAsia="Arial" w:hAnsi="Arial"/>
                <w:sz w:val="15"/>
                <w:szCs w:val="15"/>
                <w:b w:val="1"/>
                <w:bCs w:val="1"/>
                <w:color w:val="auto"/>
              </w:rPr>
              <w:t>Name and Address</w:t>
            </w:r>
          </w:p>
        </w:tc>
        <w:tc>
          <w:tcPr>
            <w:tcW w:w="102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Number</w:t>
            </w:r>
          </w:p>
        </w:tc>
        <w:tc>
          <w:tcPr>
            <w:tcW w:w="28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jc w:val="right"/>
              <w:ind w:right="686"/>
              <w:spacing w:after="0" w:line="210" w:lineRule="exact"/>
              <w:rPr>
                <w:sz w:val="20"/>
                <w:szCs w:val="20"/>
                <w:color w:val="auto"/>
              </w:rPr>
            </w:pPr>
            <w:r>
              <w:rPr>
                <w:rFonts w:ascii="Arial" w:cs="Arial" w:eastAsia="Arial" w:hAnsi="Arial"/>
                <w:sz w:val="15"/>
                <w:szCs w:val="15"/>
                <w:b w:val="1"/>
                <w:bCs w:val="1"/>
                <w:color w:val="auto"/>
              </w:rPr>
              <w:t>Percent</w:t>
            </w:r>
            <w:r>
              <w:rPr>
                <w:rFonts w:ascii="Arial" w:cs="Arial" w:eastAsia="Arial" w:hAnsi="Arial"/>
                <w:sz w:val="24"/>
                <w:szCs w:val="24"/>
                <w:b w:val="1"/>
                <w:bCs w:val="1"/>
                <w:color w:val="auto"/>
                <w:vertAlign w:val="superscript"/>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58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The Vanguard Group</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120"/>
              <w:spacing w:after="0" w:line="167" w:lineRule="exact"/>
              <w:rPr>
                <w:sz w:val="20"/>
                <w:szCs w:val="20"/>
                <w:color w:val="auto"/>
              </w:rPr>
            </w:pPr>
            <w:r>
              <w:rPr>
                <w:rFonts w:ascii="Arial" w:cs="Arial" w:eastAsia="Arial" w:hAnsi="Arial"/>
                <w:sz w:val="12"/>
                <w:szCs w:val="12"/>
                <w:color w:val="auto"/>
              </w:rPr>
              <w:t>35,868,555</w:t>
            </w:r>
            <w:r>
              <w:rPr>
                <w:rFonts w:ascii="Arial" w:cs="Arial" w:eastAsia="Arial" w:hAnsi="Arial"/>
                <w:sz w:val="19"/>
                <w:szCs w:val="19"/>
                <w:color w:val="auto"/>
                <w:vertAlign w:val="superscript"/>
              </w:rPr>
              <w:t>(2)</w:t>
            </w:r>
          </w:p>
        </w:tc>
        <w:tc>
          <w:tcPr>
            <w:tcW w:w="242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8.4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100 Vanguard Boulevard</w:t>
            </w: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Malvern, PA 19355</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720" w:type="dxa"/>
            <w:vAlign w:val="bottom"/>
            <w:gridSpan w:val="4"/>
          </w:tcPr>
          <w:p>
            <w:pPr>
              <w:spacing w:after="0"/>
              <w:rPr>
                <w:sz w:val="20"/>
                <w:szCs w:val="20"/>
                <w:color w:val="auto"/>
              </w:rPr>
            </w:pPr>
            <w:r>
              <w:rPr>
                <w:rFonts w:ascii="Arial" w:cs="Arial" w:eastAsia="Arial" w:hAnsi="Arial"/>
                <w:sz w:val="15"/>
                <w:szCs w:val="15"/>
                <w:color w:val="auto"/>
              </w:rPr>
              <w:t>William H. Gates III</w:t>
            </w:r>
          </w:p>
        </w:tc>
        <w:tc>
          <w:tcPr>
            <w:tcW w:w="1020" w:type="dxa"/>
            <w:vAlign w:val="bottom"/>
            <w:gridSpan w:val="2"/>
          </w:tcPr>
          <w:p>
            <w:pPr>
              <w:ind w:left="120"/>
              <w:spacing w:after="0"/>
              <w:rPr>
                <w:sz w:val="20"/>
                <w:szCs w:val="20"/>
                <w:color w:val="auto"/>
              </w:rPr>
            </w:pPr>
            <w:r>
              <w:rPr>
                <w:rFonts w:ascii="Arial" w:cs="Arial" w:eastAsia="Arial" w:hAnsi="Arial"/>
                <w:sz w:val="15"/>
                <w:szCs w:val="15"/>
                <w:color w:val="auto"/>
                <w:w w:val="92"/>
              </w:rPr>
              <w:t>33,117,344</w:t>
            </w:r>
            <w:r>
              <w:rPr>
                <w:rFonts w:ascii="Arial" w:cs="Arial" w:eastAsia="Arial" w:hAnsi="Arial"/>
                <w:sz w:val="24"/>
                <w:szCs w:val="24"/>
                <w:color w:val="auto"/>
                <w:w w:val="92"/>
                <w:vertAlign w:val="superscript"/>
              </w:rPr>
              <w:t>(3)</w:t>
            </w:r>
          </w:p>
        </w:tc>
        <w:tc>
          <w:tcPr>
            <w:tcW w:w="2440" w:type="dxa"/>
            <w:vAlign w:val="bottom"/>
            <w:gridSpan w:val="3"/>
          </w:tcPr>
          <w:p>
            <w:pPr>
              <w:jc w:val="right"/>
              <w:ind w:right="2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gridSpan w:val="3"/>
          </w:tcPr>
          <w:p>
            <w:pPr>
              <w:ind w:left="120"/>
              <w:spacing w:after="0"/>
              <w:rPr>
                <w:sz w:val="20"/>
                <w:szCs w:val="20"/>
                <w:color w:val="auto"/>
              </w:rPr>
            </w:pPr>
            <w:r>
              <w:rPr>
                <w:rFonts w:ascii="Arial" w:cs="Arial" w:eastAsia="Arial" w:hAnsi="Arial"/>
                <w:sz w:val="15"/>
                <w:szCs w:val="15"/>
                <w:color w:val="auto"/>
              </w:rPr>
              <w:t>One Microsoft Way</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gridSpan w:val="3"/>
          </w:tcPr>
          <w:p>
            <w:pPr>
              <w:ind w:left="120"/>
              <w:spacing w:after="0"/>
              <w:rPr>
                <w:sz w:val="20"/>
                <w:szCs w:val="20"/>
                <w:color w:val="auto"/>
              </w:rPr>
            </w:pPr>
            <w:r>
              <w:rPr>
                <w:rFonts w:ascii="Arial" w:cs="Arial" w:eastAsia="Arial" w:hAnsi="Arial"/>
                <w:sz w:val="15"/>
                <w:szCs w:val="15"/>
                <w:color w:val="auto"/>
              </w:rPr>
              <w:t>Redmond, WA 98052</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BlackRock, Inc.</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2"/>
              </w:rPr>
              <w:t>31,659,414</w:t>
            </w:r>
            <w:r>
              <w:rPr>
                <w:rFonts w:ascii="Arial" w:cs="Arial" w:eastAsia="Arial" w:hAnsi="Arial"/>
                <w:sz w:val="24"/>
                <w:szCs w:val="24"/>
                <w:color w:val="auto"/>
                <w:w w:val="92"/>
                <w:vertAlign w:val="superscript"/>
              </w:rPr>
              <w:t>(4)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55 East 52nd Street</w:t>
            </w: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New York, NY 10055</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0" w:hanging="464"/>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Percentage is calculated using the number of shares of Common Stock outstanding as of March 19, 2019.</w:t>
      </w:r>
    </w:p>
    <w:p>
      <w:pPr>
        <w:spacing w:after="0" w:line="216" w:lineRule="exact"/>
        <w:rPr>
          <w:rFonts w:ascii="Arial" w:cs="Arial" w:eastAsia="Arial" w:hAnsi="Arial"/>
          <w:sz w:val="15"/>
          <w:szCs w:val="15"/>
          <w:color w:val="auto"/>
        </w:rPr>
      </w:pPr>
    </w:p>
    <w:p>
      <w:pPr>
        <w:ind w:left="1600" w:right="20" w:hanging="464"/>
        <w:spacing w:after="0" w:line="314"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information is based on a Schedule 13G/A filed with the SEC on February 11, 2019. The Vanguard Group reports that it has sole or shared voting power over 639,032 shares of Common Stock and sole or shared dispositive power over 35,868,555 shares of Common Stock beneficially owned.</w:t>
      </w:r>
    </w:p>
    <w:p>
      <w:pPr>
        <w:spacing w:after="0" w:line="139" w:lineRule="exact"/>
        <w:rPr>
          <w:rFonts w:ascii="Arial" w:cs="Arial" w:eastAsia="Arial" w:hAnsi="Arial"/>
          <w:sz w:val="14"/>
          <w:szCs w:val="14"/>
          <w:color w:val="auto"/>
        </w:rPr>
      </w:pPr>
    </w:p>
    <w:p>
      <w:pPr>
        <w:jc w:val="both"/>
        <w:ind w:left="1600" w:hanging="464"/>
        <w:spacing w:after="0" w:line="262"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information is based on a Schedule 13G/A filed with the SEC on February 13, 2019. Mr. Gates reports that he has sole voting and dispositive power over 14,483,672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173" w:lineRule="exact"/>
        <w:rPr>
          <w:rFonts w:ascii="Arial" w:cs="Arial" w:eastAsia="Arial" w:hAnsi="Arial"/>
          <w:sz w:val="15"/>
          <w:szCs w:val="15"/>
          <w:color w:val="auto"/>
        </w:rPr>
      </w:pPr>
    </w:p>
    <w:p>
      <w:pPr>
        <w:ind w:left="1600" w:hanging="464"/>
        <w:spacing w:after="0" w:line="277" w:lineRule="auto"/>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This information is based on a Schedule 13G/A filed with the SEC on February 6, 2019. BlackRock, Inc. reports that it has sole voting power over 28,081,035 shares of Common Stock and sole dispositive power over 31,659,414 shares of Common Stock beneficially owned.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4" w:lineRule="exact"/>
        <w:rPr>
          <w:sz w:val="20"/>
          <w:szCs w:val="20"/>
          <w:color w:val="auto"/>
        </w:rPr>
      </w:pPr>
    </w:p>
    <w:p>
      <w:pPr>
        <w:ind w:firstLine="457"/>
        <w:spacing w:after="0" w:line="356" w:lineRule="auto"/>
        <w:rPr>
          <w:sz w:val="20"/>
          <w:szCs w:val="20"/>
          <w:color w:val="auto"/>
        </w:rPr>
      </w:pPr>
      <w:r>
        <w:rPr>
          <w:rFonts w:ascii="Arial" w:cs="Arial" w:eastAsia="Arial" w:hAnsi="Arial"/>
          <w:sz w:val="13"/>
          <w:szCs w:val="13"/>
          <w:color w:val="auto"/>
        </w:rPr>
        <w:t>The federal securities laws require our executive officers and directors to file reports of their holdings and transactions in our Common Stock with the SEC and the New York Stock Exchange. Based on a review of the forms and written representations from our executive officers and directors, we believe that all applicable requirements were complied with in 2018.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4"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5"/>
          <w:szCs w:val="15"/>
          <w:color w:val="auto"/>
        </w:rPr>
        <w:t>The following is a listing of our current executive officers, their ages and their business experience for at least the past five years (other than Mr. Fish, whose age, experience and qualifications are included in the Director Nominees section of this Proxy Statement beginning on page 16). Unless otherwise specified, all prior positions listed below were with our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Age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760" w:type="dxa"/>
            <w:vAlign w:val="bottom"/>
            <w:tcBorders>
              <w:bottom w:val="single" w:sz="8" w:color="auto"/>
            </w:tcBorders>
          </w:tcPr>
          <w:p>
            <w:pPr>
              <w:ind w:left="2440"/>
              <w:spacing w:after="0"/>
              <w:rPr>
                <w:sz w:val="20"/>
                <w:szCs w:val="20"/>
                <w:color w:val="auto"/>
              </w:rPr>
            </w:pPr>
            <w:r>
              <w:rPr>
                <w:rFonts w:ascii="Arial" w:cs="Arial" w:eastAsia="Arial" w:hAnsi="Arial"/>
                <w:sz w:val="15"/>
                <w:szCs w:val="15"/>
                <w:b w:val="1"/>
                <w:bCs w:val="1"/>
                <w:color w:val="auto"/>
              </w:rPr>
              <w:t>Positions Held and Business Experience for Past Five Years</w:t>
            </w:r>
          </w:p>
        </w:tc>
      </w:tr>
      <w:tr>
        <w:trPr>
          <w:trHeight w:val="168"/>
        </w:trPr>
        <w:tc>
          <w:tcPr>
            <w:tcW w:w="1780" w:type="dxa"/>
            <w:vAlign w:val="bottom"/>
          </w:tcPr>
          <w:p>
            <w:pPr>
              <w:spacing w:after="0" w:line="169" w:lineRule="exact"/>
              <w:rPr>
                <w:sz w:val="20"/>
                <w:szCs w:val="20"/>
                <w:color w:val="auto"/>
              </w:rPr>
            </w:pPr>
            <w:r>
              <w:rPr>
                <w:rFonts w:ascii="Arial" w:cs="Arial" w:eastAsia="Arial" w:hAnsi="Arial"/>
                <w:sz w:val="15"/>
                <w:szCs w:val="15"/>
                <w:color w:val="auto"/>
              </w:rPr>
              <w:t>Steven R. Batchelor</w:t>
            </w:r>
          </w:p>
        </w:tc>
        <w:tc>
          <w:tcPr>
            <w:tcW w:w="14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61</w:t>
            </w:r>
          </w:p>
        </w:tc>
        <w:tc>
          <w:tcPr>
            <w:tcW w:w="140" w:type="dxa"/>
            <w:vAlign w:val="bottom"/>
          </w:tcPr>
          <w:p>
            <w:pPr>
              <w:spacing w:after="0"/>
              <w:rPr>
                <w:sz w:val="14"/>
                <w:szCs w:val="14"/>
                <w:color w:val="auto"/>
              </w:rPr>
            </w:pPr>
          </w:p>
        </w:tc>
        <w:tc>
          <w:tcPr>
            <w:tcW w:w="8880" w:type="dxa"/>
            <w:vAlign w:val="bottom"/>
            <w:gridSpan w:val="2"/>
          </w:tcPr>
          <w:p>
            <w:pPr>
              <w:spacing w:after="0" w:line="169" w:lineRule="exact"/>
              <w:rPr>
                <w:sz w:val="20"/>
                <w:szCs w:val="20"/>
                <w:color w:val="auto"/>
              </w:rPr>
            </w:pPr>
            <w:r>
              <w:rPr>
                <w:rFonts w:ascii="Arial" w:cs="Arial" w:eastAsia="Arial" w:hAnsi="Arial"/>
                <w:sz w:val="15"/>
                <w:szCs w:val="15"/>
                <w:color w:val="auto"/>
              </w:rPr>
              <w:t>•  Senior Vice President — Operations since January 2019.</w:t>
            </w:r>
          </w:p>
        </w:tc>
      </w:tr>
      <w:tr>
        <w:trPr>
          <w:trHeight w:val="189"/>
        </w:trPr>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Vice President, Collections and Fleet Operations from 2013 to December 2018.</w:t>
            </w:r>
          </w:p>
        </w:tc>
      </w:tr>
      <w:tr>
        <w:trPr>
          <w:trHeight w:val="549"/>
        </w:trPr>
        <w:tc>
          <w:tcPr>
            <w:tcW w:w="1780" w:type="dxa"/>
            <w:vAlign w:val="bottom"/>
          </w:tcPr>
          <w:p>
            <w:pPr>
              <w:spacing w:after="0"/>
              <w:rPr>
                <w:sz w:val="20"/>
                <w:szCs w:val="20"/>
                <w:color w:val="auto"/>
              </w:rPr>
            </w:pPr>
            <w:r>
              <w:rPr>
                <w:rFonts w:ascii="Arial" w:cs="Arial" w:eastAsia="Arial" w:hAnsi="Arial"/>
                <w:sz w:val="15"/>
                <w:szCs w:val="15"/>
                <w:color w:val="auto"/>
              </w:rPr>
              <w:t>Charles C. Boettcher</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2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Senior Vice President and Chief Legal Officer since January 2017.</w:t>
            </w:r>
          </w:p>
        </w:tc>
      </w:tr>
    </w:tbl>
    <w:p>
      <w:pPr>
        <w:ind w:left="2740" w:hanging="185"/>
        <w:spacing w:after="0"/>
        <w:tabs>
          <w:tab w:leader="none" w:pos="27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Also served as Chief Compliance Officer from May 2017 to February 2018.</w:t>
      </w:r>
    </w:p>
    <w:p>
      <w:pPr>
        <w:spacing w:after="0" w:line="10" w:lineRule="exact"/>
        <w:rPr>
          <w:rFonts w:ascii="Arial" w:cs="Arial" w:eastAsia="Arial" w:hAnsi="Arial"/>
          <w:sz w:val="15"/>
          <w:szCs w:val="15"/>
          <w:color w:val="auto"/>
        </w:rPr>
      </w:pPr>
    </w:p>
    <w:p>
      <w:pPr>
        <w:ind w:left="2740" w:hanging="185"/>
        <w:spacing w:after="0"/>
        <w:tabs>
          <w:tab w:leader="none" w:pos="27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Vice President and General Counsel from September 2016 to December 2016.</w:t>
      </w:r>
    </w:p>
    <w:p>
      <w:pPr>
        <w:spacing w:after="0" w:line="10" w:lineRule="exact"/>
        <w:rPr>
          <w:rFonts w:ascii="Arial" w:cs="Arial" w:eastAsia="Arial" w:hAnsi="Arial"/>
          <w:sz w:val="15"/>
          <w:szCs w:val="15"/>
          <w:color w:val="auto"/>
        </w:rPr>
      </w:pPr>
    </w:p>
    <w:p>
      <w:pPr>
        <w:ind w:left="2740" w:right="240" w:hanging="185"/>
        <w:spacing w:after="0" w:line="254" w:lineRule="auto"/>
        <w:tabs>
          <w:tab w:leader="none" w:pos="27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Executive Vice President, Chief Financial Officer and General Counsel of Oilfield Water Logistics, a produced water gathering, transportation and disposal company, from November 2015 to August 2016.</w:t>
      </w:r>
    </w:p>
    <w:p>
      <w:pPr>
        <w:spacing w:after="0" w:line="1" w:lineRule="exact"/>
        <w:rPr>
          <w:rFonts w:ascii="Arial" w:cs="Arial" w:eastAsia="Arial" w:hAnsi="Arial"/>
          <w:sz w:val="15"/>
          <w:szCs w:val="15"/>
          <w:color w:val="auto"/>
        </w:rPr>
      </w:pPr>
    </w:p>
    <w:p>
      <w:pPr>
        <w:ind w:left="2740" w:right="20" w:hanging="185"/>
        <w:spacing w:after="0" w:line="262" w:lineRule="auto"/>
        <w:tabs>
          <w:tab w:leader="none" w:pos="27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Senior Vice President, General Counsel, Chief Compliance Officer and Corporate Secretary of Eagle Rock Energy Partners, L.P., a master limited partnership engaged in midstream gathering and processing, upstream exploration and production and minerals/royalties, from 2007 to October 2015.</w:t>
      </w:r>
    </w:p>
    <w:p>
      <w:pPr>
        <w:spacing w:after="0" w:line="345" w:lineRule="exact"/>
        <w:rPr>
          <w:sz w:val="20"/>
          <w:szCs w:val="20"/>
          <w:color w:val="auto"/>
        </w:rPr>
      </w:pPr>
    </w:p>
    <w:p>
      <w:pPr>
        <w:spacing w:after="0"/>
        <w:tabs>
          <w:tab w:leader="none" w:pos="2220" w:val="left"/>
          <w:tab w:leader="none" w:pos="2540" w:val="left"/>
          <w:tab w:leader="none" w:pos="2720" w:val="left"/>
        </w:tabs>
        <w:rPr>
          <w:sz w:val="20"/>
          <w:szCs w:val="20"/>
          <w:color w:val="auto"/>
        </w:rPr>
      </w:pPr>
      <w:r>
        <w:rPr>
          <w:rFonts w:ascii="Arial" w:cs="Arial" w:eastAsia="Arial" w:hAnsi="Arial"/>
          <w:sz w:val="15"/>
          <w:szCs w:val="15"/>
          <w:color w:val="auto"/>
        </w:rPr>
        <w:t>Tara J. Hemmer</w:t>
      </w:r>
      <w:r>
        <w:rPr>
          <w:sz w:val="20"/>
          <w:szCs w:val="20"/>
          <w:color w:val="auto"/>
        </w:rPr>
        <w:tab/>
      </w:r>
      <w:r>
        <w:rPr>
          <w:rFonts w:ascii="Arial" w:cs="Arial" w:eastAsia="Arial" w:hAnsi="Arial"/>
          <w:sz w:val="15"/>
          <w:szCs w:val="15"/>
          <w:color w:val="auto"/>
        </w:rPr>
        <w:t>46</w:t>
        <w:tab/>
        <w:t>•</w:t>
      </w:r>
      <w:r>
        <w:rPr>
          <w:sz w:val="20"/>
          <w:szCs w:val="20"/>
          <w:color w:val="auto"/>
        </w:rPr>
        <w:tab/>
      </w:r>
      <w:r>
        <w:rPr>
          <w:rFonts w:ascii="Arial" w:cs="Arial" w:eastAsia="Arial" w:hAnsi="Arial"/>
          <w:sz w:val="13"/>
          <w:szCs w:val="13"/>
          <w:color w:val="auto"/>
        </w:rPr>
        <w:t>Senior Vice President — Operations since January 2019.</w:t>
      </w:r>
    </w:p>
    <w:p>
      <w:pPr>
        <w:spacing w:after="0" w:line="16" w:lineRule="exact"/>
        <w:rPr>
          <w:sz w:val="20"/>
          <w:szCs w:val="20"/>
          <w:color w:val="auto"/>
        </w:rPr>
      </w:pPr>
    </w:p>
    <w:p>
      <w:pPr>
        <w:ind w:left="2740" w:hanging="185"/>
        <w:spacing w:after="0"/>
        <w:tabs>
          <w:tab w:leader="none" w:pos="27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Senior Vice President — Operations, Safety and Environmental Compliance from January 2018 to December 2018.</w:t>
      </w:r>
    </w:p>
    <w:p>
      <w:pPr>
        <w:spacing w:after="0" w:line="10" w:lineRule="exact"/>
        <w:rPr>
          <w:rFonts w:ascii="Arial" w:cs="Arial" w:eastAsia="Arial" w:hAnsi="Arial"/>
          <w:sz w:val="15"/>
          <w:szCs w:val="15"/>
          <w:color w:val="auto"/>
        </w:rPr>
      </w:pPr>
    </w:p>
    <w:p>
      <w:pPr>
        <w:ind w:left="2740" w:hanging="185"/>
        <w:spacing w:after="0"/>
        <w:tabs>
          <w:tab w:leader="none" w:pos="27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Vice President — Disposal Operations, Closed Sites and Environmental Compliance from September 2017 to January 2018.</w:t>
      </w:r>
    </w:p>
    <w:p>
      <w:pPr>
        <w:spacing w:after="0" w:line="10" w:lineRule="exact"/>
        <w:rPr>
          <w:rFonts w:ascii="Arial" w:cs="Arial" w:eastAsia="Arial" w:hAnsi="Arial"/>
          <w:sz w:val="15"/>
          <w:szCs w:val="15"/>
          <w:color w:val="auto"/>
        </w:rPr>
      </w:pPr>
    </w:p>
    <w:p>
      <w:pPr>
        <w:ind w:left="2740" w:hanging="185"/>
        <w:spacing w:after="0"/>
        <w:tabs>
          <w:tab w:leader="none" w:pos="27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Area Vice President — Greater Mid-Atlantic Area from 2012 to May 2017.</w:t>
      </w:r>
    </w:p>
    <w:p>
      <w:pPr>
        <w:spacing w:after="0" w:line="371" w:lineRule="exact"/>
        <w:rPr>
          <w:sz w:val="20"/>
          <w:szCs w:val="20"/>
          <w:color w:val="auto"/>
        </w:rPr>
      </w:pPr>
    </w:p>
    <w:p>
      <w:pPr>
        <w:spacing w:after="0"/>
        <w:tabs>
          <w:tab w:leader="none" w:pos="2220" w:val="left"/>
          <w:tab w:leader="none" w:pos="2540" w:val="left"/>
          <w:tab w:leader="none" w:pos="2720" w:val="left"/>
        </w:tabs>
        <w:rPr>
          <w:sz w:val="20"/>
          <w:szCs w:val="20"/>
          <w:color w:val="auto"/>
        </w:rPr>
      </w:pPr>
      <w:r>
        <w:rPr>
          <w:rFonts w:ascii="Arial" w:cs="Arial" w:eastAsia="Arial" w:hAnsi="Arial"/>
          <w:sz w:val="15"/>
          <w:szCs w:val="15"/>
          <w:color w:val="auto"/>
        </w:rPr>
        <w:t>John J. Morris, Jr.</w:t>
      </w:r>
      <w:r>
        <w:rPr>
          <w:sz w:val="20"/>
          <w:szCs w:val="20"/>
          <w:color w:val="auto"/>
        </w:rPr>
        <w:tab/>
      </w:r>
      <w:r>
        <w:rPr>
          <w:rFonts w:ascii="Arial" w:cs="Arial" w:eastAsia="Arial" w:hAnsi="Arial"/>
          <w:sz w:val="15"/>
          <w:szCs w:val="15"/>
          <w:color w:val="auto"/>
        </w:rPr>
        <w:t>49</w:t>
        <w:tab/>
        <w:t>•</w:t>
      </w:r>
      <w:r>
        <w:rPr>
          <w:sz w:val="20"/>
          <w:szCs w:val="20"/>
          <w:color w:val="auto"/>
        </w:rPr>
        <w:tab/>
      </w:r>
      <w:r>
        <w:rPr>
          <w:rFonts w:ascii="Arial" w:cs="Arial" w:eastAsia="Arial" w:hAnsi="Arial"/>
          <w:sz w:val="13"/>
          <w:szCs w:val="13"/>
          <w:color w:val="auto"/>
        </w:rPr>
        <w:t>Executive Vice President and Chief Operating Officer since January 2019.</w:t>
      </w:r>
    </w:p>
    <w:p>
      <w:pPr>
        <w:spacing w:after="0" w:line="16" w:lineRule="exact"/>
        <w:rPr>
          <w:sz w:val="20"/>
          <w:szCs w:val="20"/>
          <w:color w:val="auto"/>
        </w:rPr>
      </w:pPr>
    </w:p>
    <w:p>
      <w:pPr>
        <w:ind w:left="2740" w:hanging="185"/>
        <w:spacing w:after="0"/>
        <w:tabs>
          <w:tab w:leader="none" w:pos="27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Senior Vice President — Operations from 2012 to December 2018.</w:t>
      </w:r>
    </w:p>
    <w:p>
      <w:pPr>
        <w:spacing w:after="0" w:line="10" w:lineRule="exact"/>
        <w:rPr>
          <w:rFonts w:ascii="Arial" w:cs="Arial" w:eastAsia="Arial" w:hAnsi="Arial"/>
          <w:sz w:val="15"/>
          <w:szCs w:val="15"/>
          <w:color w:val="auto"/>
        </w:rPr>
      </w:pPr>
    </w:p>
    <w:p>
      <w:pPr>
        <w:ind w:left="2740" w:hanging="185"/>
        <w:spacing w:after="0"/>
        <w:tabs>
          <w:tab w:leader="none" w:pos="27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Chief Strategy Officer from March 2012 to July 2012.</w:t>
      </w:r>
    </w:p>
    <w:p>
      <w:pPr>
        <w:spacing w:after="0" w:line="10" w:lineRule="exact"/>
        <w:rPr>
          <w:rFonts w:ascii="Arial" w:cs="Arial" w:eastAsia="Arial" w:hAnsi="Arial"/>
          <w:sz w:val="15"/>
          <w:szCs w:val="15"/>
          <w:color w:val="auto"/>
        </w:rPr>
      </w:pPr>
    </w:p>
    <w:p>
      <w:pPr>
        <w:ind w:left="2740" w:hanging="185"/>
        <w:spacing w:after="0"/>
        <w:tabs>
          <w:tab w:leader="none" w:pos="27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Area Vice President — Greater Mid-Atlantic Area from 2011 to 2012.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2"/>
        </w:trPr>
        <w:tc>
          <w:tcPr>
            <w:tcW w:w="1780" w:type="dxa"/>
            <w:vAlign w:val="bottom"/>
            <w:gridSpan w:val="2"/>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Table of Contents</w:t>
              </w:r>
            </w:hyperlink>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60" w:type="dxa"/>
            <w:vAlign w:val="bottom"/>
          </w:tcPr>
          <w:p>
            <w:pPr>
              <w:spacing w:after="0"/>
              <w:rPr>
                <w:sz w:val="14"/>
                <w:szCs w:val="14"/>
                <w:color w:val="auto"/>
              </w:rPr>
            </w:pPr>
          </w:p>
        </w:tc>
      </w:tr>
      <w:tr>
        <w:trPr>
          <w:trHeight w:val="380"/>
        </w:trPr>
        <w:tc>
          <w:tcPr>
            <w:tcW w:w="104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Age</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2440"/>
              <w:spacing w:after="0"/>
              <w:rPr>
                <w:sz w:val="20"/>
                <w:szCs w:val="20"/>
                <w:color w:val="auto"/>
              </w:rPr>
            </w:pPr>
            <w:r>
              <w:rPr>
                <w:rFonts w:ascii="Arial" w:cs="Arial" w:eastAsia="Arial" w:hAnsi="Arial"/>
                <w:sz w:val="15"/>
                <w:szCs w:val="15"/>
                <w:b w:val="1"/>
                <w:bCs w:val="1"/>
                <w:color w:val="auto"/>
              </w:rPr>
              <w:t>Positions Held and Business Experience for Past Five Years</w:t>
            </w:r>
          </w:p>
        </w:tc>
      </w:tr>
      <w:tr>
        <w:trPr>
          <w:trHeight w:val="534"/>
        </w:trPr>
        <w:tc>
          <w:tcPr>
            <w:tcW w:w="1780" w:type="dxa"/>
            <w:vAlign w:val="bottom"/>
            <w:gridSpan w:val="2"/>
          </w:tcPr>
          <w:p>
            <w:pPr>
              <w:spacing w:after="0"/>
              <w:rPr>
                <w:sz w:val="20"/>
                <w:szCs w:val="20"/>
                <w:color w:val="auto"/>
              </w:rPr>
            </w:pPr>
            <w:r>
              <w:rPr>
                <w:rFonts w:ascii="Arial" w:cs="Arial" w:eastAsia="Arial" w:hAnsi="Arial"/>
                <w:sz w:val="15"/>
                <w:szCs w:val="15"/>
                <w:color w:val="auto"/>
              </w:rPr>
              <w:t>Leslie K. Nagy</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44</w:t>
            </w:r>
          </w:p>
        </w:tc>
        <w:tc>
          <w:tcPr>
            <w:tcW w:w="9020" w:type="dxa"/>
            <w:vAlign w:val="bottom"/>
            <w:gridSpan w:val="3"/>
          </w:tcPr>
          <w:p>
            <w:pPr>
              <w:ind w:left="140"/>
              <w:spacing w:after="0"/>
              <w:rPr>
                <w:sz w:val="20"/>
                <w:szCs w:val="20"/>
                <w:color w:val="auto"/>
              </w:rPr>
            </w:pPr>
            <w:r>
              <w:rPr>
                <w:rFonts w:ascii="Arial" w:cs="Arial" w:eastAsia="Arial" w:hAnsi="Arial"/>
                <w:sz w:val="15"/>
                <w:szCs w:val="15"/>
                <w:color w:val="auto"/>
              </w:rPr>
              <w:t>•  Vice President and Chief Accounting Officer since November 2017.</w:t>
            </w:r>
          </w:p>
        </w:tc>
      </w:tr>
      <w:tr>
        <w:trPr>
          <w:trHeight w:val="183"/>
        </w:trPr>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8760" w:type="dxa"/>
            <w:vAlign w:val="bottom"/>
          </w:tcPr>
          <w:p>
            <w:pPr>
              <w:ind w:left="60"/>
              <w:spacing w:after="0"/>
              <w:rPr>
                <w:sz w:val="20"/>
                <w:szCs w:val="20"/>
                <w:color w:val="auto"/>
              </w:rPr>
            </w:pPr>
            <w:r>
              <w:rPr>
                <w:rFonts w:ascii="Arial" w:cs="Arial" w:eastAsia="Arial" w:hAnsi="Arial"/>
                <w:sz w:val="15"/>
                <w:szCs w:val="15"/>
                <w:color w:val="auto"/>
                <w:w w:val="97"/>
              </w:rPr>
              <w:t>Principal Accounting Officer and Controller, Parker Drilling Company, an oilfield services company, from April 2014 to November 2017.</w:t>
            </w:r>
          </w:p>
        </w:tc>
      </w:tr>
      <w:tr>
        <w:trPr>
          <w:trHeight w:val="189"/>
        </w:trPr>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gridSpan w:val="2"/>
          </w:tcPr>
          <w:p>
            <w:pPr>
              <w:ind w:left="140"/>
              <w:spacing w:after="0"/>
              <w:rPr>
                <w:sz w:val="20"/>
                <w:szCs w:val="20"/>
                <w:color w:val="auto"/>
              </w:rPr>
            </w:pPr>
            <w:r>
              <w:rPr>
                <w:rFonts w:ascii="Arial" w:cs="Arial" w:eastAsia="Arial" w:hAnsi="Arial"/>
                <w:sz w:val="15"/>
                <w:szCs w:val="15"/>
                <w:color w:val="auto"/>
              </w:rPr>
              <w:t>•</w:t>
            </w:r>
          </w:p>
        </w:tc>
        <w:tc>
          <w:tcPr>
            <w:tcW w:w="8760" w:type="dxa"/>
            <w:vAlign w:val="bottom"/>
          </w:tcPr>
          <w:p>
            <w:pPr>
              <w:ind w:left="60"/>
              <w:spacing w:after="0"/>
              <w:rPr>
                <w:sz w:val="20"/>
                <w:szCs w:val="20"/>
                <w:color w:val="auto"/>
              </w:rPr>
            </w:pPr>
            <w:r>
              <w:rPr>
                <w:rFonts w:ascii="Arial" w:cs="Arial" w:eastAsia="Arial" w:hAnsi="Arial"/>
                <w:sz w:val="15"/>
                <w:szCs w:val="15"/>
                <w:color w:val="auto"/>
              </w:rPr>
              <w:t>Director of Finance and Assistant Controller, Parker Drilling Company, from 2011 to March 2014.</w:t>
            </w:r>
          </w:p>
        </w:tc>
      </w:tr>
    </w:tbl>
    <w:p>
      <w:pPr>
        <w:spacing w:after="0" w:line="361" w:lineRule="exact"/>
        <w:rPr>
          <w:sz w:val="20"/>
          <w:szCs w:val="20"/>
          <w:color w:val="auto"/>
        </w:rPr>
      </w:pPr>
    </w:p>
    <w:p>
      <w:pPr>
        <w:spacing w:after="0"/>
        <w:tabs>
          <w:tab w:leader="none" w:pos="2240" w:val="left"/>
          <w:tab w:leader="none" w:pos="2540" w:val="left"/>
          <w:tab w:leader="none" w:pos="2720" w:val="left"/>
        </w:tabs>
        <w:rPr>
          <w:sz w:val="20"/>
          <w:szCs w:val="20"/>
          <w:color w:val="auto"/>
        </w:rPr>
      </w:pPr>
      <w:r>
        <w:rPr>
          <w:rFonts w:ascii="Arial" w:cs="Arial" w:eastAsia="Arial" w:hAnsi="Arial"/>
          <w:sz w:val="15"/>
          <w:szCs w:val="15"/>
          <w:color w:val="auto"/>
        </w:rPr>
        <w:t>Tamla D. Oates-Forney</w:t>
      </w:r>
      <w:r>
        <w:rPr>
          <w:sz w:val="20"/>
          <w:szCs w:val="20"/>
          <w:color w:val="auto"/>
        </w:rPr>
        <w:tab/>
      </w:r>
      <w:r>
        <w:rPr>
          <w:rFonts w:ascii="Arial" w:cs="Arial" w:eastAsia="Arial" w:hAnsi="Arial"/>
          <w:sz w:val="15"/>
          <w:szCs w:val="15"/>
          <w:color w:val="auto"/>
        </w:rPr>
        <w:t>47</w:t>
        <w:tab/>
        <w:t>•</w:t>
      </w:r>
      <w:r>
        <w:rPr>
          <w:sz w:val="20"/>
          <w:szCs w:val="20"/>
          <w:color w:val="auto"/>
        </w:rPr>
        <w:tab/>
      </w:r>
      <w:r>
        <w:rPr>
          <w:rFonts w:ascii="Arial" w:cs="Arial" w:eastAsia="Arial" w:hAnsi="Arial"/>
          <w:sz w:val="13"/>
          <w:szCs w:val="13"/>
          <w:color w:val="auto"/>
        </w:rPr>
        <w:t>Senior Vice President and Chief Human Resources Officer since December 2018.</w:t>
      </w:r>
    </w:p>
    <w:p>
      <w:pPr>
        <w:spacing w:after="0" w:line="16" w:lineRule="exact"/>
        <w:rPr>
          <w:sz w:val="20"/>
          <w:szCs w:val="20"/>
          <w:color w:val="auto"/>
        </w:rPr>
      </w:pPr>
    </w:p>
    <w:p>
      <w:pPr>
        <w:ind w:left="2740" w:right="40" w:hanging="185"/>
        <w:spacing w:after="0" w:line="254" w:lineRule="auto"/>
        <w:tabs>
          <w:tab w:leader="none" w:pos="2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Vice President, Human Resources, GE Energy Connections, an electrification and automation business included in the General Electric Company multinational conglomerate, from October 2014 to April 2018.</w:t>
      </w:r>
    </w:p>
    <w:p>
      <w:pPr>
        <w:spacing w:after="0" w:line="1" w:lineRule="exact"/>
        <w:rPr>
          <w:rFonts w:ascii="Arial" w:cs="Arial" w:eastAsia="Arial" w:hAnsi="Arial"/>
          <w:sz w:val="15"/>
          <w:szCs w:val="15"/>
          <w:color w:val="auto"/>
        </w:rPr>
      </w:pPr>
    </w:p>
    <w:p>
      <w:pPr>
        <w:ind w:left="2740" w:right="80" w:hanging="185"/>
        <w:spacing w:after="0" w:line="269" w:lineRule="auto"/>
        <w:tabs>
          <w:tab w:leader="none" w:pos="2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Senior Executive, Human Resources Director, GE Africa, an emerging market included in the General Electric multinational conglomerate, from 2010 to September 2014.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80" w:type="dxa"/>
            <w:vAlign w:val="bottom"/>
          </w:tcPr>
          <w:p>
            <w:pPr>
              <w:spacing w:after="0"/>
              <w:rPr>
                <w:sz w:val="20"/>
                <w:szCs w:val="20"/>
                <w:color w:val="auto"/>
              </w:rPr>
            </w:pPr>
            <w:r>
              <w:rPr>
                <w:rFonts w:ascii="Arial" w:cs="Arial" w:eastAsia="Arial" w:hAnsi="Arial"/>
                <w:sz w:val="15"/>
                <w:szCs w:val="15"/>
                <w:color w:val="auto"/>
              </w:rPr>
              <w:t>Devina A. Rankin</w:t>
            </w: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43</w:t>
            </w:r>
          </w:p>
        </w:tc>
        <w:tc>
          <w:tcPr>
            <w:tcW w:w="8980" w:type="dxa"/>
            <w:vAlign w:val="bottom"/>
          </w:tcPr>
          <w:p>
            <w:pPr>
              <w:ind w:left="100"/>
              <w:spacing w:after="0"/>
              <w:rPr>
                <w:sz w:val="20"/>
                <w:szCs w:val="20"/>
                <w:color w:val="auto"/>
              </w:rPr>
            </w:pPr>
            <w:r>
              <w:rPr>
                <w:rFonts w:ascii="Arial" w:cs="Arial" w:eastAsia="Arial" w:hAnsi="Arial"/>
                <w:sz w:val="15"/>
                <w:szCs w:val="15"/>
                <w:color w:val="auto"/>
              </w:rPr>
              <w:t>•  Senior Vice President and Chief Financial Officer since February 2017.</w:t>
            </w:r>
          </w:p>
        </w:tc>
      </w:tr>
      <w:tr>
        <w:trPr>
          <w:trHeight w:val="183"/>
        </w:trPr>
        <w:tc>
          <w:tcPr>
            <w:tcW w:w="1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980" w:type="dxa"/>
            <w:vAlign w:val="bottom"/>
          </w:tcPr>
          <w:p>
            <w:pPr>
              <w:ind w:left="100"/>
              <w:spacing w:after="0"/>
              <w:rPr>
                <w:sz w:val="20"/>
                <w:szCs w:val="20"/>
                <w:color w:val="auto"/>
              </w:rPr>
            </w:pPr>
            <w:r>
              <w:rPr>
                <w:rFonts w:ascii="Arial" w:cs="Arial" w:eastAsia="Arial" w:hAnsi="Arial"/>
                <w:sz w:val="15"/>
                <w:szCs w:val="15"/>
                <w:color w:val="auto"/>
              </w:rPr>
              <w:t>•  Also continued to serve as Treasurer from February 2017 to August 2017.</w:t>
            </w:r>
          </w:p>
        </w:tc>
      </w:tr>
      <w:tr>
        <w:trPr>
          <w:trHeight w:val="183"/>
        </w:trPr>
        <w:tc>
          <w:tcPr>
            <w:tcW w:w="1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980" w:type="dxa"/>
            <w:vAlign w:val="bottom"/>
          </w:tcPr>
          <w:p>
            <w:pPr>
              <w:ind w:left="100"/>
              <w:spacing w:after="0"/>
              <w:rPr>
                <w:sz w:val="20"/>
                <w:szCs w:val="20"/>
                <w:color w:val="auto"/>
              </w:rPr>
            </w:pPr>
            <w:r>
              <w:rPr>
                <w:rFonts w:ascii="Arial" w:cs="Arial" w:eastAsia="Arial" w:hAnsi="Arial"/>
                <w:sz w:val="15"/>
                <w:szCs w:val="15"/>
                <w:color w:val="auto"/>
              </w:rPr>
              <w:t>•  Vice President, Treasurer and Acting Chief Financial Officer from January 2017 to February 2017.</w:t>
            </w:r>
          </w:p>
        </w:tc>
      </w:tr>
      <w:tr>
        <w:trPr>
          <w:trHeight w:val="189"/>
        </w:trPr>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980" w:type="dxa"/>
            <w:vAlign w:val="bottom"/>
          </w:tcPr>
          <w:p>
            <w:pPr>
              <w:ind w:left="100"/>
              <w:spacing w:after="0"/>
              <w:rPr>
                <w:sz w:val="20"/>
                <w:szCs w:val="20"/>
                <w:color w:val="auto"/>
              </w:rPr>
            </w:pPr>
            <w:r>
              <w:rPr>
                <w:rFonts w:ascii="Arial" w:cs="Arial" w:eastAsia="Arial" w:hAnsi="Arial"/>
                <w:sz w:val="15"/>
                <w:szCs w:val="15"/>
                <w:color w:val="auto"/>
              </w:rPr>
              <w:t>•  Vice President and Treasurer from 2012 to January 2017.</w:t>
            </w:r>
          </w:p>
        </w:tc>
      </w:tr>
      <w:tr>
        <w:trPr>
          <w:trHeight w:val="544"/>
        </w:trPr>
        <w:tc>
          <w:tcPr>
            <w:tcW w:w="1680" w:type="dxa"/>
            <w:vAlign w:val="bottom"/>
          </w:tcPr>
          <w:p>
            <w:pPr>
              <w:spacing w:after="0"/>
              <w:rPr>
                <w:sz w:val="20"/>
                <w:szCs w:val="20"/>
                <w:color w:val="auto"/>
              </w:rPr>
            </w:pPr>
            <w:r>
              <w:rPr>
                <w:rFonts w:ascii="Arial" w:cs="Arial" w:eastAsia="Arial" w:hAnsi="Arial"/>
                <w:sz w:val="15"/>
                <w:szCs w:val="15"/>
                <w:color w:val="auto"/>
              </w:rPr>
              <w:t>Nikolaj H. Sjoqvist</w:t>
            </w: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46</w:t>
            </w:r>
          </w:p>
        </w:tc>
        <w:tc>
          <w:tcPr>
            <w:tcW w:w="8980" w:type="dxa"/>
            <w:vAlign w:val="bottom"/>
          </w:tcPr>
          <w:p>
            <w:pPr>
              <w:ind w:left="100"/>
              <w:spacing w:after="0"/>
              <w:rPr>
                <w:sz w:val="20"/>
                <w:szCs w:val="20"/>
                <w:color w:val="auto"/>
              </w:rPr>
            </w:pPr>
            <w:r>
              <w:rPr>
                <w:rFonts w:ascii="Arial" w:cs="Arial" w:eastAsia="Arial" w:hAnsi="Arial"/>
                <w:sz w:val="15"/>
                <w:szCs w:val="15"/>
                <w:color w:val="auto"/>
              </w:rPr>
              <w:t>•  Senior Vice President and Chief Digital Officer since October 2017.</w:t>
            </w:r>
          </w:p>
        </w:tc>
      </w:tr>
      <w:tr>
        <w:trPr>
          <w:trHeight w:val="189"/>
        </w:trPr>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980" w:type="dxa"/>
            <w:vAlign w:val="bottom"/>
          </w:tcPr>
          <w:p>
            <w:pPr>
              <w:ind w:left="100"/>
              <w:spacing w:after="0"/>
              <w:rPr>
                <w:sz w:val="20"/>
                <w:szCs w:val="20"/>
                <w:color w:val="auto"/>
              </w:rPr>
            </w:pPr>
            <w:r>
              <w:rPr>
                <w:rFonts w:ascii="Arial" w:cs="Arial" w:eastAsia="Arial" w:hAnsi="Arial"/>
                <w:sz w:val="15"/>
                <w:szCs w:val="15"/>
                <w:color w:val="auto"/>
              </w:rPr>
              <w:t>•  Vice President — Revenue Management from 2012 to October 2017.</w:t>
            </w:r>
          </w:p>
        </w:tc>
      </w:tr>
      <w:tr>
        <w:trPr>
          <w:trHeight w:val="544"/>
        </w:trPr>
        <w:tc>
          <w:tcPr>
            <w:tcW w:w="1680" w:type="dxa"/>
            <w:vAlign w:val="bottom"/>
          </w:tcPr>
          <w:p>
            <w:pPr>
              <w:spacing w:after="0"/>
              <w:rPr>
                <w:sz w:val="20"/>
                <w:szCs w:val="20"/>
                <w:color w:val="auto"/>
              </w:rPr>
            </w:pPr>
            <w:r>
              <w:rPr>
                <w:rFonts w:ascii="Arial" w:cs="Arial" w:eastAsia="Arial" w:hAnsi="Arial"/>
                <w:sz w:val="15"/>
                <w:szCs w:val="15"/>
                <w:color w:val="auto"/>
              </w:rPr>
              <w:t>Michael J. Watson</w:t>
            </w:r>
          </w:p>
        </w:tc>
        <w:tc>
          <w:tcPr>
            <w:tcW w:w="780" w:type="dxa"/>
            <w:vAlign w:val="bottom"/>
          </w:tcPr>
          <w:p>
            <w:pPr>
              <w:jc w:val="right"/>
              <w:ind w:right="6"/>
              <w:spacing w:after="0"/>
              <w:rPr>
                <w:sz w:val="20"/>
                <w:szCs w:val="20"/>
                <w:color w:val="auto"/>
              </w:rPr>
            </w:pPr>
            <w:r>
              <w:rPr>
                <w:rFonts w:ascii="Arial" w:cs="Arial" w:eastAsia="Arial" w:hAnsi="Arial"/>
                <w:sz w:val="15"/>
                <w:szCs w:val="15"/>
                <w:color w:val="auto"/>
              </w:rPr>
              <w:t>49</w:t>
            </w:r>
          </w:p>
        </w:tc>
        <w:tc>
          <w:tcPr>
            <w:tcW w:w="8980" w:type="dxa"/>
            <w:vAlign w:val="bottom"/>
          </w:tcPr>
          <w:p>
            <w:pPr>
              <w:ind w:left="100"/>
              <w:spacing w:after="0"/>
              <w:rPr>
                <w:sz w:val="20"/>
                <w:szCs w:val="20"/>
                <w:color w:val="auto"/>
              </w:rPr>
            </w:pPr>
            <w:r>
              <w:rPr>
                <w:rFonts w:ascii="Arial" w:cs="Arial" w:eastAsia="Arial" w:hAnsi="Arial"/>
                <w:sz w:val="15"/>
                <w:szCs w:val="15"/>
                <w:color w:val="auto"/>
              </w:rPr>
              <w:t>•  Senior Vice President and Chief Customer Officer since October 2018.</w:t>
            </w:r>
          </w:p>
        </w:tc>
      </w:tr>
      <w:tr>
        <w:trPr>
          <w:trHeight w:val="189"/>
        </w:trPr>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980" w:type="dxa"/>
            <w:vAlign w:val="bottom"/>
          </w:tcPr>
          <w:p>
            <w:pPr>
              <w:ind w:left="100"/>
              <w:spacing w:after="0"/>
              <w:rPr>
                <w:sz w:val="20"/>
                <w:szCs w:val="20"/>
                <w:color w:val="auto"/>
              </w:rPr>
            </w:pPr>
            <w:r>
              <w:rPr>
                <w:rFonts w:ascii="Arial" w:cs="Arial" w:eastAsia="Arial" w:hAnsi="Arial"/>
                <w:sz w:val="15"/>
                <w:szCs w:val="15"/>
                <w:color w:val="auto"/>
              </w:rPr>
              <w:t>•  Area Vice President — Illinois / Missouri Valley Area from 2013 to September 2018.</w:t>
            </w:r>
          </w:p>
        </w:tc>
      </w:tr>
      <w:tr>
        <w:trPr>
          <w:trHeight w:val="366"/>
        </w:trPr>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tcPr>
          <w:p>
            <w:pPr>
              <w:ind w:left="3180"/>
              <w:spacing w:after="0"/>
              <w:rPr>
                <w:sz w:val="20"/>
                <w:szCs w:val="20"/>
                <w:color w:val="auto"/>
              </w:rPr>
            </w:pPr>
            <w:r>
              <w:rPr>
                <w:rFonts w:ascii="Arial" w:cs="Arial" w:eastAsia="Arial" w:hAnsi="Arial"/>
                <w:sz w:val="15"/>
                <w:szCs w:val="15"/>
                <w:color w:val="auto"/>
              </w:rPr>
              <w:t>25</w:t>
            </w:r>
          </w:p>
        </w:tc>
      </w:tr>
      <w:tr>
        <w:trPr>
          <w:trHeight w:val="192"/>
        </w:trPr>
        <w:tc>
          <w:tcPr>
            <w:tcW w:w="16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89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Introduction</w:t>
      </w:r>
    </w:p>
    <w:p>
      <w:pPr>
        <w:spacing w:after="0" w:line="198" w:lineRule="exact"/>
        <w:rPr>
          <w:sz w:val="20"/>
          <w:szCs w:val="20"/>
          <w:color w:val="auto"/>
        </w:rPr>
      </w:pPr>
    </w:p>
    <w:p>
      <w:pPr>
        <w:jc w:val="both"/>
        <w:ind w:firstLine="563"/>
        <w:spacing w:after="0" w:line="262" w:lineRule="auto"/>
        <w:rPr>
          <w:sz w:val="20"/>
          <w:szCs w:val="20"/>
          <w:color w:val="auto"/>
        </w:rPr>
      </w:pPr>
      <w:r>
        <w:rPr>
          <w:rFonts w:ascii="Arial" w:cs="Arial" w:eastAsia="Arial" w:hAnsi="Arial"/>
          <w:sz w:val="15"/>
          <w:szCs w:val="15"/>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2018 aligned with the Company's 2018 financial goals and performance. The Compensation Discussion and Analysis helps readers better understand the information found in the Summary Compensation Table and other accompanying tables included in this Proxy Statement.</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This Compensation Discussion and Analysis focuses on our executive pay program as it relates to the following executive officers, whom we refer to as the "named executive officers"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or "named executives":</w:t>
      </w:r>
    </w:p>
    <w:p>
      <w:pPr>
        <w:spacing w:after="0" w:line="200" w:lineRule="exact"/>
        <w:rPr>
          <w:sz w:val="20"/>
          <w:szCs w:val="20"/>
          <w:color w:val="auto"/>
        </w:rPr>
      </w:pPr>
    </w:p>
    <w:p>
      <w:pPr>
        <w:ind w:left="900" w:hanging="451"/>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Mr. James C. Fish, Jr. — President and Chief Executive Officer since November 2016.</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Ms. Devina A. Rankin — Senior Vice President and Chief Financial Officer since February 2017.</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James E. Trevathan, Jr. — Executive Vice President and Chief Operating Officer since July 2012. Mr. Trevathan retired from the Company as of December 31, 2018.</w:t>
      </w:r>
    </w:p>
    <w:p>
      <w:pPr>
        <w:spacing w:after="0" w:line="216" w:lineRule="exact"/>
        <w:rPr>
          <w:rFonts w:ascii="Arial" w:cs="Arial" w:eastAsia="Arial" w:hAnsi="Arial"/>
          <w:sz w:val="14"/>
          <w:szCs w:val="14"/>
          <w:color w:val="auto"/>
        </w:rPr>
      </w:pPr>
    </w:p>
    <w:p>
      <w:pPr>
        <w:ind w:left="900" w:hanging="451"/>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Mr. Jeff M. Harris — Senior Vice President — Operations since July 2012. Mr. Harris retired from the Company as of December 31, 2018.</w:t>
      </w:r>
    </w:p>
    <w:p>
      <w:pPr>
        <w:spacing w:after="0" w:line="216"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Mr. John J. Morris, Jr. — Senior Vice President — Operations since July 2012. Mr. Morris was promoted to Executive Vice President and Chief Operating Officer as of January 1, 2019, following Mr. Trevathan's retirement.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Summary</w:t>
      </w:r>
    </w:p>
    <w:p>
      <w:pPr>
        <w:spacing w:after="0" w:line="198" w:lineRule="exact"/>
        <w:rPr>
          <w:sz w:val="20"/>
          <w:szCs w:val="20"/>
          <w:color w:val="auto"/>
        </w:rPr>
      </w:pPr>
    </w:p>
    <w:p>
      <w:pPr>
        <w:jc w:val="both"/>
        <w:ind w:firstLine="484"/>
        <w:spacing w:after="0" w:line="293" w:lineRule="auto"/>
        <w:rPr>
          <w:sz w:val="20"/>
          <w:szCs w:val="20"/>
          <w:color w:val="auto"/>
        </w:rPr>
      </w:pPr>
      <w:r>
        <w:rPr>
          <w:rFonts w:ascii="Arial" w:cs="Arial" w:eastAsia="Arial" w:hAnsi="Arial"/>
          <w:sz w:val="14"/>
          <w:szCs w:val="14"/>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 The following key structural elements and policies further the objective of our executive compensation program:</w:t>
      </w:r>
    </w:p>
    <w:p>
      <w:pPr>
        <w:spacing w:after="0" w:line="154" w:lineRule="exact"/>
        <w:rPr>
          <w:sz w:val="20"/>
          <w:szCs w:val="20"/>
          <w:color w:val="auto"/>
        </w:rPr>
      </w:pPr>
    </w:p>
    <w:p>
      <w:pPr>
        <w:jc w:val="both"/>
        <w:ind w:left="900" w:hanging="451"/>
        <w:spacing w:after="0" w:line="260"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substantial portion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some compensation elements in 2018. Performance-based annual cash incentive and long-term equity-based incentive awards comprised approximately 87% of total 2018 target compensation for our President and Chief Executive Officer, while approximately 80% of the 2018 target compensation opportunities for our other named executives was performance-based;</w:t>
      </w:r>
    </w:p>
    <w:p>
      <w:pPr>
        <w:spacing w:after="0" w:line="175"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at target, 68.5% of total compensation of our President and Chief Executive Officer was tied to long-term equity awards, and 61% of total compensation of our other named executives was tied to long-term equity awards, which aligns executives' interests with those of stockholders;</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total direct compensation opportunities for named executive officers are targeted to fall in a range around the competitive median;</w:t>
      </w:r>
    </w:p>
    <w:p>
      <w:pPr>
        <w:spacing w:after="0" w:line="205"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performance-based awards include threshold, target and maximum payouts correlating to a range of performance outcomes and are based on a variety of indicators of performance, which limits risk-taking behavior;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5" w:lineRule="exact"/>
        <w:rPr>
          <w:sz w:val="20"/>
          <w:szCs w:val="20"/>
          <w:color w:val="auto"/>
        </w:rPr>
      </w:pPr>
    </w:p>
    <w:p>
      <w:pPr>
        <w:ind w:left="900" w:right="20" w:hanging="451"/>
        <w:spacing w:after="0" w:line="27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all of our executive officers are subject to stock ownership guidelines, which we believe demonstrates a commitment to, and confidence in, the Company's long-term prospects;</w:t>
      </w:r>
    </w:p>
    <w:p>
      <w:pPr>
        <w:spacing w:after="0" w:line="228" w:lineRule="exact"/>
        <w:rPr>
          <w:rFonts w:ascii="Arial" w:cs="Arial" w:eastAsia="Arial" w:hAnsi="Arial"/>
          <w:sz w:val="13"/>
          <w:szCs w:val="13"/>
          <w:color w:val="auto"/>
        </w:rPr>
      </w:pPr>
    </w:p>
    <w:p>
      <w:pPr>
        <w:ind w:left="900" w:hanging="451"/>
        <w:spacing w:after="0" w:line="27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162"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executive officer severance policy implemented a limitation on the amount of benefits the Company may provide to its executive officers under severance agreements entered into after the date of such policy (the "Severance Limitation Policy"); and</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Company has adopted a policy that prohibits it from entering into new agreements with executive officers that provide for certain death benefits or tax gross-up payments.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2018 Pay-for-Performance</w:t>
      </w:r>
    </w:p>
    <w:p>
      <w:pPr>
        <w:spacing w:after="0" w:line="194" w:lineRule="exact"/>
        <w:rPr>
          <w:sz w:val="20"/>
          <w:szCs w:val="20"/>
          <w:color w:val="auto"/>
        </w:rPr>
      </w:pPr>
    </w:p>
    <w:p>
      <w:pPr>
        <w:jc w:val="both"/>
        <w:ind w:firstLine="515"/>
        <w:spacing w:after="0" w:line="281" w:lineRule="auto"/>
        <w:rPr>
          <w:sz w:val="20"/>
          <w:szCs w:val="20"/>
          <w:color w:val="auto"/>
        </w:rPr>
      </w:pPr>
      <w:r>
        <w:rPr>
          <w:rFonts w:ascii="Arial" w:cs="Arial" w:eastAsia="Arial" w:hAnsi="Arial"/>
          <w:sz w:val="14"/>
          <w:szCs w:val="14"/>
          <w:color w:val="auto"/>
        </w:rPr>
        <w:t>During 2018, we continued to produce strong operating results from our traditional solid waste business, driven by strong yield and volume growth in our collection and disposal business. Net income and earnings per diluted share both increased primarily as a result of these strong operating results, as well as the favorable impact on our effective tax rate due to enactment of tax reform. The Company continued its commitment to supporting both organic and inorganic growth during 2018, allocating $1,694 million of available cash to capital expenditures and $466 million to the acquisition of solid waste businesses. We also returned $1,806 million to our stockholders during 2018 through common stock repurchases and dividends. The Company delivered these very strong results despite the toughest recycling commodity price environment in over a decade. Overall, the Company believes that this positive 2018 performance reinforces that its strategy drives solid growth for the benefit of stockholders. Following is a summary of the 2018 compensation program results: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u w:val="single" w:color="auto"/>
          <w:color w:val="auto"/>
        </w:rPr>
        <w:t>Total Shareholder Return</w:t>
      </w:r>
    </w:p>
    <w:p>
      <w:pPr>
        <w:spacing w:after="0" w:line="194" w:lineRule="exact"/>
        <w:rPr>
          <w:sz w:val="20"/>
          <w:szCs w:val="20"/>
          <w:color w:val="auto"/>
        </w:rPr>
      </w:pPr>
    </w:p>
    <w:p>
      <w:pPr>
        <w:jc w:val="both"/>
        <w:ind w:left="900"/>
        <w:spacing w:after="0" w:line="233" w:lineRule="auto"/>
        <w:rPr>
          <w:sz w:val="20"/>
          <w:szCs w:val="20"/>
          <w:color w:val="auto"/>
        </w:rPr>
      </w:pPr>
      <w:r>
        <w:rPr>
          <w:rFonts w:ascii="Arial" w:cs="Arial" w:eastAsia="Arial" w:hAnsi="Arial"/>
          <w:sz w:val="15"/>
          <w:szCs w:val="15"/>
          <w:color w:val="auto"/>
        </w:rPr>
        <w:t>With respect to the half of the performance share units ("PSUs") granted in 2016 with a three-year performance period ended December 31, 2018 that was subject to total shareholder return relative to the S&amp;P 500, the performance of the Company's Common Stock on this measure exceeded the 75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resulting in a maximum 200% payout on these PSUs in shares of Common Stock. This performance directly benefited our stockholders, delivering total shareholder return of 82.09% over the three-year performance period and translating into a percentile rank relative to the S&amp;P 500 of 89.08%.</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u w:val="single" w:color="auto"/>
          <w:color w:val="auto"/>
        </w:rPr>
        <w:t>Cash Flow Generation</w:t>
      </w:r>
    </w:p>
    <w:p>
      <w:pPr>
        <w:spacing w:after="0" w:line="194" w:lineRule="exact"/>
        <w:rPr>
          <w:sz w:val="20"/>
          <w:szCs w:val="20"/>
          <w:color w:val="auto"/>
        </w:rPr>
      </w:pPr>
    </w:p>
    <w:p>
      <w:pPr>
        <w:jc w:val="both"/>
        <w:ind w:left="900"/>
        <w:spacing w:after="0" w:line="265" w:lineRule="auto"/>
        <w:rPr>
          <w:sz w:val="20"/>
          <w:szCs w:val="20"/>
          <w:color w:val="auto"/>
        </w:rPr>
      </w:pPr>
      <w:r>
        <w:rPr>
          <w:rFonts w:ascii="Arial" w:cs="Arial" w:eastAsia="Arial" w:hAnsi="Arial"/>
          <w:sz w:val="15"/>
          <w:szCs w:val="15"/>
          <w:color w:val="auto"/>
        </w:rPr>
        <w:t>The Company generated cash provided by operating activities, for purposes of the performance goal associated with the other half of our PSUs granted in 2016, of $5.568 billion, exceeding the maximum performance level of $4.564 billion for the three-year performance period ended December 31, 2018. This performance resulted in a maximum 200% payout on these PSUs in shares of Common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u w:val="single" w:color="auto"/>
          <w:color w:val="auto"/>
        </w:rPr>
        <w:t>Company Performance on Annual Incentive Performance Measures</w:t>
      </w:r>
    </w:p>
    <w:p>
      <w:pPr>
        <w:spacing w:after="0" w:line="194" w:lineRule="exact"/>
        <w:rPr>
          <w:sz w:val="20"/>
          <w:szCs w:val="20"/>
          <w:color w:val="auto"/>
        </w:rPr>
      </w:pPr>
    </w:p>
    <w:p>
      <w:pPr>
        <w:ind w:left="900" w:right="20"/>
        <w:spacing w:after="0" w:line="277" w:lineRule="auto"/>
        <w:rPr>
          <w:sz w:val="20"/>
          <w:szCs w:val="20"/>
          <w:color w:val="auto"/>
        </w:rPr>
      </w:pPr>
      <w:r>
        <w:rPr>
          <w:rFonts w:ascii="Arial" w:cs="Arial" w:eastAsia="Arial" w:hAnsi="Arial"/>
          <w:sz w:val="15"/>
          <w:szCs w:val="15"/>
          <w:color w:val="auto"/>
        </w:rPr>
        <w:t>Company performance on annual cash incentive performance measures for named executive officers is set forth below. Due to these results, each of the named executives received an annual cash incentive payment for fiscal year 2018 equal to 74.8% of target.</w:t>
      </w:r>
    </w:p>
    <w:p>
      <w:pPr>
        <w:spacing w:after="0" w:line="151" w:lineRule="exact"/>
        <w:rPr>
          <w:sz w:val="20"/>
          <w:szCs w:val="20"/>
          <w:color w:val="auto"/>
        </w:rPr>
      </w:pPr>
    </w:p>
    <w:p>
      <w:pPr>
        <w:ind w:left="1360"/>
        <w:spacing w:after="0"/>
        <w:rPr>
          <w:sz w:val="20"/>
          <w:szCs w:val="20"/>
          <w:color w:val="auto"/>
        </w:rPr>
      </w:pPr>
      <w:r>
        <w:rPr>
          <w:rFonts w:ascii="Arial" w:cs="Arial" w:eastAsia="Arial" w:hAnsi="Arial"/>
          <w:sz w:val="15"/>
          <w:szCs w:val="15"/>
          <w:i w:val="1"/>
          <w:iCs w:val="1"/>
          <w:u w:val="single" w:color="auto"/>
          <w:color w:val="auto"/>
        </w:rPr>
        <w:t>Income from Operations, excluding Depreciation and Amortization</w:t>
      </w:r>
      <w:r>
        <w:rPr>
          <w:rFonts w:ascii="Arial" w:cs="Arial" w:eastAsia="Arial" w:hAnsi="Arial"/>
          <w:sz w:val="15"/>
          <w:szCs w:val="15"/>
          <w:i w:val="1"/>
          <w:iCs w:val="1"/>
          <w:color w:val="auto"/>
        </w:rPr>
        <w:t xml:space="preserve"> </w:t>
      </w:r>
      <w:r>
        <w:rPr>
          <w:rFonts w:ascii="Arial" w:cs="Arial" w:eastAsia="Arial" w:hAnsi="Arial"/>
          <w:sz w:val="15"/>
          <w:szCs w:val="15"/>
          <w:color w:val="auto"/>
        </w:rPr>
        <w:t>– $4.212 billion, exceeding target of $4.206 billion.</w:t>
      </w:r>
    </w:p>
    <w:p>
      <w:pPr>
        <w:spacing w:after="0" w:line="194" w:lineRule="exact"/>
        <w:rPr>
          <w:sz w:val="20"/>
          <w:szCs w:val="20"/>
          <w:color w:val="auto"/>
        </w:rPr>
      </w:pPr>
    </w:p>
    <w:p>
      <w:pPr>
        <w:ind w:left="1360"/>
        <w:spacing w:after="0"/>
        <w:rPr>
          <w:sz w:val="20"/>
          <w:szCs w:val="20"/>
          <w:color w:val="auto"/>
        </w:rPr>
      </w:pPr>
      <w:r>
        <w:rPr>
          <w:rFonts w:ascii="Arial" w:cs="Arial" w:eastAsia="Arial" w:hAnsi="Arial"/>
          <w:sz w:val="15"/>
          <w:szCs w:val="15"/>
          <w:i w:val="1"/>
          <w:iCs w:val="1"/>
          <w:u w:val="single" w:color="auto"/>
          <w:color w:val="auto"/>
        </w:rPr>
        <w:t>Income from Operations Margin</w:t>
      </w:r>
      <w:r>
        <w:rPr>
          <w:rFonts w:ascii="Arial" w:cs="Arial" w:eastAsia="Arial" w:hAnsi="Arial"/>
          <w:sz w:val="15"/>
          <w:szCs w:val="15"/>
          <w:i w:val="1"/>
          <w:iCs w:val="1"/>
          <w:color w:val="auto"/>
        </w:rPr>
        <w:t xml:space="preserve"> </w:t>
      </w:r>
      <w:r>
        <w:rPr>
          <w:rFonts w:ascii="Arial" w:cs="Arial" w:eastAsia="Arial" w:hAnsi="Arial"/>
          <w:sz w:val="15"/>
          <w:szCs w:val="15"/>
          <w:color w:val="auto"/>
        </w:rPr>
        <w:t>– 18.34%, exceeding threshold of 17.9%, but below target of 18.5%.</w:t>
      </w:r>
    </w:p>
    <w:p>
      <w:pPr>
        <w:spacing w:after="0" w:line="194" w:lineRule="exact"/>
        <w:rPr>
          <w:sz w:val="20"/>
          <w:szCs w:val="20"/>
          <w:color w:val="auto"/>
        </w:rPr>
      </w:pPr>
    </w:p>
    <w:p>
      <w:pPr>
        <w:ind w:left="1360"/>
        <w:spacing w:after="0" w:line="277" w:lineRule="auto"/>
        <w:rPr>
          <w:sz w:val="20"/>
          <w:szCs w:val="20"/>
          <w:color w:val="auto"/>
        </w:rPr>
      </w:pPr>
      <w:r>
        <w:rPr>
          <w:rFonts w:ascii="Arial" w:cs="Arial" w:eastAsia="Arial" w:hAnsi="Arial"/>
          <w:sz w:val="15"/>
          <w:szCs w:val="15"/>
          <w:i w:val="1"/>
          <w:iCs w:val="1"/>
          <w:u w:val="single" w:color="auto"/>
          <w:color w:val="auto"/>
        </w:rPr>
        <w:t>Cost Measure</w:t>
      </w:r>
      <w:r>
        <w:rPr>
          <w:rFonts w:ascii="Arial" w:cs="Arial" w:eastAsia="Arial" w:hAnsi="Arial"/>
          <w:sz w:val="15"/>
          <w:szCs w:val="15"/>
          <w:i w:val="1"/>
          <w:iCs w:val="1"/>
          <w:color w:val="auto"/>
        </w:rPr>
        <w:t xml:space="preserve"> </w:t>
      </w:r>
      <w:r>
        <w:rPr>
          <w:rFonts w:ascii="Arial" w:cs="Arial" w:eastAsia="Arial" w:hAnsi="Arial"/>
          <w:sz w:val="15"/>
          <w:szCs w:val="15"/>
          <w:color w:val="auto"/>
        </w:rPr>
        <w:t>– defined as Operating Expense, less depreciation, depletion and amortization, as a percentage of Net Revenue, both less fuel – 60.82%, which did not</w:t>
      </w:r>
      <w:r>
        <w:rPr>
          <w:rFonts w:ascii="Arial" w:cs="Arial" w:eastAsia="Arial" w:hAnsi="Arial"/>
          <w:sz w:val="15"/>
          <w:szCs w:val="15"/>
          <w:i w:val="1"/>
          <w:iCs w:val="1"/>
          <w:color w:val="auto"/>
        </w:rPr>
        <w:t xml:space="preserve"> </w:t>
      </w:r>
      <w:r>
        <w:rPr>
          <w:rFonts w:ascii="Arial" w:cs="Arial" w:eastAsia="Arial" w:hAnsi="Arial"/>
          <w:sz w:val="15"/>
          <w:szCs w:val="15"/>
          <w:color w:val="auto"/>
        </w:rPr>
        <w:t>meet the threshold of 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100330</wp:posOffset>
            </wp:positionV>
            <wp:extent cx="4803775" cy="2768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0377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4"/>
          <w:szCs w:val="14"/>
          <w:color w:val="auto"/>
        </w:rPr>
        <w:t>On the whole, the 2018 compensation program continued to demonstrate alignment between executive pay and Company performance. The maximum 200% payouts on the PSUs granted in 2016 correlate with outstanding cash flow generation and total shareholder return over the three-year performance period. The Company again exceeded target for the annual income from operations, excluding depreciation and amortization measure, and the Company performed well on the income from operations margin measure. All of these results reflect strong pay-for-performance, with both shareholders and executives being rewarded. However, the Company's sub-threshold performance on the annual Cost Measure, largely the result of international trade and regulatory actions that resulted in increased costs and decreased revenues in our recycling line of business, did not reflect a strong correlation to the Company's overall continued trend of exceptional performance. Due to the impact of the Cost Measure on the annual cash incentive payouts, the total compensation of three of our named executives set forth in the Summary Compensation Table below declined from 2017 levels.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Consideration of Stockholder Advisory Vote</w:t>
      </w:r>
    </w:p>
    <w:p>
      <w:pPr>
        <w:spacing w:after="0" w:line="194" w:lineRule="exact"/>
        <w:rPr>
          <w:sz w:val="20"/>
          <w:szCs w:val="20"/>
          <w:color w:val="auto"/>
        </w:rPr>
      </w:pPr>
    </w:p>
    <w:p>
      <w:pPr>
        <w:jc w:val="both"/>
        <w:ind w:firstLine="372"/>
        <w:spacing w:after="0" w:line="293" w:lineRule="auto"/>
        <w:rPr>
          <w:sz w:val="20"/>
          <w:szCs w:val="20"/>
          <w:color w:val="auto"/>
        </w:rPr>
      </w:pPr>
      <w:r>
        <w:rPr>
          <w:rFonts w:ascii="Arial" w:cs="Arial" w:eastAsia="Arial" w:hAnsi="Arial"/>
          <w:sz w:val="14"/>
          <w:szCs w:val="14"/>
          <w:color w:val="auto"/>
        </w:rPr>
        <w:t>When establishing 2018 compensation for the named executives, the MD&amp;C Committee noted the results of the advisory stockholder votes on executive compensation, with at least 96% of shares present and entitled to vote at the annual meeting voting in favor of the Company's executive compensation every year since the advisory vote on compensation was implemented. Accordingly, the results of the stockholder advisory vote have not caused the MD&amp;C Committee to recommend any changes to our compensation practices.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2019 Compensation Program Preview</w:t>
      </w:r>
    </w:p>
    <w:p>
      <w:pPr>
        <w:spacing w:after="0" w:line="194" w:lineRule="exact"/>
        <w:rPr>
          <w:sz w:val="20"/>
          <w:szCs w:val="20"/>
          <w:color w:val="auto"/>
        </w:rPr>
      </w:pPr>
    </w:p>
    <w:p>
      <w:pPr>
        <w:jc w:val="both"/>
        <w:ind w:firstLine="407"/>
        <w:spacing w:after="0" w:line="278" w:lineRule="auto"/>
        <w:rPr>
          <w:sz w:val="20"/>
          <w:szCs w:val="20"/>
          <w:color w:val="auto"/>
        </w:rPr>
      </w:pPr>
      <w:r>
        <w:rPr>
          <w:rFonts w:ascii="Arial" w:cs="Arial" w:eastAsia="Arial" w:hAnsi="Arial"/>
          <w:sz w:val="14"/>
          <w:szCs w:val="14"/>
          <w:color w:val="auto"/>
        </w:rPr>
        <w:t>The MD&amp;C Committee continually reviews our compensation program to ensure that it is clearly aligned with the business strategy and best supports the accomplishment of our goals. The MD&amp;C Committee is pleased with the results that were delivered under the 2016 through 2018 long-term incentive program design, which aimed to support continued outstanding financial results while maintaining our focus on pricing, capital allocation and cost control, and has approved keeping the 2019 long-term incentive program design consistent with the 2018 design. The MD&amp;C Committee has also approved retaining the annual incentive program design consistent with the prior year, except that the Cost Measure, weighted at 25%, is being replaced with a new internal revenue growth measure, defined as internal revenue growth from yield, plus internal revenue growth from volume, at the consolidated level for the traditional solid waste business. This consistency reinforces the MD&amp;C Committee's efforts to maintain a compensation program that is straightforward, easy to communicate and readily translates into actionable goals; whereas, the MD&amp;C Committee believes that the substitution of the Cost Measure with the internal revenue growth measure will better reflect the Company's progress toward its strategic growth goals and will better correspond to the overall performance of the Company and creation of shareholder value.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Compensation Philosophy for Named Executive Officers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Company's compensation philosophy is designed to:</w:t>
      </w:r>
    </w:p>
    <w:p>
      <w:pPr>
        <w:spacing w:after="0" w:line="205" w:lineRule="exact"/>
        <w:rPr>
          <w:sz w:val="20"/>
          <w:szCs w:val="20"/>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Attract and retain exceptional employees through competitive compensation opportunities;</w:t>
      </w:r>
    </w:p>
    <w:p>
      <w:pPr>
        <w:spacing w:after="0" w:line="216"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Encourage and reward performance through substantial at-risk performance-based compensation, while discouraging excessive risk-taking behavior;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Align our decision makers' long-term interests with those of our stockholders through emphasis on equity ownership.</w:t>
      </w:r>
    </w:p>
    <w:p>
      <w:pPr>
        <w:spacing w:after="0" w:line="194" w:lineRule="exact"/>
        <w:rPr>
          <w:sz w:val="20"/>
          <w:szCs w:val="20"/>
          <w:color w:val="auto"/>
        </w:rPr>
      </w:pPr>
    </w:p>
    <w:p>
      <w:pPr>
        <w:ind w:right="20" w:firstLine="419"/>
        <w:spacing w:after="0" w:line="277" w:lineRule="auto"/>
        <w:rPr>
          <w:sz w:val="20"/>
          <w:szCs w:val="20"/>
          <w:color w:val="auto"/>
        </w:rPr>
      </w:pPr>
      <w:r>
        <w:rPr>
          <w:rFonts w:ascii="Arial" w:cs="Arial" w:eastAsia="Arial" w:hAnsi="Arial"/>
          <w:sz w:val="15"/>
          <w:szCs w:val="15"/>
          <w:color w:val="auto"/>
        </w:rPr>
        <w:t>Additionally, our compensation philosophy is intended to encourage executives to embrace the Company's strategy and to lead the Company in setting aspirations that will continue to drive exemplary performance.</w:t>
      </w:r>
    </w:p>
    <w:p>
      <w:pPr>
        <w:spacing w:after="0" w:line="151" w:lineRule="exact"/>
        <w:rPr>
          <w:sz w:val="20"/>
          <w:szCs w:val="20"/>
          <w:color w:val="auto"/>
        </w:rPr>
      </w:pPr>
    </w:p>
    <w:p>
      <w:pPr>
        <w:ind w:firstLine="369"/>
        <w:spacing w:after="0" w:line="277" w:lineRule="auto"/>
        <w:rPr>
          <w:sz w:val="20"/>
          <w:szCs w:val="20"/>
          <w:color w:val="auto"/>
        </w:rPr>
      </w:pPr>
      <w:r>
        <w:rPr>
          <w:rFonts w:ascii="Arial" w:cs="Arial" w:eastAsia="Arial" w:hAnsi="Arial"/>
          <w:sz w:val="15"/>
          <w:szCs w:val="15"/>
          <w:color w:val="auto"/>
        </w:rPr>
        <w:t>With respect to our named executive officers, the MD&amp;C Committee believes that total direct compensation at target should be in a range around the competitive median according to the following:</w:t>
      </w:r>
    </w:p>
    <w:p>
      <w:pPr>
        <w:spacing w:after="0" w:line="163" w:lineRule="exact"/>
        <w:rPr>
          <w:sz w:val="20"/>
          <w:szCs w:val="20"/>
          <w:color w:val="auto"/>
        </w:rPr>
      </w:pPr>
    </w:p>
    <w:p>
      <w:pPr>
        <w:ind w:left="900" w:hanging="451"/>
        <w:spacing w:after="0" w:line="27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Target short-term and long-term incentive opportunities should generally be set at the competitive median; and</w:t>
      </w:r>
    </w:p>
    <w:p>
      <w:pPr>
        <w:spacing w:after="0" w:line="205" w:lineRule="exact"/>
        <w:rPr>
          <w:rFonts w:ascii="Arial" w:cs="Arial" w:eastAsia="Arial" w:hAnsi="Arial"/>
          <w:sz w:val="15"/>
          <w:szCs w:val="15"/>
          <w:color w:val="auto"/>
        </w:rPr>
      </w:pPr>
    </w:p>
    <w:p>
      <w:pPr>
        <w:ind w:left="900" w:hanging="451"/>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Total direct compensation opportunities should generally be within a range of plus or minus 20% around the competitive median.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of Elements of Our 2018 Compensation Program</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80" w:type="dxa"/>
            <w:vAlign w:val="bottom"/>
          </w:tcPr>
          <w:p>
            <w:pPr>
              <w:spacing w:after="0"/>
              <w:rPr>
                <w:sz w:val="11"/>
                <w:szCs w:val="11"/>
                <w:color w:val="auto"/>
              </w:rPr>
            </w:pP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Timing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Component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Borders>
              <w:bottom w:val="single" w:sz="8" w:color="auto"/>
            </w:tcBorders>
          </w:tcPr>
          <w:p>
            <w:pPr>
              <w:ind w:left="1120"/>
              <w:spacing w:after="0"/>
              <w:rPr>
                <w:sz w:val="20"/>
                <w:szCs w:val="20"/>
                <w:color w:val="auto"/>
              </w:rPr>
            </w:pPr>
            <w:r>
              <w:rPr>
                <w:rFonts w:ascii="Arial" w:cs="Arial" w:eastAsia="Arial" w:hAnsi="Arial"/>
                <w:sz w:val="11"/>
                <w:szCs w:val="11"/>
                <w:b w:val="1"/>
                <w:bCs w:val="1"/>
                <w:color w:val="auto"/>
              </w:rPr>
              <w:t>Purpose</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tcPr>
          <w:p>
            <w:pPr>
              <w:ind w:left="2200"/>
              <w:spacing w:after="0"/>
              <w:rPr>
                <w:sz w:val="20"/>
                <w:szCs w:val="20"/>
                <w:color w:val="auto"/>
              </w:rPr>
            </w:pPr>
            <w:r>
              <w:rPr>
                <w:rFonts w:ascii="Arial" w:cs="Arial" w:eastAsia="Arial" w:hAnsi="Arial"/>
                <w:sz w:val="11"/>
                <w:szCs w:val="11"/>
                <w:b w:val="1"/>
                <w:bCs w:val="1"/>
                <w:color w:val="auto"/>
              </w:rPr>
              <w:t>Key Features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8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shd w:val="clear" w:color="auto" w:fill="E7E7E8"/>
          </w:tcPr>
          <w:p>
            <w:pPr>
              <w:spacing w:after="0"/>
              <w:rPr>
                <w:sz w:val="9"/>
                <w:szCs w:val="9"/>
                <w:color w:val="auto"/>
              </w:rPr>
            </w:pPr>
          </w:p>
        </w:tc>
        <w:tc>
          <w:tcPr>
            <w:tcW w:w="1400" w:type="dxa"/>
            <w:vAlign w:val="bottom"/>
            <w:shd w:val="clear" w:color="auto" w:fill="E7E7E8"/>
          </w:tcPr>
          <w:p>
            <w:pPr>
              <w:spacing w:after="0" w:line="109" w:lineRule="exact"/>
              <w:rPr>
                <w:sz w:val="20"/>
                <w:szCs w:val="20"/>
                <w:color w:val="auto"/>
              </w:rPr>
            </w:pPr>
            <w:r>
              <w:rPr>
                <w:rFonts w:ascii="Arial" w:cs="Arial" w:eastAsia="Arial" w:hAnsi="Arial"/>
                <w:sz w:val="11"/>
                <w:szCs w:val="11"/>
                <w:color w:val="auto"/>
              </w:rPr>
              <w:t>Current</w:t>
            </w:r>
          </w:p>
        </w:tc>
        <w:tc>
          <w:tcPr>
            <w:tcW w:w="180" w:type="dxa"/>
            <w:vAlign w:val="bottom"/>
            <w:tcBorders>
              <w:right w:val="single" w:sz="8" w:color="auto"/>
            </w:tcBorders>
            <w:shd w:val="clear" w:color="auto" w:fill="E7E7E8"/>
          </w:tcPr>
          <w:p>
            <w:pPr>
              <w:spacing w:after="0"/>
              <w:rPr>
                <w:sz w:val="9"/>
                <w:szCs w:val="9"/>
                <w:color w:val="auto"/>
              </w:rPr>
            </w:pPr>
          </w:p>
        </w:tc>
        <w:tc>
          <w:tcPr>
            <w:tcW w:w="1120" w:type="dxa"/>
            <w:vAlign w:val="bottom"/>
            <w:gridSpan w:val="2"/>
          </w:tcPr>
          <w:p>
            <w:pPr>
              <w:ind w:left="140"/>
              <w:spacing w:after="0" w:line="109" w:lineRule="exact"/>
              <w:rPr>
                <w:sz w:val="20"/>
                <w:szCs w:val="20"/>
                <w:color w:val="auto"/>
              </w:rPr>
            </w:pPr>
            <w:r>
              <w:rPr>
                <w:rFonts w:ascii="Arial" w:cs="Arial" w:eastAsia="Arial" w:hAnsi="Arial"/>
                <w:sz w:val="11"/>
                <w:szCs w:val="11"/>
                <w:color w:val="auto"/>
              </w:rPr>
              <w:t>Base Salary</w:t>
            </w: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line="109" w:lineRule="exact"/>
              <w:rPr>
                <w:sz w:val="20"/>
                <w:szCs w:val="20"/>
                <w:color w:val="auto"/>
              </w:rPr>
            </w:pPr>
            <w:r>
              <w:rPr>
                <w:rFonts w:ascii="Arial" w:cs="Arial" w:eastAsia="Arial" w:hAnsi="Arial"/>
                <w:sz w:val="11"/>
                <w:szCs w:val="11"/>
                <w:color w:val="auto"/>
                <w:w w:val="97"/>
              </w:rPr>
              <w:t>To attract and retain executives with a competitive level</w:t>
            </w:r>
          </w:p>
        </w:tc>
        <w:tc>
          <w:tcPr>
            <w:tcW w:w="5600" w:type="dxa"/>
            <w:vAlign w:val="bottom"/>
            <w:tcBorders>
              <w:right w:val="single" w:sz="8" w:color="auto"/>
            </w:tcBorders>
            <w:gridSpan w:val="4"/>
          </w:tcPr>
          <w:p>
            <w:pPr>
              <w:ind w:left="140"/>
              <w:spacing w:after="0" w:line="109" w:lineRule="exact"/>
              <w:rPr>
                <w:sz w:val="20"/>
                <w:szCs w:val="20"/>
                <w:color w:val="auto"/>
              </w:rPr>
            </w:pPr>
            <w:r>
              <w:rPr>
                <w:rFonts w:ascii="Arial" w:cs="Arial" w:eastAsia="Arial" w:hAnsi="Arial"/>
                <w:sz w:val="11"/>
                <w:szCs w:val="11"/>
                <w:color w:val="auto"/>
                <w:w w:val="98"/>
              </w:rPr>
              <w:t>Adjustments to base salary primarily consider competitive market data and the executive's individual performance</w:t>
            </w:r>
          </w:p>
        </w:tc>
        <w:tc>
          <w:tcPr>
            <w:tcW w:w="0" w:type="dxa"/>
            <w:vAlign w:val="bottom"/>
          </w:tcPr>
          <w:p>
            <w:pPr>
              <w:spacing w:after="0"/>
              <w:rPr>
                <w:sz w:val="1"/>
                <w:szCs w:val="1"/>
                <w:color w:val="auto"/>
              </w:rPr>
            </w:pPr>
          </w:p>
        </w:tc>
      </w:tr>
      <w:tr>
        <w:trPr>
          <w:trHeight w:val="135"/>
        </w:trPr>
        <w:tc>
          <w:tcPr>
            <w:tcW w:w="180" w:type="dxa"/>
            <w:vAlign w:val="bottom"/>
            <w:tcBorders>
              <w:left w:val="single" w:sz="8" w:color="auto"/>
              <w:bottom w:val="single" w:sz="8" w:color="auto"/>
            </w:tcBorders>
            <w:shd w:val="clear" w:color="auto" w:fill="E7E7E8"/>
          </w:tcPr>
          <w:p>
            <w:pPr>
              <w:spacing w:after="0"/>
              <w:rPr>
                <w:sz w:val="11"/>
                <w:szCs w:val="11"/>
                <w:color w:val="auto"/>
              </w:rPr>
            </w:pPr>
          </w:p>
        </w:tc>
        <w:tc>
          <w:tcPr>
            <w:tcW w:w="1400" w:type="dxa"/>
            <w:vAlign w:val="bottom"/>
            <w:tcBorders>
              <w:bottom w:val="single" w:sz="8" w:color="auto"/>
            </w:tcBorders>
            <w:shd w:val="clear" w:color="auto" w:fill="E7E7E8"/>
          </w:tcPr>
          <w:p>
            <w:pPr>
              <w:spacing w:after="0"/>
              <w:rPr>
                <w:sz w:val="11"/>
                <w:szCs w:val="11"/>
                <w:color w:val="auto"/>
              </w:rPr>
            </w:pPr>
          </w:p>
        </w:tc>
        <w:tc>
          <w:tcPr>
            <w:tcW w:w="180" w:type="dxa"/>
            <w:vAlign w:val="bottom"/>
            <w:tcBorders>
              <w:bottom w:val="single" w:sz="8" w:color="auto"/>
              <w:right w:val="single" w:sz="8" w:color="auto"/>
            </w:tcBorders>
            <w:shd w:val="clear" w:color="auto" w:fill="E7E7E8"/>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of regular income</w:t>
            </w:r>
          </w:p>
        </w:tc>
        <w:tc>
          <w:tcPr>
            <w:tcW w:w="560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1"/>
                <w:szCs w:val="11"/>
                <w:color w:val="auto"/>
              </w:rPr>
              <w:t>and responsibilities.</w:t>
            </w:r>
          </w:p>
        </w:tc>
        <w:tc>
          <w:tcPr>
            <w:tcW w:w="0" w:type="dxa"/>
            <w:vAlign w:val="bottom"/>
          </w:tcPr>
          <w:p>
            <w:pPr>
              <w:spacing w:after="0"/>
              <w:rPr>
                <w:sz w:val="1"/>
                <w:szCs w:val="1"/>
                <w:color w:val="auto"/>
              </w:rPr>
            </w:pPr>
          </w:p>
        </w:tc>
      </w:tr>
      <w:tr>
        <w:trPr>
          <w:trHeight w:val="175"/>
        </w:trPr>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shd w:val="clear" w:color="auto" w:fill="E7E7E8"/>
          </w:tcPr>
          <w:p>
            <w:pPr>
              <w:spacing w:after="0"/>
              <w:rPr>
                <w:sz w:val="9"/>
                <w:szCs w:val="9"/>
                <w:color w:val="auto"/>
              </w:rPr>
            </w:pPr>
          </w:p>
        </w:tc>
        <w:tc>
          <w:tcPr>
            <w:tcW w:w="1400" w:type="dxa"/>
            <w:vAlign w:val="bottom"/>
            <w:shd w:val="clear" w:color="auto" w:fill="E7E7E8"/>
          </w:tcPr>
          <w:p>
            <w:pPr>
              <w:spacing w:after="0"/>
              <w:rPr>
                <w:sz w:val="9"/>
                <w:szCs w:val="9"/>
                <w:color w:val="auto"/>
              </w:rPr>
            </w:pPr>
          </w:p>
        </w:tc>
        <w:tc>
          <w:tcPr>
            <w:tcW w:w="180" w:type="dxa"/>
            <w:vAlign w:val="bottom"/>
            <w:tcBorders>
              <w:right w:val="single" w:sz="8" w:color="auto"/>
            </w:tcBorders>
            <w:shd w:val="clear" w:color="auto" w:fill="E7E7E8"/>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600" w:type="dxa"/>
            <w:vAlign w:val="bottom"/>
            <w:tcBorders>
              <w:right w:val="single" w:sz="8" w:color="auto"/>
            </w:tcBorders>
            <w:gridSpan w:val="4"/>
          </w:tcPr>
          <w:p>
            <w:pPr>
              <w:ind w:left="140"/>
              <w:spacing w:after="0" w:line="109" w:lineRule="exact"/>
              <w:rPr>
                <w:sz w:val="20"/>
                <w:szCs w:val="20"/>
                <w:color w:val="auto"/>
              </w:rPr>
            </w:pPr>
            <w:r>
              <w:rPr>
                <w:rFonts w:ascii="Arial" w:cs="Arial" w:eastAsia="Arial" w:hAnsi="Arial"/>
                <w:sz w:val="11"/>
                <w:szCs w:val="11"/>
                <w:color w:val="auto"/>
                <w:w w:val="99"/>
              </w:rPr>
              <w:t>Cash incentives are targeted at a percentage of base salary and range from zero to 200% of target based on the</w:t>
            </w:r>
          </w:p>
        </w:tc>
        <w:tc>
          <w:tcPr>
            <w:tcW w:w="0" w:type="dxa"/>
            <w:vAlign w:val="bottom"/>
          </w:tcPr>
          <w:p>
            <w:pPr>
              <w:spacing w:after="0"/>
              <w:rPr>
                <w:sz w:val="1"/>
                <w:szCs w:val="1"/>
                <w:color w:val="auto"/>
              </w:rPr>
            </w:pPr>
          </w:p>
        </w:tc>
      </w:tr>
      <w:tr>
        <w:trPr>
          <w:trHeight w:val="137"/>
        </w:trPr>
        <w:tc>
          <w:tcPr>
            <w:tcW w:w="180" w:type="dxa"/>
            <w:vAlign w:val="bottom"/>
            <w:tcBorders>
              <w:left w:val="single" w:sz="8" w:color="auto"/>
            </w:tcBorders>
            <w:shd w:val="clear" w:color="auto" w:fill="E7E7E8"/>
          </w:tcPr>
          <w:p>
            <w:pPr>
              <w:spacing w:after="0"/>
              <w:rPr>
                <w:sz w:val="11"/>
                <w:szCs w:val="11"/>
                <w:color w:val="auto"/>
              </w:rPr>
            </w:pPr>
          </w:p>
        </w:tc>
        <w:tc>
          <w:tcPr>
            <w:tcW w:w="1400" w:type="dxa"/>
            <w:vAlign w:val="bottom"/>
            <w:shd w:val="clear" w:color="auto" w:fill="E7E7E8"/>
          </w:tcPr>
          <w:p>
            <w:pPr>
              <w:spacing w:after="0"/>
              <w:rPr>
                <w:sz w:val="20"/>
                <w:szCs w:val="20"/>
                <w:color w:val="auto"/>
              </w:rPr>
            </w:pPr>
            <w:r>
              <w:rPr>
                <w:rFonts w:ascii="Arial" w:cs="Arial" w:eastAsia="Arial" w:hAnsi="Arial"/>
                <w:sz w:val="11"/>
                <w:szCs w:val="11"/>
                <w:color w:val="auto"/>
              </w:rPr>
              <w:t>Short-Term Performance</w:t>
            </w:r>
          </w:p>
        </w:tc>
        <w:tc>
          <w:tcPr>
            <w:tcW w:w="180" w:type="dxa"/>
            <w:vAlign w:val="bottom"/>
            <w:tcBorders>
              <w:right w:val="single" w:sz="8" w:color="auto"/>
            </w:tcBorders>
            <w:shd w:val="clear" w:color="auto" w:fill="E7E7E8"/>
          </w:tcPr>
          <w:p>
            <w:pPr>
              <w:spacing w:after="0"/>
              <w:rPr>
                <w:sz w:val="11"/>
                <w:szCs w:val="11"/>
                <w:color w:val="auto"/>
              </w:rPr>
            </w:pPr>
          </w:p>
        </w:tc>
        <w:tc>
          <w:tcPr>
            <w:tcW w:w="1120" w:type="dxa"/>
            <w:vAlign w:val="bottom"/>
            <w:gridSpan w:val="2"/>
          </w:tcPr>
          <w:p>
            <w:pPr>
              <w:ind w:left="140"/>
              <w:spacing w:after="0"/>
              <w:rPr>
                <w:sz w:val="20"/>
                <w:szCs w:val="20"/>
                <w:color w:val="auto"/>
              </w:rPr>
            </w:pPr>
            <w:r>
              <w:rPr>
                <w:rFonts w:ascii="Arial" w:cs="Arial" w:eastAsia="Arial" w:hAnsi="Arial"/>
                <w:sz w:val="11"/>
                <w:szCs w:val="11"/>
                <w:color w:val="auto"/>
              </w:rPr>
              <w:t>Annual Cash</w:t>
            </w:r>
          </w:p>
        </w:tc>
        <w:tc>
          <w:tcPr>
            <w:tcW w:w="2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To encourage and reward contributions to our annual</w:t>
            </w: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following performance measures:</w:t>
            </w: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shd w:val="clear" w:color="auto" w:fill="E7E7E8"/>
          </w:tcPr>
          <w:p>
            <w:pPr>
              <w:spacing w:after="0"/>
              <w:rPr>
                <w:sz w:val="10"/>
                <w:szCs w:val="10"/>
                <w:color w:val="auto"/>
              </w:rPr>
            </w:pPr>
          </w:p>
        </w:tc>
        <w:tc>
          <w:tcPr>
            <w:tcW w:w="1400" w:type="dxa"/>
            <w:vAlign w:val="bottom"/>
            <w:shd w:val="clear" w:color="auto" w:fill="E7E7E8"/>
          </w:tcPr>
          <w:p>
            <w:pPr>
              <w:spacing w:after="0"/>
              <w:rPr>
                <w:sz w:val="20"/>
                <w:szCs w:val="20"/>
                <w:color w:val="auto"/>
              </w:rPr>
            </w:pPr>
            <w:r>
              <w:rPr>
                <w:rFonts w:ascii="Arial" w:cs="Arial" w:eastAsia="Arial" w:hAnsi="Arial"/>
                <w:sz w:val="11"/>
                <w:szCs w:val="11"/>
                <w:color w:val="auto"/>
              </w:rPr>
              <w:t>Incentive</w:t>
            </w:r>
          </w:p>
        </w:tc>
        <w:tc>
          <w:tcPr>
            <w:tcW w:w="180" w:type="dxa"/>
            <w:vAlign w:val="bottom"/>
            <w:tcBorders>
              <w:right w:val="single" w:sz="8" w:color="auto"/>
            </w:tcBorders>
            <w:shd w:val="clear" w:color="auto" w:fill="E7E7E8"/>
          </w:tcPr>
          <w:p>
            <w:pPr>
              <w:spacing w:after="0"/>
              <w:rPr>
                <w:sz w:val="10"/>
                <w:szCs w:val="10"/>
                <w:color w:val="auto"/>
              </w:rPr>
            </w:pPr>
          </w:p>
        </w:tc>
        <w:tc>
          <w:tcPr>
            <w:tcW w:w="1120" w:type="dxa"/>
            <w:vAlign w:val="bottom"/>
            <w:gridSpan w:val="2"/>
          </w:tcPr>
          <w:p>
            <w:pPr>
              <w:ind w:left="140"/>
              <w:spacing w:after="0"/>
              <w:rPr>
                <w:sz w:val="20"/>
                <w:szCs w:val="20"/>
                <w:color w:val="auto"/>
              </w:rPr>
            </w:pPr>
            <w:r>
              <w:rPr>
                <w:rFonts w:ascii="Arial" w:cs="Arial" w:eastAsia="Arial" w:hAnsi="Arial"/>
                <w:sz w:val="11"/>
                <w:szCs w:val="11"/>
                <w:color w:val="auto"/>
              </w:rPr>
              <w:t>Incentive</w:t>
            </w: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financial objectives through performance-based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80" w:type="dxa"/>
            <w:vAlign w:val="bottom"/>
            <w:tcBorders>
              <w:left w:val="single" w:sz="8" w:color="auto"/>
            </w:tcBorders>
            <w:shd w:val="clear" w:color="auto" w:fill="E7E7E8"/>
          </w:tcPr>
          <w:p>
            <w:pPr>
              <w:spacing w:after="0"/>
              <w:rPr>
                <w:sz w:val="11"/>
                <w:szCs w:val="11"/>
                <w:color w:val="auto"/>
              </w:rPr>
            </w:pPr>
          </w:p>
        </w:tc>
        <w:tc>
          <w:tcPr>
            <w:tcW w:w="1400" w:type="dxa"/>
            <w:vAlign w:val="bottom"/>
            <w:shd w:val="clear" w:color="auto" w:fill="E7E7E8"/>
          </w:tcPr>
          <w:p>
            <w:pPr>
              <w:spacing w:after="0"/>
              <w:rPr>
                <w:sz w:val="11"/>
                <w:szCs w:val="11"/>
                <w:color w:val="auto"/>
              </w:rPr>
            </w:pPr>
          </w:p>
        </w:tc>
        <w:tc>
          <w:tcPr>
            <w:tcW w:w="180" w:type="dxa"/>
            <w:vAlign w:val="bottom"/>
            <w:tcBorders>
              <w:right w:val="single" w:sz="8" w:color="auto"/>
            </w:tcBorders>
            <w:shd w:val="clear" w:color="auto" w:fill="E7E7E8"/>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compensation subject to challenging, yet attainable,</w:t>
            </w: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36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color w:val="auto"/>
                <w:w w:val="99"/>
              </w:rPr>
              <w:t>Income from Operations, excluding Depreciation and Amortization – designed to encourage balanced growth</w:t>
            </w:r>
          </w:p>
        </w:tc>
        <w:tc>
          <w:tcPr>
            <w:tcW w:w="0" w:type="dxa"/>
            <w:vAlign w:val="bottom"/>
          </w:tcPr>
          <w:p>
            <w:pPr>
              <w:spacing w:after="0"/>
              <w:rPr>
                <w:sz w:val="1"/>
                <w:szCs w:val="1"/>
                <w:color w:val="auto"/>
              </w:rPr>
            </w:pPr>
          </w:p>
        </w:tc>
      </w:tr>
      <w:tr>
        <w:trPr>
          <w:trHeight w:val="159"/>
        </w:trPr>
        <w:tc>
          <w:tcPr>
            <w:tcW w:w="180" w:type="dxa"/>
            <w:vAlign w:val="bottom"/>
            <w:tcBorders>
              <w:left w:val="single" w:sz="8" w:color="auto"/>
            </w:tcBorders>
            <w:shd w:val="clear" w:color="auto" w:fill="E7E7E8"/>
          </w:tcPr>
          <w:p>
            <w:pPr>
              <w:spacing w:after="0"/>
              <w:rPr>
                <w:sz w:val="13"/>
                <w:szCs w:val="13"/>
                <w:color w:val="auto"/>
              </w:rPr>
            </w:pPr>
          </w:p>
        </w:tc>
        <w:tc>
          <w:tcPr>
            <w:tcW w:w="1400" w:type="dxa"/>
            <w:vAlign w:val="bottom"/>
            <w:shd w:val="clear" w:color="auto" w:fill="E7E7E8"/>
          </w:tcPr>
          <w:p>
            <w:pPr>
              <w:spacing w:after="0"/>
              <w:rPr>
                <w:sz w:val="13"/>
                <w:szCs w:val="13"/>
                <w:color w:val="auto"/>
              </w:rPr>
            </w:pPr>
          </w:p>
        </w:tc>
        <w:tc>
          <w:tcPr>
            <w:tcW w:w="180" w:type="dxa"/>
            <w:vAlign w:val="bottom"/>
            <w:tcBorders>
              <w:right w:val="single" w:sz="8" w:color="auto"/>
            </w:tcBorders>
            <w:shd w:val="clear" w:color="auto" w:fill="E7E7E8"/>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objective and transparent metrics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6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color w:val="auto"/>
              </w:rPr>
              <w:t>and profitability (weighted 50%);</w:t>
            </w:r>
          </w:p>
        </w:tc>
        <w:tc>
          <w:tcPr>
            <w:tcW w:w="0" w:type="dxa"/>
            <w:vAlign w:val="bottom"/>
          </w:tcPr>
          <w:p>
            <w:pPr>
              <w:spacing w:after="0"/>
              <w:rPr>
                <w:sz w:val="1"/>
                <w:szCs w:val="1"/>
                <w:color w:val="auto"/>
              </w:rPr>
            </w:pPr>
          </w:p>
        </w:tc>
      </w:tr>
      <w:tr>
        <w:trPr>
          <w:trHeight w:val="265"/>
        </w:trPr>
        <w:tc>
          <w:tcPr>
            <w:tcW w:w="180" w:type="dxa"/>
            <w:vAlign w:val="bottom"/>
            <w:tcBorders>
              <w:left w:val="single" w:sz="8" w:color="auto"/>
            </w:tcBorders>
            <w:shd w:val="clear" w:color="auto" w:fill="E7E7E8"/>
          </w:tcPr>
          <w:p>
            <w:pPr>
              <w:spacing w:after="0"/>
              <w:rPr>
                <w:sz w:val="23"/>
                <w:szCs w:val="23"/>
                <w:color w:val="auto"/>
              </w:rPr>
            </w:pPr>
          </w:p>
        </w:tc>
        <w:tc>
          <w:tcPr>
            <w:tcW w:w="1400" w:type="dxa"/>
            <w:vAlign w:val="bottom"/>
            <w:shd w:val="clear" w:color="auto" w:fill="E7E7E8"/>
          </w:tcPr>
          <w:p>
            <w:pPr>
              <w:spacing w:after="0"/>
              <w:rPr>
                <w:sz w:val="23"/>
                <w:szCs w:val="23"/>
                <w:color w:val="auto"/>
              </w:rPr>
            </w:pPr>
          </w:p>
        </w:tc>
        <w:tc>
          <w:tcPr>
            <w:tcW w:w="180" w:type="dxa"/>
            <w:vAlign w:val="bottom"/>
            <w:tcBorders>
              <w:right w:val="single" w:sz="8" w:color="auto"/>
            </w:tcBorders>
            <w:shd w:val="clear" w:color="auto" w:fill="E7E7E8"/>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36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color w:val="auto"/>
                <w:w w:val="97"/>
              </w:rPr>
              <w:t>Income from Operations Margin – defined as Income from Operations as a percentage of Revenue – motivates</w:t>
            </w:r>
          </w:p>
        </w:tc>
        <w:tc>
          <w:tcPr>
            <w:tcW w:w="0" w:type="dxa"/>
            <w:vAlign w:val="bottom"/>
          </w:tcPr>
          <w:p>
            <w:pPr>
              <w:spacing w:after="0"/>
              <w:rPr>
                <w:sz w:val="1"/>
                <w:szCs w:val="1"/>
                <w:color w:val="auto"/>
              </w:rPr>
            </w:pPr>
          </w:p>
        </w:tc>
      </w:tr>
      <w:tr>
        <w:trPr>
          <w:trHeight w:val="146"/>
        </w:trPr>
        <w:tc>
          <w:tcPr>
            <w:tcW w:w="180" w:type="dxa"/>
            <w:vAlign w:val="bottom"/>
            <w:tcBorders>
              <w:left w:val="single" w:sz="8" w:color="auto"/>
            </w:tcBorders>
            <w:shd w:val="clear" w:color="auto" w:fill="E7E7E8"/>
          </w:tcPr>
          <w:p>
            <w:pPr>
              <w:spacing w:after="0"/>
              <w:rPr>
                <w:sz w:val="12"/>
                <w:szCs w:val="12"/>
                <w:color w:val="auto"/>
              </w:rPr>
            </w:pPr>
          </w:p>
        </w:tc>
        <w:tc>
          <w:tcPr>
            <w:tcW w:w="1400" w:type="dxa"/>
            <w:vAlign w:val="bottom"/>
            <w:shd w:val="clear" w:color="auto" w:fill="E7E7E8"/>
          </w:tcPr>
          <w:p>
            <w:pPr>
              <w:spacing w:after="0"/>
              <w:rPr>
                <w:sz w:val="12"/>
                <w:szCs w:val="12"/>
                <w:color w:val="auto"/>
              </w:rPr>
            </w:pPr>
          </w:p>
        </w:tc>
        <w:tc>
          <w:tcPr>
            <w:tcW w:w="180" w:type="dxa"/>
            <w:vAlign w:val="bottom"/>
            <w:tcBorders>
              <w:right w:val="single" w:sz="8" w:color="auto"/>
            </w:tcBorders>
            <w:shd w:val="clear" w:color="auto" w:fill="E7E7E8"/>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6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color w:val="auto"/>
              </w:rPr>
              <w:t>executives to control costs and operate efficiently while focusing on yield (weighted 25%); and</w:t>
            </w:r>
          </w:p>
        </w:tc>
        <w:tc>
          <w:tcPr>
            <w:tcW w:w="0" w:type="dxa"/>
            <w:vAlign w:val="bottom"/>
          </w:tcPr>
          <w:p>
            <w:pPr>
              <w:spacing w:after="0"/>
              <w:rPr>
                <w:sz w:val="1"/>
                <w:szCs w:val="1"/>
                <w:color w:val="auto"/>
              </w:rPr>
            </w:pPr>
          </w:p>
        </w:tc>
      </w:tr>
      <w:tr>
        <w:trPr>
          <w:trHeight w:val="265"/>
        </w:trPr>
        <w:tc>
          <w:tcPr>
            <w:tcW w:w="180" w:type="dxa"/>
            <w:vAlign w:val="bottom"/>
            <w:tcBorders>
              <w:left w:val="single" w:sz="8" w:color="auto"/>
            </w:tcBorders>
            <w:shd w:val="clear" w:color="auto" w:fill="E7E7E8"/>
          </w:tcPr>
          <w:p>
            <w:pPr>
              <w:spacing w:after="0"/>
              <w:rPr>
                <w:sz w:val="23"/>
                <w:szCs w:val="23"/>
                <w:color w:val="auto"/>
              </w:rPr>
            </w:pPr>
          </w:p>
        </w:tc>
        <w:tc>
          <w:tcPr>
            <w:tcW w:w="1400" w:type="dxa"/>
            <w:vAlign w:val="bottom"/>
            <w:shd w:val="clear" w:color="auto" w:fill="E7E7E8"/>
          </w:tcPr>
          <w:p>
            <w:pPr>
              <w:spacing w:after="0"/>
              <w:rPr>
                <w:sz w:val="23"/>
                <w:szCs w:val="23"/>
                <w:color w:val="auto"/>
              </w:rPr>
            </w:pPr>
          </w:p>
        </w:tc>
        <w:tc>
          <w:tcPr>
            <w:tcW w:w="180" w:type="dxa"/>
            <w:vAlign w:val="bottom"/>
            <w:tcBorders>
              <w:right w:val="single" w:sz="8" w:color="auto"/>
            </w:tcBorders>
            <w:shd w:val="clear" w:color="auto" w:fill="E7E7E8"/>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4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536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color w:val="auto"/>
                <w:w w:val="97"/>
              </w:rPr>
              <w:t>Cost Measure – defined as Operating Expense, less depreciation, depletion and amortization, as a percentage</w:t>
            </w: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80" w:type="dxa"/>
            <w:vAlign w:val="bottom"/>
            <w:tcBorders>
              <w:right w:val="single" w:sz="8" w:color="auto"/>
            </w:tcBorders>
            <w:shd w:val="clear" w:color="auto" w:fill="E7E7E8"/>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36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color w:val="auto"/>
              </w:rPr>
              <w:t>of Net Revenue, both less fuel – designed to support cost control innovation initiatives (weighted 25%).</w:t>
            </w:r>
          </w:p>
        </w:tc>
        <w:tc>
          <w:tcPr>
            <w:tcW w:w="0" w:type="dxa"/>
            <w:vAlign w:val="bottom"/>
          </w:tcPr>
          <w:p>
            <w:pPr>
              <w:spacing w:after="0"/>
              <w:rPr>
                <w:sz w:val="1"/>
                <w:szCs w:val="1"/>
                <w:color w:val="auto"/>
              </w:rPr>
            </w:pPr>
          </w:p>
        </w:tc>
      </w:tr>
      <w:tr>
        <w:trPr>
          <w:trHeight w:val="323"/>
        </w:trPr>
        <w:tc>
          <w:tcPr>
            <w:tcW w:w="180" w:type="dxa"/>
            <w:vAlign w:val="bottom"/>
            <w:tcBorders>
              <w:left w:val="single" w:sz="8" w:color="auto"/>
            </w:tcBorders>
            <w:shd w:val="clear" w:color="auto" w:fill="E7E7E8"/>
          </w:tcPr>
          <w:p>
            <w:pPr>
              <w:spacing w:after="0"/>
              <w:rPr>
                <w:sz w:val="24"/>
                <w:szCs w:val="24"/>
                <w:color w:val="auto"/>
              </w:rPr>
            </w:pPr>
          </w:p>
        </w:tc>
        <w:tc>
          <w:tcPr>
            <w:tcW w:w="1400" w:type="dxa"/>
            <w:vAlign w:val="bottom"/>
            <w:shd w:val="clear" w:color="auto" w:fill="E7E7E8"/>
          </w:tcPr>
          <w:p>
            <w:pPr>
              <w:spacing w:after="0"/>
              <w:rPr>
                <w:sz w:val="24"/>
                <w:szCs w:val="24"/>
                <w:color w:val="auto"/>
              </w:rPr>
            </w:pPr>
          </w:p>
        </w:tc>
        <w:tc>
          <w:tcPr>
            <w:tcW w:w="180" w:type="dxa"/>
            <w:vAlign w:val="bottom"/>
            <w:tcBorders>
              <w:right w:val="single" w:sz="8" w:color="auto"/>
            </w:tcBorders>
            <w:shd w:val="clear" w:color="auto" w:fill="E7E7E8"/>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The MD&amp;C Committee has discretion to increase or decrease an individual's payment by up to 25% based on</w:t>
            </w:r>
          </w:p>
        </w:tc>
        <w:tc>
          <w:tcPr>
            <w:tcW w:w="0" w:type="dxa"/>
            <w:vAlign w:val="bottom"/>
          </w:tcPr>
          <w:p>
            <w:pPr>
              <w:spacing w:after="0"/>
              <w:rPr>
                <w:sz w:val="1"/>
                <w:szCs w:val="1"/>
                <w:color w:val="auto"/>
              </w:rPr>
            </w:pPr>
          </w:p>
        </w:tc>
      </w:tr>
      <w:tr>
        <w:trPr>
          <w:trHeight w:val="135"/>
        </w:trPr>
        <w:tc>
          <w:tcPr>
            <w:tcW w:w="180" w:type="dxa"/>
            <w:vAlign w:val="bottom"/>
            <w:tcBorders>
              <w:left w:val="single" w:sz="8" w:color="auto"/>
              <w:bottom w:val="single" w:sz="8" w:color="auto"/>
            </w:tcBorders>
            <w:shd w:val="clear" w:color="auto" w:fill="E7E7E8"/>
          </w:tcPr>
          <w:p>
            <w:pPr>
              <w:spacing w:after="0"/>
              <w:rPr>
                <w:sz w:val="11"/>
                <w:szCs w:val="11"/>
                <w:color w:val="auto"/>
              </w:rPr>
            </w:pPr>
          </w:p>
        </w:tc>
        <w:tc>
          <w:tcPr>
            <w:tcW w:w="1400" w:type="dxa"/>
            <w:vAlign w:val="bottom"/>
            <w:tcBorders>
              <w:bottom w:val="single" w:sz="8" w:color="auto"/>
            </w:tcBorders>
            <w:shd w:val="clear" w:color="auto" w:fill="E7E7E8"/>
          </w:tcPr>
          <w:p>
            <w:pPr>
              <w:spacing w:after="0"/>
              <w:rPr>
                <w:sz w:val="11"/>
                <w:szCs w:val="11"/>
                <w:color w:val="auto"/>
              </w:rPr>
            </w:pPr>
          </w:p>
        </w:tc>
        <w:tc>
          <w:tcPr>
            <w:tcW w:w="180" w:type="dxa"/>
            <w:vAlign w:val="bottom"/>
            <w:tcBorders>
              <w:bottom w:val="single" w:sz="8" w:color="auto"/>
              <w:right w:val="single" w:sz="8" w:color="auto"/>
            </w:tcBorders>
            <w:shd w:val="clear" w:color="auto" w:fill="E7E7E8"/>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560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1"/>
                <w:szCs w:val="11"/>
                <w:color w:val="auto"/>
              </w:rPr>
              <w:t>individual performance, but such modifier has never been used to increase a payment to a named executive.</w:t>
            </w:r>
          </w:p>
        </w:tc>
        <w:tc>
          <w:tcPr>
            <w:tcW w:w="0" w:type="dxa"/>
            <w:vAlign w:val="bottom"/>
          </w:tcPr>
          <w:p>
            <w:pPr>
              <w:spacing w:after="0"/>
              <w:rPr>
                <w:sz w:val="1"/>
                <w:szCs w:val="1"/>
                <w:color w:val="auto"/>
              </w:rPr>
            </w:pPr>
          </w:p>
        </w:tc>
      </w:tr>
      <w:tr>
        <w:trPr>
          <w:trHeight w:val="175"/>
        </w:trPr>
        <w:tc>
          <w:tcPr>
            <w:tcW w:w="158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shd w:val="clear" w:color="auto" w:fill="E7E7E8"/>
          </w:tcPr>
          <w:p>
            <w:pPr>
              <w:spacing w:after="0"/>
              <w:rPr>
                <w:sz w:val="9"/>
                <w:szCs w:val="9"/>
                <w:color w:val="auto"/>
              </w:rPr>
            </w:pPr>
          </w:p>
        </w:tc>
        <w:tc>
          <w:tcPr>
            <w:tcW w:w="1400" w:type="dxa"/>
            <w:vAlign w:val="bottom"/>
            <w:shd w:val="clear" w:color="auto" w:fill="E7E7E8"/>
          </w:tcPr>
          <w:p>
            <w:pPr>
              <w:spacing w:after="0" w:line="109" w:lineRule="exact"/>
              <w:rPr>
                <w:sz w:val="20"/>
                <w:szCs w:val="20"/>
                <w:color w:val="auto"/>
              </w:rPr>
            </w:pPr>
            <w:r>
              <w:rPr>
                <w:rFonts w:ascii="Arial" w:cs="Arial" w:eastAsia="Arial" w:hAnsi="Arial"/>
                <w:sz w:val="11"/>
                <w:szCs w:val="11"/>
                <w:color w:val="auto"/>
              </w:rPr>
              <w:t>Long-Term Performance</w:t>
            </w:r>
          </w:p>
        </w:tc>
        <w:tc>
          <w:tcPr>
            <w:tcW w:w="180" w:type="dxa"/>
            <w:vAlign w:val="bottom"/>
            <w:tcBorders>
              <w:right w:val="single" w:sz="8" w:color="auto"/>
            </w:tcBorders>
            <w:shd w:val="clear" w:color="auto" w:fill="E7E7E8"/>
          </w:tcPr>
          <w:p>
            <w:pPr>
              <w:spacing w:after="0"/>
              <w:rPr>
                <w:sz w:val="9"/>
                <w:szCs w:val="9"/>
                <w:color w:val="auto"/>
              </w:rPr>
            </w:pPr>
          </w:p>
        </w:tc>
        <w:tc>
          <w:tcPr>
            <w:tcW w:w="1120" w:type="dxa"/>
            <w:vAlign w:val="bottom"/>
            <w:gridSpan w:val="2"/>
          </w:tcPr>
          <w:p>
            <w:pPr>
              <w:ind w:left="140"/>
              <w:spacing w:after="0" w:line="109" w:lineRule="exact"/>
              <w:rPr>
                <w:sz w:val="20"/>
                <w:szCs w:val="20"/>
                <w:color w:val="auto"/>
              </w:rPr>
            </w:pPr>
            <w:r>
              <w:rPr>
                <w:rFonts w:ascii="Arial" w:cs="Arial" w:eastAsia="Arial" w:hAnsi="Arial"/>
                <w:sz w:val="11"/>
                <w:szCs w:val="11"/>
                <w:color w:val="auto"/>
              </w:rPr>
              <w:t>Performance Share</w:t>
            </w: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line="109" w:lineRule="exact"/>
              <w:rPr>
                <w:sz w:val="20"/>
                <w:szCs w:val="20"/>
                <w:color w:val="auto"/>
              </w:rPr>
            </w:pPr>
            <w:r>
              <w:rPr>
                <w:rFonts w:ascii="Arial" w:cs="Arial" w:eastAsia="Arial" w:hAnsi="Arial"/>
                <w:sz w:val="11"/>
                <w:szCs w:val="11"/>
                <w:color w:val="auto"/>
                <w:w w:val="95"/>
              </w:rPr>
              <w:t>To encourage and reward building long-term stockholder</w:t>
            </w:r>
          </w:p>
        </w:tc>
        <w:tc>
          <w:tcPr>
            <w:tcW w:w="5600" w:type="dxa"/>
            <w:vAlign w:val="bottom"/>
            <w:tcBorders>
              <w:right w:val="single" w:sz="8" w:color="auto"/>
            </w:tcBorders>
            <w:gridSpan w:val="4"/>
          </w:tcPr>
          <w:p>
            <w:pPr>
              <w:ind w:left="140"/>
              <w:spacing w:after="0" w:line="109" w:lineRule="exact"/>
              <w:rPr>
                <w:sz w:val="20"/>
                <w:szCs w:val="20"/>
                <w:color w:val="auto"/>
              </w:rPr>
            </w:pPr>
            <w:r>
              <w:rPr>
                <w:rFonts w:ascii="Arial" w:cs="Arial" w:eastAsia="Arial" w:hAnsi="Arial"/>
                <w:sz w:val="11"/>
                <w:szCs w:val="11"/>
                <w:color w:val="auto"/>
                <w:w w:val="97"/>
              </w:rPr>
              <w:t>Number of shares delivered range from zero to 200% of the initial target grant based on performance over a three-</w:t>
            </w:r>
          </w:p>
        </w:tc>
        <w:tc>
          <w:tcPr>
            <w:tcW w:w="0" w:type="dxa"/>
            <w:vAlign w:val="bottom"/>
          </w:tcPr>
          <w:p>
            <w:pPr>
              <w:spacing w:after="0"/>
              <w:rPr>
                <w:sz w:val="1"/>
                <w:szCs w:val="1"/>
                <w:color w:val="auto"/>
              </w:rPr>
            </w:pPr>
          </w:p>
        </w:tc>
      </w:tr>
      <w:tr>
        <w:trPr>
          <w:trHeight w:val="146"/>
        </w:trPr>
        <w:tc>
          <w:tcPr>
            <w:tcW w:w="180" w:type="dxa"/>
            <w:vAlign w:val="bottom"/>
            <w:tcBorders>
              <w:left w:val="single" w:sz="8" w:color="auto"/>
            </w:tcBorders>
            <w:shd w:val="clear" w:color="auto" w:fill="E7E7E8"/>
          </w:tcPr>
          <w:p>
            <w:pPr>
              <w:spacing w:after="0"/>
              <w:rPr>
                <w:sz w:val="12"/>
                <w:szCs w:val="12"/>
                <w:color w:val="auto"/>
              </w:rPr>
            </w:pPr>
          </w:p>
        </w:tc>
        <w:tc>
          <w:tcPr>
            <w:tcW w:w="1400" w:type="dxa"/>
            <w:vAlign w:val="bottom"/>
            <w:shd w:val="clear" w:color="auto" w:fill="E7E7E8"/>
          </w:tcPr>
          <w:p>
            <w:pPr>
              <w:spacing w:after="0"/>
              <w:rPr>
                <w:sz w:val="20"/>
                <w:szCs w:val="20"/>
                <w:color w:val="auto"/>
              </w:rPr>
            </w:pPr>
            <w:r>
              <w:rPr>
                <w:rFonts w:ascii="Arial" w:cs="Arial" w:eastAsia="Arial" w:hAnsi="Arial"/>
                <w:sz w:val="11"/>
                <w:szCs w:val="11"/>
                <w:color w:val="auto"/>
              </w:rPr>
              <w:t>Incentives</w:t>
            </w:r>
          </w:p>
        </w:tc>
        <w:tc>
          <w:tcPr>
            <w:tcW w:w="180" w:type="dxa"/>
            <w:vAlign w:val="bottom"/>
            <w:tcBorders>
              <w:right w:val="single" w:sz="8" w:color="auto"/>
            </w:tcBorders>
            <w:shd w:val="clear" w:color="auto" w:fill="E7E7E8"/>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Arial" w:cs="Arial" w:eastAsia="Arial" w:hAnsi="Arial"/>
                <w:sz w:val="11"/>
                <w:szCs w:val="11"/>
                <w:color w:val="auto"/>
              </w:rPr>
              <w:t>Units</w:t>
            </w: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value through successful strategy execution;</w:t>
            </w: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year performance period.</w:t>
            </w:r>
          </w:p>
        </w:tc>
        <w:tc>
          <w:tcPr>
            <w:tcW w:w="0" w:type="dxa"/>
            <w:vAlign w:val="bottom"/>
          </w:tcPr>
          <w:p>
            <w:pPr>
              <w:spacing w:after="0"/>
              <w:rPr>
                <w:sz w:val="1"/>
                <w:szCs w:val="1"/>
                <w:color w:val="auto"/>
              </w:rPr>
            </w:pPr>
          </w:p>
        </w:tc>
      </w:tr>
      <w:tr>
        <w:trPr>
          <w:trHeight w:val="232"/>
        </w:trPr>
        <w:tc>
          <w:tcPr>
            <w:tcW w:w="180" w:type="dxa"/>
            <w:vAlign w:val="bottom"/>
            <w:tcBorders>
              <w:left w:val="single" w:sz="8" w:color="auto"/>
            </w:tcBorders>
            <w:shd w:val="clear" w:color="auto" w:fill="E7E7E8"/>
          </w:tcPr>
          <w:p>
            <w:pPr>
              <w:spacing w:after="0"/>
              <w:rPr>
                <w:sz w:val="20"/>
                <w:szCs w:val="20"/>
                <w:color w:val="auto"/>
              </w:rPr>
            </w:pPr>
          </w:p>
        </w:tc>
        <w:tc>
          <w:tcPr>
            <w:tcW w:w="1400" w:type="dxa"/>
            <w:vAlign w:val="bottom"/>
            <w:shd w:val="clear" w:color="auto" w:fill="E7E7E8"/>
          </w:tcPr>
          <w:p>
            <w:pPr>
              <w:spacing w:after="0"/>
              <w:rPr>
                <w:sz w:val="20"/>
                <w:szCs w:val="20"/>
                <w:color w:val="auto"/>
              </w:rPr>
            </w:pPr>
          </w:p>
        </w:tc>
        <w:tc>
          <w:tcPr>
            <w:tcW w:w="180" w:type="dxa"/>
            <w:vAlign w:val="bottom"/>
            <w:tcBorders>
              <w:right w:val="single" w:sz="8" w:color="auto"/>
            </w:tcBorders>
            <w:shd w:val="clear" w:color="auto" w:fill="E7E7E8"/>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To retain executives; and</w:t>
            </w: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w w:val="99"/>
              </w:rPr>
              <w:t>Payout on half of each executive's PSUs granted in 2018 is dependent on cash flow generation, defined as cash</w:t>
            </w: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80" w:type="dxa"/>
            <w:vAlign w:val="bottom"/>
            <w:tcBorders>
              <w:right w:val="single" w:sz="8" w:color="auto"/>
            </w:tcBorders>
            <w:shd w:val="clear" w:color="auto" w:fill="E7E7E8"/>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flow provided by operating activities with certain exclusions, which continues our focus on capital discipline,</w:t>
            </w:r>
          </w:p>
        </w:tc>
        <w:tc>
          <w:tcPr>
            <w:tcW w:w="0" w:type="dxa"/>
            <w:vAlign w:val="bottom"/>
          </w:tcPr>
          <w:p>
            <w:pPr>
              <w:spacing w:after="0"/>
              <w:rPr>
                <w:sz w:val="1"/>
                <w:szCs w:val="1"/>
                <w:color w:val="auto"/>
              </w:rPr>
            </w:pPr>
          </w:p>
        </w:tc>
      </w:tr>
      <w:tr>
        <w:trPr>
          <w:trHeight w:val="146"/>
        </w:trPr>
        <w:tc>
          <w:tcPr>
            <w:tcW w:w="180" w:type="dxa"/>
            <w:vAlign w:val="bottom"/>
            <w:tcBorders>
              <w:left w:val="single" w:sz="8" w:color="auto"/>
            </w:tcBorders>
            <w:shd w:val="clear" w:color="auto" w:fill="E7E7E8"/>
          </w:tcPr>
          <w:p>
            <w:pPr>
              <w:spacing w:after="0"/>
              <w:rPr>
                <w:sz w:val="12"/>
                <w:szCs w:val="12"/>
                <w:color w:val="auto"/>
              </w:rPr>
            </w:pPr>
          </w:p>
        </w:tc>
        <w:tc>
          <w:tcPr>
            <w:tcW w:w="1400" w:type="dxa"/>
            <w:vAlign w:val="bottom"/>
            <w:shd w:val="clear" w:color="auto" w:fill="E7E7E8"/>
          </w:tcPr>
          <w:p>
            <w:pPr>
              <w:spacing w:after="0"/>
              <w:rPr>
                <w:sz w:val="12"/>
                <w:szCs w:val="12"/>
                <w:color w:val="auto"/>
              </w:rPr>
            </w:pPr>
          </w:p>
        </w:tc>
        <w:tc>
          <w:tcPr>
            <w:tcW w:w="180" w:type="dxa"/>
            <w:vAlign w:val="bottom"/>
            <w:tcBorders>
              <w:right w:val="single" w:sz="8" w:color="auto"/>
            </w:tcBorders>
            <w:shd w:val="clear" w:color="auto" w:fill="E7E7E8"/>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vMerge w:val="restart"/>
          </w:tcPr>
          <w:p>
            <w:pPr>
              <w:spacing w:after="0"/>
              <w:rPr>
                <w:sz w:val="20"/>
                <w:szCs w:val="20"/>
                <w:color w:val="auto"/>
              </w:rPr>
            </w:pPr>
            <w:r>
              <w:rPr>
                <w:rFonts w:ascii="Arial" w:cs="Arial" w:eastAsia="Arial" w:hAnsi="Arial"/>
                <w:sz w:val="11"/>
                <w:szCs w:val="11"/>
                <w:color w:val="auto"/>
                <w:w w:val="98"/>
              </w:rPr>
              <w:t>To increase stockholder alignment through executives'</w:t>
            </w: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while also aligning the Company with stockholders' free cash flow expectations.</w:t>
            </w:r>
          </w:p>
        </w:tc>
        <w:tc>
          <w:tcPr>
            <w:tcW w:w="0" w:type="dxa"/>
            <w:vAlign w:val="bottom"/>
          </w:tcPr>
          <w:p>
            <w:pPr>
              <w:spacing w:after="0"/>
              <w:rPr>
                <w:sz w:val="1"/>
                <w:szCs w:val="1"/>
                <w:color w:val="auto"/>
              </w:rPr>
            </w:pPr>
          </w:p>
        </w:tc>
      </w:tr>
      <w:tr>
        <w:trPr>
          <w:trHeight w:val="37"/>
        </w:trPr>
        <w:tc>
          <w:tcPr>
            <w:tcW w:w="180" w:type="dxa"/>
            <w:vAlign w:val="bottom"/>
            <w:tcBorders>
              <w:left w:val="single" w:sz="8" w:color="auto"/>
            </w:tcBorders>
            <w:shd w:val="clear" w:color="auto" w:fill="E7E7E8"/>
          </w:tcPr>
          <w:p>
            <w:pPr>
              <w:spacing w:after="0"/>
              <w:rPr>
                <w:sz w:val="3"/>
                <w:szCs w:val="3"/>
                <w:color w:val="auto"/>
              </w:rPr>
            </w:pPr>
          </w:p>
        </w:tc>
        <w:tc>
          <w:tcPr>
            <w:tcW w:w="1400" w:type="dxa"/>
            <w:vAlign w:val="bottom"/>
            <w:shd w:val="clear" w:color="auto" w:fill="E7E7E8"/>
          </w:tcPr>
          <w:p>
            <w:pPr>
              <w:spacing w:after="0"/>
              <w:rPr>
                <w:sz w:val="3"/>
                <w:szCs w:val="3"/>
                <w:color w:val="auto"/>
              </w:rPr>
            </w:pPr>
          </w:p>
        </w:tc>
        <w:tc>
          <w:tcPr>
            <w:tcW w:w="180" w:type="dxa"/>
            <w:vAlign w:val="bottom"/>
            <w:tcBorders>
              <w:right w:val="single" w:sz="8" w:color="auto"/>
            </w:tcBorders>
            <w:shd w:val="clear" w:color="auto" w:fill="E7E7E8"/>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1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180" w:type="dxa"/>
            <w:vAlign w:val="bottom"/>
            <w:tcBorders>
              <w:left w:val="single" w:sz="8" w:color="auto"/>
            </w:tcBorders>
            <w:shd w:val="clear" w:color="auto" w:fill="E7E7E8"/>
          </w:tcPr>
          <w:p>
            <w:pPr>
              <w:spacing w:after="0"/>
              <w:rPr>
                <w:sz w:val="12"/>
                <w:szCs w:val="12"/>
                <w:color w:val="auto"/>
              </w:rPr>
            </w:pPr>
          </w:p>
        </w:tc>
        <w:tc>
          <w:tcPr>
            <w:tcW w:w="1400" w:type="dxa"/>
            <w:vAlign w:val="bottom"/>
            <w:shd w:val="clear" w:color="auto" w:fill="E7E7E8"/>
          </w:tcPr>
          <w:p>
            <w:pPr>
              <w:spacing w:after="0"/>
              <w:rPr>
                <w:sz w:val="12"/>
                <w:szCs w:val="12"/>
                <w:color w:val="auto"/>
              </w:rPr>
            </w:pPr>
          </w:p>
        </w:tc>
        <w:tc>
          <w:tcPr>
            <w:tcW w:w="180" w:type="dxa"/>
            <w:vAlign w:val="bottom"/>
            <w:tcBorders>
              <w:right w:val="single" w:sz="8" w:color="auto"/>
            </w:tcBorders>
            <w:shd w:val="clear" w:color="auto" w:fill="E7E7E8"/>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stock ownership</w:t>
            </w:r>
          </w:p>
        </w:tc>
        <w:tc>
          <w:tcPr>
            <w:tcW w:w="5600" w:type="dxa"/>
            <w:vAlign w:val="bottom"/>
            <w:tcBorders>
              <w:right w:val="single" w:sz="8" w:color="auto"/>
            </w:tcBorders>
            <w:gridSpan w:val="4"/>
            <w:vMerge w:val="restart"/>
          </w:tcPr>
          <w:p>
            <w:pPr>
              <w:ind w:left="140"/>
              <w:spacing w:after="0"/>
              <w:rPr>
                <w:sz w:val="20"/>
                <w:szCs w:val="20"/>
                <w:color w:val="auto"/>
              </w:rPr>
            </w:pPr>
            <w:r>
              <w:rPr>
                <w:rFonts w:ascii="Arial" w:cs="Arial" w:eastAsia="Arial" w:hAnsi="Arial"/>
                <w:sz w:val="11"/>
                <w:szCs w:val="11"/>
                <w:color w:val="auto"/>
                <w:w w:val="97"/>
              </w:rPr>
              <w:t>Payout on the remaining half of the PSUs granted in 2018 is dependent on total shareholder return relative to other</w:t>
            </w:r>
          </w:p>
        </w:tc>
        <w:tc>
          <w:tcPr>
            <w:tcW w:w="0" w:type="dxa"/>
            <w:vAlign w:val="bottom"/>
          </w:tcPr>
          <w:p>
            <w:pPr>
              <w:spacing w:after="0"/>
              <w:rPr>
                <w:sz w:val="1"/>
                <w:szCs w:val="1"/>
                <w:color w:val="auto"/>
              </w:rPr>
            </w:pPr>
          </w:p>
        </w:tc>
      </w:tr>
      <w:tr>
        <w:trPr>
          <w:trHeight w:val="106"/>
        </w:trPr>
        <w:tc>
          <w:tcPr>
            <w:tcW w:w="180" w:type="dxa"/>
            <w:vAlign w:val="bottom"/>
            <w:tcBorders>
              <w:left w:val="single" w:sz="8" w:color="auto"/>
            </w:tcBorders>
            <w:shd w:val="clear" w:color="auto" w:fill="E7E7E8"/>
          </w:tcPr>
          <w:p>
            <w:pPr>
              <w:spacing w:after="0"/>
              <w:rPr>
                <w:sz w:val="9"/>
                <w:szCs w:val="9"/>
                <w:color w:val="auto"/>
              </w:rPr>
            </w:pPr>
          </w:p>
        </w:tc>
        <w:tc>
          <w:tcPr>
            <w:tcW w:w="1400" w:type="dxa"/>
            <w:vAlign w:val="bottom"/>
            <w:shd w:val="clear" w:color="auto" w:fill="E7E7E8"/>
          </w:tcPr>
          <w:p>
            <w:pPr>
              <w:spacing w:after="0"/>
              <w:rPr>
                <w:sz w:val="9"/>
                <w:szCs w:val="9"/>
                <w:color w:val="auto"/>
              </w:rPr>
            </w:pPr>
          </w:p>
        </w:tc>
        <w:tc>
          <w:tcPr>
            <w:tcW w:w="180" w:type="dxa"/>
            <w:vAlign w:val="bottom"/>
            <w:tcBorders>
              <w:right w:val="single" w:sz="8" w:color="auto"/>
            </w:tcBorders>
            <w:shd w:val="clear" w:color="auto" w:fill="E7E7E8"/>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560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auto"/>
            </w:tcBorders>
            <w:shd w:val="clear" w:color="auto" w:fill="E7E7E8"/>
          </w:tcPr>
          <w:p>
            <w:pPr>
              <w:spacing w:after="0"/>
              <w:rPr>
                <w:sz w:val="11"/>
                <w:szCs w:val="11"/>
                <w:color w:val="auto"/>
              </w:rPr>
            </w:pPr>
          </w:p>
        </w:tc>
        <w:tc>
          <w:tcPr>
            <w:tcW w:w="1400" w:type="dxa"/>
            <w:vAlign w:val="bottom"/>
            <w:shd w:val="clear" w:color="auto" w:fill="E7E7E8"/>
          </w:tcPr>
          <w:p>
            <w:pPr>
              <w:spacing w:after="0"/>
              <w:rPr>
                <w:sz w:val="11"/>
                <w:szCs w:val="11"/>
                <w:color w:val="auto"/>
              </w:rPr>
            </w:pPr>
          </w:p>
        </w:tc>
        <w:tc>
          <w:tcPr>
            <w:tcW w:w="180" w:type="dxa"/>
            <w:vAlign w:val="bottom"/>
            <w:tcBorders>
              <w:right w:val="single" w:sz="8" w:color="auto"/>
            </w:tcBorders>
            <w:shd w:val="clear" w:color="auto" w:fill="E7E7E8"/>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companies in the S&amp;P 500 over the three-year performance period.</w:t>
            </w:r>
          </w:p>
        </w:tc>
        <w:tc>
          <w:tcPr>
            <w:tcW w:w="0" w:type="dxa"/>
            <w:vAlign w:val="bottom"/>
          </w:tcPr>
          <w:p>
            <w:pPr>
              <w:spacing w:after="0"/>
              <w:rPr>
                <w:sz w:val="1"/>
                <w:szCs w:val="1"/>
                <w:color w:val="auto"/>
              </w:rPr>
            </w:pPr>
          </w:p>
        </w:tc>
      </w:tr>
      <w:tr>
        <w:trPr>
          <w:trHeight w:val="323"/>
        </w:trPr>
        <w:tc>
          <w:tcPr>
            <w:tcW w:w="180" w:type="dxa"/>
            <w:vAlign w:val="bottom"/>
            <w:tcBorders>
              <w:left w:val="single" w:sz="8" w:color="auto"/>
            </w:tcBorders>
            <w:shd w:val="clear" w:color="auto" w:fill="E7E7E8"/>
          </w:tcPr>
          <w:p>
            <w:pPr>
              <w:spacing w:after="0"/>
              <w:rPr>
                <w:sz w:val="24"/>
                <w:szCs w:val="24"/>
                <w:color w:val="auto"/>
              </w:rPr>
            </w:pPr>
          </w:p>
        </w:tc>
        <w:tc>
          <w:tcPr>
            <w:tcW w:w="1400" w:type="dxa"/>
            <w:vAlign w:val="bottom"/>
            <w:shd w:val="clear" w:color="auto" w:fill="E7E7E8"/>
          </w:tcPr>
          <w:p>
            <w:pPr>
              <w:spacing w:after="0"/>
              <w:rPr>
                <w:sz w:val="24"/>
                <w:szCs w:val="24"/>
                <w:color w:val="auto"/>
              </w:rPr>
            </w:pPr>
          </w:p>
        </w:tc>
        <w:tc>
          <w:tcPr>
            <w:tcW w:w="180" w:type="dxa"/>
            <w:vAlign w:val="bottom"/>
            <w:tcBorders>
              <w:right w:val="single" w:sz="8" w:color="auto"/>
            </w:tcBorders>
            <w:shd w:val="clear" w:color="auto" w:fill="E7E7E8"/>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w w:val="97"/>
              </w:rPr>
              <w:t>PSUs earn dividend equivalents that are paid at the end of the performance period based on the number of shares</w:t>
            </w: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80" w:type="dxa"/>
            <w:vAlign w:val="bottom"/>
            <w:tcBorders>
              <w:right w:val="single" w:sz="8" w:color="auto"/>
            </w:tcBorders>
            <w:shd w:val="clear" w:color="auto" w:fill="E7E7E8"/>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w w:val="99"/>
              </w:rPr>
              <w:t>earned. Recipients can defer the receipt of shares, in which case such shares of Common Stock will be paid out,</w:t>
            </w:r>
          </w:p>
        </w:tc>
        <w:tc>
          <w:tcPr>
            <w:tcW w:w="0" w:type="dxa"/>
            <w:vAlign w:val="bottom"/>
          </w:tcPr>
          <w:p>
            <w:pPr>
              <w:spacing w:after="0"/>
              <w:rPr>
                <w:sz w:val="1"/>
                <w:szCs w:val="1"/>
                <w:color w:val="auto"/>
              </w:rPr>
            </w:pPr>
          </w:p>
        </w:tc>
      </w:tr>
      <w:tr>
        <w:trPr>
          <w:trHeight w:val="135"/>
        </w:trPr>
        <w:tc>
          <w:tcPr>
            <w:tcW w:w="180" w:type="dxa"/>
            <w:vAlign w:val="bottom"/>
            <w:tcBorders>
              <w:left w:val="single" w:sz="8" w:color="auto"/>
              <w:bottom w:val="single" w:sz="8" w:color="E7E7E8"/>
            </w:tcBorders>
            <w:shd w:val="clear" w:color="auto" w:fill="E7E7E8"/>
          </w:tcPr>
          <w:p>
            <w:pPr>
              <w:spacing w:after="0"/>
              <w:rPr>
                <w:sz w:val="11"/>
                <w:szCs w:val="11"/>
                <w:color w:val="auto"/>
              </w:rPr>
            </w:pPr>
          </w:p>
        </w:tc>
        <w:tc>
          <w:tcPr>
            <w:tcW w:w="1400" w:type="dxa"/>
            <w:vAlign w:val="bottom"/>
            <w:tcBorders>
              <w:bottom w:val="single" w:sz="8" w:color="E7E7E8"/>
            </w:tcBorders>
            <w:shd w:val="clear" w:color="auto" w:fill="E7E7E8"/>
          </w:tcPr>
          <w:p>
            <w:pPr>
              <w:spacing w:after="0"/>
              <w:rPr>
                <w:sz w:val="11"/>
                <w:szCs w:val="11"/>
                <w:color w:val="auto"/>
              </w:rPr>
            </w:pPr>
          </w:p>
        </w:tc>
        <w:tc>
          <w:tcPr>
            <w:tcW w:w="180" w:type="dxa"/>
            <w:vAlign w:val="bottom"/>
            <w:tcBorders>
              <w:bottom w:val="single" w:sz="8" w:color="E7E7E8"/>
              <w:right w:val="single" w:sz="8" w:color="auto"/>
            </w:tcBorders>
            <w:shd w:val="clear" w:color="auto" w:fill="E7E7E8"/>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560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1"/>
                <w:szCs w:val="11"/>
                <w:color w:val="auto"/>
              </w:rPr>
              <w:t>without interest, at the end of the deferral period.</w:t>
            </w: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shd w:val="clear" w:color="auto" w:fill="E7E7E8"/>
          </w:tcPr>
          <w:p>
            <w:pPr>
              <w:spacing w:after="0"/>
              <w:rPr>
                <w:sz w:val="9"/>
                <w:szCs w:val="9"/>
                <w:color w:val="auto"/>
              </w:rPr>
            </w:pPr>
          </w:p>
        </w:tc>
        <w:tc>
          <w:tcPr>
            <w:tcW w:w="1400" w:type="dxa"/>
            <w:vAlign w:val="bottom"/>
            <w:shd w:val="clear" w:color="auto" w:fill="E7E7E8"/>
          </w:tcPr>
          <w:p>
            <w:pPr>
              <w:spacing w:after="0"/>
              <w:rPr>
                <w:sz w:val="9"/>
                <w:szCs w:val="9"/>
                <w:color w:val="auto"/>
              </w:rPr>
            </w:pPr>
          </w:p>
        </w:tc>
        <w:tc>
          <w:tcPr>
            <w:tcW w:w="180" w:type="dxa"/>
            <w:vAlign w:val="bottom"/>
            <w:tcBorders>
              <w:right w:val="single" w:sz="8" w:color="auto"/>
            </w:tcBorders>
            <w:shd w:val="clear" w:color="auto" w:fill="E7E7E8"/>
          </w:tcPr>
          <w:p>
            <w:pPr>
              <w:spacing w:after="0"/>
              <w:rPr>
                <w:sz w:val="9"/>
                <w:szCs w:val="9"/>
                <w:color w:val="auto"/>
              </w:rPr>
            </w:pPr>
          </w:p>
        </w:tc>
        <w:tc>
          <w:tcPr>
            <w:tcW w:w="1120" w:type="dxa"/>
            <w:vAlign w:val="bottom"/>
            <w:gridSpan w:val="2"/>
          </w:tcPr>
          <w:p>
            <w:pPr>
              <w:ind w:left="140"/>
              <w:spacing w:after="0" w:line="109" w:lineRule="exact"/>
              <w:rPr>
                <w:sz w:val="20"/>
                <w:szCs w:val="20"/>
                <w:color w:val="auto"/>
              </w:rPr>
            </w:pPr>
            <w:r>
              <w:rPr>
                <w:rFonts w:ascii="Arial" w:cs="Arial" w:eastAsia="Arial" w:hAnsi="Arial"/>
                <w:sz w:val="11"/>
                <w:szCs w:val="11"/>
                <w:color w:val="auto"/>
              </w:rPr>
              <w:t>Stock Options</w:t>
            </w: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line="109" w:lineRule="exact"/>
              <w:rPr>
                <w:sz w:val="20"/>
                <w:szCs w:val="20"/>
                <w:color w:val="auto"/>
              </w:rPr>
            </w:pPr>
            <w:r>
              <w:rPr>
                <w:rFonts w:ascii="Arial" w:cs="Arial" w:eastAsia="Arial" w:hAnsi="Arial"/>
                <w:sz w:val="11"/>
                <w:szCs w:val="11"/>
                <w:color w:val="auto"/>
                <w:w w:val="93"/>
              </w:rPr>
              <w:t>To support the growth element of the Company's strategy</w:t>
            </w:r>
          </w:p>
        </w:tc>
        <w:tc>
          <w:tcPr>
            <w:tcW w:w="5600" w:type="dxa"/>
            <w:vAlign w:val="bottom"/>
            <w:tcBorders>
              <w:right w:val="single" w:sz="8" w:color="auto"/>
            </w:tcBorders>
            <w:gridSpan w:val="4"/>
          </w:tcPr>
          <w:p>
            <w:pPr>
              <w:ind w:left="140"/>
              <w:spacing w:after="0" w:line="109" w:lineRule="exact"/>
              <w:rPr>
                <w:sz w:val="20"/>
                <w:szCs w:val="20"/>
                <w:color w:val="auto"/>
              </w:rPr>
            </w:pPr>
            <w:r>
              <w:rPr>
                <w:rFonts w:ascii="Arial" w:cs="Arial" w:eastAsia="Arial" w:hAnsi="Arial"/>
                <w:sz w:val="11"/>
                <w:szCs w:val="11"/>
                <w:color w:val="auto"/>
              </w:rPr>
              <w:t>Stock options vest in 25% increments on the first two anniversaries of the date of grant and the remaining 50%</w:t>
            </w: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80" w:type="dxa"/>
            <w:vAlign w:val="bottom"/>
            <w:tcBorders>
              <w:right w:val="single" w:sz="8" w:color="auto"/>
            </w:tcBorders>
            <w:shd w:val="clear" w:color="auto" w:fill="E7E7E8"/>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20"/>
                <w:szCs w:val="20"/>
                <w:color w:val="auto"/>
              </w:rPr>
            </w:pPr>
            <w:r>
              <w:rPr>
                <w:rFonts w:ascii="Arial" w:cs="Arial" w:eastAsia="Arial" w:hAnsi="Arial"/>
                <w:sz w:val="11"/>
                <w:szCs w:val="11"/>
                <w:color w:val="auto"/>
                <w:w w:val="95"/>
              </w:rPr>
              <w:t>and encourage and reward stock price appreciation over</w:t>
            </w: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vest on the third anniversary.</w:t>
            </w:r>
          </w:p>
        </w:tc>
        <w:tc>
          <w:tcPr>
            <w:tcW w:w="0" w:type="dxa"/>
            <w:vAlign w:val="bottom"/>
          </w:tcPr>
          <w:p>
            <w:pPr>
              <w:spacing w:after="0"/>
              <w:rPr>
                <w:sz w:val="1"/>
                <w:szCs w:val="1"/>
                <w:color w:val="auto"/>
              </w:rPr>
            </w:pPr>
          </w:p>
        </w:tc>
      </w:tr>
      <w:tr>
        <w:trPr>
          <w:trHeight w:val="146"/>
        </w:trPr>
        <w:tc>
          <w:tcPr>
            <w:tcW w:w="180" w:type="dxa"/>
            <w:vAlign w:val="bottom"/>
            <w:tcBorders>
              <w:left w:val="single" w:sz="8" w:color="auto"/>
            </w:tcBorders>
            <w:shd w:val="clear" w:color="auto" w:fill="E7E7E8"/>
          </w:tcPr>
          <w:p>
            <w:pPr>
              <w:spacing w:after="0"/>
              <w:rPr>
                <w:sz w:val="12"/>
                <w:szCs w:val="12"/>
                <w:color w:val="auto"/>
              </w:rPr>
            </w:pPr>
          </w:p>
        </w:tc>
        <w:tc>
          <w:tcPr>
            <w:tcW w:w="1400" w:type="dxa"/>
            <w:vAlign w:val="bottom"/>
            <w:shd w:val="clear" w:color="auto" w:fill="E7E7E8"/>
          </w:tcPr>
          <w:p>
            <w:pPr>
              <w:spacing w:after="0"/>
              <w:rPr>
                <w:sz w:val="12"/>
                <w:szCs w:val="12"/>
                <w:color w:val="auto"/>
              </w:rPr>
            </w:pPr>
          </w:p>
        </w:tc>
        <w:tc>
          <w:tcPr>
            <w:tcW w:w="180" w:type="dxa"/>
            <w:vAlign w:val="bottom"/>
            <w:tcBorders>
              <w:right w:val="single" w:sz="8" w:color="auto"/>
            </w:tcBorders>
            <w:shd w:val="clear" w:color="auto" w:fill="E7E7E8"/>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the long-term;</w:t>
            </w:r>
          </w:p>
        </w:tc>
        <w:tc>
          <w:tcPr>
            <w:tcW w:w="5600" w:type="dxa"/>
            <w:vAlign w:val="bottom"/>
            <w:tcBorders>
              <w:right w:val="single" w:sz="8" w:color="auto"/>
            </w:tcBorders>
            <w:gridSpan w:val="4"/>
            <w:vMerge w:val="restart"/>
          </w:tcPr>
          <w:p>
            <w:pPr>
              <w:ind w:left="140"/>
              <w:spacing w:after="0"/>
              <w:rPr>
                <w:sz w:val="20"/>
                <w:szCs w:val="20"/>
                <w:color w:val="auto"/>
              </w:rPr>
            </w:pPr>
            <w:r>
              <w:rPr>
                <w:rFonts w:ascii="Arial" w:cs="Arial" w:eastAsia="Arial" w:hAnsi="Arial"/>
                <w:sz w:val="11"/>
                <w:szCs w:val="11"/>
                <w:color w:val="auto"/>
              </w:rPr>
              <w:t>Exercise price is the average of the high and low market price of our Common Stock on the date of grant.</w:t>
            </w: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80" w:type="dxa"/>
            <w:vAlign w:val="bottom"/>
            <w:tcBorders>
              <w:right w:val="single" w:sz="8" w:color="auto"/>
            </w:tcBorders>
            <w:shd w:val="clear" w:color="auto" w:fill="E7E7E8"/>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vMerge w:val="restart"/>
          </w:tcPr>
          <w:p>
            <w:pPr>
              <w:spacing w:after="0"/>
              <w:rPr>
                <w:sz w:val="20"/>
                <w:szCs w:val="20"/>
                <w:color w:val="auto"/>
              </w:rPr>
            </w:pPr>
            <w:r>
              <w:rPr>
                <w:rFonts w:ascii="Arial" w:cs="Arial" w:eastAsia="Arial" w:hAnsi="Arial"/>
                <w:sz w:val="11"/>
                <w:szCs w:val="11"/>
                <w:color w:val="auto"/>
              </w:rPr>
              <w:t>To retain executives; and</w:t>
            </w:r>
          </w:p>
        </w:tc>
        <w:tc>
          <w:tcPr>
            <w:tcW w:w="560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80" w:type="dxa"/>
            <w:vAlign w:val="bottom"/>
            <w:tcBorders>
              <w:right w:val="single" w:sz="8" w:color="auto"/>
            </w:tcBorders>
            <w:shd w:val="clear" w:color="auto" w:fill="E7E7E8"/>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0" w:type="dxa"/>
            <w:vAlign w:val="bottom"/>
            <w:tcBorders>
              <w:left w:val="single" w:sz="8" w:color="auto"/>
            </w:tcBorders>
            <w:shd w:val="clear" w:color="auto" w:fill="E7E7E8"/>
          </w:tcPr>
          <w:p>
            <w:pPr>
              <w:spacing w:after="0"/>
              <w:rPr>
                <w:sz w:val="15"/>
                <w:szCs w:val="15"/>
                <w:color w:val="auto"/>
              </w:rPr>
            </w:pPr>
          </w:p>
        </w:tc>
        <w:tc>
          <w:tcPr>
            <w:tcW w:w="1400" w:type="dxa"/>
            <w:vAlign w:val="bottom"/>
            <w:shd w:val="clear" w:color="auto" w:fill="E7E7E8"/>
          </w:tcPr>
          <w:p>
            <w:pPr>
              <w:spacing w:after="0"/>
              <w:rPr>
                <w:sz w:val="15"/>
                <w:szCs w:val="15"/>
                <w:color w:val="auto"/>
              </w:rPr>
            </w:pPr>
          </w:p>
        </w:tc>
        <w:tc>
          <w:tcPr>
            <w:tcW w:w="180" w:type="dxa"/>
            <w:vAlign w:val="bottom"/>
            <w:tcBorders>
              <w:right w:val="single" w:sz="8" w:color="auto"/>
            </w:tcBorders>
            <w:shd w:val="clear" w:color="auto" w:fill="E7E7E8"/>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vMerge w:val="restart"/>
          </w:tcPr>
          <w:p>
            <w:pPr>
              <w:spacing w:after="0"/>
              <w:rPr>
                <w:sz w:val="20"/>
                <w:szCs w:val="20"/>
                <w:color w:val="auto"/>
              </w:rPr>
            </w:pPr>
            <w:r>
              <w:rPr>
                <w:rFonts w:ascii="Arial" w:cs="Arial" w:eastAsia="Arial" w:hAnsi="Arial"/>
                <w:sz w:val="11"/>
                <w:szCs w:val="11"/>
                <w:color w:val="auto"/>
                <w:w w:val="98"/>
              </w:rPr>
              <w:t>To increase stockholder alignment through executives'</w:t>
            </w: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Stock options have a term of ten years.</w:t>
            </w:r>
          </w:p>
        </w:tc>
        <w:tc>
          <w:tcPr>
            <w:tcW w:w="0" w:type="dxa"/>
            <w:vAlign w:val="bottom"/>
          </w:tcPr>
          <w:p>
            <w:pPr>
              <w:spacing w:after="0"/>
              <w:rPr>
                <w:sz w:val="1"/>
                <w:szCs w:val="1"/>
                <w:color w:val="auto"/>
              </w:rPr>
            </w:pPr>
          </w:p>
        </w:tc>
      </w:tr>
      <w:tr>
        <w:trPr>
          <w:trHeight w:val="106"/>
        </w:trPr>
        <w:tc>
          <w:tcPr>
            <w:tcW w:w="180" w:type="dxa"/>
            <w:vAlign w:val="bottom"/>
            <w:tcBorders>
              <w:left w:val="single" w:sz="8" w:color="auto"/>
            </w:tcBorders>
            <w:shd w:val="clear" w:color="auto" w:fill="E7E7E8"/>
          </w:tcPr>
          <w:p>
            <w:pPr>
              <w:spacing w:after="0"/>
              <w:rPr>
                <w:sz w:val="9"/>
                <w:szCs w:val="9"/>
                <w:color w:val="auto"/>
              </w:rPr>
            </w:pPr>
          </w:p>
        </w:tc>
        <w:tc>
          <w:tcPr>
            <w:tcW w:w="1400" w:type="dxa"/>
            <w:vAlign w:val="bottom"/>
            <w:shd w:val="clear" w:color="auto" w:fill="E7E7E8"/>
          </w:tcPr>
          <w:p>
            <w:pPr>
              <w:spacing w:after="0"/>
              <w:rPr>
                <w:sz w:val="9"/>
                <w:szCs w:val="9"/>
                <w:color w:val="auto"/>
              </w:rPr>
            </w:pPr>
          </w:p>
        </w:tc>
        <w:tc>
          <w:tcPr>
            <w:tcW w:w="180" w:type="dxa"/>
            <w:vAlign w:val="bottom"/>
            <w:tcBorders>
              <w:right w:val="single" w:sz="8" w:color="auto"/>
            </w:tcBorders>
            <w:shd w:val="clear" w:color="auto" w:fill="E7E7E8"/>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auto"/>
              <w:bottom w:val="single" w:sz="8" w:color="E7E7E8"/>
            </w:tcBorders>
            <w:shd w:val="clear" w:color="auto" w:fill="E7E7E8"/>
          </w:tcPr>
          <w:p>
            <w:pPr>
              <w:spacing w:after="0"/>
              <w:rPr>
                <w:sz w:val="11"/>
                <w:szCs w:val="11"/>
                <w:color w:val="auto"/>
              </w:rPr>
            </w:pPr>
          </w:p>
        </w:tc>
        <w:tc>
          <w:tcPr>
            <w:tcW w:w="1400" w:type="dxa"/>
            <w:vAlign w:val="bottom"/>
            <w:tcBorders>
              <w:bottom w:val="single" w:sz="8" w:color="E7E7E8"/>
            </w:tcBorders>
            <w:shd w:val="clear" w:color="auto" w:fill="E7E7E8"/>
          </w:tcPr>
          <w:p>
            <w:pPr>
              <w:spacing w:after="0"/>
              <w:rPr>
                <w:sz w:val="11"/>
                <w:szCs w:val="11"/>
                <w:color w:val="auto"/>
              </w:rPr>
            </w:pPr>
          </w:p>
        </w:tc>
        <w:tc>
          <w:tcPr>
            <w:tcW w:w="180" w:type="dxa"/>
            <w:vAlign w:val="bottom"/>
            <w:tcBorders>
              <w:bottom w:val="single" w:sz="8" w:color="E7E7E8"/>
              <w:right w:val="single" w:sz="8" w:color="auto"/>
            </w:tcBorders>
            <w:shd w:val="clear" w:color="auto" w:fill="E7E7E8"/>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stock ownership</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80" w:type="dxa"/>
            <w:vAlign w:val="bottom"/>
            <w:tcBorders>
              <w:left w:val="single" w:sz="8" w:color="auto"/>
            </w:tcBorders>
            <w:shd w:val="clear" w:color="auto" w:fill="E7E7E8"/>
          </w:tcPr>
          <w:p>
            <w:pPr>
              <w:spacing w:after="0"/>
              <w:rPr>
                <w:sz w:val="9"/>
                <w:szCs w:val="9"/>
                <w:color w:val="auto"/>
              </w:rPr>
            </w:pPr>
          </w:p>
        </w:tc>
        <w:tc>
          <w:tcPr>
            <w:tcW w:w="1400" w:type="dxa"/>
            <w:vAlign w:val="bottom"/>
            <w:shd w:val="clear" w:color="auto" w:fill="E7E7E8"/>
          </w:tcPr>
          <w:p>
            <w:pPr>
              <w:spacing w:after="0"/>
              <w:rPr>
                <w:sz w:val="9"/>
                <w:szCs w:val="9"/>
                <w:color w:val="auto"/>
              </w:rPr>
            </w:pPr>
          </w:p>
        </w:tc>
        <w:tc>
          <w:tcPr>
            <w:tcW w:w="180" w:type="dxa"/>
            <w:vAlign w:val="bottom"/>
            <w:tcBorders>
              <w:right w:val="single" w:sz="8" w:color="auto"/>
            </w:tcBorders>
            <w:shd w:val="clear" w:color="auto" w:fill="E7E7E8"/>
          </w:tcPr>
          <w:p>
            <w:pPr>
              <w:spacing w:after="0"/>
              <w:rPr>
                <w:sz w:val="9"/>
                <w:szCs w:val="9"/>
                <w:color w:val="auto"/>
              </w:rPr>
            </w:pPr>
          </w:p>
        </w:tc>
        <w:tc>
          <w:tcPr>
            <w:tcW w:w="1120" w:type="dxa"/>
            <w:vAlign w:val="bottom"/>
            <w:gridSpan w:val="2"/>
          </w:tcPr>
          <w:p>
            <w:pPr>
              <w:ind w:left="140"/>
              <w:spacing w:after="0" w:line="109" w:lineRule="exact"/>
              <w:rPr>
                <w:sz w:val="20"/>
                <w:szCs w:val="20"/>
                <w:color w:val="auto"/>
              </w:rPr>
            </w:pPr>
            <w:r>
              <w:rPr>
                <w:rFonts w:ascii="Arial" w:cs="Arial" w:eastAsia="Arial" w:hAnsi="Arial"/>
                <w:sz w:val="11"/>
                <w:szCs w:val="11"/>
                <w:color w:val="auto"/>
              </w:rPr>
              <w:t>Restricted Stock</w:t>
            </w: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Pr>
          <w:p>
            <w:pPr>
              <w:spacing w:after="0" w:line="109" w:lineRule="exact"/>
              <w:rPr>
                <w:sz w:val="20"/>
                <w:szCs w:val="20"/>
                <w:color w:val="auto"/>
              </w:rPr>
            </w:pPr>
            <w:r>
              <w:rPr>
                <w:rFonts w:ascii="Arial" w:cs="Arial" w:eastAsia="Arial" w:hAnsi="Arial"/>
                <w:sz w:val="11"/>
                <w:szCs w:val="11"/>
                <w:color w:val="auto"/>
                <w:w w:val="96"/>
              </w:rPr>
              <w:t>Used on a limited basis (e.g. promotion and new hire) to</w:t>
            </w:r>
          </w:p>
        </w:tc>
        <w:tc>
          <w:tcPr>
            <w:tcW w:w="5600" w:type="dxa"/>
            <w:vAlign w:val="bottom"/>
            <w:tcBorders>
              <w:right w:val="single" w:sz="8" w:color="auto"/>
            </w:tcBorders>
            <w:gridSpan w:val="4"/>
          </w:tcPr>
          <w:p>
            <w:pPr>
              <w:ind w:left="140"/>
              <w:spacing w:after="0" w:line="109" w:lineRule="exact"/>
              <w:rPr>
                <w:sz w:val="20"/>
                <w:szCs w:val="20"/>
                <w:color w:val="auto"/>
              </w:rPr>
            </w:pPr>
            <w:r>
              <w:rPr>
                <w:rFonts w:ascii="Arial" w:cs="Arial" w:eastAsia="Arial" w:hAnsi="Arial"/>
                <w:sz w:val="11"/>
                <w:szCs w:val="11"/>
                <w:color w:val="auto"/>
              </w:rPr>
              <w:t>Restricted stock units ("RSUs") were granted to Mr. Fish in 2016 in connection with his promotion to Chief</w:t>
            </w:r>
          </w:p>
        </w:tc>
        <w:tc>
          <w:tcPr>
            <w:tcW w:w="0" w:type="dxa"/>
            <w:vAlign w:val="bottom"/>
          </w:tcPr>
          <w:p>
            <w:pPr>
              <w:spacing w:after="0"/>
              <w:rPr>
                <w:sz w:val="1"/>
                <w:szCs w:val="1"/>
                <w:color w:val="auto"/>
              </w:rPr>
            </w:pPr>
          </w:p>
        </w:tc>
      </w:tr>
      <w:tr>
        <w:trPr>
          <w:trHeight w:val="126"/>
        </w:trPr>
        <w:tc>
          <w:tcPr>
            <w:tcW w:w="180" w:type="dxa"/>
            <w:vAlign w:val="bottom"/>
            <w:tcBorders>
              <w:left w:val="single" w:sz="8" w:color="auto"/>
            </w:tcBorders>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80" w:type="dxa"/>
            <w:vAlign w:val="bottom"/>
            <w:tcBorders>
              <w:right w:val="single" w:sz="8" w:color="auto"/>
            </w:tcBorders>
            <w:shd w:val="clear" w:color="auto" w:fill="E7E7E8"/>
          </w:tcPr>
          <w:p>
            <w:pPr>
              <w:spacing w:after="0"/>
              <w:rPr>
                <w:sz w:val="10"/>
                <w:szCs w:val="10"/>
                <w:color w:val="auto"/>
              </w:rPr>
            </w:pPr>
          </w:p>
        </w:tc>
        <w:tc>
          <w:tcPr>
            <w:tcW w:w="1120" w:type="dxa"/>
            <w:vAlign w:val="bottom"/>
            <w:gridSpan w:val="2"/>
          </w:tcPr>
          <w:p>
            <w:pPr>
              <w:ind w:left="140"/>
              <w:spacing w:after="0"/>
              <w:rPr>
                <w:sz w:val="20"/>
                <w:szCs w:val="20"/>
                <w:color w:val="auto"/>
              </w:rPr>
            </w:pPr>
            <w:r>
              <w:rPr>
                <w:rFonts w:ascii="Arial" w:cs="Arial" w:eastAsia="Arial" w:hAnsi="Arial"/>
                <w:sz w:val="11"/>
                <w:szCs w:val="11"/>
                <w:color w:val="auto"/>
              </w:rPr>
              <w:t>Units</w:t>
            </w: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Pr>
          <w:p>
            <w:pPr>
              <w:spacing w:after="0"/>
              <w:rPr>
                <w:sz w:val="20"/>
                <w:szCs w:val="20"/>
                <w:color w:val="auto"/>
              </w:rPr>
            </w:pPr>
            <w:r>
              <w:rPr>
                <w:rFonts w:ascii="Arial" w:cs="Arial" w:eastAsia="Arial" w:hAnsi="Arial"/>
                <w:sz w:val="11"/>
                <w:szCs w:val="11"/>
                <w:color w:val="auto"/>
              </w:rPr>
              <w:t>make awards that encourage and reward long-term</w:t>
            </w: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w w:val="99"/>
              </w:rPr>
              <w:t>Executive Officer. Ms. Rankin received RSUs as part of her annual equity-based incentive compensation prior to</w:t>
            </w:r>
          </w:p>
        </w:tc>
        <w:tc>
          <w:tcPr>
            <w:tcW w:w="0" w:type="dxa"/>
            <w:vAlign w:val="bottom"/>
          </w:tcPr>
          <w:p>
            <w:pPr>
              <w:spacing w:after="0"/>
              <w:rPr>
                <w:sz w:val="1"/>
                <w:szCs w:val="1"/>
                <w:color w:val="auto"/>
              </w:rPr>
            </w:pPr>
          </w:p>
        </w:tc>
      </w:tr>
      <w:tr>
        <w:trPr>
          <w:trHeight w:val="146"/>
        </w:trPr>
        <w:tc>
          <w:tcPr>
            <w:tcW w:w="180" w:type="dxa"/>
            <w:vAlign w:val="bottom"/>
            <w:tcBorders>
              <w:left w:val="single" w:sz="8" w:color="auto"/>
            </w:tcBorders>
            <w:shd w:val="clear" w:color="auto" w:fill="E7E7E8"/>
          </w:tcPr>
          <w:p>
            <w:pPr>
              <w:spacing w:after="0"/>
              <w:rPr>
                <w:sz w:val="12"/>
                <w:szCs w:val="12"/>
                <w:color w:val="auto"/>
              </w:rPr>
            </w:pPr>
          </w:p>
        </w:tc>
        <w:tc>
          <w:tcPr>
            <w:tcW w:w="1400" w:type="dxa"/>
            <w:vAlign w:val="bottom"/>
            <w:shd w:val="clear" w:color="auto" w:fill="E7E7E8"/>
          </w:tcPr>
          <w:p>
            <w:pPr>
              <w:spacing w:after="0"/>
              <w:rPr>
                <w:sz w:val="12"/>
                <w:szCs w:val="12"/>
                <w:color w:val="auto"/>
              </w:rPr>
            </w:pPr>
          </w:p>
        </w:tc>
        <w:tc>
          <w:tcPr>
            <w:tcW w:w="180" w:type="dxa"/>
            <w:vAlign w:val="bottom"/>
            <w:tcBorders>
              <w:right w:val="single" w:sz="8" w:color="auto"/>
            </w:tcBorders>
            <w:shd w:val="clear" w:color="auto" w:fill="E7E7E8"/>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1"/>
                <w:szCs w:val="11"/>
                <w:color w:val="auto"/>
                <w:w w:val="98"/>
              </w:rPr>
              <w:t>performance and increase alignment with stockholders</w:t>
            </w: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her promotion to the senior leadership team.</w:t>
            </w:r>
          </w:p>
        </w:tc>
        <w:tc>
          <w:tcPr>
            <w:tcW w:w="0" w:type="dxa"/>
            <w:vAlign w:val="bottom"/>
          </w:tcPr>
          <w:p>
            <w:pPr>
              <w:spacing w:after="0"/>
              <w:rPr>
                <w:sz w:val="1"/>
                <w:szCs w:val="1"/>
                <w:color w:val="auto"/>
              </w:rPr>
            </w:pPr>
          </w:p>
        </w:tc>
      </w:tr>
      <w:tr>
        <w:trPr>
          <w:trHeight w:val="252"/>
        </w:trPr>
        <w:tc>
          <w:tcPr>
            <w:tcW w:w="180" w:type="dxa"/>
            <w:vAlign w:val="bottom"/>
            <w:tcBorders>
              <w:left w:val="single" w:sz="8" w:color="auto"/>
            </w:tcBorders>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80" w:type="dxa"/>
            <w:vAlign w:val="bottom"/>
            <w:tcBorders>
              <w:right w:val="single" w:sz="8" w:color="auto"/>
            </w:tcBorders>
            <w:shd w:val="clear" w:color="auto" w:fill="E7E7E8"/>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600" w:type="dxa"/>
            <w:vAlign w:val="bottom"/>
            <w:tcBorders>
              <w:right w:val="single" w:sz="8" w:color="auto"/>
            </w:tcBorders>
            <w:gridSpan w:val="4"/>
          </w:tcPr>
          <w:p>
            <w:pPr>
              <w:ind w:left="140"/>
              <w:spacing w:after="0"/>
              <w:rPr>
                <w:sz w:val="20"/>
                <w:szCs w:val="20"/>
                <w:color w:val="auto"/>
              </w:rPr>
            </w:pPr>
            <w:r>
              <w:rPr>
                <w:rFonts w:ascii="Arial" w:cs="Arial" w:eastAsia="Arial" w:hAnsi="Arial"/>
                <w:sz w:val="11"/>
                <w:szCs w:val="11"/>
                <w:color w:val="auto"/>
              </w:rPr>
              <w:t>Time-based vesting aids retention.</w:t>
            </w:r>
          </w:p>
        </w:tc>
        <w:tc>
          <w:tcPr>
            <w:tcW w:w="0" w:type="dxa"/>
            <w:vAlign w:val="bottom"/>
          </w:tcPr>
          <w:p>
            <w:pPr>
              <w:spacing w:after="0"/>
              <w:rPr>
                <w:sz w:val="1"/>
                <w:szCs w:val="1"/>
                <w:color w:val="auto"/>
              </w:rPr>
            </w:pPr>
          </w:p>
        </w:tc>
      </w:tr>
      <w:tr>
        <w:trPr>
          <w:trHeight w:val="298"/>
        </w:trPr>
        <w:tc>
          <w:tcPr>
            <w:tcW w:w="180" w:type="dxa"/>
            <w:vAlign w:val="bottom"/>
            <w:tcBorders>
              <w:left w:val="single" w:sz="8" w:color="auto"/>
              <w:bottom w:val="single" w:sz="8" w:color="auto"/>
            </w:tcBorders>
            <w:shd w:val="clear" w:color="auto" w:fill="E7E7E8"/>
          </w:tcPr>
          <w:p>
            <w:pPr>
              <w:spacing w:after="0"/>
              <w:rPr>
                <w:sz w:val="24"/>
                <w:szCs w:val="24"/>
                <w:color w:val="auto"/>
              </w:rPr>
            </w:pPr>
          </w:p>
        </w:tc>
        <w:tc>
          <w:tcPr>
            <w:tcW w:w="1400" w:type="dxa"/>
            <w:vAlign w:val="bottom"/>
            <w:tcBorders>
              <w:bottom w:val="single" w:sz="8" w:color="auto"/>
            </w:tcBorders>
            <w:shd w:val="clear" w:color="auto" w:fill="E7E7E8"/>
          </w:tcPr>
          <w:p>
            <w:pPr>
              <w:spacing w:after="0"/>
              <w:rPr>
                <w:sz w:val="24"/>
                <w:szCs w:val="24"/>
                <w:color w:val="auto"/>
              </w:rPr>
            </w:pPr>
          </w:p>
        </w:tc>
        <w:tc>
          <w:tcPr>
            <w:tcW w:w="180" w:type="dxa"/>
            <w:vAlign w:val="bottom"/>
            <w:tcBorders>
              <w:bottom w:val="single" w:sz="8" w:color="auto"/>
              <w:right w:val="single" w:sz="8" w:color="auto"/>
            </w:tcBorders>
            <w:shd w:val="clear" w:color="auto" w:fill="E7E7E8"/>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60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1"/>
                <w:szCs w:val="11"/>
                <w:color w:val="auto"/>
              </w:rPr>
              <w:t>Dividends on RSUs accrue and are paid in cash upon 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-3909060</wp:posOffset>
            </wp:positionV>
            <wp:extent cx="292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210" cy="698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-1292860</wp:posOffset>
            </wp:positionV>
            <wp:extent cx="2921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210" cy="698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5"/>
          <w:szCs w:val="15"/>
          <w:i w:val="1"/>
          <w:iCs w:val="1"/>
          <w:u w:val="single" w:color="auto"/>
          <w:color w:val="auto"/>
        </w:rPr>
        <w:t>Deferral Plan</w:t>
      </w:r>
      <w:r>
        <w:rPr>
          <w:rFonts w:ascii="Arial" w:cs="Arial" w:eastAsia="Arial" w:hAnsi="Arial"/>
          <w:sz w:val="15"/>
          <w:szCs w:val="15"/>
          <w:i w:val="1"/>
          <w:iCs w:val="1"/>
          <w:color w:val="auto"/>
        </w:rPr>
        <w:t xml:space="preserve">. </w:t>
      </w:r>
      <w:r>
        <w:rPr>
          <w:rFonts w:ascii="Arial" w:cs="Arial" w:eastAsia="Arial" w:hAnsi="Arial"/>
          <w:sz w:val="15"/>
          <w:szCs w:val="15"/>
          <w:color w:val="auto"/>
        </w:rPr>
        <w:t>Each of our named executive officers is eligible to participate in our 409A Deferral Plan and may elect to defer receipt of portions of their base salary and cash</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2018 table and accompanying disclosure on page 49.</w:t>
      </w:r>
    </w:p>
    <w:p>
      <w:pPr>
        <w:spacing w:after="0" w:line="162" w:lineRule="exact"/>
        <w:rPr>
          <w:sz w:val="20"/>
          <w:szCs w:val="20"/>
          <w:color w:val="auto"/>
        </w:rPr>
      </w:pPr>
    </w:p>
    <w:p>
      <w:pPr>
        <w:jc w:val="both"/>
        <w:ind w:firstLine="395"/>
        <w:spacing w:after="0" w:line="296" w:lineRule="auto"/>
        <w:rPr>
          <w:sz w:val="20"/>
          <w:szCs w:val="20"/>
          <w:color w:val="auto"/>
        </w:rPr>
      </w:pPr>
      <w:r>
        <w:rPr>
          <w:rFonts w:ascii="Arial" w:cs="Arial" w:eastAsia="Arial" w:hAnsi="Arial"/>
          <w:sz w:val="13"/>
          <w:szCs w:val="13"/>
          <w:i w:val="1"/>
          <w:iCs w:val="1"/>
          <w:u w:val="single" w:color="auto"/>
          <w:color w:val="auto"/>
        </w:rPr>
        <w:t>Perquisites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provides very limited perquisites or personal benefits to executive officers, consisting of reimbursement of the cost of physical exams, cost to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for spousal or guest participation in corporate events,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w:t>
      </w:r>
    </w:p>
    <w:p>
      <w:pPr>
        <w:spacing w:after="0" w:line="2"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exceed 90 hours during any calendar year without approval from the Chairman of the MD&amp;C Committee. In 2018, our President and Chief Executive Officer had 2</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11"/>
          <w:szCs w:val="11"/>
          <w:color w:val="auto"/>
        </w:rPr>
        <w:t>4</w:t>
      </w:r>
      <w:r>
        <w:rPr>
          <w:rFonts w:ascii="Arial" w:cs="Arial" w:eastAsia="Arial" w:hAnsi="Arial"/>
          <w:sz w:val="13"/>
          <w:szCs w:val="13"/>
          <w:color w:val="auto"/>
        </w:rPr>
        <w:t xml:space="preserve"> hours of personal use of Company aircraft under this standard. Personal use of the Company's aircraft by other employees is permitted with Chief Executive Officer approval, but this occurs infrequently.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In 2018, the Company also provided retirement gifts to Messrs. Trevathan and Harris to thank them for their service. See note (5) to the Summary Compensation Table below for additional information.</w:t>
      </w:r>
    </w:p>
    <w:p>
      <w:pPr>
        <w:spacing w:after="0" w:line="155"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3"/>
          <w:szCs w:val="13"/>
          <w:i w:val="1"/>
          <w:iCs w:val="1"/>
          <w:u w:val="single" w:color="auto"/>
          <w:color w:val="auto"/>
        </w:rPr>
        <w:t>Post-Employment and Change in Control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provides severance protections that aid in retention of senior leadership by providing the individual with</w:t>
      </w:r>
      <w:r>
        <w:rPr>
          <w:rFonts w:ascii="Arial" w:cs="Arial" w:eastAsia="Arial" w:hAnsi="Arial"/>
          <w:sz w:val="13"/>
          <w:szCs w:val="13"/>
          <w:i w:val="1"/>
          <w:iCs w:val="1"/>
          <w:color w:val="auto"/>
        </w:rPr>
        <w:t xml:space="preserve"> </w:t>
      </w:r>
      <w:r>
        <w:rPr>
          <w:rFonts w:ascii="Arial" w:cs="Arial" w:eastAsia="Arial" w:hAnsi="Arial"/>
          <w:sz w:val="13"/>
          <w:szCs w:val="13"/>
          <w:color w:val="auto"/>
        </w:rPr>
        <w:t>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Named Executive Officer Compensation Decisions are Made</w:t>
      </w:r>
    </w:p>
    <w:p>
      <w:pPr>
        <w:spacing w:after="0" w:line="198" w:lineRule="exact"/>
        <w:rPr>
          <w:sz w:val="20"/>
          <w:szCs w:val="20"/>
          <w:color w:val="auto"/>
        </w:rPr>
      </w:pPr>
    </w:p>
    <w:p>
      <w:pPr>
        <w:jc w:val="both"/>
        <w:ind w:firstLine="442"/>
        <w:spacing w:after="0" w:line="277" w:lineRule="auto"/>
        <w:rPr>
          <w:sz w:val="20"/>
          <w:szCs w:val="20"/>
          <w:color w:val="auto"/>
        </w:rPr>
      </w:pPr>
      <w:r>
        <w:rPr>
          <w:rFonts w:ascii="Arial" w:cs="Arial" w:eastAsia="Arial" w:hAnsi="Arial"/>
          <w:sz w:val="15"/>
          <w:szCs w:val="15"/>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15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5"/>
          <w:szCs w:val="15"/>
          <w:color w:val="auto"/>
        </w:rPr>
        <w:t>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165" w:lineRule="exact"/>
        <w:rPr>
          <w:sz w:val="20"/>
          <w:szCs w:val="20"/>
          <w:color w:val="auto"/>
        </w:rPr>
      </w:pPr>
    </w:p>
    <w:p>
      <w:pPr>
        <w:jc w:val="both"/>
        <w:ind w:right="20" w:firstLine="452"/>
        <w:spacing w:after="0" w:line="277" w:lineRule="auto"/>
        <w:rPr>
          <w:sz w:val="20"/>
          <w:szCs w:val="20"/>
          <w:color w:val="auto"/>
        </w:rPr>
      </w:pPr>
      <w:r>
        <w:rPr>
          <w:rFonts w:ascii="Arial" w:cs="Arial" w:eastAsia="Arial" w:hAnsi="Arial"/>
          <w:sz w:val="15"/>
          <w:szCs w:val="15"/>
          <w:i w:val="1"/>
          <w:iCs w:val="1"/>
          <w:u w:val="single" w:color="auto"/>
          <w:color w:val="auto"/>
        </w:rPr>
        <w:t>Compensation Consultant</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 uses several resources in its analysis of the appropriate compensation for the named executive officers. The MD&amp;C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selects and employs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162" w:lineRule="exact"/>
        <w:rPr>
          <w:sz w:val="20"/>
          <w:szCs w:val="20"/>
          <w:color w:val="auto"/>
        </w:rPr>
      </w:pPr>
    </w:p>
    <w:p>
      <w:pPr>
        <w:jc w:val="both"/>
        <w:ind w:firstLine="507"/>
        <w:spacing w:after="0" w:line="278" w:lineRule="auto"/>
        <w:rPr>
          <w:sz w:val="20"/>
          <w:szCs w:val="20"/>
          <w:color w:val="auto"/>
        </w:rPr>
      </w:pPr>
      <w:r>
        <w:rPr>
          <w:rFonts w:ascii="Arial" w:cs="Arial" w:eastAsia="Arial" w:hAnsi="Arial"/>
          <w:sz w:val="14"/>
          <w:szCs w:val="14"/>
          <w:color w:val="auto"/>
        </w:rPr>
        <w:t>In addition to services related to executive compensation, FW Cook also provides the MD&amp;C Committee information and advice with respect to compensation of the independent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 listing standards. In connection with this process, the MD&amp;C Committee has reviewed, among other items, a letter from FW Cook addressing the independence of FW Cook and the members of the consulting team serving the MD&amp;C Committee, including the following factors: (i) other services provided to us by FW Cook; (ii) fees paid by us as a percentage of FW Cook's total revenue; (iii) policies or procedures of FW Cook that are designed to prevent conflicts of interest; (iv) any business or personal relationships between the senior advisor of the consulting team with a member of the MD&amp;C Committee; (v) any Company stock owned by the senior advisor or any member of his immediate family and (vi)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153" w:lineRule="exact"/>
        <w:rPr>
          <w:sz w:val="20"/>
          <w:szCs w:val="20"/>
          <w:color w:val="auto"/>
        </w:rPr>
      </w:pPr>
    </w:p>
    <w:p>
      <w:pPr>
        <w:jc w:val="both"/>
        <w:ind w:firstLine="372"/>
        <w:spacing w:after="0" w:line="325" w:lineRule="auto"/>
        <w:rPr>
          <w:sz w:val="20"/>
          <w:szCs w:val="20"/>
          <w:color w:val="auto"/>
        </w:rPr>
      </w:pPr>
      <w:r>
        <w:rPr>
          <w:rFonts w:ascii="Arial" w:cs="Arial" w:eastAsia="Arial" w:hAnsi="Arial"/>
          <w:sz w:val="13"/>
          <w:szCs w:val="13"/>
          <w:i w:val="1"/>
          <w:iCs w:val="1"/>
          <w:u w:val="single" w:color="auto"/>
          <w:color w:val="auto"/>
        </w:rPr>
        <w:t>Role of CEO and Human Resources</w:t>
      </w:r>
      <w:r>
        <w:rPr>
          <w:rFonts w:ascii="Arial" w:cs="Arial" w:eastAsia="Arial" w:hAnsi="Arial"/>
          <w:sz w:val="13"/>
          <w:szCs w:val="13"/>
          <w:i w:val="1"/>
          <w:iCs w:val="1"/>
          <w:color w:val="auto"/>
        </w:rPr>
        <w:t xml:space="preserve">. </w:t>
      </w:r>
      <w:r>
        <w:rPr>
          <w:rFonts w:ascii="Arial" w:cs="Arial" w:eastAsia="Arial" w:hAnsi="Arial"/>
          <w:sz w:val="13"/>
          <w:szCs w:val="13"/>
          <w:color w:val="auto"/>
        </w:rPr>
        <w:t>Our President and Chief Executive Officer contributes to compensation determinations by assessing the performance of the other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and providing these assessments with recommendations to the MD&amp;C Committee. Personnel within the Company's Human Resources Department assist the MD&amp;C Committee by working with the independent consultant to provide information requested by the MD&amp;C Committee and assisting it in designing and administering the Company's compensation programs.</w:t>
      </w:r>
    </w:p>
    <w:p>
      <w:pPr>
        <w:spacing w:after="0" w:line="1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5"/>
          <w:szCs w:val="15"/>
          <w:i w:val="1"/>
          <w:iCs w:val="1"/>
          <w:u w:val="single" w:color="auto"/>
          <w:color w:val="auto"/>
        </w:rPr>
        <w:t>Peer Company Comparisons</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 uses compensation information of comparison groups of companies to gauge the competitive market, which is relevant for</w:t>
      </w:r>
      <w:r>
        <w:rPr>
          <w:rFonts w:ascii="Arial" w:cs="Arial" w:eastAsia="Arial" w:hAnsi="Arial"/>
          <w:sz w:val="15"/>
          <w:szCs w:val="15"/>
          <w:i w:val="1"/>
          <w:iCs w:val="1"/>
          <w:color w:val="auto"/>
        </w:rPr>
        <w:t xml:space="preserve"> </w:t>
      </w:r>
      <w:r>
        <w:rPr>
          <w:rFonts w:ascii="Arial" w:cs="Arial" w:eastAsia="Arial" w:hAnsi="Arial"/>
          <w:sz w:val="15"/>
          <w:szCs w:val="15"/>
          <w:color w:val="auto"/>
        </w:rPr>
        <w:t>attracting and retaining key talent and for ensuring that the Company's compensation practices are aligned with prevalent practices. For purposes of establishing the 2018 executive compensation program, the MD&amp;C Committee considered a competitive analysis of total direct compensation levels and compensation mix for our executive officers during the second half of 2017, using information from:</w:t>
      </w:r>
    </w:p>
    <w:p>
      <w:pPr>
        <w:spacing w:after="0" w:line="174" w:lineRule="exact"/>
        <w:rPr>
          <w:sz w:val="20"/>
          <w:szCs w:val="20"/>
          <w:color w:val="auto"/>
        </w:rPr>
      </w:pPr>
    </w:p>
    <w:p>
      <w:pPr>
        <w:jc w:val="both"/>
        <w:ind w:left="900" w:hanging="451"/>
        <w:spacing w:after="0" w:line="262"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Size-adjusted median compensation data from two general industry surveys in which management annually participates; the Aon Hewitt 2017 Total Compensation Measurement ("TCM") survey and the Willis Towers Watson 2017 Compensation Data Bank ("CDB") survey. The Aon Hewitt TCM and Willis Towers Watson CDB surveys include over 500 companies ranging in size from approximately $100 million to $200 billion in annual revenue. Data selected from these surveys is scoped based on Company revenue; and</w:t>
      </w:r>
    </w:p>
    <w:p>
      <w:pPr>
        <w:spacing w:after="0" w:line="185" w:lineRule="exact"/>
        <w:rPr>
          <w:rFonts w:ascii="Arial" w:cs="Arial" w:eastAsia="Arial" w:hAnsi="Arial"/>
          <w:sz w:val="15"/>
          <w:szCs w:val="15"/>
          <w:color w:val="auto"/>
        </w:rPr>
      </w:pPr>
    </w:p>
    <w:p>
      <w:pPr>
        <w:ind w:left="900" w:hanging="451"/>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Median compensation data from a comparison group of 19 publicly traded U.S. companies, described below.</w:t>
      </w:r>
    </w:p>
    <w:p>
      <w:pPr>
        <w:spacing w:after="0" w:line="194" w:lineRule="exact"/>
        <w:rPr>
          <w:sz w:val="20"/>
          <w:szCs w:val="20"/>
          <w:color w:val="auto"/>
        </w:rPr>
      </w:pPr>
    </w:p>
    <w:p>
      <w:pPr>
        <w:jc w:val="both"/>
        <w:ind w:firstLine="581"/>
        <w:spacing w:after="0" w:line="293" w:lineRule="auto"/>
        <w:rPr>
          <w:sz w:val="20"/>
          <w:szCs w:val="20"/>
          <w:color w:val="auto"/>
        </w:rPr>
      </w:pPr>
      <w:r>
        <w:rPr>
          <w:rFonts w:ascii="Arial" w:cs="Arial" w:eastAsia="Arial" w:hAnsi="Arial"/>
          <w:sz w:val="14"/>
          <w:szCs w:val="14"/>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162" w:lineRule="exact"/>
        <w:rPr>
          <w:sz w:val="20"/>
          <w:szCs w:val="20"/>
          <w:color w:val="auto"/>
        </w:rPr>
      </w:pPr>
    </w:p>
    <w:p>
      <w:pPr>
        <w:jc w:val="both"/>
        <w:ind w:firstLine="411"/>
        <w:spacing w:after="0" w:line="265" w:lineRule="auto"/>
        <w:rPr>
          <w:sz w:val="20"/>
          <w:szCs w:val="20"/>
          <w:color w:val="auto"/>
        </w:rPr>
      </w:pPr>
      <w:r>
        <w:rPr>
          <w:rFonts w:ascii="Arial" w:cs="Arial" w:eastAsia="Arial" w:hAnsi="Arial"/>
          <w:sz w:val="15"/>
          <w:szCs w:val="15"/>
          <w:color w:val="auto"/>
        </w:rPr>
        <w:t>The following chart sets forth various size comparisons to companies in the comparison group; this table is provided to evidence that the Company was appropriately positioned within its peer group for purposes of establishing 2018 compensation during 2017. All financial and market data are taken from Standard &amp; Poor's Capital IQ, with financial data as of each company's 2016 fiscal year end and market capitalization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106680</wp:posOffset>
            </wp:positionV>
            <wp:extent cx="4738370" cy="2463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38370" cy="246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4"/>
          <w:szCs w:val="14"/>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148" w:lineRule="exact"/>
        <w:rPr>
          <w:sz w:val="20"/>
          <w:szCs w:val="20"/>
          <w:color w:val="auto"/>
        </w:rPr>
      </w:pPr>
    </w:p>
    <w:p>
      <w:pPr>
        <w:jc w:val="both"/>
        <w:ind w:firstLine="372"/>
        <w:spacing w:after="0" w:line="309" w:lineRule="auto"/>
        <w:rPr>
          <w:sz w:val="20"/>
          <w:szCs w:val="20"/>
          <w:color w:val="auto"/>
        </w:rPr>
      </w:pPr>
      <w:r>
        <w:rPr>
          <w:rFonts w:ascii="Arial" w:cs="Arial" w:eastAsia="Arial" w:hAnsi="Arial"/>
          <w:sz w:val="13"/>
          <w:szCs w:val="13"/>
          <w:i w:val="1"/>
          <w:iCs w:val="1"/>
          <w:u w:val="single" w:color="auto"/>
          <w:color w:val="auto"/>
        </w:rPr>
        <w:t>Allocation of Compensation Elements and Tally Sheets</w:t>
      </w:r>
      <w:r>
        <w:rPr>
          <w:rFonts w:ascii="Arial" w:cs="Arial" w:eastAsia="Arial" w:hAnsi="Arial"/>
          <w:sz w:val="13"/>
          <w:szCs w:val="13"/>
          <w:i w:val="1"/>
          <w:iCs w:val="1"/>
          <w:color w:val="auto"/>
        </w:rPr>
        <w:t xml:space="preserve">. </w:t>
      </w:r>
      <w:r>
        <w:rPr>
          <w:rFonts w:ascii="Arial" w:cs="Arial" w:eastAsia="Arial" w:hAnsi="Arial"/>
          <w:sz w:val="13"/>
          <w:szCs w:val="13"/>
          <w:color w:val="auto"/>
        </w:rPr>
        <w:t>The MD&amp;C Committee considers the forms in which total compensation will be paid to executive officers and seeks to achieve</w:t>
      </w:r>
      <w:r>
        <w:rPr>
          <w:rFonts w:ascii="Arial" w:cs="Arial" w:eastAsia="Arial" w:hAnsi="Arial"/>
          <w:sz w:val="13"/>
          <w:szCs w:val="13"/>
          <w:i w:val="1"/>
          <w:iCs w:val="1"/>
          <w:color w:val="auto"/>
        </w:rPr>
        <w:t xml:space="preserve"> </w:t>
      </w:r>
      <w:r>
        <w:rPr>
          <w:rFonts w:ascii="Arial" w:cs="Arial" w:eastAsia="Arial" w:hAnsi="Arial"/>
          <w:sz w:val="13"/>
          <w:szCs w:val="13"/>
          <w:color w:val="auto"/>
        </w:rPr>
        <w:t>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firstLine="433"/>
        <w:spacing w:after="0" w:line="309" w:lineRule="auto"/>
        <w:rPr>
          <w:sz w:val="20"/>
          <w:szCs w:val="20"/>
          <w:color w:val="auto"/>
        </w:rPr>
      </w:pPr>
      <w:r>
        <w:rPr>
          <w:rFonts w:ascii="Arial" w:cs="Arial" w:eastAsia="Arial" w:hAnsi="Arial"/>
          <w:sz w:val="13"/>
          <w:szCs w:val="13"/>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136" w:lineRule="exact"/>
        <w:rPr>
          <w:sz w:val="20"/>
          <w:szCs w:val="20"/>
          <w:color w:val="auto"/>
        </w:rPr>
      </w:pPr>
    </w:p>
    <w:p>
      <w:pPr>
        <w:jc w:val="both"/>
        <w:ind w:firstLine="369"/>
        <w:spacing w:after="0" w:line="281" w:lineRule="auto"/>
        <w:rPr>
          <w:sz w:val="20"/>
          <w:szCs w:val="20"/>
          <w:color w:val="auto"/>
        </w:rPr>
      </w:pPr>
      <w:r>
        <w:rPr>
          <w:rFonts w:ascii="Arial" w:cs="Arial" w:eastAsia="Arial" w:hAnsi="Arial"/>
          <w:sz w:val="14"/>
          <w:szCs w:val="14"/>
          <w:color w:val="auto"/>
        </w:rPr>
        <w:t>The following charts display the allocation of total 2018 target compensation among base salary, annual cash incentive and long-term incentives for (a) our President and Chief Executive Officer and (b) our other named executives, on average. These charts reflect the MD&amp;C Committee's 2018 desired total mix of target compensation for named executives, which includes 61% of total compensation derived from long-term equity awards, while long-term equity awards comprised 68.5% of our President and Chief Executive Officer's total target compensation. These charts also reflect that approximately 87% of our President and Chief Executive Officer's total target compensation opportunities awarded in 2018 were performance-based, while approximately 80% of the total target compensation established in February 2018 for the other named executives was performance-based. We consider stock options granted under our long-term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100330</wp:posOffset>
            </wp:positionV>
            <wp:extent cx="4912995" cy="1198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12995" cy="119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452"/>
        <w:spacing w:after="0" w:line="286" w:lineRule="auto"/>
        <w:rPr>
          <w:sz w:val="20"/>
          <w:szCs w:val="20"/>
          <w:color w:val="auto"/>
        </w:rPr>
      </w:pPr>
      <w:r>
        <w:rPr>
          <w:rFonts w:ascii="Arial" w:cs="Arial" w:eastAsia="Arial" w:hAnsi="Arial"/>
          <w:sz w:val="14"/>
          <w:szCs w:val="14"/>
          <w:i w:val="1"/>
          <w:iCs w:val="1"/>
          <w:u w:val="single" w:color="auto"/>
          <w:color w:val="auto"/>
        </w:rPr>
        <w:t>Internal Pay Equity</w:t>
      </w:r>
      <w:r>
        <w:rPr>
          <w:rFonts w:ascii="Arial" w:cs="Arial" w:eastAsia="Arial" w:hAnsi="Arial"/>
          <w:sz w:val="14"/>
          <w:szCs w:val="14"/>
          <w:i w:val="1"/>
          <w:iCs w:val="1"/>
          <w:color w:val="auto"/>
        </w:rPr>
        <w:t xml:space="preserve">. </w:t>
      </w:r>
      <w:r>
        <w:rPr>
          <w:rFonts w:ascii="Arial" w:cs="Arial" w:eastAsia="Arial" w:hAnsi="Arial"/>
          <w:sz w:val="14"/>
          <w:szCs w:val="14"/>
          <w:color w:val="auto"/>
        </w:rPr>
        <w:t>The MD&amp;C Committee considers the differentials between compensation of the named executive officers. The MD&amp;C Committee also reviews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comparisons between the President and Chief Executive Officer and the other executive officers, while recognizing the additional responsibilities of the President and Chief Executive Officer and that such differentials will increase in periods of above-target performance and decrease in times of below-target performance. Based on these considerations, the MD&amp;C Committee concluded that the compensation paid to the President and Chief Executive Officer is reasonable compared to that of the other executive officers.</w:t>
      </w:r>
    </w:p>
    <w:p>
      <w:pPr>
        <w:spacing w:after="0" w:line="148"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4"/>
          <w:szCs w:val="14"/>
          <w:i w:val="1"/>
          <w:iCs w:val="1"/>
          <w:u w:val="single" w:color="auto"/>
          <w:color w:val="auto"/>
        </w:rPr>
        <w:t>Policy on Calculation Adjustments</w:t>
      </w:r>
      <w:r>
        <w:rPr>
          <w:rFonts w:ascii="Arial" w:cs="Arial" w:eastAsia="Arial" w:hAnsi="Arial"/>
          <w:sz w:val="14"/>
          <w:szCs w:val="14"/>
          <w:i w:val="1"/>
          <w:iCs w:val="1"/>
          <w:color w:val="auto"/>
        </w:rPr>
        <w:t xml:space="preserve">. </w:t>
      </w:r>
      <w:r>
        <w:rPr>
          <w:rFonts w:ascii="Arial" w:cs="Arial" w:eastAsia="Arial" w:hAnsi="Arial"/>
          <w:sz w:val="14"/>
          <w:szCs w:val="14"/>
          <w:color w:val="auto"/>
        </w:rPr>
        <w:t>In 2014, the MD&amp;C Committee adopted a policy on calculation adjustments that affect payouts under annual and long-term incentive awards in</w:t>
      </w:r>
      <w:r>
        <w:rPr>
          <w:rFonts w:ascii="Arial" w:cs="Arial" w:eastAsia="Arial" w:hAnsi="Arial"/>
          <w:sz w:val="14"/>
          <w:szCs w:val="14"/>
          <w:i w:val="1"/>
          <w:iCs w:val="1"/>
          <w:color w:val="auto"/>
        </w:rPr>
        <w:t xml:space="preserve"> </w:t>
      </w:r>
      <w:r>
        <w:rPr>
          <w:rFonts w:ascii="Arial" w:cs="Arial" w:eastAsia="Arial" w:hAnsi="Arial"/>
          <w:sz w:val="14"/>
          <w:szCs w:val="14"/>
          <w:color w:val="auto"/>
        </w:rPr>
        <w:t>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 community, except that the MD&amp;C Committee has determined that potential adjustments arising from a single transaction or event generally should be disregarded unless, taken together, they change the calculated award payout by at least five percent. For this reason, actual results reported in this proxy statement on financial performance metrics may differ from earnings results reported to the investment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community. The MD&amp;C Committee retains discretion to evaluate all adjustments, both income and expense, as circumstances warrant; however, beginning with long-term equity incentive awards granted in 2017, the MD&amp;C Committee agreed that it shall not have the ability to use negative discretion with respect to the calculation of cash flow for purposes of the PSUs subject to that performance measure, in order to avoid variable accounting treatment for those awards.</w:t>
      </w:r>
    </w:p>
    <w:p>
      <w:pPr>
        <w:spacing w:after="0" w:line="161" w:lineRule="exact"/>
        <w:rPr>
          <w:sz w:val="20"/>
          <w:szCs w:val="20"/>
          <w:color w:val="auto"/>
        </w:rPr>
      </w:pPr>
    </w:p>
    <w:p>
      <w:pPr>
        <w:jc w:val="both"/>
        <w:ind w:firstLine="395"/>
        <w:spacing w:after="0" w:line="283" w:lineRule="auto"/>
        <w:rPr>
          <w:sz w:val="20"/>
          <w:szCs w:val="20"/>
          <w:color w:val="auto"/>
        </w:rPr>
      </w:pPr>
      <w:r>
        <w:rPr>
          <w:rFonts w:ascii="Arial" w:cs="Arial" w:eastAsia="Arial" w:hAnsi="Arial"/>
          <w:sz w:val="14"/>
          <w:szCs w:val="14"/>
          <w:i w:val="1"/>
          <w:iCs w:val="1"/>
          <w:u w:val="single" w:color="auto"/>
          <w:color w:val="auto"/>
        </w:rPr>
        <w:t>Tax and Accounting Matters</w:t>
      </w:r>
      <w:r>
        <w:rPr>
          <w:rFonts w:ascii="Arial" w:cs="Arial" w:eastAsia="Arial" w:hAnsi="Arial"/>
          <w:sz w:val="14"/>
          <w:szCs w:val="14"/>
          <w:i w:val="1"/>
          <w:iCs w:val="1"/>
          <w:color w:val="auto"/>
        </w:rPr>
        <w:t xml:space="preserve">. </w:t>
      </w:r>
      <w:r>
        <w:rPr>
          <w:rFonts w:ascii="Arial" w:cs="Arial" w:eastAsia="Arial" w:hAnsi="Arial"/>
          <w:sz w:val="14"/>
          <w:szCs w:val="14"/>
          <w:color w:val="auto"/>
        </w:rPr>
        <w:t>Our compensation programs were designed to permit the Company to deduct compensation expense under Section 162(m) of the IRC, which historically</w:t>
      </w:r>
      <w:r>
        <w:rPr>
          <w:rFonts w:ascii="Arial" w:cs="Arial" w:eastAsia="Arial" w:hAnsi="Arial"/>
          <w:sz w:val="14"/>
          <w:szCs w:val="14"/>
          <w:i w:val="1"/>
          <w:iCs w:val="1"/>
          <w:color w:val="auto"/>
        </w:rPr>
        <w:t xml:space="preserve"> </w:t>
      </w:r>
      <w:r>
        <w:rPr>
          <w:rFonts w:ascii="Arial" w:cs="Arial" w:eastAsia="Arial" w:hAnsi="Arial"/>
          <w:sz w:val="14"/>
          <w:szCs w:val="14"/>
          <w:color w:val="auto"/>
        </w:rPr>
        <w:t>limited the tax deductibility of annual compensation paid to certain named executives to $1 million, unless the compensation qualified as performance-based. The Company also reserved the right to pay compensation that did not qualify as performance-based. Other than some limited exceptions relating to certain previously-granted awards, the ability to rely on this performance-based exception was eliminated in 2017, and the limitation on deductibility of compensation was expanded to include all named executive officers. As a result, the Company generally may no longer take a deduction for any compensation paid to any of its named executive officers in excess of $1 million.</w:t>
      </w:r>
    </w:p>
    <w:p>
      <w:pPr>
        <w:spacing w:after="0" w:line="150" w:lineRule="exact"/>
        <w:rPr>
          <w:sz w:val="20"/>
          <w:szCs w:val="20"/>
          <w:color w:val="auto"/>
        </w:rPr>
      </w:pPr>
    </w:p>
    <w:p>
      <w:pPr>
        <w:jc w:val="both"/>
        <w:ind w:firstLine="459"/>
        <w:spacing w:after="0" w:line="260" w:lineRule="auto"/>
        <w:rPr>
          <w:sz w:val="20"/>
          <w:szCs w:val="20"/>
          <w:color w:val="auto"/>
        </w:rPr>
      </w:pPr>
      <w:r>
        <w:rPr>
          <w:rFonts w:ascii="Arial" w:cs="Arial" w:eastAsia="Arial" w:hAnsi="Arial"/>
          <w:sz w:val="15"/>
          <w:szCs w:val="15"/>
          <w:color w:val="auto"/>
        </w:rPr>
        <w:t>Section 409A of the IRC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164" w:lineRule="exact"/>
        <w:rPr>
          <w:sz w:val="20"/>
          <w:szCs w:val="20"/>
          <w:color w:val="auto"/>
        </w:rPr>
      </w:pPr>
    </w:p>
    <w:p>
      <w:pPr>
        <w:jc w:val="both"/>
        <w:ind w:firstLine="436"/>
        <w:spacing w:after="0" w:line="260" w:lineRule="auto"/>
        <w:rPr>
          <w:sz w:val="20"/>
          <w:szCs w:val="20"/>
          <w:color w:val="auto"/>
        </w:rPr>
      </w:pPr>
      <w:r>
        <w:rPr>
          <w:rFonts w:ascii="Arial" w:cs="Arial" w:eastAsia="Arial" w:hAnsi="Arial"/>
          <w:sz w:val="15"/>
          <w:szCs w:val="15"/>
          <w:color w:val="auto"/>
        </w:rPr>
        <w:t>We account for equity-based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2018 Compensation Program and Results — Long-Term Equity Incentives"), this "value" will differ from the grant date fair value of awards calculated pursuant to ASC Topic 718.</w:t>
      </w:r>
    </w:p>
    <w:p>
      <w:pPr>
        <w:spacing w:after="0" w:line="164" w:lineRule="exact"/>
        <w:rPr>
          <w:sz w:val="20"/>
          <w:szCs w:val="20"/>
          <w:color w:val="auto"/>
        </w:rPr>
      </w:pPr>
    </w:p>
    <w:p>
      <w:pPr>
        <w:jc w:val="both"/>
        <w:ind w:firstLine="418"/>
        <w:spacing w:after="0" w:line="260" w:lineRule="auto"/>
        <w:rPr>
          <w:sz w:val="20"/>
          <w:szCs w:val="20"/>
          <w:color w:val="auto"/>
        </w:rPr>
      </w:pPr>
      <w:r>
        <w:rPr>
          <w:rFonts w:ascii="Arial" w:cs="Arial" w:eastAsia="Arial" w:hAnsi="Arial"/>
          <w:sz w:val="15"/>
          <w:szCs w:val="15"/>
          <w:i w:val="1"/>
          <w:iCs w:val="1"/>
          <w:u w:val="single" w:color="auto"/>
          <w:color w:val="auto"/>
        </w:rPr>
        <w:t>Risk Assessment</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 uses the structural elements set forth in the Executive Summary earlier to establish compensation that will provide sufficient incentives for</w:t>
      </w:r>
      <w:r>
        <w:rPr>
          <w:rFonts w:ascii="Arial" w:cs="Arial" w:eastAsia="Arial" w:hAnsi="Arial"/>
          <w:sz w:val="15"/>
          <w:szCs w:val="15"/>
          <w:i w:val="1"/>
          <w:iCs w:val="1"/>
          <w:color w:val="auto"/>
        </w:rPr>
        <w:t xml:space="preserve"> </w:t>
      </w:r>
      <w:r>
        <w:rPr>
          <w:rFonts w:ascii="Arial" w:cs="Arial" w:eastAsia="Arial" w:hAnsi="Arial"/>
          <w:sz w:val="15"/>
          <w:szCs w:val="15"/>
          <w:color w:val="auto"/>
        </w:rPr>
        <w:t>named executive officers to drive results while avoiding unnecessary or excessive risk taking that could harm the long-term value of the Company. During 2018,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164" w:lineRule="exact"/>
        <w:rPr>
          <w:sz w:val="20"/>
          <w:szCs w:val="20"/>
          <w:color w:val="auto"/>
        </w:rPr>
      </w:pPr>
    </w:p>
    <w:p>
      <w:pPr>
        <w:jc w:val="both"/>
        <w:ind w:firstLine="406"/>
        <w:spacing w:after="0" w:line="262" w:lineRule="auto"/>
        <w:rPr>
          <w:sz w:val="20"/>
          <w:szCs w:val="20"/>
          <w:color w:val="auto"/>
        </w:rPr>
      </w:pPr>
      <w:r>
        <w:rPr>
          <w:rFonts w:ascii="Arial" w:cs="Arial" w:eastAsia="Arial" w:hAnsi="Arial"/>
          <w:sz w:val="15"/>
          <w:szCs w:val="15"/>
          <w:i w:val="1"/>
          <w:iCs w:val="1"/>
          <w:u w:val="single" w:color="auto"/>
          <w:color w:val="auto"/>
        </w:rPr>
        <w:t>Consideration of Stockholder Advisory Vote on Executive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 MD&amp;C Committee reviews the results of the stockholder advisory vote on executive compensation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considers any implications of such voting results on the Company's compensation programs. In light of the fact that at least 96% of shares present and entitled to vote at the annual meeting have voted in favor of the Company's executive compensation every year since the advisory vote on compensation was implemented, the results of the stockholder advisory votes have not caused the MD&amp;C Committee to recommend any changes to our compensation practices.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Named Executives' 2018 Compensation Program and Results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u w:val="single" w:color="auto"/>
          <w:color w:val="auto"/>
        </w:rPr>
        <w:t>Base Salary</w:t>
      </w:r>
    </w:p>
    <w:p>
      <w:pPr>
        <w:spacing w:after="0" w:line="194"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5"/>
          <w:szCs w:val="15"/>
          <w:color w:val="auto"/>
        </w:rPr>
        <w:t>In February 2018, the MD&amp;C Committee approved increases to the base salaries of named executive officers, consistent with our compensation philosophy and driven by competitive market data, internal pay equity considerations and individual performance relative to the executive's responsibilities and contributions. The table below shows the annual base salary established by the MD&amp;C Committee for each of our named executive officers in February of the corresponding year.</w:t>
      </w:r>
    </w:p>
    <w:p>
      <w:pPr>
        <w:spacing w:after="0" w:line="157" w:lineRule="exact"/>
        <w:rPr>
          <w:sz w:val="20"/>
          <w:szCs w:val="20"/>
          <w:color w:val="auto"/>
        </w:rPr>
      </w:pPr>
    </w:p>
    <w:tbl>
      <w:tblPr>
        <w:tblLayout w:type="fixed"/>
        <w:tblInd w:w="17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0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0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60" w:type="dxa"/>
            <w:vAlign w:val="bottom"/>
            <w:gridSpan w:val="2"/>
          </w:tcPr>
          <w:p>
            <w:pPr>
              <w:spacing w:after="0"/>
              <w:rPr>
                <w:sz w:val="20"/>
                <w:szCs w:val="20"/>
                <w:color w:val="auto"/>
              </w:rPr>
            </w:pPr>
            <w:r>
              <w:rPr>
                <w:rFonts w:ascii="Arial" w:cs="Arial" w:eastAsia="Arial" w:hAnsi="Arial"/>
                <w:sz w:val="15"/>
                <w:szCs w:val="15"/>
                <w:b w:val="1"/>
                <w:bCs w:val="1"/>
                <w:color w:val="auto"/>
              </w:rPr>
              <w:t>Named Executive Officer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86"/>
              <w:spacing w:after="0"/>
              <w:rPr>
                <w:sz w:val="20"/>
                <w:szCs w:val="20"/>
                <w:color w:val="auto"/>
              </w:rPr>
            </w:pPr>
            <w:r>
              <w:rPr>
                <w:rFonts w:ascii="Arial" w:cs="Arial" w:eastAsia="Arial" w:hAnsi="Arial"/>
                <w:sz w:val="15"/>
                <w:szCs w:val="15"/>
                <w:b w:val="1"/>
                <w:bCs w:val="1"/>
                <w:color w:val="auto"/>
                <w:w w:val="89"/>
              </w:rPr>
              <w:t>Base Salary</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Mr. Fish</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1,175,000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Arial" w:cs="Arial" w:eastAsia="Arial" w:hAnsi="Arial"/>
                <w:sz w:val="15"/>
                <w:szCs w:val="15"/>
                <w:color w:val="auto"/>
              </w:rPr>
              <w:t>Ms. Rankin</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500,000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551,900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Mr. Trevathan</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756,500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Pr>
          <w:p>
            <w:pPr>
              <w:spacing w:after="0"/>
              <w:rPr>
                <w:sz w:val="20"/>
                <w:szCs w:val="20"/>
                <w:color w:val="auto"/>
              </w:rPr>
            </w:pPr>
            <w:r>
              <w:rPr>
                <w:rFonts w:ascii="Arial" w:cs="Arial" w:eastAsia="Arial" w:hAnsi="Arial"/>
                <w:sz w:val="15"/>
                <w:szCs w:val="15"/>
                <w:color w:val="auto"/>
              </w:rPr>
              <w:t>Mr. Harris</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691,000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708,275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Mr. Morris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649,850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u w:val="single" w:color="auto"/>
          <w:color w:val="auto"/>
        </w:rPr>
        <w:t>Annual Cash Incentive</w:t>
      </w:r>
    </w:p>
    <w:p>
      <w:pPr>
        <w:spacing w:after="0" w:line="205" w:lineRule="exact"/>
        <w:rPr>
          <w:sz w:val="20"/>
          <w:szCs w:val="20"/>
          <w:color w:val="auto"/>
        </w:rPr>
      </w:pPr>
    </w:p>
    <w:p>
      <w:pPr>
        <w:ind w:left="900" w:hanging="451"/>
        <w:spacing w:after="0" w:line="314" w:lineRule="auto"/>
        <w:tabs>
          <w:tab w:leader="none" w:pos="900"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Annual cash incentives were dependent on the following performance measures: Income from Operations, excluding Depreciation and Amortization; Income from Operations Margin and Operating Expense, less depreciation, depletion and amortization, as a percentage of Net Revenue, both less fuel, or Cost Measure.</w:t>
      </w:r>
    </w:p>
    <w:p>
      <w:pPr>
        <w:spacing w:after="0" w:line="150" w:lineRule="exact"/>
        <w:rPr>
          <w:rFonts w:ascii="Arial" w:cs="Arial" w:eastAsia="Arial" w:hAnsi="Arial"/>
          <w:sz w:val="14"/>
          <w:szCs w:val="14"/>
          <w:color w:val="auto"/>
        </w:rPr>
      </w:pPr>
    </w:p>
    <w:p>
      <w:pPr>
        <w:ind w:left="900" w:right="20" w:hanging="451"/>
        <w:spacing w:after="0" w:line="277"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Company performance on each of the performance measures set forth below resulted in each of the named executives receiving an annual cash incentive payment in March 2019 for fiscal year 2018 equal to 74.8% of target.</w:t>
      </w:r>
    </w:p>
    <w:p>
      <w:pPr>
        <w:spacing w:after="0" w:line="151" w:lineRule="exact"/>
        <w:rPr>
          <w:sz w:val="20"/>
          <w:szCs w:val="20"/>
          <w:color w:val="auto"/>
        </w:rPr>
      </w:pPr>
    </w:p>
    <w:p>
      <w:pPr>
        <w:jc w:val="both"/>
        <w:ind w:firstLine="412"/>
        <w:spacing w:after="0" w:line="260" w:lineRule="auto"/>
        <w:rPr>
          <w:sz w:val="20"/>
          <w:szCs w:val="20"/>
          <w:color w:val="auto"/>
        </w:rPr>
      </w:pPr>
      <w:r>
        <w:rPr>
          <w:rFonts w:ascii="Arial" w:cs="Arial" w:eastAsia="Arial" w:hAnsi="Arial"/>
          <w:sz w:val="15"/>
          <w:szCs w:val="15"/>
          <w:color w:val="auto"/>
        </w:rPr>
        <w:t>The MD&amp;C Committee develops financial performance measures for annual cash incentive awards to drive improvements in business operations, as well as support and fund the long-term strategy of the Company. The MD&amp;C Committee found that the Income from Operations, excluding Depreciation and Amortization, performance measure encourages balanced focus on growth and profitability, while the Income from Operations Margin performance measure continues to keep the Company focused on cost control, operational improvements and yield. The MD&amp;C Committee believes these financial performance measures support and align with the strategy of the Company and are appropriate indicators of our progress toward the Company's goals.</w:t>
      </w:r>
    </w:p>
    <w:p>
      <w:pPr>
        <w:spacing w:after="0" w:line="164" w:lineRule="exact"/>
        <w:rPr>
          <w:sz w:val="20"/>
          <w:szCs w:val="20"/>
          <w:color w:val="auto"/>
        </w:rPr>
      </w:pPr>
    </w:p>
    <w:p>
      <w:pPr>
        <w:jc w:val="both"/>
        <w:ind w:firstLine="459"/>
        <w:spacing w:after="0" w:line="281" w:lineRule="auto"/>
        <w:rPr>
          <w:sz w:val="20"/>
          <w:szCs w:val="20"/>
          <w:color w:val="auto"/>
        </w:rPr>
      </w:pPr>
      <w:r>
        <w:rPr>
          <w:rFonts w:ascii="Arial" w:cs="Arial" w:eastAsia="Arial" w:hAnsi="Arial"/>
          <w:sz w:val="14"/>
          <w:szCs w:val="14"/>
          <w:color w:val="auto"/>
        </w:rPr>
        <w:t>The MD&amp;C Committee also maintained the Cost Measure in 2018 and its focus on operating cost control, after successfully driving reductions in operating cost the prior years. The MD&amp;C Committee observed in 2018 that the results on the Cost Measure were significantly impacted by international trade and regulatory actions that resulted in increased costs and decreased revenues in our recycling line of business; as a result, the MD&amp;C Committee concluded that the results on this performance measure were not ideally aligned with the overall very favorable Company performance in 2018 and the creation of shareholder value. 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and expected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9" w:name="page40"/>
    <w:bookmarkEnd w:id="3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368"/>
        <w:spacing w:after="0"/>
        <w:rPr>
          <w:sz w:val="20"/>
          <w:szCs w:val="20"/>
          <w:color w:val="auto"/>
        </w:rPr>
      </w:pPr>
      <w:r>
        <w:rPr>
          <w:rFonts w:ascii="Arial" w:cs="Arial" w:eastAsia="Arial" w:hAnsi="Arial"/>
          <w:sz w:val="15"/>
          <w:szCs w:val="15"/>
          <w:color w:val="auto"/>
        </w:rPr>
        <w:t>The table below details the performance measures set by the MD&amp;C Committee for purposes of the named executive officers' annual cash incentive for 2018.</w:t>
      </w:r>
    </w:p>
    <w:p>
      <w:pPr>
        <w:spacing w:after="0" w:line="190" w:lineRule="exact"/>
        <w:rPr>
          <w:sz w:val="20"/>
          <w:szCs w:val="20"/>
          <w:color w:val="auto"/>
        </w:rPr>
      </w:pPr>
    </w:p>
    <w:tbl>
      <w:tblPr>
        <w:tblLayout w:type="fixed"/>
        <w:tblInd w:w="1148"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8"/>
              </w:rPr>
              <w:t>Threshold</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1"/>
              </w:rPr>
              <w:t>Target</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5"/>
              </w:rPr>
              <w:t>Maximum</w:t>
            </w:r>
          </w:p>
        </w:tc>
      </w:tr>
      <w:tr>
        <w:trPr>
          <w:trHeight w:val="183"/>
        </w:trPr>
        <w:tc>
          <w:tcPr>
            <w:tcW w:w="53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9"/>
              </w:rPr>
              <w:t>Performance</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89"/>
              </w:rPr>
              <w:t>Performance</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89"/>
              </w:rPr>
              <w:t>Performance</w:t>
            </w:r>
          </w:p>
        </w:tc>
      </w:tr>
      <w:tr>
        <w:trPr>
          <w:trHeight w:val="193"/>
        </w:trPr>
        <w:tc>
          <w:tcPr>
            <w:tcW w:w="53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(60% Payment)</w:t>
            </w: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(100% Payment)</w:t>
            </w: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(200% Payment)</w:t>
            </w:r>
          </w:p>
        </w:tc>
      </w:tr>
      <w:tr>
        <w:trPr>
          <w:trHeight w:val="175"/>
        </w:trPr>
        <w:tc>
          <w:tcPr>
            <w:tcW w:w="5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from Operations, excluding Depreciation and Amortization</w:t>
            </w: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$3.942 billion</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$4.206 billion</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$4.336 billion</w:t>
            </w:r>
          </w:p>
        </w:tc>
      </w:tr>
      <w:tr>
        <w:trPr>
          <w:trHeight w:val="183"/>
        </w:trPr>
        <w:tc>
          <w:tcPr>
            <w:tcW w:w="5300" w:type="dxa"/>
            <w:vAlign w:val="bottom"/>
          </w:tcPr>
          <w:p>
            <w:pPr>
              <w:spacing w:after="0"/>
              <w:rPr>
                <w:sz w:val="20"/>
                <w:szCs w:val="20"/>
                <w:color w:val="auto"/>
              </w:rPr>
            </w:pPr>
            <w:r>
              <w:rPr>
                <w:rFonts w:ascii="Arial" w:cs="Arial" w:eastAsia="Arial" w:hAnsi="Arial"/>
                <w:sz w:val="15"/>
                <w:szCs w:val="15"/>
                <w:b w:val="1"/>
                <w:bCs w:val="1"/>
                <w:color w:val="auto"/>
              </w:rPr>
              <w:t>Income from Operations Margin</w:t>
            </w:r>
          </w:p>
        </w:tc>
        <w:tc>
          <w:tcPr>
            <w:tcW w:w="1160" w:type="dxa"/>
            <w:vAlign w:val="bottom"/>
          </w:tcPr>
          <w:p>
            <w:pPr>
              <w:jc w:val="center"/>
              <w:spacing w:after="0"/>
              <w:rPr>
                <w:sz w:val="20"/>
                <w:szCs w:val="20"/>
                <w:color w:val="auto"/>
              </w:rPr>
            </w:pPr>
            <w:r>
              <w:rPr>
                <w:rFonts w:ascii="Arial" w:cs="Arial" w:eastAsia="Arial" w:hAnsi="Arial"/>
                <w:sz w:val="15"/>
                <w:szCs w:val="15"/>
                <w:color w:val="auto"/>
                <w:w w:val="89"/>
              </w:rPr>
              <w:t>17.9%</w:t>
            </w:r>
          </w:p>
        </w:tc>
        <w:tc>
          <w:tcPr>
            <w:tcW w:w="1360" w:type="dxa"/>
            <w:vAlign w:val="bottom"/>
            <w:gridSpan w:val="2"/>
          </w:tcPr>
          <w:p>
            <w:pPr>
              <w:jc w:val="center"/>
              <w:ind w:left="66"/>
              <w:spacing w:after="0"/>
              <w:rPr>
                <w:sz w:val="20"/>
                <w:szCs w:val="20"/>
                <w:color w:val="auto"/>
              </w:rPr>
            </w:pPr>
            <w:r>
              <w:rPr>
                <w:rFonts w:ascii="Arial" w:cs="Arial" w:eastAsia="Arial" w:hAnsi="Arial"/>
                <w:sz w:val="15"/>
                <w:szCs w:val="15"/>
                <w:color w:val="auto"/>
                <w:w w:val="89"/>
              </w:rPr>
              <w:t>18.5%</w:t>
            </w:r>
          </w:p>
        </w:tc>
        <w:tc>
          <w:tcPr>
            <w:tcW w:w="1360" w:type="dxa"/>
            <w:vAlign w:val="bottom"/>
            <w:gridSpan w:val="2"/>
          </w:tcPr>
          <w:p>
            <w:pPr>
              <w:jc w:val="center"/>
              <w:ind w:left="66"/>
              <w:spacing w:after="0"/>
              <w:rPr>
                <w:sz w:val="20"/>
                <w:szCs w:val="20"/>
                <w:color w:val="auto"/>
              </w:rPr>
            </w:pPr>
            <w:r>
              <w:rPr>
                <w:rFonts w:ascii="Arial" w:cs="Arial" w:eastAsia="Arial" w:hAnsi="Arial"/>
                <w:sz w:val="15"/>
                <w:szCs w:val="15"/>
                <w:color w:val="auto"/>
                <w:w w:val="89"/>
              </w:rPr>
              <w:t>18.8%</w:t>
            </w:r>
          </w:p>
        </w:tc>
      </w:tr>
      <w:tr>
        <w:trPr>
          <w:trHeight w:val="183"/>
        </w:trPr>
        <w:tc>
          <w:tcPr>
            <w:tcW w:w="5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Cost Measure</w:t>
            </w: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59.7%</w:t>
            </w:r>
          </w:p>
        </w:tc>
        <w:tc>
          <w:tcPr>
            <w:tcW w:w="136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89"/>
              </w:rPr>
              <w:t>59.4%</w:t>
            </w:r>
          </w:p>
        </w:tc>
        <w:tc>
          <w:tcPr>
            <w:tcW w:w="1360" w:type="dxa"/>
            <w:vAlign w:val="bottom"/>
            <w:gridSpan w:val="2"/>
            <w:shd w:val="clear" w:color="auto" w:fill="CCEEFF"/>
          </w:tcPr>
          <w:p>
            <w:pPr>
              <w:jc w:val="center"/>
              <w:ind w:left="66"/>
              <w:spacing w:after="0"/>
              <w:rPr>
                <w:sz w:val="20"/>
                <w:szCs w:val="20"/>
                <w:color w:val="auto"/>
              </w:rPr>
            </w:pPr>
            <w:r>
              <w:rPr>
                <w:rFonts w:ascii="Arial" w:cs="Arial" w:eastAsia="Arial" w:hAnsi="Arial"/>
                <w:sz w:val="15"/>
                <w:szCs w:val="15"/>
                <w:color w:val="auto"/>
                <w:w w:val="89"/>
              </w:rPr>
              <w:t>59.1%</w:t>
            </w:r>
          </w:p>
        </w:tc>
      </w:tr>
    </w:tbl>
    <w:p>
      <w:pPr>
        <w:spacing w:after="0" w:line="176" w:lineRule="exact"/>
        <w:rPr>
          <w:sz w:val="20"/>
          <w:szCs w:val="20"/>
          <w:color w:val="auto"/>
        </w:rPr>
      </w:pPr>
    </w:p>
    <w:p>
      <w:pPr>
        <w:ind w:left="368"/>
        <w:spacing w:after="0"/>
        <w:rPr>
          <w:sz w:val="20"/>
          <w:szCs w:val="20"/>
          <w:color w:val="auto"/>
        </w:rPr>
      </w:pPr>
      <w:r>
        <w:rPr>
          <w:rFonts w:ascii="Arial" w:cs="Arial" w:eastAsia="Arial" w:hAnsi="Arial"/>
          <w:sz w:val="13"/>
          <w:szCs w:val="13"/>
          <w:color w:val="auto"/>
        </w:rPr>
        <w:t>The following table sets forth the Company's performance achieved on each of the annual cash incentive performance measures and the payout earned on account of such performance.</w:t>
      </w:r>
    </w:p>
    <w:p>
      <w:pPr>
        <w:spacing w:after="0" w:line="213" w:lineRule="exact"/>
        <w:rPr>
          <w:sz w:val="20"/>
          <w:szCs w:val="20"/>
          <w:color w:val="auto"/>
        </w:rPr>
      </w:pPr>
    </w:p>
    <w:tbl>
      <w:tblPr>
        <w:tblLayout w:type="fixed"/>
        <w:tblInd w:w="1148"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gridSpan w:val="4"/>
          </w:tcPr>
          <w:p>
            <w:pPr>
              <w:jc w:val="center"/>
              <w:ind w:right="1980"/>
              <w:spacing w:after="0"/>
              <w:rPr>
                <w:sz w:val="20"/>
                <w:szCs w:val="20"/>
                <w:color w:val="auto"/>
              </w:rPr>
            </w:pPr>
            <w:r>
              <w:rPr>
                <w:rFonts w:ascii="Arial" w:cs="Arial" w:eastAsia="Arial" w:hAnsi="Arial"/>
                <w:sz w:val="15"/>
                <w:szCs w:val="15"/>
                <w:b w:val="1"/>
                <w:bCs w:val="1"/>
                <w:color w:val="auto"/>
                <w:w w:val="91"/>
              </w:rPr>
              <w:t>Income from Operations,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gridSpan w:val="4"/>
          </w:tcPr>
          <w:p>
            <w:pPr>
              <w:jc w:val="center"/>
              <w:ind w:right="1980"/>
              <w:spacing w:after="0"/>
              <w:rPr>
                <w:sz w:val="20"/>
                <w:szCs w:val="20"/>
                <w:color w:val="auto"/>
              </w:rPr>
            </w:pPr>
            <w:r>
              <w:rPr>
                <w:rFonts w:ascii="Arial" w:cs="Arial" w:eastAsia="Arial" w:hAnsi="Arial"/>
                <w:sz w:val="15"/>
                <w:szCs w:val="15"/>
                <w:b w:val="1"/>
                <w:bCs w:val="1"/>
                <w:color w:val="auto"/>
                <w:w w:val="88"/>
              </w:rPr>
              <w:t>excluding Depreciation</w:t>
            </w:r>
          </w:p>
        </w:tc>
        <w:tc>
          <w:tcPr>
            <w:tcW w:w="202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1"/>
              </w:rPr>
              <w:t>Income from</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gridSpan w:val="4"/>
          </w:tcPr>
          <w:p>
            <w:pPr>
              <w:jc w:val="center"/>
              <w:ind w:right="1980"/>
              <w:spacing w:after="0"/>
              <w:rPr>
                <w:sz w:val="20"/>
                <w:szCs w:val="20"/>
                <w:color w:val="auto"/>
              </w:rPr>
            </w:pPr>
            <w:r>
              <w:rPr>
                <w:rFonts w:ascii="Arial" w:cs="Arial" w:eastAsia="Arial" w:hAnsi="Arial"/>
                <w:sz w:val="15"/>
                <w:szCs w:val="15"/>
                <w:b w:val="1"/>
                <w:bCs w:val="1"/>
                <w:color w:val="auto"/>
                <w:w w:val="93"/>
              </w:rPr>
              <w:t>and Amortization</w:t>
            </w:r>
          </w:p>
        </w:tc>
        <w:tc>
          <w:tcPr>
            <w:tcW w:w="20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3"/>
              </w:rPr>
              <w:t>Operations Margin</w:t>
            </w:r>
          </w:p>
        </w:tc>
        <w:tc>
          <w:tcPr>
            <w:tcW w:w="1700" w:type="dxa"/>
            <w:vAlign w:val="bottom"/>
            <w:gridSpan w:val="3"/>
          </w:tcPr>
          <w:p>
            <w:pPr>
              <w:ind w:left="480"/>
              <w:spacing w:after="0"/>
              <w:rPr>
                <w:sz w:val="20"/>
                <w:szCs w:val="20"/>
                <w:color w:val="auto"/>
              </w:rPr>
            </w:pPr>
            <w:r>
              <w:rPr>
                <w:rFonts w:ascii="Arial" w:cs="Arial" w:eastAsia="Arial" w:hAnsi="Arial"/>
                <w:sz w:val="15"/>
                <w:szCs w:val="15"/>
                <w:b w:val="1"/>
                <w:bCs w:val="1"/>
                <w:color w:val="auto"/>
              </w:rPr>
              <w:t>Cost Measure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9"/>
              </w:rPr>
              <w:t>Total</w:t>
            </w:r>
          </w:p>
        </w:tc>
      </w:tr>
      <w:tr>
        <w:trPr>
          <w:trHeight w:val="19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40" w:type="dxa"/>
            <w:vAlign w:val="bottom"/>
            <w:gridSpan w:val="4"/>
          </w:tcPr>
          <w:p>
            <w:pPr>
              <w:jc w:val="center"/>
              <w:ind w:right="1980"/>
              <w:spacing w:after="0"/>
              <w:rPr>
                <w:sz w:val="20"/>
                <w:szCs w:val="20"/>
                <w:color w:val="auto"/>
              </w:rPr>
            </w:pPr>
            <w:r>
              <w:rPr>
                <w:rFonts w:ascii="Arial" w:cs="Arial" w:eastAsia="Arial" w:hAnsi="Arial"/>
                <w:sz w:val="15"/>
                <w:szCs w:val="15"/>
                <w:b w:val="1"/>
                <w:bCs w:val="1"/>
                <w:color w:val="auto"/>
                <w:w w:val="93"/>
              </w:rPr>
              <w:t>(weighted 50%)</w:t>
            </w:r>
          </w:p>
        </w:tc>
        <w:tc>
          <w:tcPr>
            <w:tcW w:w="20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1"/>
              </w:rPr>
              <w:t>(weighted 25%)</w:t>
            </w:r>
          </w:p>
        </w:tc>
        <w:tc>
          <w:tcPr>
            <w:tcW w:w="1700" w:type="dxa"/>
            <w:vAlign w:val="bottom"/>
            <w:gridSpan w:val="3"/>
          </w:tcPr>
          <w:p>
            <w:pPr>
              <w:ind w:left="420"/>
              <w:spacing w:after="0"/>
              <w:rPr>
                <w:sz w:val="20"/>
                <w:szCs w:val="20"/>
                <w:color w:val="auto"/>
              </w:rPr>
            </w:pPr>
            <w:r>
              <w:rPr>
                <w:rFonts w:ascii="Arial" w:cs="Arial" w:eastAsia="Arial" w:hAnsi="Arial"/>
                <w:sz w:val="15"/>
                <w:szCs w:val="15"/>
                <w:b w:val="1"/>
                <w:bCs w:val="1"/>
                <w:color w:val="auto"/>
              </w:rPr>
              <w:t>(weighted 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1"/>
              </w:rPr>
              <w:t>Payout Earned</w:t>
            </w:r>
          </w:p>
        </w:tc>
      </w:tr>
      <w:tr>
        <w:trPr>
          <w:trHeight w:val="163"/>
        </w:trPr>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ind w:left="280"/>
              <w:spacing w:after="0" w:line="164" w:lineRule="exact"/>
              <w:rPr>
                <w:sz w:val="20"/>
                <w:szCs w:val="20"/>
                <w:color w:val="auto"/>
              </w:rPr>
            </w:pPr>
            <w:r>
              <w:rPr>
                <w:rFonts w:ascii="Arial" w:cs="Arial" w:eastAsia="Arial" w:hAnsi="Arial"/>
                <w:sz w:val="15"/>
                <w:szCs w:val="15"/>
                <w:b w:val="1"/>
                <w:bCs w:val="1"/>
                <w:color w:val="auto"/>
              </w:rPr>
              <w:t>Payout</w:t>
            </w:r>
          </w:p>
        </w:tc>
        <w:tc>
          <w:tcPr>
            <w:tcW w:w="17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ind w:left="240"/>
              <w:spacing w:after="0" w:line="164" w:lineRule="exact"/>
              <w:rPr>
                <w:sz w:val="20"/>
                <w:szCs w:val="20"/>
                <w:color w:val="auto"/>
              </w:rPr>
            </w:pPr>
            <w:r>
              <w:rPr>
                <w:rFonts w:ascii="Arial" w:cs="Arial" w:eastAsia="Arial" w:hAnsi="Arial"/>
                <w:sz w:val="15"/>
                <w:szCs w:val="15"/>
                <w:b w:val="1"/>
                <w:bCs w:val="1"/>
                <w:color w:val="auto"/>
              </w:rPr>
              <w:t>Payout</w:t>
            </w:r>
          </w:p>
        </w:tc>
        <w:tc>
          <w:tcPr>
            <w:tcW w:w="1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240"/>
              <w:spacing w:after="0" w:line="164" w:lineRule="exact"/>
              <w:rPr>
                <w:sz w:val="20"/>
                <w:szCs w:val="20"/>
                <w:color w:val="auto"/>
              </w:rPr>
            </w:pPr>
            <w:r>
              <w:rPr>
                <w:rFonts w:ascii="Arial" w:cs="Arial" w:eastAsia="Arial" w:hAnsi="Arial"/>
                <w:sz w:val="15"/>
                <w:szCs w:val="15"/>
                <w:b w:val="1"/>
                <w:bCs w:val="1"/>
                <w:color w:val="auto"/>
                <w:w w:val="99"/>
              </w:rPr>
              <w:t>Payout</w:t>
            </w:r>
          </w:p>
        </w:tc>
        <w:tc>
          <w:tcPr>
            <w:tcW w:w="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line="164" w:lineRule="exact"/>
              <w:rPr>
                <w:sz w:val="20"/>
                <w:szCs w:val="20"/>
                <w:color w:val="auto"/>
              </w:rPr>
            </w:pPr>
            <w:r>
              <w:rPr>
                <w:rFonts w:ascii="Arial" w:cs="Arial" w:eastAsia="Arial" w:hAnsi="Arial"/>
                <w:sz w:val="15"/>
                <w:szCs w:val="15"/>
                <w:b w:val="1"/>
                <w:bCs w:val="1"/>
                <w:color w:val="auto"/>
                <w:w w:val="87"/>
              </w:rPr>
              <w:t>(as a percentage</w:t>
            </w:r>
          </w:p>
        </w:tc>
      </w:tr>
      <w:tr>
        <w:trPr>
          <w:trHeight w:val="193"/>
        </w:trPr>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Actual</w:t>
            </w:r>
          </w:p>
        </w:tc>
        <w:tc>
          <w:tcPr>
            <w:tcW w:w="140" w:type="dxa"/>
            <w:vAlign w:val="bottom"/>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Earned</w:t>
            </w:r>
          </w:p>
        </w:tc>
        <w:tc>
          <w:tcPr>
            <w:tcW w:w="1780" w:type="dxa"/>
            <w:vAlign w:val="bottom"/>
          </w:tcPr>
          <w:p>
            <w:pPr>
              <w:spacing w:after="0"/>
              <w:rPr>
                <w:sz w:val="16"/>
                <w:szCs w:val="16"/>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Actual</w:t>
            </w:r>
          </w:p>
        </w:tc>
        <w:tc>
          <w:tcPr>
            <w:tcW w:w="140" w:type="dxa"/>
            <w:vAlign w:val="bottom"/>
          </w:tcPr>
          <w:p>
            <w:pPr>
              <w:spacing w:after="0"/>
              <w:rPr>
                <w:sz w:val="16"/>
                <w:szCs w:val="16"/>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Earned</w:t>
            </w:r>
          </w:p>
        </w:tc>
        <w:tc>
          <w:tcPr>
            <w:tcW w:w="140" w:type="dxa"/>
            <w:vAlign w:val="bottom"/>
          </w:tcPr>
          <w:p>
            <w:pPr>
              <w:spacing w:after="0"/>
              <w:rPr>
                <w:sz w:val="16"/>
                <w:szCs w:val="16"/>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Actual</w:t>
            </w:r>
          </w:p>
        </w:tc>
        <w:tc>
          <w:tcPr>
            <w:tcW w:w="140" w:type="dxa"/>
            <w:vAlign w:val="bottom"/>
          </w:tcPr>
          <w:p>
            <w:pPr>
              <w:spacing w:after="0"/>
              <w:rPr>
                <w:sz w:val="16"/>
                <w:szCs w:val="16"/>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Earned</w:t>
            </w:r>
          </w:p>
        </w:tc>
        <w:tc>
          <w:tcPr>
            <w:tcW w:w="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of Target)</w:t>
            </w:r>
          </w:p>
        </w:tc>
      </w:tr>
      <w:tr>
        <w:trPr>
          <w:trHeight w:val="175"/>
        </w:trPr>
        <w:tc>
          <w:tcPr>
            <w:tcW w:w="20" w:type="dxa"/>
            <w:vAlign w:val="bottom"/>
          </w:tcPr>
          <w:p>
            <w:pPr>
              <w:spacing w:after="0"/>
              <w:rPr>
                <w:sz w:val="15"/>
                <w:szCs w:val="15"/>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4.212 billion</w:t>
            </w:r>
          </w:p>
        </w:tc>
        <w:tc>
          <w:tcPr>
            <w:tcW w:w="2780" w:type="dxa"/>
            <w:vAlign w:val="bottom"/>
            <w:gridSpan w:val="2"/>
            <w:shd w:val="clear" w:color="auto" w:fill="CCEEFF"/>
          </w:tcPr>
          <w:p>
            <w:pPr>
              <w:jc w:val="right"/>
              <w:ind w:right="1660"/>
              <w:spacing w:after="0"/>
              <w:rPr>
                <w:sz w:val="20"/>
                <w:szCs w:val="20"/>
                <w:color w:val="auto"/>
              </w:rPr>
            </w:pPr>
            <w:r>
              <w:rPr>
                <w:rFonts w:ascii="Arial" w:cs="Arial" w:eastAsia="Arial" w:hAnsi="Arial"/>
                <w:sz w:val="15"/>
                <w:szCs w:val="15"/>
                <w:color w:val="auto"/>
              </w:rPr>
              <w:t>104.93%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18.345%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89.34%</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90"/>
              </w:rPr>
              <w:t>60.82%</w:t>
            </w:r>
          </w:p>
        </w:tc>
        <w:tc>
          <w:tcPr>
            <w:tcW w:w="7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w:t>
            </w:r>
          </w:p>
        </w:tc>
      </w:tr>
    </w:tbl>
    <w:p>
      <w:pPr>
        <w:spacing w:after="0" w:line="176" w:lineRule="exact"/>
        <w:rPr>
          <w:sz w:val="20"/>
          <w:szCs w:val="20"/>
          <w:color w:val="auto"/>
        </w:rPr>
      </w:pPr>
    </w:p>
    <w:p>
      <w:pPr>
        <w:jc w:val="both"/>
        <w:ind w:left="8" w:firstLine="367"/>
        <w:spacing w:after="0" w:line="283" w:lineRule="auto"/>
        <w:rPr>
          <w:sz w:val="20"/>
          <w:szCs w:val="20"/>
          <w:color w:val="auto"/>
        </w:rPr>
      </w:pPr>
      <w:r>
        <w:rPr>
          <w:rFonts w:ascii="Arial" w:cs="Arial" w:eastAsia="Arial" w:hAnsi="Arial"/>
          <w:sz w:val="14"/>
          <w:szCs w:val="14"/>
          <w:color w:val="auto"/>
        </w:rPr>
        <w:t>As discussed above, the MD&amp;C Committee has discretion to make adjustments to the performance calculations for unusual or otherwise non-operational matters in line with its policy on calculation adjustments. The calculation of 2018 annual cash incentive performance measures was generally made on a basis consistent with the Company's reporting of its 2018 financial results, including exclusion of restructuring and asset impairments and unusual items; however, the calculation did not include potential adjustments that fell below the MD&amp;C Committee's five percent impact threshold. As a result, the actual results on the Income from Operations, excluding Depreciation and Amortization, measure stated above were lower than the actual results on this measure reported to the investment community. The 2018 cash incentive performance calculations were not otherwise adjusted.</w:t>
      </w:r>
    </w:p>
    <w:p>
      <w:pPr>
        <w:spacing w:after="0" w:line="150" w:lineRule="exact"/>
        <w:rPr>
          <w:sz w:val="20"/>
          <w:szCs w:val="20"/>
          <w:color w:val="auto"/>
        </w:rPr>
      </w:pPr>
    </w:p>
    <w:p>
      <w:pPr>
        <w:jc w:val="both"/>
        <w:ind w:left="8" w:right="20" w:firstLine="419"/>
        <w:spacing w:after="0" w:line="277" w:lineRule="auto"/>
        <w:rPr>
          <w:sz w:val="20"/>
          <w:szCs w:val="20"/>
          <w:color w:val="auto"/>
        </w:rPr>
      </w:pPr>
      <w:r>
        <w:rPr>
          <w:rFonts w:ascii="Arial" w:cs="Arial" w:eastAsia="Arial" w:hAnsi="Arial"/>
          <w:sz w:val="15"/>
          <w:szCs w:val="15"/>
          <w:color w:val="auto"/>
        </w:rPr>
        <w:t>Target annual cash incentives are a specified percentage of the executives' base salary. The following table shows each named executive's target percentage of base salary for 2018 and annual cash incentive for 2018 paid in March 2019.</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Annual Cash</w:t>
            </w:r>
          </w:p>
        </w:tc>
      </w:tr>
      <w:tr>
        <w:trPr>
          <w:trHeight w:val="184"/>
        </w:trPr>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8"/>
              </w:rPr>
              <w:t>Target Percentage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Incentive</w:t>
            </w:r>
          </w:p>
        </w:tc>
      </w:tr>
      <w:tr>
        <w:trPr>
          <w:trHeight w:val="227"/>
        </w:trPr>
        <w:tc>
          <w:tcPr>
            <w:tcW w:w="1700" w:type="dxa"/>
            <w:vAlign w:val="bottom"/>
          </w:tcPr>
          <w:p>
            <w:pPr>
              <w:spacing w:after="0"/>
              <w:rPr>
                <w:sz w:val="19"/>
                <w:szCs w:val="19"/>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Named Executive Officer</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of Base Salary</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6"/>
              <w:spacing w:after="0" w:line="227" w:lineRule="exact"/>
              <w:rPr>
                <w:sz w:val="20"/>
                <w:szCs w:val="20"/>
                <w:color w:val="auto"/>
              </w:rPr>
            </w:pPr>
            <w:r>
              <w:rPr>
                <w:rFonts w:ascii="Arial" w:cs="Arial" w:eastAsia="Arial" w:hAnsi="Arial"/>
                <w:sz w:val="15"/>
                <w:szCs w:val="15"/>
                <w:b w:val="1"/>
                <w:bCs w:val="1"/>
                <w:color w:val="auto"/>
                <w:w w:val="88"/>
              </w:rPr>
              <w:t>For 2018</w:t>
            </w:r>
            <w:r>
              <w:rPr>
                <w:rFonts w:ascii="Arial" w:cs="Arial" w:eastAsia="Arial" w:hAnsi="Arial"/>
                <w:sz w:val="24"/>
                <w:szCs w:val="24"/>
                <w:b w:val="1"/>
                <w:bCs w:val="1"/>
                <w:color w:val="auto"/>
                <w:w w:val="88"/>
                <w:vertAlign w:val="superscript"/>
              </w:rPr>
              <w:t>(1)</w:t>
            </w:r>
          </w:p>
        </w:tc>
        <w:tc>
          <w:tcPr>
            <w:tcW w:w="140" w:type="dxa"/>
            <w:vAlign w:val="bottom"/>
          </w:tcPr>
          <w:p>
            <w:pPr>
              <w:spacing w:after="0"/>
              <w:rPr>
                <w:sz w:val="19"/>
                <w:szCs w:val="19"/>
                <w:color w:val="auto"/>
              </w:rPr>
            </w:pPr>
          </w:p>
        </w:tc>
      </w:tr>
      <w:tr>
        <w:trPr>
          <w:trHeight w:val="175"/>
        </w:trPr>
        <w:tc>
          <w:tcPr>
            <w:tcW w:w="170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Fish</w:t>
            </w:r>
          </w:p>
        </w:tc>
        <w:tc>
          <w:tcPr>
            <w:tcW w:w="130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7"/>
              </w:rPr>
              <w:t>135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1,169,293</w:t>
            </w:r>
          </w:p>
        </w:tc>
      </w:tr>
      <w:tr>
        <w:trPr>
          <w:trHeight w:val="217"/>
        </w:trPr>
        <w:tc>
          <w:tcPr>
            <w:tcW w:w="1700" w:type="dxa"/>
            <w:vAlign w:val="bottom"/>
          </w:tcPr>
          <w:p>
            <w:pPr>
              <w:spacing w:after="0"/>
              <w:rPr>
                <w:sz w:val="18"/>
                <w:szCs w:val="18"/>
                <w:color w:val="auto"/>
              </w:rPr>
            </w:pPr>
          </w:p>
        </w:tc>
        <w:tc>
          <w:tcPr>
            <w:tcW w:w="5360" w:type="dxa"/>
            <w:vAlign w:val="bottom"/>
            <w:gridSpan w:val="2"/>
          </w:tcPr>
          <w:p>
            <w:pPr>
              <w:spacing w:after="0" w:line="218" w:lineRule="exact"/>
              <w:rPr>
                <w:sz w:val="20"/>
                <w:szCs w:val="20"/>
                <w:color w:val="auto"/>
              </w:rPr>
            </w:pPr>
            <w:r>
              <w:rPr>
                <w:rFonts w:ascii="Arial" w:cs="Arial" w:eastAsia="Arial" w:hAnsi="Arial"/>
                <w:sz w:val="15"/>
                <w:szCs w:val="15"/>
                <w:color w:val="auto"/>
              </w:rPr>
              <w:t>Ms. Rankin</w:t>
            </w:r>
            <w:r>
              <w:rPr>
                <w:rFonts w:ascii="Arial" w:cs="Arial" w:eastAsia="Arial" w:hAnsi="Arial"/>
                <w:sz w:val="24"/>
                <w:szCs w:val="24"/>
                <w:color w:val="auto"/>
                <w:vertAlign w:val="superscript"/>
              </w:rPr>
              <w:t>(2)</w:t>
            </w:r>
          </w:p>
        </w:tc>
        <w:tc>
          <w:tcPr>
            <w:tcW w:w="1300" w:type="dxa"/>
            <w:vAlign w:val="bottom"/>
            <w:gridSpan w:val="2"/>
          </w:tcPr>
          <w:p>
            <w:pPr>
              <w:jc w:val="center"/>
              <w:ind w:left="86"/>
              <w:spacing w:after="0"/>
              <w:rPr>
                <w:sz w:val="20"/>
                <w:szCs w:val="20"/>
                <w:color w:val="auto"/>
              </w:rPr>
            </w:pPr>
            <w:r>
              <w:rPr>
                <w:rFonts w:ascii="Arial" w:cs="Arial" w:eastAsia="Arial" w:hAnsi="Arial"/>
                <w:sz w:val="15"/>
                <w:szCs w:val="15"/>
                <w:color w:val="auto"/>
                <w:w w:val="83"/>
              </w:rPr>
              <w:t>94</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379,541</w:t>
            </w:r>
          </w:p>
        </w:tc>
      </w:tr>
      <w:tr>
        <w:trPr>
          <w:trHeight w:val="217"/>
        </w:trPr>
        <w:tc>
          <w:tcPr>
            <w:tcW w:w="1700" w:type="dxa"/>
            <w:vAlign w:val="bottom"/>
          </w:tcPr>
          <w:p>
            <w:pPr>
              <w:spacing w:after="0"/>
              <w:rPr>
                <w:sz w:val="18"/>
                <w:szCs w:val="18"/>
                <w:color w:val="auto"/>
              </w:rPr>
            </w:pPr>
          </w:p>
        </w:tc>
        <w:tc>
          <w:tcPr>
            <w:tcW w:w="536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color w:val="auto"/>
              </w:rPr>
              <w:t>Mr. Trevathan</w:t>
            </w:r>
            <w:r>
              <w:rPr>
                <w:rFonts w:ascii="Arial" w:cs="Arial" w:eastAsia="Arial" w:hAnsi="Arial"/>
                <w:sz w:val="24"/>
                <w:szCs w:val="24"/>
                <w:color w:val="auto"/>
                <w:vertAlign w:val="superscript"/>
              </w:rPr>
              <w:t>(2)</w:t>
            </w:r>
          </w:p>
        </w:tc>
        <w:tc>
          <w:tcPr>
            <w:tcW w:w="130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3"/>
              </w:rPr>
              <w:t>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528,303</w:t>
            </w:r>
          </w:p>
        </w:tc>
      </w:tr>
      <w:tr>
        <w:trPr>
          <w:trHeight w:val="183"/>
        </w:trPr>
        <w:tc>
          <w:tcPr>
            <w:tcW w:w="170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Mr. Harris</w:t>
            </w:r>
          </w:p>
        </w:tc>
        <w:tc>
          <w:tcPr>
            <w:tcW w:w="1300" w:type="dxa"/>
            <w:vAlign w:val="bottom"/>
            <w:gridSpan w:val="2"/>
          </w:tcPr>
          <w:p>
            <w:pPr>
              <w:jc w:val="center"/>
              <w:ind w:left="86"/>
              <w:spacing w:after="0"/>
              <w:rPr>
                <w:sz w:val="20"/>
                <w:szCs w:val="20"/>
                <w:color w:val="auto"/>
              </w:rPr>
            </w:pPr>
            <w:r>
              <w:rPr>
                <w:rFonts w:ascii="Arial" w:cs="Arial" w:eastAsia="Arial" w:hAnsi="Arial"/>
                <w:sz w:val="15"/>
                <w:szCs w:val="15"/>
                <w:color w:val="auto"/>
                <w:w w:val="83"/>
              </w:rPr>
              <w:t>90</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474,166</w:t>
            </w:r>
          </w:p>
        </w:tc>
      </w:tr>
      <w:tr>
        <w:trPr>
          <w:trHeight w:val="183"/>
        </w:trPr>
        <w:tc>
          <w:tcPr>
            <w:tcW w:w="170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Morris</w:t>
            </w:r>
          </w:p>
        </w:tc>
        <w:tc>
          <w:tcPr>
            <w:tcW w:w="1300" w:type="dxa"/>
            <w:vAlign w:val="bottom"/>
            <w:gridSpan w:val="2"/>
            <w:shd w:val="clear" w:color="auto" w:fill="CCEEFF"/>
          </w:tcPr>
          <w:p>
            <w:pPr>
              <w:jc w:val="center"/>
              <w:ind w:left="86"/>
              <w:spacing w:after="0"/>
              <w:rPr>
                <w:sz w:val="20"/>
                <w:szCs w:val="20"/>
                <w:color w:val="auto"/>
              </w:rPr>
            </w:pPr>
            <w:r>
              <w:rPr>
                <w:rFonts w:ascii="Arial" w:cs="Arial" w:eastAsia="Arial" w:hAnsi="Arial"/>
                <w:sz w:val="15"/>
                <w:szCs w:val="15"/>
                <w:color w:val="auto"/>
                <w:w w:val="83"/>
              </w:rPr>
              <w:t>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435,053</w:t>
            </w:r>
          </w:p>
        </w:tc>
      </w:tr>
      <w:tr>
        <w:trPr>
          <w:trHeight w:val="92"/>
        </w:trPr>
        <w:tc>
          <w:tcPr>
            <w:tcW w:w="17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ind w:left="448" w:hanging="448"/>
        <w:spacing w:after="0" w:line="277" w:lineRule="auto"/>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 salary increases for 2018 were implemented March 25, 2018. The calculations of annual cash incentive payouts, as a percentage of base salary, were made using the named executive's actual base salary received in 2018.</w:t>
      </w:r>
    </w:p>
    <w:p>
      <w:pPr>
        <w:spacing w:after="0" w:line="174" w:lineRule="exact"/>
        <w:rPr>
          <w:rFonts w:ascii="Arial" w:cs="Arial" w:eastAsia="Arial" w:hAnsi="Arial"/>
          <w:sz w:val="15"/>
          <w:szCs w:val="15"/>
          <w:color w:val="auto"/>
        </w:rPr>
      </w:pPr>
    </w:p>
    <w:p>
      <w:pPr>
        <w:ind w:left="448" w:hanging="448"/>
        <w:spacing w:after="0" w:line="277" w:lineRule="auto"/>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 February 2018, the target percentage of base salary for Ms. Rankin and Mr. Trevathan was increased from 90% to 95%, yielding a 94% target percentage of base salary for the full year of 2018.</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40" w:name="page41"/>
    <w:bookmarkEnd w:id="4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u w:val="single" w:color="auto"/>
          <w:color w:val="auto"/>
        </w:rPr>
        <w:t>Long-Term Equity Incentives</w:t>
      </w:r>
    </w:p>
    <w:p>
      <w:pPr>
        <w:spacing w:after="0" w:line="194" w:lineRule="exact"/>
        <w:rPr>
          <w:sz w:val="20"/>
          <w:szCs w:val="20"/>
          <w:color w:val="auto"/>
        </w:rPr>
      </w:pPr>
    </w:p>
    <w:p>
      <w:pPr>
        <w:jc w:val="both"/>
        <w:ind w:left="8" w:firstLine="406"/>
        <w:spacing w:after="0" w:line="277" w:lineRule="auto"/>
        <w:rPr>
          <w:sz w:val="20"/>
          <w:szCs w:val="20"/>
          <w:color w:val="auto"/>
        </w:rPr>
      </w:pPr>
      <w:r>
        <w:rPr>
          <w:rFonts w:ascii="Arial" w:cs="Arial" w:eastAsia="Arial" w:hAnsi="Arial"/>
          <w:sz w:val="14"/>
          <w:szCs w:val="14"/>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2018 annual long-term incentive award, the MD&amp;C Committee decided to grant both PSUs comprising 80% of each named executive's award and stock options comprising 20% of each named executive's award, consistent with prior years, except in the case of Mr. Harris, who received an additional $500,000 allocation of PSUs as described in note (1) below. Payout on half of each named executives' PSUs granted in 2018 is dependent on cash flow generation. Payout on the remaining half of PSUs granted in 2018 is dependent on total shareholder return relative to the S&amp;P 500. Meanwhile, stock options encourage focus on increasing the market value of our stock. Before determining the actual number of PSUs and stock options that were granted to each of the named executives in 2018,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Dollar Values of 2018</w:t>
            </w:r>
          </w:p>
        </w:tc>
      </w:tr>
      <w:tr>
        <w:trPr>
          <w:trHeight w:val="183"/>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Long-Term Equity Incentives</w:t>
            </w:r>
          </w:p>
        </w:tc>
      </w:tr>
      <w:tr>
        <w:trPr>
          <w:trHeight w:val="183"/>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Set by the Committee</w:t>
            </w:r>
          </w:p>
        </w:tc>
      </w:tr>
      <w:tr>
        <w:trPr>
          <w:trHeight w:val="193"/>
        </w:trPr>
        <w:tc>
          <w:tcPr>
            <w:tcW w:w="1700" w:type="dxa"/>
            <w:vAlign w:val="bottom"/>
          </w:tcPr>
          <w:p>
            <w:pPr>
              <w:spacing w:after="0"/>
              <w:rPr>
                <w:sz w:val="16"/>
                <w:szCs w:val="16"/>
                <w:color w:val="auto"/>
              </w:rPr>
            </w:pPr>
          </w:p>
        </w:tc>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Named Executive Officer</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92"/>
              </w:rPr>
              <w:t>(at Target)</w:t>
            </w:r>
          </w:p>
        </w:tc>
        <w:tc>
          <w:tcPr>
            <w:tcW w:w="140" w:type="dxa"/>
            <w:vAlign w:val="bottom"/>
          </w:tcPr>
          <w:p>
            <w:pPr>
              <w:spacing w:after="0"/>
              <w:rPr>
                <w:sz w:val="16"/>
                <w:szCs w:val="16"/>
                <w:color w:val="auto"/>
              </w:rPr>
            </w:pPr>
          </w:p>
        </w:tc>
      </w:tr>
      <w:tr>
        <w:trPr>
          <w:trHeight w:val="175"/>
        </w:trPr>
        <w:tc>
          <w:tcPr>
            <w:tcW w:w="170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Fish</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6,000,000</w:t>
            </w:r>
          </w:p>
        </w:tc>
      </w:tr>
      <w:tr>
        <w:trPr>
          <w:trHeight w:val="183"/>
        </w:trPr>
        <w:tc>
          <w:tcPr>
            <w:tcW w:w="170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5"/>
                <w:szCs w:val="15"/>
                <w:color w:val="auto"/>
              </w:rPr>
              <w:t>Ms. Rankin</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140" w:type="dxa"/>
            <w:vAlign w:val="bottom"/>
            <w:gridSpan w:val="2"/>
          </w:tcPr>
          <w:p>
            <w:pPr>
              <w:jc w:val="right"/>
              <w:ind w:right="140"/>
              <w:spacing w:after="0"/>
              <w:rPr>
                <w:sz w:val="20"/>
                <w:szCs w:val="20"/>
                <w:color w:val="auto"/>
              </w:rPr>
            </w:pPr>
            <w:r>
              <w:rPr>
                <w:rFonts w:ascii="Arial" w:cs="Arial" w:eastAsia="Arial" w:hAnsi="Arial"/>
                <w:sz w:val="15"/>
                <w:szCs w:val="15"/>
                <w:color w:val="auto"/>
              </w:rPr>
              <w:t>1,700,000</w:t>
            </w:r>
          </w:p>
        </w:tc>
      </w:tr>
      <w:tr>
        <w:trPr>
          <w:trHeight w:val="183"/>
        </w:trPr>
        <w:tc>
          <w:tcPr>
            <w:tcW w:w="170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Trevathan</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2,220,000</w:t>
            </w:r>
          </w:p>
        </w:tc>
      </w:tr>
      <w:tr>
        <w:trPr>
          <w:trHeight w:val="217"/>
        </w:trPr>
        <w:tc>
          <w:tcPr>
            <w:tcW w:w="1700" w:type="dxa"/>
            <w:vAlign w:val="bottom"/>
          </w:tcPr>
          <w:p>
            <w:pPr>
              <w:spacing w:after="0"/>
              <w:rPr>
                <w:sz w:val="18"/>
                <w:szCs w:val="18"/>
                <w:color w:val="auto"/>
              </w:rPr>
            </w:pPr>
          </w:p>
        </w:tc>
        <w:tc>
          <w:tcPr>
            <w:tcW w:w="5660" w:type="dxa"/>
            <w:vAlign w:val="bottom"/>
            <w:gridSpan w:val="2"/>
          </w:tcPr>
          <w:p>
            <w:pPr>
              <w:spacing w:after="0" w:line="218" w:lineRule="exact"/>
              <w:rPr>
                <w:sz w:val="20"/>
                <w:szCs w:val="20"/>
                <w:color w:val="auto"/>
              </w:rPr>
            </w:pPr>
            <w:r>
              <w:rPr>
                <w:rFonts w:ascii="Arial" w:cs="Arial" w:eastAsia="Arial" w:hAnsi="Arial"/>
                <w:sz w:val="15"/>
                <w:szCs w:val="15"/>
                <w:color w:val="auto"/>
              </w:rPr>
              <w:t>Mr. Harris</w:t>
            </w:r>
            <w:r>
              <w:rPr>
                <w:rFonts w:ascii="Arial" w:cs="Arial" w:eastAsia="Arial" w:hAnsi="Arial"/>
                <w:sz w:val="24"/>
                <w:szCs w:val="24"/>
                <w:color w:val="auto"/>
                <w:vertAlign w:val="superscript"/>
              </w:rPr>
              <w:t>(1)</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2140" w:type="dxa"/>
            <w:vAlign w:val="bottom"/>
            <w:gridSpan w:val="2"/>
          </w:tcPr>
          <w:p>
            <w:pPr>
              <w:jc w:val="right"/>
              <w:ind w:right="140"/>
              <w:spacing w:after="0"/>
              <w:rPr>
                <w:sz w:val="20"/>
                <w:szCs w:val="20"/>
                <w:color w:val="auto"/>
              </w:rPr>
            </w:pPr>
            <w:r>
              <w:rPr>
                <w:rFonts w:ascii="Arial" w:cs="Arial" w:eastAsia="Arial" w:hAnsi="Arial"/>
                <w:sz w:val="15"/>
                <w:szCs w:val="15"/>
                <w:color w:val="auto"/>
              </w:rPr>
              <w:t>2,300,000</w:t>
            </w:r>
          </w:p>
        </w:tc>
      </w:tr>
      <w:tr>
        <w:trPr>
          <w:trHeight w:val="183"/>
        </w:trPr>
        <w:tc>
          <w:tcPr>
            <w:tcW w:w="1700" w:type="dxa"/>
            <w:vAlign w:val="bottom"/>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Morris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1,800,000</w:t>
            </w:r>
          </w:p>
        </w:tc>
      </w:tr>
      <w:tr>
        <w:trPr>
          <w:trHeight w:val="92"/>
        </w:trPr>
        <w:tc>
          <w:tcPr>
            <w:tcW w:w="17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7" w:lineRule="exact"/>
        <w:rPr>
          <w:sz w:val="20"/>
          <w:szCs w:val="20"/>
          <w:color w:val="auto"/>
        </w:rPr>
      </w:pPr>
    </w:p>
    <w:p>
      <w:pPr>
        <w:jc w:val="both"/>
        <w:ind w:left="448" w:hanging="448"/>
        <w:spacing w:after="0" w:line="281" w:lineRule="auto"/>
        <w:tabs>
          <w:tab w:leader="none" w:pos="448"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For PSUs granted in 2018, the MD&amp;C Committee changed the treatment of such awards upon a qualifying retirement to provide all executive officers with full vesting at the end of the performance period based on actual performance achieved, instead of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vesting, provided that qualifying retirement occurred on or after December 31, 2018. This action was taken to align with market practices and aid recruitment and retention by providing a more competitive retirement benefit. The PSUs granted to Mr. Trevathan in 2017 already provided for full vesting at the end of the performance period after a qualifying retirement, but the PSUs granted to Mr. Harris in 2017 did not. In consideration of Mr. Trevathan's and Mr. Harris' plans to retire and the desire to avoid an arbitrarily unfair result, the MD&amp;C Committee increased the value of Mr. Harris' PSU award for 2018 by $500,000 to approximate the value of his PSUs granted in 2017 that he would forfeit due to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vesting upon retirement.</w:t>
      </w:r>
    </w:p>
    <w:p>
      <w:pPr>
        <w:spacing w:after="0" w:line="151" w:lineRule="exact"/>
        <w:rPr>
          <w:sz w:val="20"/>
          <w:szCs w:val="20"/>
          <w:color w:val="auto"/>
        </w:rPr>
      </w:pPr>
    </w:p>
    <w:p>
      <w:pPr>
        <w:ind w:left="368"/>
        <w:spacing w:after="0"/>
        <w:rPr>
          <w:sz w:val="20"/>
          <w:szCs w:val="20"/>
          <w:color w:val="auto"/>
        </w:rPr>
      </w:pPr>
      <w:r>
        <w:rPr>
          <w:rFonts w:ascii="Arial" w:cs="Arial" w:eastAsia="Arial" w:hAnsi="Arial"/>
          <w:sz w:val="15"/>
          <w:szCs w:val="15"/>
          <w:i w:val="1"/>
          <w:iCs w:val="1"/>
          <w:u w:val="single" w:color="auto"/>
          <w:color w:val="auto"/>
        </w:rPr>
        <w:t>Overview of Performance Share Units.</w:t>
      </w:r>
    </w:p>
    <w:p>
      <w:pPr>
        <w:spacing w:after="0" w:line="217" w:lineRule="exact"/>
        <w:rPr>
          <w:sz w:val="20"/>
          <w:szCs w:val="20"/>
          <w:color w:val="auto"/>
        </w:rPr>
      </w:pPr>
    </w:p>
    <w:p>
      <w:pPr>
        <w:ind w:left="908" w:hanging="451"/>
        <w:spacing w:after="0" w:line="314" w:lineRule="auto"/>
        <w:tabs>
          <w:tab w:leader="none" w:pos="908" w:val="left"/>
        </w:tabs>
        <w:numPr>
          <w:ilvl w:val="0"/>
          <w:numId w:val="35"/>
        </w:numPr>
        <w:rPr>
          <w:rFonts w:ascii="Arial" w:cs="Arial" w:eastAsia="Arial" w:hAnsi="Arial"/>
          <w:sz w:val="14"/>
          <w:szCs w:val="14"/>
          <w:color w:val="auto"/>
        </w:rPr>
      </w:pPr>
      <w:r>
        <w:rPr>
          <w:rFonts w:ascii="Arial" w:cs="Arial" w:eastAsia="Arial" w:hAnsi="Arial"/>
          <w:sz w:val="14"/>
          <w:szCs w:val="14"/>
          <w:i w:val="1"/>
          <w:iCs w:val="1"/>
          <w:color w:val="auto"/>
        </w:rPr>
        <w:t>Named executives were granted new PSUs with a three-year performance period ending December 31, 2020. Payout on half of each named executive's PSUs granted in 2018 is dependent on cash flow generation, and payout on the remaining half of PSUs granted in 2018 is dependent on total shareholder return relative to the S&amp;P 500.</w:t>
      </w:r>
    </w:p>
    <w:p>
      <w:pPr>
        <w:spacing w:after="0" w:line="139" w:lineRule="exact"/>
        <w:rPr>
          <w:rFonts w:ascii="Arial" w:cs="Arial" w:eastAsia="Arial" w:hAnsi="Arial"/>
          <w:sz w:val="14"/>
          <w:szCs w:val="14"/>
          <w:color w:val="auto"/>
        </w:rPr>
      </w:pPr>
    </w:p>
    <w:p>
      <w:pPr>
        <w:ind w:left="908" w:hanging="451"/>
        <w:spacing w:after="0" w:line="277" w:lineRule="auto"/>
        <w:tabs>
          <w:tab w:leader="none" w:pos="908"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Named executives received a payout of 200% of the PSUs granted in 2016 with a three-year performance period ended December 31, 2018. The Company exceeded the maximum level of performance for each of the cash flow generation and the relative total shareholder return performance measures.</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firstLine="383"/>
        <w:spacing w:after="0" w:line="314" w:lineRule="auto"/>
        <w:rPr>
          <w:sz w:val="20"/>
          <w:szCs w:val="20"/>
          <w:color w:val="auto"/>
        </w:rPr>
      </w:pPr>
      <w:r>
        <w:rPr>
          <w:rFonts w:ascii="Arial" w:cs="Arial" w:eastAsia="Arial" w:hAnsi="Arial"/>
          <w:sz w:val="13"/>
          <w:szCs w:val="13"/>
          <w:i w:val="1"/>
          <w:iCs w:val="1"/>
          <w:u w:val="single" w:color="auto"/>
          <w:color w:val="auto"/>
        </w:rPr>
        <w:t>PSUs Granted in 2018</w:t>
      </w:r>
      <w:r>
        <w:rPr>
          <w:rFonts w:ascii="Arial" w:cs="Arial" w:eastAsia="Arial" w:hAnsi="Arial"/>
          <w:sz w:val="13"/>
          <w:szCs w:val="13"/>
          <w:color w:val="auto"/>
        </w:rPr>
        <w:t>. Performance share units are granted to our named executive officers annually to align compensation with the achievement of our long-term financial goals and</w:t>
      </w:r>
      <w:r>
        <w:rPr>
          <w:rFonts w:ascii="Arial" w:cs="Arial" w:eastAsia="Arial" w:hAnsi="Arial"/>
          <w:sz w:val="13"/>
          <w:szCs w:val="13"/>
          <w:i w:val="1"/>
          <w:iCs w:val="1"/>
          <w:color w:val="auto"/>
        </w:rPr>
        <w:t xml:space="preserve"> </w:t>
      </w:r>
      <w:r>
        <w:rPr>
          <w:rFonts w:ascii="Arial" w:cs="Arial" w:eastAsia="Arial" w:hAnsi="Arial"/>
          <w:sz w:val="13"/>
          <w:szCs w:val="13"/>
          <w:color w:val="auto"/>
        </w:rPr>
        <w:t>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133" w:lineRule="exact"/>
        <w:rPr>
          <w:sz w:val="20"/>
          <w:szCs w:val="20"/>
          <w:color w:val="auto"/>
        </w:rPr>
      </w:pPr>
    </w:p>
    <w:p>
      <w:pPr>
        <w:jc w:val="both"/>
        <w:ind w:firstLine="399"/>
        <w:spacing w:after="0" w:line="260" w:lineRule="auto"/>
        <w:rPr>
          <w:sz w:val="20"/>
          <w:szCs w:val="20"/>
          <w:color w:val="auto"/>
        </w:rPr>
      </w:pPr>
      <w:r>
        <w:rPr>
          <w:rFonts w:ascii="Arial" w:cs="Arial" w:eastAsia="Arial" w:hAnsi="Arial"/>
          <w:sz w:val="15"/>
          <w:szCs w:val="15"/>
          <w:color w:val="auto"/>
        </w:rPr>
        <w:t>The MD&amp;C Committee determined the number of PSUs that were granted to each of the named executives in 2018 by taking the targeted dollar amounts established for total long-term equity incentives (set forth in the table above) and multiplying by 80%, except that Mr. Harris received a specific allocation of $500,000 for PSUs as described above, and the remaining targeted dollar amount of $1.8 million was then multiplied by 80%. Those values were then divided by the average of the high and low price of our Common Stock over the 30 trading days preceding the date of the MD&amp;C Committee meeting at which the grants were approved to determine the number of PSUs granted. The number of PSUs granted in 2018 are shown in the table below.</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3"/>
              </w:rPr>
              <w:t>Number of</w:t>
            </w:r>
          </w:p>
        </w:tc>
      </w:tr>
      <w:tr>
        <w:trPr>
          <w:trHeight w:val="193"/>
        </w:trPr>
        <w:tc>
          <w:tcPr>
            <w:tcW w:w="7140" w:type="dxa"/>
            <w:vAlign w:val="bottom"/>
            <w:gridSpan w:val="2"/>
          </w:tcPr>
          <w:p>
            <w:pPr>
              <w:spacing w:after="0"/>
              <w:rPr>
                <w:sz w:val="20"/>
                <w:szCs w:val="20"/>
                <w:color w:val="auto"/>
              </w:rPr>
            </w:pPr>
            <w:r>
              <w:rPr>
                <w:rFonts w:ascii="Arial" w:cs="Arial" w:eastAsia="Arial" w:hAnsi="Arial"/>
                <w:sz w:val="15"/>
                <w:szCs w:val="15"/>
                <w:b w:val="1"/>
                <w:bCs w:val="1"/>
                <w:color w:val="auto"/>
              </w:rPr>
              <w:t>Named Executive Officer</w:t>
            </w:r>
          </w:p>
        </w:tc>
        <w:tc>
          <w:tcPr>
            <w:tcW w:w="140" w:type="dxa"/>
            <w:vAlign w:val="bottom"/>
          </w:tcPr>
          <w:p>
            <w:pPr>
              <w:spacing w:after="0"/>
              <w:rPr>
                <w:sz w:val="16"/>
                <w:szCs w:val="16"/>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6"/>
              </w:rPr>
              <w:t>PSUs</w:t>
            </w:r>
          </w:p>
        </w:tc>
      </w:tr>
      <w:tr>
        <w:trPr>
          <w:trHeight w:val="175"/>
        </w:trPr>
        <w:tc>
          <w:tcPr>
            <w:tcW w:w="20" w:type="dxa"/>
            <w:vAlign w:val="bottom"/>
          </w:tcPr>
          <w:p>
            <w:pPr>
              <w:spacing w:after="0"/>
              <w:rPr>
                <w:sz w:val="15"/>
                <w:szCs w:val="15"/>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Mr. Fish</w:t>
            </w:r>
          </w:p>
        </w:tc>
        <w:tc>
          <w:tcPr>
            <w:tcW w:w="14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55,172</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Arial" w:cs="Arial" w:eastAsia="Arial" w:hAnsi="Arial"/>
                <w:sz w:val="15"/>
                <w:szCs w:val="15"/>
                <w:color w:val="auto"/>
              </w:rPr>
              <w:t>Ms. Rankin</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15,632</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Mr. Trevathan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20,414</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120" w:type="dxa"/>
            <w:vAlign w:val="bottom"/>
          </w:tcPr>
          <w:p>
            <w:pPr>
              <w:spacing w:after="0"/>
              <w:rPr>
                <w:sz w:val="20"/>
                <w:szCs w:val="20"/>
                <w:color w:val="auto"/>
              </w:rPr>
            </w:pPr>
            <w:r>
              <w:rPr>
                <w:rFonts w:ascii="Arial" w:cs="Arial" w:eastAsia="Arial" w:hAnsi="Arial"/>
                <w:sz w:val="15"/>
                <w:szCs w:val="15"/>
                <w:color w:val="auto"/>
              </w:rPr>
              <w:t>Mr. Harris</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22,298</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Mr. Morris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16,552</w:t>
            </w:r>
          </w:p>
        </w:tc>
        <w:tc>
          <w:tcPr>
            <w:tcW w:w="20" w:type="dxa"/>
            <w:vAlign w:val="bottom"/>
          </w:tcPr>
          <w:p>
            <w:pPr>
              <w:spacing w:after="0"/>
              <w:rPr>
                <w:sz w:val="15"/>
                <w:szCs w:val="15"/>
                <w:color w:val="auto"/>
              </w:rPr>
            </w:pPr>
          </w:p>
        </w:tc>
      </w:tr>
    </w:tbl>
    <w:p>
      <w:pPr>
        <w:spacing w:after="0" w:line="176" w:lineRule="exact"/>
        <w:rPr>
          <w:sz w:val="20"/>
          <w:szCs w:val="20"/>
          <w:color w:val="auto"/>
        </w:rPr>
      </w:pPr>
    </w:p>
    <w:p>
      <w:pPr>
        <w:jc w:val="both"/>
        <w:ind w:firstLine="451"/>
        <w:spacing w:after="0" w:line="258" w:lineRule="auto"/>
        <w:rPr>
          <w:sz w:val="20"/>
          <w:szCs w:val="20"/>
          <w:color w:val="auto"/>
        </w:rPr>
      </w:pPr>
      <w:r>
        <w:rPr>
          <w:rFonts w:ascii="Arial" w:cs="Arial" w:eastAsia="Arial" w:hAnsi="Arial"/>
          <w:sz w:val="15"/>
          <w:szCs w:val="15"/>
          <w:color w:val="auto"/>
        </w:rPr>
        <w:t>Half of each named executive's PSUs included in the table above are subject to a cash flow generation performance measure; the cash flow generation performance measure requires focus on capital discipline and strengthens alignment with stockholders' free cash flow expectations. For purposes of these PSUs, we generally define cash flow as cash provided by operating activities, with the following adjustments: (a) capital expenditures are excluded; (b) costs associated with labor disruptions and multiemployer plan withdrawal liabilities are excluded due to being required as a result of past labor commitments combined with changing economic conditions and business climate; (c) strategic acquisition, restructuring, and transformation and reorganization costs are excluded in recognition of goals to increase customer and business base while minimizing operating costs; and (d) cash proceeds from the divestiture of businesses and other assets are included. The table below shows the required achievement of the cash flow generation performance measure and the corresponding potential payouts under our PSUs granted in 2018.</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560"/>
              <w:spacing w:after="0"/>
              <w:rPr>
                <w:sz w:val="20"/>
                <w:szCs w:val="20"/>
                <w:color w:val="auto"/>
              </w:rPr>
            </w:pPr>
            <w:r>
              <w:rPr>
                <w:rFonts w:ascii="Arial" w:cs="Arial" w:eastAsia="Arial" w:hAnsi="Arial"/>
                <w:sz w:val="15"/>
                <w:szCs w:val="15"/>
                <w:b w:val="1"/>
                <w:bCs w:val="1"/>
                <w:color w:val="auto"/>
                <w:w w:val="93"/>
              </w:rPr>
              <w:t>Threshold</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5"/>
                <w:szCs w:val="15"/>
                <w:b w:val="1"/>
                <w:bCs w:val="1"/>
                <w:color w:val="auto"/>
              </w:rPr>
              <w:t>Target</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560"/>
              <w:spacing w:after="0"/>
              <w:rPr>
                <w:sz w:val="20"/>
                <w:szCs w:val="20"/>
                <w:color w:val="auto"/>
              </w:rPr>
            </w:pPr>
            <w:r>
              <w:rPr>
                <w:rFonts w:ascii="Arial" w:cs="Arial" w:eastAsia="Arial" w:hAnsi="Arial"/>
                <w:sz w:val="15"/>
                <w:szCs w:val="15"/>
                <w:b w:val="1"/>
                <w:bCs w:val="1"/>
                <w:color w:val="auto"/>
              </w:rPr>
              <w:t>Maximum</w:t>
            </w:r>
          </w:p>
        </w:tc>
        <w:tc>
          <w:tcPr>
            <w:tcW w:w="660" w:type="dxa"/>
            <w:vAlign w:val="bottom"/>
            <w:tcBorders>
              <w:bottom w:val="single" w:sz="8" w:color="auto"/>
            </w:tcBorders>
          </w:tcPr>
          <w:p>
            <w:pPr>
              <w:spacing w:after="0"/>
              <w:rPr>
                <w:sz w:val="16"/>
                <w:szCs w:val="16"/>
                <w:color w:val="auto"/>
              </w:rPr>
            </w:pPr>
          </w:p>
        </w:tc>
      </w:tr>
      <w:tr>
        <w:trPr>
          <w:trHeight w:val="175"/>
        </w:trPr>
        <w:tc>
          <w:tcPr>
            <w:tcW w:w="2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Performance</w:t>
            </w:r>
          </w:p>
        </w:tc>
        <w:tc>
          <w:tcPr>
            <w:tcW w:w="140" w:type="dxa"/>
            <w:vAlign w:val="bottom"/>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Payout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Performance</w:t>
            </w:r>
          </w:p>
        </w:tc>
        <w:tc>
          <w:tcPr>
            <w:tcW w:w="14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Payout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Performance</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Payout</w:t>
            </w:r>
          </w:p>
        </w:tc>
      </w:tr>
      <w:tr>
        <w:trPr>
          <w:trHeight w:val="175"/>
        </w:trPr>
        <w:tc>
          <w:tcPr>
            <w:tcW w:w="2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5.496 billion</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60%  $</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5.906 billion</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100%  $</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6.316 billion</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r>
    </w:tbl>
    <w:p>
      <w:pPr>
        <w:spacing w:after="0" w:line="176"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5"/>
          <w:szCs w:val="15"/>
          <w:color w:val="auto"/>
        </w:rPr>
        <w:t>The remaining half of each named executive's PSUs are subject to total shareholder return relative to the S&amp;P 500.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PSUs granted in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Total Shareholder Return Relative to the S&amp;P 500</w:t>
      </w:r>
    </w:p>
    <w:p>
      <w:pPr>
        <w:spacing w:after="0" w:line="20" w:lineRule="exact"/>
        <w:rPr>
          <w:sz w:val="20"/>
          <w:szCs w:val="20"/>
          <w:color w:val="auto"/>
        </w:rPr>
      </w:pPr>
    </w:p>
    <w:tbl>
      <w:tblPr>
        <w:tblLayout w:type="fixed"/>
        <w:tblInd w:w="1940" w:type="dxa"/>
        <w:tblCellMar>
          <w:top w:w="0" w:type="dxa"/>
          <w:left w:w="0" w:type="dxa"/>
          <w:bottom w:w="0" w:type="dxa"/>
          <w:right w:w="0" w:type="dxa"/>
        </w:tblCellMar>
      </w:tblPr>
      <w:tr>
        <w:trPr>
          <w:trHeight w:val="176"/>
        </w:trPr>
        <w:tc>
          <w:tcPr>
            <w:tcW w:w="6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Performance</w:t>
            </w: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Payout</w:t>
            </w:r>
          </w:p>
        </w:tc>
      </w:tr>
      <w:tr>
        <w:trPr>
          <w:trHeight w:val="209"/>
        </w:trPr>
        <w:tc>
          <w:tcPr>
            <w:tcW w:w="6820" w:type="dxa"/>
            <w:vAlign w:val="bottom"/>
            <w:shd w:val="clear" w:color="auto" w:fill="CCEEFF"/>
          </w:tcPr>
          <w:p>
            <w:pPr>
              <w:jc w:val="center"/>
              <w:spacing w:after="0" w:line="209" w:lineRule="exact"/>
              <w:rPr>
                <w:sz w:val="20"/>
                <w:szCs w:val="20"/>
                <w:color w:val="auto"/>
              </w:rPr>
            </w:pPr>
            <w:r>
              <w:rPr>
                <w:rFonts w:ascii="Arial" w:cs="Arial" w:eastAsia="Arial" w:hAnsi="Arial"/>
                <w:sz w:val="15"/>
                <w:szCs w:val="15"/>
                <w:color w:val="auto"/>
                <w:w w:val="90"/>
              </w:rPr>
              <w:t>75</w:t>
            </w:r>
            <w:r>
              <w:rPr>
                <w:rFonts w:ascii="Arial" w:cs="Arial" w:eastAsia="Arial" w:hAnsi="Arial"/>
                <w:sz w:val="24"/>
                <w:szCs w:val="24"/>
                <w:color w:val="auto"/>
                <w:w w:val="90"/>
                <w:vertAlign w:val="superscript"/>
              </w:rPr>
              <w:t>th</w:t>
            </w:r>
            <w:r>
              <w:rPr>
                <w:rFonts w:ascii="Arial" w:cs="Arial" w:eastAsia="Arial" w:hAnsi="Arial"/>
                <w:sz w:val="15"/>
                <w:szCs w:val="15"/>
                <w:color w:val="auto"/>
                <w:w w:val="90"/>
              </w:rPr>
              <w:t xml:space="preserve"> percentile (Maximum)</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200%</w:t>
            </w:r>
          </w:p>
        </w:tc>
      </w:tr>
      <w:tr>
        <w:trPr>
          <w:trHeight w:val="217"/>
        </w:trPr>
        <w:tc>
          <w:tcPr>
            <w:tcW w:w="6820" w:type="dxa"/>
            <w:vAlign w:val="bottom"/>
          </w:tcPr>
          <w:p>
            <w:pPr>
              <w:ind w:left="2800"/>
              <w:spacing w:after="0" w:line="218" w:lineRule="exact"/>
              <w:rPr>
                <w:sz w:val="20"/>
                <w:szCs w:val="20"/>
                <w:color w:val="auto"/>
              </w:rPr>
            </w:pPr>
            <w:r>
              <w:rPr>
                <w:rFonts w:ascii="Arial" w:cs="Arial" w:eastAsia="Arial" w:hAnsi="Arial"/>
                <w:sz w:val="15"/>
                <w:szCs w:val="15"/>
                <w:color w:val="auto"/>
              </w:rPr>
              <w:t>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(Target)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100%</w:t>
            </w:r>
          </w:p>
        </w:tc>
      </w:tr>
      <w:tr>
        <w:trPr>
          <w:trHeight w:val="217"/>
        </w:trPr>
        <w:tc>
          <w:tcPr>
            <w:tcW w:w="6820" w:type="dxa"/>
            <w:vAlign w:val="bottom"/>
            <w:shd w:val="clear" w:color="auto" w:fill="CCEEFF"/>
          </w:tcPr>
          <w:p>
            <w:pPr>
              <w:jc w:val="center"/>
              <w:spacing w:after="0" w:line="218" w:lineRule="exact"/>
              <w:rPr>
                <w:sz w:val="20"/>
                <w:szCs w:val="20"/>
                <w:color w:val="auto"/>
              </w:rPr>
            </w:pPr>
            <w:r>
              <w:rPr>
                <w:rFonts w:ascii="Arial" w:cs="Arial" w:eastAsia="Arial" w:hAnsi="Arial"/>
                <w:sz w:val="15"/>
                <w:szCs w:val="15"/>
                <w:color w:val="auto"/>
                <w:w w:val="89"/>
              </w:rPr>
              <w:t>25</w:t>
            </w:r>
            <w:r>
              <w:rPr>
                <w:rFonts w:ascii="Arial" w:cs="Arial" w:eastAsia="Arial" w:hAnsi="Arial"/>
                <w:sz w:val="24"/>
                <w:szCs w:val="24"/>
                <w:color w:val="auto"/>
                <w:w w:val="89"/>
                <w:vertAlign w:val="superscript"/>
              </w:rPr>
              <w:t>th</w:t>
            </w:r>
            <w:r>
              <w:rPr>
                <w:rFonts w:ascii="Arial" w:cs="Arial" w:eastAsia="Arial" w:hAnsi="Arial"/>
                <w:sz w:val="15"/>
                <w:szCs w:val="15"/>
                <w:color w:val="auto"/>
                <w:w w:val="89"/>
              </w:rPr>
              <w:t xml:space="preserve"> percentile (Threshold)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r>
    </w:tbl>
    <w:p>
      <w:pPr>
        <w:spacing w:after="0" w:line="176" w:lineRule="exact"/>
        <w:rPr>
          <w:sz w:val="20"/>
          <w:szCs w:val="20"/>
          <w:color w:val="auto"/>
        </w:rPr>
      </w:pPr>
    </w:p>
    <w:p>
      <w:pPr>
        <w:jc w:val="both"/>
        <w:ind w:firstLine="410"/>
        <w:spacing w:after="0" w:line="277" w:lineRule="auto"/>
        <w:rPr>
          <w:sz w:val="20"/>
          <w:szCs w:val="20"/>
          <w:color w:val="auto"/>
        </w:rPr>
      </w:pPr>
      <w:r>
        <w:rPr>
          <w:rFonts w:ascii="Arial" w:cs="Arial" w:eastAsia="Arial" w:hAnsi="Arial"/>
          <w:sz w:val="15"/>
          <w:szCs w:val="15"/>
          <w:color w:val="auto"/>
        </w:rPr>
        <w:t>If actual performance falls between performance levels for either of the PSU performance measures, then the number of PSUs earned will be interpolated between the two performance levels, rounded to the nearest 0.1%.</w:t>
      </w:r>
    </w:p>
    <w:p>
      <w:pPr>
        <w:spacing w:after="0" w:line="151" w:lineRule="exact"/>
        <w:rPr>
          <w:sz w:val="20"/>
          <w:szCs w:val="20"/>
          <w:color w:val="auto"/>
        </w:rPr>
      </w:pPr>
    </w:p>
    <w:p>
      <w:pPr>
        <w:jc w:val="both"/>
        <w:ind w:firstLine="440"/>
        <w:spacing w:after="0" w:line="260" w:lineRule="auto"/>
        <w:rPr>
          <w:sz w:val="20"/>
          <w:szCs w:val="20"/>
          <w:color w:val="auto"/>
        </w:rPr>
      </w:pPr>
      <w:r>
        <w:rPr>
          <w:rFonts w:ascii="Arial" w:cs="Arial" w:eastAsia="Arial" w:hAnsi="Arial"/>
          <w:sz w:val="15"/>
          <w:szCs w:val="15"/>
          <w:color w:val="auto"/>
        </w:rPr>
        <w:t>The different performance measure levels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affecting the Company for 2018 and beyond, including general economic and market conditions and economic indicators for future periods, to ensure that the cash flow targets align with the Company's long-range strategic plan.</w:t>
      </w:r>
    </w:p>
    <w:p>
      <w:pPr>
        <w:spacing w:after="0" w:line="164"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4"/>
          <w:szCs w:val="14"/>
          <w:i w:val="1"/>
          <w:iCs w:val="1"/>
          <w:u w:val="single" w:color="auto"/>
          <w:color w:val="auto"/>
        </w:rPr>
        <w:t>Payout on PSUs for the Performance Period Ended December 31, 2018</w:t>
      </w:r>
      <w:r>
        <w:rPr>
          <w:rFonts w:ascii="Arial" w:cs="Arial" w:eastAsia="Arial" w:hAnsi="Arial"/>
          <w:sz w:val="14"/>
          <w:szCs w:val="14"/>
          <w:i w:val="1"/>
          <w:iCs w:val="1"/>
          <w:color w:val="auto"/>
        </w:rPr>
        <w:t xml:space="preserve">. </w:t>
      </w:r>
      <w:r>
        <w:rPr>
          <w:rFonts w:ascii="Arial" w:cs="Arial" w:eastAsia="Arial" w:hAnsi="Arial"/>
          <w:sz w:val="14"/>
          <w:szCs w:val="14"/>
          <w:color w:val="auto"/>
        </w:rPr>
        <w:t>Half of the PSUs granted in 2016 with the performance period ended December 31, 2018 were subject to the</w:t>
      </w:r>
      <w:r>
        <w:rPr>
          <w:rFonts w:ascii="Arial" w:cs="Arial" w:eastAsia="Arial" w:hAnsi="Arial"/>
          <w:sz w:val="14"/>
          <w:szCs w:val="14"/>
          <w:i w:val="1"/>
          <w:iCs w:val="1"/>
          <w:color w:val="auto"/>
        </w:rPr>
        <w:t xml:space="preserve"> </w:t>
      </w:r>
      <w:r>
        <w:rPr>
          <w:rFonts w:ascii="Arial" w:cs="Arial" w:eastAsia="Arial" w:hAnsi="Arial"/>
          <w:sz w:val="14"/>
          <w:szCs w:val="14"/>
          <w:color w:val="auto"/>
        </w:rPr>
        <w:t>cash flow generation performance measure, and the remaining half of the PSUs granted in 2016 were subject to total shareholder return relative to the S&amp;P 500. For the three-year performance period ended December 31, 2018, the Company generated cash provided by operating activities of $5.568 billion, exceeding the maximum of $4.564 billion; this performance level yielded a 200% payout in shares of Common Stock that were issued in February 2019. With respect to the PSUs with a three-year performance period ended December 31, 2018 that were subject to total shareholder return relative to the S&amp;P 500, the performance of the Company's Common Stock on this measure translated into a percentile rank relative to the S&amp;P 500 of 89.08%, resulting in a 200% payout in shares of Common Stock that were issued in February 2019. In line with the MD&amp;C Committee's policy on calculation adjustments discussed above, no adjustments were made to the performance calculations for these PSUs.</w:t>
      </w:r>
    </w:p>
    <w:p>
      <w:pPr>
        <w:spacing w:after="0" w:line="155" w:lineRule="exact"/>
        <w:rPr>
          <w:sz w:val="20"/>
          <w:szCs w:val="20"/>
          <w:color w:val="auto"/>
        </w:rPr>
      </w:pPr>
    </w:p>
    <w:p>
      <w:pPr>
        <w:jc w:val="both"/>
        <w:ind w:firstLine="406"/>
        <w:spacing w:after="0" w:line="283" w:lineRule="auto"/>
        <w:rPr>
          <w:sz w:val="20"/>
          <w:szCs w:val="20"/>
          <w:color w:val="auto"/>
        </w:rPr>
      </w:pPr>
      <w:r>
        <w:rPr>
          <w:rFonts w:ascii="Arial" w:cs="Arial" w:eastAsia="Arial" w:hAnsi="Arial"/>
          <w:sz w:val="14"/>
          <w:szCs w:val="14"/>
          <w:i w:val="1"/>
          <w:iCs w:val="1"/>
          <w:u w:val="single" w:color="auto"/>
          <w:color w:val="auto"/>
        </w:rPr>
        <w:t>Stock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 MD&amp;C Committee believes use of stock options is appropriate to support the growth element of the Company's strategy. The grant of options made to the named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officers in the first quarter of 2018 in connection with the annual grant of long-term equity awards was based on the targeted dollar amounts established for total long-term equity incentives (set forth in the table above) and multiplied by 20%, except that Mr. Harris received a specific allocation of $500,000 for PSUs as described above, and the remaining targeted dollar amount of $1.8 million was then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146" w:lineRule="exact"/>
        <w:rPr>
          <w:sz w:val="20"/>
          <w:szCs w:val="20"/>
          <w:color w:val="auto"/>
        </w:rPr>
      </w:pPr>
    </w:p>
    <w:tbl>
      <w:tblPr>
        <w:tblLayout w:type="fixed"/>
        <w:tblInd w:w="17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86"/>
              <w:spacing w:after="0"/>
              <w:rPr>
                <w:sz w:val="20"/>
                <w:szCs w:val="20"/>
                <w:color w:val="auto"/>
              </w:rPr>
            </w:pPr>
            <w:r>
              <w:rPr>
                <w:rFonts w:ascii="Arial" w:cs="Arial" w:eastAsia="Arial" w:hAnsi="Arial"/>
                <w:sz w:val="15"/>
                <w:szCs w:val="15"/>
                <w:b w:val="1"/>
                <w:bCs w:val="1"/>
                <w:color w:val="auto"/>
              </w:rPr>
              <w:t>Number of</w:t>
            </w:r>
          </w:p>
        </w:tc>
      </w:tr>
      <w:tr>
        <w:trPr>
          <w:trHeight w:val="193"/>
        </w:trPr>
        <w:tc>
          <w:tcPr>
            <w:tcW w:w="6880" w:type="dxa"/>
            <w:vAlign w:val="bottom"/>
            <w:gridSpan w:val="2"/>
          </w:tcPr>
          <w:p>
            <w:pPr>
              <w:spacing w:after="0"/>
              <w:rPr>
                <w:sz w:val="20"/>
                <w:szCs w:val="20"/>
                <w:color w:val="auto"/>
              </w:rPr>
            </w:pPr>
            <w:r>
              <w:rPr>
                <w:rFonts w:ascii="Arial" w:cs="Arial" w:eastAsia="Arial" w:hAnsi="Arial"/>
                <w:sz w:val="15"/>
                <w:szCs w:val="15"/>
                <w:b w:val="1"/>
                <w:bCs w:val="1"/>
                <w:color w:val="auto"/>
              </w:rPr>
              <w:t>Named Executive Officer</w:t>
            </w:r>
          </w:p>
        </w:tc>
        <w:tc>
          <w:tcPr>
            <w:tcW w:w="140" w:type="dxa"/>
            <w:vAlign w:val="bottom"/>
          </w:tcPr>
          <w:p>
            <w:pPr>
              <w:spacing w:after="0"/>
              <w:rPr>
                <w:sz w:val="16"/>
                <w:szCs w:val="16"/>
                <w:color w:val="auto"/>
              </w:rPr>
            </w:pPr>
          </w:p>
        </w:tc>
        <w:tc>
          <w:tcPr>
            <w:tcW w:w="1000" w:type="dxa"/>
            <w:vAlign w:val="bottom"/>
          </w:tcPr>
          <w:p>
            <w:pPr>
              <w:jc w:val="right"/>
              <w:ind w:right="166"/>
              <w:spacing w:after="0"/>
              <w:rPr>
                <w:sz w:val="20"/>
                <w:szCs w:val="20"/>
                <w:color w:val="auto"/>
              </w:rPr>
            </w:pPr>
            <w:r>
              <w:rPr>
                <w:rFonts w:ascii="Arial" w:cs="Arial" w:eastAsia="Arial" w:hAnsi="Arial"/>
                <w:sz w:val="15"/>
                <w:szCs w:val="15"/>
                <w:b w:val="1"/>
                <w:bCs w:val="1"/>
                <w:color w:val="auto"/>
              </w:rPr>
              <w:t>Options</w:t>
            </w:r>
          </w:p>
        </w:tc>
      </w:tr>
      <w:tr>
        <w:trPr>
          <w:trHeight w:val="175"/>
        </w:trPr>
        <w:tc>
          <w:tcPr>
            <w:tcW w:w="20" w:type="dxa"/>
            <w:vAlign w:val="bottom"/>
          </w:tcPr>
          <w:p>
            <w:pPr>
              <w:spacing w:after="0"/>
              <w:rPr>
                <w:sz w:val="15"/>
                <w:szCs w:val="15"/>
                <w:color w:val="auto"/>
              </w:rPr>
            </w:pPr>
          </w:p>
        </w:tc>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Mr. Fish</w:t>
            </w:r>
          </w:p>
        </w:tc>
        <w:tc>
          <w:tcPr>
            <w:tcW w:w="14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98,684</w:t>
            </w:r>
          </w:p>
        </w:tc>
      </w:tr>
      <w:tr>
        <w:trPr>
          <w:trHeight w:val="183"/>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5"/>
                <w:szCs w:val="15"/>
                <w:color w:val="auto"/>
              </w:rPr>
              <w:t>Ms. Rankin</w:t>
            </w:r>
          </w:p>
        </w:tc>
        <w:tc>
          <w:tcPr>
            <w:tcW w:w="1140" w:type="dxa"/>
            <w:vAlign w:val="bottom"/>
            <w:gridSpan w:val="2"/>
          </w:tcPr>
          <w:p>
            <w:pPr>
              <w:jc w:val="right"/>
              <w:ind w:right="6"/>
              <w:spacing w:after="0"/>
              <w:rPr>
                <w:sz w:val="20"/>
                <w:szCs w:val="20"/>
                <w:color w:val="auto"/>
              </w:rPr>
            </w:pPr>
            <w:r>
              <w:rPr>
                <w:rFonts w:ascii="Arial" w:cs="Arial" w:eastAsia="Arial" w:hAnsi="Arial"/>
                <w:sz w:val="15"/>
                <w:szCs w:val="15"/>
                <w:color w:val="auto"/>
              </w:rPr>
              <w:t>27,961</w:t>
            </w:r>
          </w:p>
        </w:tc>
      </w:tr>
      <w:tr>
        <w:trPr>
          <w:trHeight w:val="183"/>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Mr. Trevathan</w:t>
            </w:r>
          </w:p>
        </w:tc>
        <w:tc>
          <w:tcPr>
            <w:tcW w:w="1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36,513</w:t>
            </w:r>
          </w:p>
        </w:tc>
      </w:tr>
      <w:tr>
        <w:trPr>
          <w:trHeight w:val="183"/>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5"/>
                <w:szCs w:val="15"/>
                <w:color w:val="auto"/>
              </w:rPr>
              <w:t>Mr. Harris</w:t>
            </w:r>
          </w:p>
        </w:tc>
        <w:tc>
          <w:tcPr>
            <w:tcW w:w="1140" w:type="dxa"/>
            <w:vAlign w:val="bottom"/>
            <w:gridSpan w:val="2"/>
          </w:tcPr>
          <w:p>
            <w:pPr>
              <w:jc w:val="right"/>
              <w:ind w:right="6"/>
              <w:spacing w:after="0"/>
              <w:rPr>
                <w:sz w:val="20"/>
                <w:szCs w:val="20"/>
                <w:color w:val="auto"/>
              </w:rPr>
            </w:pPr>
            <w:r>
              <w:rPr>
                <w:rFonts w:ascii="Arial" w:cs="Arial" w:eastAsia="Arial" w:hAnsi="Arial"/>
                <w:sz w:val="15"/>
                <w:szCs w:val="15"/>
                <w:color w:val="auto"/>
              </w:rPr>
              <w:t>29,605</w:t>
            </w:r>
          </w:p>
        </w:tc>
      </w:tr>
      <w:tr>
        <w:trPr>
          <w:trHeight w:val="183"/>
        </w:trPr>
        <w:tc>
          <w:tcPr>
            <w:tcW w:w="20" w:type="dxa"/>
            <w:vAlign w:val="bottom"/>
          </w:tcPr>
          <w:p>
            <w:pPr>
              <w:spacing w:after="0"/>
              <w:rPr>
                <w:sz w:val="15"/>
                <w:szCs w:val="15"/>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5"/>
                <w:szCs w:val="15"/>
                <w:color w:val="auto"/>
              </w:rPr>
              <w:t>Mr. Morris</w:t>
            </w:r>
          </w:p>
        </w:tc>
        <w:tc>
          <w:tcPr>
            <w:tcW w:w="11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29,605</w:t>
            </w:r>
          </w:p>
        </w:tc>
      </w:tr>
    </w:tbl>
    <w:p>
      <w:pPr>
        <w:spacing w:after="0" w:line="176" w:lineRule="exact"/>
        <w:rPr>
          <w:sz w:val="20"/>
          <w:szCs w:val="20"/>
          <w:color w:val="auto"/>
        </w:rPr>
      </w:pPr>
    </w:p>
    <w:p>
      <w:pPr>
        <w:ind w:firstLine="470"/>
        <w:spacing w:after="0" w:line="277" w:lineRule="auto"/>
        <w:rPr>
          <w:sz w:val="20"/>
          <w:szCs w:val="20"/>
          <w:color w:val="auto"/>
        </w:rPr>
      </w:pPr>
      <w:r>
        <w:rPr>
          <w:rFonts w:ascii="Arial" w:cs="Arial" w:eastAsia="Arial" w:hAnsi="Arial"/>
          <w:sz w:val="15"/>
          <w:szCs w:val="15"/>
          <w:color w:val="auto"/>
        </w:rPr>
        <w:t>The stock options will vest in 25% increments on the first two anniversaries of the date of grant and the remaining 50% will vest on the third anniversary. The exercise price of the options granted in 2018 is $85.34, which is the average of the high and low market price of our Common Stock on the date of grant,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and the options have a term of ten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fully recognized at the time of grant.</w:t>
      </w:r>
    </w:p>
    <w:p>
      <w:pPr>
        <w:spacing w:after="0" w:line="16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4"/>
          <w:szCs w:val="14"/>
          <w:i w:val="1"/>
          <w:iCs w:val="1"/>
          <w:u w:val="single" w:color="auto"/>
          <w:color w:val="auto"/>
        </w:rPr>
        <w:t>Restricted Stock Units</w:t>
      </w:r>
      <w:r>
        <w:rPr>
          <w:rFonts w:ascii="Arial" w:cs="Arial" w:eastAsia="Arial" w:hAnsi="Arial"/>
          <w:sz w:val="14"/>
          <w:szCs w:val="14"/>
          <w:color w:val="auto"/>
        </w:rPr>
        <w:t>. The MD&amp;C Committee approved an award of 15,625 RSUs to Mr. Fish upon his promotion to President and Chief Executive Officer in November 2016. This</w:t>
      </w:r>
      <w:r>
        <w:rPr>
          <w:rFonts w:ascii="Arial" w:cs="Arial" w:eastAsia="Arial" w:hAnsi="Arial"/>
          <w:sz w:val="14"/>
          <w:szCs w:val="14"/>
          <w:i w:val="1"/>
          <w:iCs w:val="1"/>
          <w:color w:val="auto"/>
        </w:rPr>
        <w:t xml:space="preserve"> </w:t>
      </w:r>
      <w:r>
        <w:rPr>
          <w:rFonts w:ascii="Arial" w:cs="Arial" w:eastAsia="Arial" w:hAnsi="Arial"/>
          <w:sz w:val="14"/>
          <w:szCs w:val="14"/>
          <w:color w:val="auto"/>
        </w:rPr>
        <w:t>promotional grant of RSUs to Mr. Fish was made in consideration of his increased responsibilities and the competitive compensation analysis, in order to encourage and reward long-term performance, and in order to promote retention and increase alignment with stockholders. One-third of the RSUs granted to Mr. Fish vested in 2017 and 2018 on each of the first and second anniversaries of the date of grant. The remaining one-third of the RSUs will vest in 2019 on the third anniversary of the date of grant. Ms. Rankin also received RSUs as part of her annual equity incentive compensation granted in February of each year up to and including 2016, prior to her promotion to the senior leadership team. As of December 31, 2018, she had 759 RSUs outstanding that were granted on February 26, 2016. These RSUs vested in February 2019 on the third anniversary of the date of grant.</w:t>
      </w:r>
    </w:p>
    <w:p>
      <w:pPr>
        <w:spacing w:after="0" w:line="151" w:lineRule="exact"/>
        <w:rPr>
          <w:sz w:val="20"/>
          <w:szCs w:val="20"/>
          <w:color w:val="auto"/>
        </w:rPr>
      </w:pPr>
    </w:p>
    <w:p>
      <w:pPr>
        <w:jc w:val="both"/>
        <w:ind w:firstLine="547"/>
        <w:spacing w:after="0" w:line="265" w:lineRule="auto"/>
        <w:rPr>
          <w:sz w:val="20"/>
          <w:szCs w:val="20"/>
          <w:color w:val="auto"/>
        </w:rPr>
      </w:pPr>
      <w:r>
        <w:rPr>
          <w:rFonts w:ascii="Arial" w:cs="Arial" w:eastAsia="Arial" w:hAnsi="Arial"/>
          <w:sz w:val="15"/>
          <w:szCs w:val="15"/>
          <w:color w:val="auto"/>
        </w:rPr>
        <w:t>The MD&amp;C Committee anticipates that grants of RSUs to named executives will continue to be made on a limited basis in cases such as a significant promotion and increased responsibilities and to attract new hires, and that RSUs will not be a routine component of named executive compensation. Dividends on RSUs accrue and are paid in cash upon vesting. RSUs may not be voted or transferred until vested.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Post-Employment and Change in Control Compensation; Clawback Policies</w:t>
      </w:r>
    </w:p>
    <w:p>
      <w:pPr>
        <w:spacing w:after="0" w:line="198"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3"/>
          <w:szCs w:val="13"/>
          <w:i w:val="1"/>
          <w:iCs w:val="1"/>
          <w:u w:val="single" w:color="auto"/>
          <w:color w:val="auto"/>
        </w:rPr>
        <w:t>Severance Protection Plan</w:t>
      </w:r>
      <w:r>
        <w:rPr>
          <w:rFonts w:ascii="Arial" w:cs="Arial" w:eastAsia="Arial" w:hAnsi="Arial"/>
          <w:sz w:val="13"/>
          <w:szCs w:val="13"/>
          <w:i w:val="1"/>
          <w:iCs w:val="1"/>
          <w:color w:val="auto"/>
        </w:rPr>
        <w:t xml:space="preserve">. </w:t>
      </w:r>
      <w:r>
        <w:rPr>
          <w:rFonts w:ascii="Arial" w:cs="Arial" w:eastAsia="Arial" w:hAnsi="Arial"/>
          <w:sz w:val="13"/>
          <w:szCs w:val="13"/>
          <w:color w:val="auto"/>
        </w:rPr>
        <w:t>In December 2017, we adopted an Executive Severance Protection Plan (the "Severance Protection Plan") and each of Messrs. Fish and Morris and</w:t>
      </w:r>
      <w:r>
        <w:rPr>
          <w:rFonts w:ascii="Arial" w:cs="Arial" w:eastAsia="Arial" w:hAnsi="Arial"/>
          <w:sz w:val="13"/>
          <w:szCs w:val="13"/>
          <w:i w:val="1"/>
          <w:iCs w:val="1"/>
          <w:color w:val="auto"/>
        </w:rPr>
        <w:t xml:space="preserve"> </w:t>
      </w:r>
      <w:r>
        <w:rPr>
          <w:rFonts w:ascii="Arial" w:cs="Arial" w:eastAsia="Arial" w:hAnsi="Arial"/>
          <w:sz w:val="13"/>
          <w:szCs w:val="13"/>
          <w:color w:val="auto"/>
        </w:rPr>
        <w:t>Ms. Rankin entered into new or amended and restated employment agreements (the "2017 Employment Agreements"). The Severance Protection Plan covers each currently-serving executive officer. The 2017 Employment Agreements do not contain separate severance entitlements, but instead provide for additional terms and protections relating to the respective executive's participation in the Severance Protection Plan. The 2017 Employment Agreements are intended to transition the Company's severance protections away from contract-based protections and onto a standardized and flexible plan-based approach. Going forward, the Company does not anticipate entering into new employment agreements with our executive officers.</w:t>
      </w:r>
    </w:p>
    <w:p>
      <w:pPr>
        <w:spacing w:after="0" w:line="136" w:lineRule="exact"/>
        <w:rPr>
          <w:sz w:val="20"/>
          <w:szCs w:val="20"/>
          <w:color w:val="auto"/>
        </w:rPr>
      </w:pPr>
    </w:p>
    <w:p>
      <w:pPr>
        <w:jc w:val="both"/>
        <w:ind w:firstLine="387"/>
        <w:spacing w:after="0" w:line="277" w:lineRule="auto"/>
        <w:rPr>
          <w:sz w:val="20"/>
          <w:szCs w:val="20"/>
          <w:color w:val="auto"/>
        </w:rPr>
      </w:pPr>
      <w:r>
        <w:rPr>
          <w:rFonts w:ascii="Arial" w:cs="Arial" w:eastAsia="Arial" w:hAnsi="Arial"/>
          <w:sz w:val="15"/>
          <w:szCs w:val="15"/>
          <w:color w:val="auto"/>
        </w:rPr>
        <w:t>Each of Messrs. Trevathan and Harris retired under the terms of their legacy employment agreements, which did not require any payments to be made to an executive in connection with retirement. Additional information can be found under "Potential Payments Upon Termination or Change in Control" beginning on page 50.</w:t>
      </w:r>
    </w:p>
    <w:p>
      <w:pPr>
        <w:spacing w:after="0" w:line="151" w:lineRule="exact"/>
        <w:rPr>
          <w:sz w:val="20"/>
          <w:szCs w:val="20"/>
          <w:color w:val="auto"/>
        </w:rPr>
      </w:pPr>
    </w:p>
    <w:p>
      <w:pPr>
        <w:jc w:val="both"/>
        <w:ind w:firstLine="372"/>
        <w:spacing w:after="0" w:line="309" w:lineRule="auto"/>
        <w:rPr>
          <w:sz w:val="20"/>
          <w:szCs w:val="20"/>
          <w:color w:val="auto"/>
        </w:rPr>
      </w:pPr>
      <w:r>
        <w:rPr>
          <w:rFonts w:ascii="Arial" w:cs="Arial" w:eastAsia="Arial" w:hAnsi="Arial"/>
          <w:sz w:val="13"/>
          <w:szCs w:val="13"/>
          <w:i w:val="1"/>
          <w:iCs w:val="1"/>
          <w:u w:val="single" w:color="auto"/>
          <w:color w:val="auto"/>
        </w:rPr>
        <w:t>Post-Employment Covenants and Clawback Policies</w:t>
      </w:r>
      <w:r>
        <w:rPr>
          <w:rFonts w:ascii="Arial" w:cs="Arial" w:eastAsia="Arial" w:hAnsi="Arial"/>
          <w:sz w:val="13"/>
          <w:szCs w:val="13"/>
          <w:i w:val="1"/>
          <w:iCs w:val="1"/>
          <w:color w:val="auto"/>
        </w:rPr>
        <w:t xml:space="preserve">. </w:t>
      </w:r>
      <w:r>
        <w:rPr>
          <w:rFonts w:ascii="Arial" w:cs="Arial" w:eastAsia="Arial" w:hAnsi="Arial"/>
          <w:sz w:val="13"/>
          <w:szCs w:val="13"/>
          <w:color w:val="auto"/>
        </w:rPr>
        <w:t>The 2017 Employment Agreements contain noncompetition and nonsolicitation restrictions that apply during employment and for</w:t>
      </w:r>
      <w:r>
        <w:rPr>
          <w:rFonts w:ascii="Arial" w:cs="Arial" w:eastAsia="Arial" w:hAnsi="Arial"/>
          <w:sz w:val="13"/>
          <w:szCs w:val="13"/>
          <w:i w:val="1"/>
          <w:iCs w:val="1"/>
          <w:color w:val="auto"/>
        </w:rPr>
        <w:t xml:space="preserve"> </w:t>
      </w:r>
      <w:r>
        <w:rPr>
          <w:rFonts w:ascii="Arial" w:cs="Arial" w:eastAsia="Arial" w:hAnsi="Arial"/>
          <w:sz w:val="13"/>
          <w:szCs w:val="13"/>
          <w:color w:val="auto"/>
        </w:rPr>
        <w:t>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13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5"/>
          <w:szCs w:val="15"/>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Compensation Policies and Practices</w:t>
      </w:r>
    </w:p>
    <w:p>
      <w:pPr>
        <w:spacing w:after="0" w:line="198"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5"/>
          <w:szCs w:val="15"/>
          <w:i w:val="1"/>
          <w:iCs w:val="1"/>
          <w:u w:val="single" w:color="auto"/>
          <w:color w:val="auto"/>
        </w:rPr>
        <w:t>Compensation Limitation Policies</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has adopted a Severance Limitation Policy that generally provides that the Company may not enter into new severance arrangements</w:t>
      </w:r>
      <w:r>
        <w:rPr>
          <w:rFonts w:ascii="Arial" w:cs="Arial" w:eastAsia="Arial" w:hAnsi="Arial"/>
          <w:sz w:val="15"/>
          <w:szCs w:val="15"/>
          <w:i w:val="1"/>
          <w:iCs w:val="1"/>
          <w:color w:val="auto"/>
        </w:rPr>
        <w:t xml:space="preserve"> </w:t>
      </w:r>
      <w:r>
        <w:rPr>
          <w:rFonts w:ascii="Arial" w:cs="Arial" w:eastAsia="Arial" w:hAnsi="Arial"/>
          <w:sz w:val="15"/>
          <w:szCs w:val="15"/>
          <w:color w:val="auto"/>
        </w:rPr>
        <w:t>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new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170"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5"/>
          <w:szCs w:val="15"/>
          <w:color w:val="auto"/>
        </w:rPr>
        <w:t>In the past, the legacy employment agreements of Messrs. Trevathan and Harris contained certain provisions that exceeded benefits permitted under these compensation limitation policies. Following their retirements, none of our currently-serving executive officers are party to any employment agreement or arrangement with the Company that provides for severance, gross-up or death benefits that exceed amounts permitted by these compensation limitation policies.</w:t>
      </w:r>
    </w:p>
    <w:p>
      <w:pPr>
        <w:spacing w:after="0" w:line="161" w:lineRule="exact"/>
        <w:rPr>
          <w:sz w:val="20"/>
          <w:szCs w:val="20"/>
          <w:color w:val="auto"/>
        </w:rPr>
      </w:pPr>
    </w:p>
    <w:p>
      <w:pPr>
        <w:jc w:val="both"/>
        <w:ind w:firstLine="372"/>
        <w:spacing w:after="0" w:line="260" w:lineRule="auto"/>
        <w:rPr>
          <w:sz w:val="20"/>
          <w:szCs w:val="20"/>
          <w:color w:val="auto"/>
        </w:rPr>
      </w:pPr>
      <w:r>
        <w:rPr>
          <w:rFonts w:ascii="Arial" w:cs="Arial" w:eastAsia="Arial" w:hAnsi="Arial"/>
          <w:sz w:val="15"/>
          <w:szCs w:val="15"/>
          <w:i w:val="1"/>
          <w:iCs w:val="1"/>
          <w:u w:val="single" w:color="auto"/>
          <w:color w:val="auto"/>
        </w:rPr>
        <w:t>Stock Ownership Guidelines and Holding Requirements</w:t>
      </w:r>
      <w:r>
        <w:rPr>
          <w:rFonts w:ascii="Arial" w:cs="Arial" w:eastAsia="Arial" w:hAnsi="Arial"/>
          <w:sz w:val="15"/>
          <w:szCs w:val="15"/>
          <w:i w:val="1"/>
          <w:iCs w:val="1"/>
          <w:color w:val="auto"/>
        </w:rPr>
        <w:t xml:space="preserve">. </w:t>
      </w:r>
      <w:r>
        <w:rPr>
          <w:rFonts w:ascii="Arial" w:cs="Arial" w:eastAsia="Arial" w:hAnsi="Arial"/>
          <w:sz w:val="15"/>
          <w:szCs w:val="15"/>
          <w:color w:val="auto"/>
        </w:rPr>
        <w:t>All of our currently-serving named executive officers are subject to stock ownership guidelines. We instituted stock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guidelines, the MD&amp;C Committee monitors ownership levels to confirm that executives are making sustained progress toward achievement of their ownership guidelines.</w:t>
      </w:r>
    </w:p>
    <w:p>
      <w:pPr>
        <w:spacing w:after="0" w:line="164" w:lineRule="exact"/>
        <w:rPr>
          <w:sz w:val="20"/>
          <w:szCs w:val="20"/>
          <w:color w:val="auto"/>
        </w:rPr>
      </w:pPr>
    </w:p>
    <w:p>
      <w:pPr>
        <w:jc w:val="both"/>
        <w:ind w:firstLine="397"/>
        <w:spacing w:after="0" w:line="314" w:lineRule="auto"/>
        <w:rPr>
          <w:sz w:val="20"/>
          <w:szCs w:val="20"/>
          <w:color w:val="auto"/>
        </w:rPr>
      </w:pPr>
      <w:r>
        <w:rPr>
          <w:rFonts w:ascii="Arial" w:cs="Arial" w:eastAsia="Arial" w:hAnsi="Arial"/>
          <w:sz w:val="13"/>
          <w:szCs w:val="13"/>
          <w:color w:val="auto"/>
        </w:rPr>
        <w:t>Additionally, our stock ownership guidelines contain holding requirements. Executives with a title of Senior Vice President or higher, which includes all of our currently-serving named executives, must hold 100% of all net shares acquired through the Company's long-term incentive plans for at least one year, and those individuals must continue to hold 100% of all such net shares until the individual's ownership guideline is achieved. Once achieved, the requisite stock ownership level must continue to be retained throughout the executive's employment with the Company. Our MD&amp;C Committee believes these holding periods discourage executives from taking actions in an effort to gain from short-term increases in the market value of our stock.</w:t>
      </w:r>
    </w:p>
    <w:p>
      <w:pPr>
        <w:spacing w:after="0" w:line="133" w:lineRule="exact"/>
        <w:rPr>
          <w:sz w:val="20"/>
          <w:szCs w:val="20"/>
          <w:color w:val="auto"/>
        </w:rPr>
      </w:pPr>
    </w:p>
    <w:p>
      <w:pPr>
        <w:jc w:val="both"/>
        <w:ind w:firstLine="465"/>
        <w:spacing w:after="0" w:line="277" w:lineRule="auto"/>
        <w:rPr>
          <w:sz w:val="20"/>
          <w:szCs w:val="20"/>
          <w:color w:val="auto"/>
        </w:rPr>
      </w:pPr>
      <w:r>
        <w:rPr>
          <w:rFonts w:ascii="Arial" w:cs="Arial" w:eastAsia="Arial" w:hAnsi="Arial"/>
          <w:sz w:val="15"/>
          <w:szCs w:val="15"/>
          <w:color w:val="auto"/>
        </w:rPr>
        <w:t>The MD&amp;C Committee regularly reviews the ownership guidelines to ensure that the appropriate share ownership levels are in place. Guidelines are expressed as a fixed number of shares and were revised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5" w:name="page46"/>
    <w:bookmarkEnd w:id="4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left="8"/>
        <w:spacing w:after="0" w:line="281" w:lineRule="auto"/>
        <w:rPr>
          <w:sz w:val="20"/>
          <w:szCs w:val="20"/>
          <w:color w:val="auto"/>
        </w:rPr>
      </w:pPr>
      <w:r>
        <w:rPr>
          <w:rFonts w:ascii="Arial" w:cs="Arial" w:eastAsia="Arial" w:hAnsi="Arial"/>
          <w:sz w:val="14"/>
          <w:szCs w:val="14"/>
          <w:color w:val="auto"/>
        </w:rPr>
        <w:t>in November 2018 to account for the Company's more recent sustained Common Stock market value. The ownership requirement of Mr. Fish, our President and Chief Executive Officer, was approximately 6.5 times base salary, using his base salary as of December 31, 2018 and an assumed $80 per share stock price. Using the closing price of the Company's Common Stock on March 19, 2019, the ownership requirement of our President and Chief Executive Officer is approximately 8.2 times his base salary as of December 31, 2018. Shares owned outright, vested RSUs and PSUs that have been deferred,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 The following table outlines the stock ownership guidelines and attainment for the currently-serving named executive officers.</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0"/>
              </w:rPr>
              <w:t>Ownership</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0"/>
              </w:rPr>
              <w:t>Guideline</w:t>
            </w:r>
          </w:p>
        </w:tc>
        <w:tc>
          <w:tcPr>
            <w:tcW w:w="12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w w:val="91"/>
              </w:rPr>
              <w:t>Attainment as of</w:t>
            </w:r>
          </w:p>
        </w:tc>
      </w:tr>
      <w:tr>
        <w:trPr>
          <w:trHeight w:val="193"/>
        </w:trPr>
        <w:tc>
          <w:tcPr>
            <w:tcW w:w="1700" w:type="dxa"/>
            <w:vAlign w:val="bottom"/>
          </w:tcPr>
          <w:p>
            <w:pPr>
              <w:spacing w:after="0"/>
              <w:rPr>
                <w:sz w:val="16"/>
                <w:szCs w:val="16"/>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Named Executive Officer</w:t>
            </w:r>
          </w:p>
        </w:tc>
        <w:tc>
          <w:tcPr>
            <w:tcW w:w="1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(number of shares)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March 19, 2019</w:t>
            </w:r>
          </w:p>
        </w:tc>
        <w:tc>
          <w:tcPr>
            <w:tcW w:w="20" w:type="dxa"/>
            <w:vAlign w:val="bottom"/>
          </w:tcPr>
          <w:p>
            <w:pPr>
              <w:spacing w:after="0"/>
              <w:rPr>
                <w:sz w:val="16"/>
                <w:szCs w:val="16"/>
                <w:color w:val="auto"/>
              </w:rPr>
            </w:pPr>
          </w:p>
        </w:tc>
      </w:tr>
      <w:tr>
        <w:trPr>
          <w:trHeight w:val="175"/>
        </w:trPr>
        <w:tc>
          <w:tcPr>
            <w:tcW w:w="1700" w:type="dxa"/>
            <w:vAlign w:val="bottom"/>
          </w:tcPr>
          <w:p>
            <w:pPr>
              <w:spacing w:after="0"/>
              <w:rPr>
                <w:sz w:val="15"/>
                <w:szCs w:val="15"/>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Fish</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5360" w:type="dxa"/>
            <w:vAlign w:val="bottom"/>
            <w:gridSpan w:val="2"/>
          </w:tcPr>
          <w:p>
            <w:pPr>
              <w:spacing w:after="0"/>
              <w:rPr>
                <w:sz w:val="20"/>
                <w:szCs w:val="20"/>
                <w:color w:val="auto"/>
              </w:rPr>
            </w:pPr>
            <w:r>
              <w:rPr>
                <w:rFonts w:ascii="Arial" w:cs="Arial" w:eastAsia="Arial" w:hAnsi="Arial"/>
                <w:sz w:val="15"/>
                <w:szCs w:val="15"/>
                <w:color w:val="auto"/>
              </w:rPr>
              <w:t>Ms. Rankin</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25,000</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80%</w:t>
            </w:r>
          </w:p>
        </w:tc>
        <w:tc>
          <w:tcPr>
            <w:tcW w:w="20" w:type="dxa"/>
            <w:vAlign w:val="bottom"/>
          </w:tcPr>
          <w:p>
            <w:pPr>
              <w:spacing w:after="0"/>
              <w:rPr>
                <w:sz w:val="15"/>
                <w:szCs w:val="15"/>
                <w:color w:val="auto"/>
              </w:rPr>
            </w:pPr>
          </w:p>
        </w:tc>
      </w:tr>
      <w:tr>
        <w:trPr>
          <w:trHeight w:val="217"/>
        </w:trPr>
        <w:tc>
          <w:tcPr>
            <w:tcW w:w="1700" w:type="dxa"/>
            <w:vAlign w:val="bottom"/>
          </w:tcPr>
          <w:p>
            <w:pPr>
              <w:spacing w:after="0"/>
              <w:rPr>
                <w:sz w:val="18"/>
                <w:szCs w:val="18"/>
                <w:color w:val="auto"/>
              </w:rPr>
            </w:pPr>
          </w:p>
        </w:tc>
        <w:tc>
          <w:tcPr>
            <w:tcW w:w="5360" w:type="dxa"/>
            <w:vAlign w:val="bottom"/>
            <w:gridSpan w:val="2"/>
            <w:shd w:val="clear" w:color="auto" w:fill="CCEEFF"/>
          </w:tcPr>
          <w:p>
            <w:pPr>
              <w:spacing w:after="0" w:line="218" w:lineRule="exact"/>
              <w:rPr>
                <w:sz w:val="20"/>
                <w:szCs w:val="20"/>
                <w:color w:val="auto"/>
              </w:rPr>
            </w:pPr>
            <w:r>
              <w:rPr>
                <w:rFonts w:ascii="Arial" w:cs="Arial" w:eastAsia="Arial" w:hAnsi="Arial"/>
                <w:sz w:val="15"/>
                <w:szCs w:val="15"/>
                <w:color w:val="auto"/>
              </w:rPr>
              <w:t>Mr. Morris</w:t>
            </w:r>
            <w:r>
              <w:rPr>
                <w:rFonts w:ascii="Arial" w:cs="Arial" w:eastAsia="Arial" w:hAnsi="Arial"/>
                <w:sz w:val="24"/>
                <w:szCs w:val="24"/>
                <w:color w:val="auto"/>
                <w:vertAlign w:val="superscript"/>
              </w:rPr>
              <w:t>(1)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20" w:type="dxa"/>
            <w:vAlign w:val="bottom"/>
          </w:tcPr>
          <w:p>
            <w:pPr>
              <w:spacing w:after="0"/>
              <w:rPr>
                <w:sz w:val="18"/>
                <w:szCs w:val="18"/>
                <w:color w:val="auto"/>
              </w:rPr>
            </w:pPr>
          </w:p>
        </w:tc>
      </w:tr>
      <w:tr>
        <w:trPr>
          <w:trHeight w:val="92"/>
        </w:trPr>
        <w:tc>
          <w:tcPr>
            <w:tcW w:w="17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87" w:lineRule="exact"/>
        <w:rPr>
          <w:sz w:val="20"/>
          <w:szCs w:val="20"/>
          <w:color w:val="auto"/>
        </w:rPr>
      </w:pPr>
    </w:p>
    <w:p>
      <w:pPr>
        <w:ind w:left="448" w:hanging="448"/>
        <w:spacing w:after="0" w:line="277" w:lineRule="auto"/>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Mr. Morris' stock ownership guideline increased from 14,000 shares to 27,500 shares on January 1, 2019 in connection with his promotion to Executive Vice President and Chief Operating Officer.</w:t>
      </w:r>
    </w:p>
    <w:p>
      <w:pPr>
        <w:spacing w:after="0" w:line="151" w:lineRule="exact"/>
        <w:rPr>
          <w:sz w:val="20"/>
          <w:szCs w:val="20"/>
          <w:color w:val="auto"/>
        </w:rPr>
      </w:pPr>
    </w:p>
    <w:p>
      <w:pPr>
        <w:jc w:val="both"/>
        <w:ind w:left="8" w:firstLine="391"/>
        <w:spacing w:after="0" w:line="277" w:lineRule="auto"/>
        <w:rPr>
          <w:sz w:val="20"/>
          <w:szCs w:val="20"/>
          <w:color w:val="auto"/>
        </w:rPr>
      </w:pPr>
      <w:r>
        <w:rPr>
          <w:rFonts w:ascii="Arial" w:cs="Arial" w:eastAsia="Arial" w:hAnsi="Arial"/>
          <w:sz w:val="15"/>
          <w:szCs w:val="15"/>
          <w:color w:val="auto"/>
        </w:rPr>
        <w:t>As discussed under "Director and Officer Stock Ownership," the MD&amp;C Committee also establishes ownership guidelines for the independent directors and performs regular reviews to ensure all independent directors are in compliance or are showing sustained progress toward achievement of their ownership guideline.</w:t>
      </w:r>
    </w:p>
    <w:p>
      <w:pPr>
        <w:spacing w:after="0" w:line="151" w:lineRule="exact"/>
        <w:rPr>
          <w:sz w:val="20"/>
          <w:szCs w:val="20"/>
          <w:color w:val="auto"/>
        </w:rPr>
      </w:pPr>
    </w:p>
    <w:p>
      <w:pPr>
        <w:jc w:val="both"/>
        <w:ind w:left="8" w:firstLine="509"/>
        <w:spacing w:after="0" w:line="296" w:lineRule="auto"/>
        <w:rPr>
          <w:sz w:val="20"/>
          <w:szCs w:val="20"/>
          <w:color w:val="auto"/>
        </w:rPr>
      </w:pPr>
      <w:r>
        <w:rPr>
          <w:rFonts w:ascii="Arial" w:cs="Arial" w:eastAsia="Arial" w:hAnsi="Arial"/>
          <w:sz w:val="13"/>
          <w:szCs w:val="13"/>
          <w:i w:val="1"/>
          <w:iCs w:val="1"/>
          <w:u w:val="single" w:color="auto"/>
          <w:color w:val="auto"/>
        </w:rPr>
        <w:t>Insider Trading; Restrictions on Hedging and Pledging Company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Company's Insider Trading Policy prohibits directors, executive officers and other "designated</w:t>
      </w:r>
      <w:r>
        <w:rPr>
          <w:rFonts w:ascii="Arial" w:cs="Arial" w:eastAsia="Arial" w:hAnsi="Arial"/>
          <w:sz w:val="13"/>
          <w:szCs w:val="13"/>
          <w:i w:val="1"/>
          <w:iCs w:val="1"/>
          <w:color w:val="auto"/>
        </w:rPr>
        <w:t xml:space="preserve"> </w:t>
      </w:r>
      <w:r>
        <w:rPr>
          <w:rFonts w:ascii="Arial" w:cs="Arial" w:eastAsia="Arial" w:hAnsi="Arial"/>
          <w:sz w:val="13"/>
          <w:szCs w:val="13"/>
          <w:color w:val="auto"/>
        </w:rPr>
        <w:t>insiders" from engaging in most transactions involving the Company's Common Stock during periods, determined by the Company, that those individuals are most likely to be aware of material, non-public information. Directors, executive officers and other designated insiders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w:t>
      </w:r>
    </w:p>
    <w:p>
      <w:pPr>
        <w:jc w:val="both"/>
        <w:ind w:left="8" w:hanging="8"/>
        <w:spacing w:after="0" w:line="307" w:lineRule="auto"/>
        <w:tabs>
          <w:tab w:leader="none" w:pos="228" w:val="left"/>
        </w:tabs>
        <w:numPr>
          <w:ilvl w:val="0"/>
          <w:numId w:val="37"/>
        </w:numPr>
        <w:rPr>
          <w:rFonts w:ascii="Arial" w:cs="Arial" w:eastAsia="Arial" w:hAnsi="Arial"/>
          <w:sz w:val="13"/>
          <w:szCs w:val="13"/>
          <w:color w:val="auto"/>
        </w:rPr>
      </w:pPr>
      <w:r>
        <w:rPr>
          <w:rFonts w:ascii="Arial" w:cs="Arial" w:eastAsia="Arial" w:hAnsi="Arial"/>
          <w:sz w:val="13"/>
          <w:szCs w:val="13"/>
          <w:color w:val="auto"/>
        </w:rPr>
        <w:t>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 has also adopted a policy prohibiting pledges of Company securities by executive officers without Board-level approval and requiring that such pledged shares are not required to meet the executive's ownership level under the ownership guidelines. None of our directors or currently-serving executive officers have pledged Company securities.</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7265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32" w:right="2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EXECUTIVE COMPENSATION TABLES</w:t>
      </w:r>
    </w:p>
    <w:p>
      <w:pPr>
        <w:spacing w:after="0" w:line="19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5"/>
          <w:szCs w:val="15"/>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5"/>
          <w:szCs w:val="15"/>
          <w:i w:val="1"/>
          <w:iCs w:val="1"/>
          <w:color w:val="auto"/>
        </w:rPr>
        <w:t>Compensation Discussion and Analysis</w:t>
      </w:r>
      <w:r>
        <w:rPr>
          <w:rFonts w:ascii="Arial" w:cs="Arial" w:eastAsia="Arial" w:hAnsi="Arial"/>
          <w:sz w:val="15"/>
          <w:szCs w:val="15"/>
          <w:color w:val="auto"/>
        </w:rPr>
        <w:t xml:space="preserve"> contains a discussion that should be read in conjunction with these tables to gain a complete understanding of our executive compensation philosophy, programs and decisions.</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130175</wp:posOffset>
            </wp:positionV>
            <wp:extent cx="6985" cy="334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3599180</wp:posOffset>
            </wp:positionH>
            <wp:positionV relativeFrom="paragraph">
              <wp:posOffset>130175</wp:posOffset>
            </wp:positionV>
            <wp:extent cx="6985" cy="334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130175</wp:posOffset>
            </wp:positionV>
            <wp:extent cx="6985" cy="3340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130175</wp:posOffset>
            </wp:positionV>
            <wp:extent cx="6985" cy="3340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130175</wp:posOffset>
            </wp:positionV>
            <wp:extent cx="6985" cy="3340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130175</wp:posOffset>
            </wp:positionV>
            <wp:extent cx="6985" cy="3340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6259195</wp:posOffset>
            </wp:positionH>
            <wp:positionV relativeFrom="paragraph">
              <wp:posOffset>130175</wp:posOffset>
            </wp:positionV>
            <wp:extent cx="6985" cy="3340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5" cy="334010"/>
                    </a:xfrm>
                    <a:prstGeom prst="rect">
                      <a:avLst/>
                    </a:prstGeom>
                    <a:noFill/>
                  </pic:spPr>
                </pic:pic>
              </a:graphicData>
            </a:graphic>
          </wp:anchor>
        </w:drawing>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680" w:type="dxa"/>
            <w:vAlign w:val="bottom"/>
            <w:shd w:val="clear" w:color="auto" w:fill="E7E7E8"/>
          </w:tcPr>
          <w:p>
            <w:pPr>
              <w:spacing w:after="0"/>
              <w:rPr>
                <w:sz w:val="10"/>
                <w:szCs w:val="10"/>
                <w:color w:val="auto"/>
              </w:rPr>
            </w:pPr>
          </w:p>
        </w:tc>
        <w:tc>
          <w:tcPr>
            <w:tcW w:w="1280" w:type="dxa"/>
            <w:vAlign w:val="bottom"/>
            <w:shd w:val="clear" w:color="auto" w:fill="E7E7E8"/>
          </w:tcPr>
          <w:p>
            <w:pPr>
              <w:spacing w:after="0"/>
              <w:rPr>
                <w:sz w:val="10"/>
                <w:szCs w:val="10"/>
                <w:color w:val="auto"/>
              </w:rPr>
            </w:pPr>
          </w:p>
        </w:tc>
        <w:tc>
          <w:tcPr>
            <w:tcW w:w="1140" w:type="dxa"/>
            <w:vAlign w:val="bottom"/>
            <w:shd w:val="clear" w:color="auto" w:fill="E7E7E8"/>
          </w:tcPr>
          <w:p>
            <w:pPr>
              <w:spacing w:after="0"/>
              <w:rPr>
                <w:sz w:val="10"/>
                <w:szCs w:val="10"/>
                <w:color w:val="auto"/>
              </w:rPr>
            </w:pPr>
          </w:p>
        </w:tc>
        <w:tc>
          <w:tcPr>
            <w:tcW w:w="740" w:type="dxa"/>
            <w:vAlign w:val="bottom"/>
            <w:shd w:val="clear" w:color="auto" w:fill="E7E7E8"/>
          </w:tcPr>
          <w:p>
            <w:pPr>
              <w:spacing w:after="0"/>
              <w:rPr>
                <w:sz w:val="10"/>
                <w:szCs w:val="10"/>
                <w:color w:val="auto"/>
              </w:rPr>
            </w:pPr>
          </w:p>
        </w:tc>
        <w:tc>
          <w:tcPr>
            <w:tcW w:w="760" w:type="dxa"/>
            <w:vAlign w:val="bottom"/>
            <w:shd w:val="clear" w:color="auto" w:fill="E7E7E8"/>
          </w:tcPr>
          <w:p>
            <w:pPr>
              <w:spacing w:after="0"/>
              <w:rPr>
                <w:sz w:val="10"/>
                <w:szCs w:val="10"/>
                <w:color w:val="auto"/>
              </w:rPr>
            </w:pPr>
          </w:p>
        </w:tc>
        <w:tc>
          <w:tcPr>
            <w:tcW w:w="1040" w:type="dxa"/>
            <w:vAlign w:val="bottom"/>
            <w:shd w:val="clear" w:color="auto" w:fill="E7E7E8"/>
          </w:tcPr>
          <w:p>
            <w:pPr>
              <w:jc w:val="right"/>
              <w:ind w:right="103"/>
              <w:spacing w:after="0"/>
              <w:rPr>
                <w:sz w:val="20"/>
                <w:szCs w:val="20"/>
                <w:color w:val="auto"/>
              </w:rPr>
            </w:pPr>
            <w:r>
              <w:rPr>
                <w:rFonts w:ascii="Arial" w:cs="Arial" w:eastAsia="Arial" w:hAnsi="Arial"/>
                <w:sz w:val="11"/>
                <w:szCs w:val="11"/>
                <w:b w:val="1"/>
                <w:bCs w:val="1"/>
                <w:color w:val="auto"/>
              </w:rPr>
              <w:t>Non-Equity</w:t>
            </w:r>
          </w:p>
        </w:tc>
        <w:tc>
          <w:tcPr>
            <w:tcW w:w="1020" w:type="dxa"/>
            <w:vAlign w:val="bottom"/>
            <w:shd w:val="clear" w:color="auto" w:fill="E7E7E8"/>
          </w:tcPr>
          <w:p>
            <w:pPr>
              <w:spacing w:after="0"/>
              <w:rPr>
                <w:sz w:val="10"/>
                <w:szCs w:val="10"/>
                <w:color w:val="auto"/>
              </w:rPr>
            </w:pPr>
          </w:p>
        </w:tc>
        <w:tc>
          <w:tcPr>
            <w:tcW w:w="600" w:type="dxa"/>
            <w:vAlign w:val="bottom"/>
            <w:shd w:val="clear" w:color="auto" w:fill="E7E7E8"/>
          </w:tcPr>
          <w:p>
            <w:pPr>
              <w:spacing w:after="0"/>
              <w:rPr>
                <w:sz w:val="10"/>
                <w:szCs w:val="10"/>
                <w:color w:val="auto"/>
              </w:rPr>
            </w:pPr>
          </w:p>
        </w:tc>
      </w:tr>
      <w:tr>
        <w:trPr>
          <w:trHeight w:val="126"/>
        </w:trPr>
        <w:tc>
          <w:tcPr>
            <w:tcW w:w="2680" w:type="dxa"/>
            <w:vAlign w:val="bottom"/>
            <w:shd w:val="clear" w:color="auto" w:fill="E7E7E8"/>
          </w:tcPr>
          <w:p>
            <w:pPr>
              <w:spacing w:after="0"/>
              <w:rPr>
                <w:sz w:val="10"/>
                <w:szCs w:val="10"/>
                <w:color w:val="auto"/>
              </w:rPr>
            </w:pPr>
          </w:p>
        </w:tc>
        <w:tc>
          <w:tcPr>
            <w:tcW w:w="1280" w:type="dxa"/>
            <w:vAlign w:val="bottom"/>
            <w:shd w:val="clear" w:color="auto" w:fill="E7E7E8"/>
          </w:tcPr>
          <w:p>
            <w:pPr>
              <w:spacing w:after="0"/>
              <w:rPr>
                <w:sz w:val="10"/>
                <w:szCs w:val="10"/>
                <w:color w:val="auto"/>
              </w:rPr>
            </w:pPr>
          </w:p>
        </w:tc>
        <w:tc>
          <w:tcPr>
            <w:tcW w:w="1140" w:type="dxa"/>
            <w:vAlign w:val="bottom"/>
            <w:shd w:val="clear" w:color="auto" w:fill="E7E7E8"/>
          </w:tcPr>
          <w:p>
            <w:pPr>
              <w:spacing w:after="0"/>
              <w:rPr>
                <w:sz w:val="10"/>
                <w:szCs w:val="10"/>
                <w:color w:val="auto"/>
              </w:rPr>
            </w:pPr>
          </w:p>
        </w:tc>
        <w:tc>
          <w:tcPr>
            <w:tcW w:w="74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Stock</w:t>
            </w:r>
          </w:p>
        </w:tc>
        <w:tc>
          <w:tcPr>
            <w:tcW w:w="760" w:type="dxa"/>
            <w:vAlign w:val="bottom"/>
            <w:shd w:val="clear" w:color="auto" w:fill="E7E7E8"/>
          </w:tcPr>
          <w:p>
            <w:pPr>
              <w:jc w:val="right"/>
              <w:ind w:right="103"/>
              <w:spacing w:after="0"/>
              <w:rPr>
                <w:sz w:val="20"/>
                <w:szCs w:val="20"/>
                <w:color w:val="auto"/>
              </w:rPr>
            </w:pPr>
            <w:r>
              <w:rPr>
                <w:rFonts w:ascii="Arial" w:cs="Arial" w:eastAsia="Arial" w:hAnsi="Arial"/>
                <w:sz w:val="11"/>
                <w:szCs w:val="11"/>
                <w:b w:val="1"/>
                <w:bCs w:val="1"/>
                <w:color w:val="auto"/>
              </w:rPr>
              <w:t>Option</w:t>
            </w:r>
          </w:p>
        </w:tc>
        <w:tc>
          <w:tcPr>
            <w:tcW w:w="1040" w:type="dxa"/>
            <w:vAlign w:val="bottom"/>
            <w:shd w:val="clear" w:color="auto" w:fill="E7E7E8"/>
          </w:tcPr>
          <w:p>
            <w:pPr>
              <w:jc w:val="right"/>
              <w:ind w:right="103"/>
              <w:spacing w:after="0"/>
              <w:rPr>
                <w:sz w:val="20"/>
                <w:szCs w:val="20"/>
                <w:color w:val="auto"/>
              </w:rPr>
            </w:pPr>
            <w:r>
              <w:rPr>
                <w:rFonts w:ascii="Arial" w:cs="Arial" w:eastAsia="Arial" w:hAnsi="Arial"/>
                <w:sz w:val="11"/>
                <w:szCs w:val="11"/>
                <w:b w:val="1"/>
                <w:bCs w:val="1"/>
                <w:color w:val="auto"/>
              </w:rPr>
              <w:t>Incentive Plan</w:t>
            </w:r>
          </w:p>
        </w:tc>
        <w:tc>
          <w:tcPr>
            <w:tcW w:w="10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All Other</w:t>
            </w:r>
          </w:p>
        </w:tc>
        <w:tc>
          <w:tcPr>
            <w:tcW w:w="600" w:type="dxa"/>
            <w:vAlign w:val="bottom"/>
            <w:shd w:val="clear" w:color="auto" w:fill="E7E7E8"/>
          </w:tcPr>
          <w:p>
            <w:pPr>
              <w:spacing w:after="0"/>
              <w:rPr>
                <w:sz w:val="10"/>
                <w:szCs w:val="10"/>
                <w:color w:val="auto"/>
              </w:rPr>
            </w:pPr>
          </w:p>
        </w:tc>
      </w:tr>
      <w:tr>
        <w:trPr>
          <w:trHeight w:val="132"/>
        </w:trPr>
        <w:tc>
          <w:tcPr>
            <w:tcW w:w="2680" w:type="dxa"/>
            <w:vAlign w:val="bottom"/>
            <w:shd w:val="clear" w:color="auto" w:fill="E7E7E8"/>
          </w:tcPr>
          <w:p>
            <w:pPr>
              <w:spacing w:after="0"/>
              <w:rPr>
                <w:sz w:val="11"/>
                <w:szCs w:val="11"/>
                <w:color w:val="auto"/>
              </w:rPr>
            </w:pPr>
          </w:p>
        </w:tc>
        <w:tc>
          <w:tcPr>
            <w:tcW w:w="1280" w:type="dxa"/>
            <w:vAlign w:val="bottom"/>
            <w:shd w:val="clear" w:color="auto" w:fill="E7E7E8"/>
          </w:tcPr>
          <w:p>
            <w:pPr>
              <w:jc w:val="right"/>
              <w:ind w:right="724"/>
              <w:spacing w:after="0"/>
              <w:rPr>
                <w:sz w:val="20"/>
                <w:szCs w:val="20"/>
                <w:color w:val="auto"/>
              </w:rPr>
            </w:pPr>
            <w:r>
              <w:rPr>
                <w:rFonts w:ascii="Arial" w:cs="Arial" w:eastAsia="Arial" w:hAnsi="Arial"/>
                <w:sz w:val="11"/>
                <w:szCs w:val="11"/>
                <w:b w:val="1"/>
                <w:bCs w:val="1"/>
                <w:color w:val="auto"/>
              </w:rPr>
              <w:t>Salary</w:t>
            </w:r>
          </w:p>
        </w:tc>
        <w:tc>
          <w:tcPr>
            <w:tcW w:w="114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Bonus</w:t>
            </w:r>
          </w:p>
        </w:tc>
        <w:tc>
          <w:tcPr>
            <w:tcW w:w="74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Awards</w:t>
            </w:r>
          </w:p>
        </w:tc>
        <w:tc>
          <w:tcPr>
            <w:tcW w:w="760" w:type="dxa"/>
            <w:vAlign w:val="bottom"/>
            <w:shd w:val="clear" w:color="auto" w:fill="E7E7E8"/>
          </w:tcPr>
          <w:p>
            <w:pPr>
              <w:jc w:val="right"/>
              <w:ind w:right="103"/>
              <w:spacing w:after="0"/>
              <w:rPr>
                <w:sz w:val="20"/>
                <w:szCs w:val="20"/>
                <w:color w:val="auto"/>
              </w:rPr>
            </w:pPr>
            <w:r>
              <w:rPr>
                <w:rFonts w:ascii="Arial" w:cs="Arial" w:eastAsia="Arial" w:hAnsi="Arial"/>
                <w:sz w:val="11"/>
                <w:szCs w:val="11"/>
                <w:b w:val="1"/>
                <w:bCs w:val="1"/>
                <w:color w:val="auto"/>
              </w:rPr>
              <w:t>Awards</w:t>
            </w:r>
          </w:p>
        </w:tc>
        <w:tc>
          <w:tcPr>
            <w:tcW w:w="1040" w:type="dxa"/>
            <w:vAlign w:val="bottom"/>
            <w:shd w:val="clear" w:color="auto" w:fill="E7E7E8"/>
          </w:tcPr>
          <w:p>
            <w:pPr>
              <w:jc w:val="right"/>
              <w:ind w:right="103"/>
              <w:spacing w:after="0"/>
              <w:rPr>
                <w:sz w:val="20"/>
                <w:szCs w:val="20"/>
                <w:color w:val="auto"/>
              </w:rPr>
            </w:pPr>
            <w:r>
              <w:rPr>
                <w:rFonts w:ascii="Arial" w:cs="Arial" w:eastAsia="Arial" w:hAnsi="Arial"/>
                <w:sz w:val="11"/>
                <w:szCs w:val="11"/>
                <w:b w:val="1"/>
                <w:bCs w:val="1"/>
                <w:color w:val="auto"/>
              </w:rPr>
              <w:t>Compensation</w:t>
            </w:r>
          </w:p>
        </w:tc>
        <w:tc>
          <w:tcPr>
            <w:tcW w:w="10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Compensation</w:t>
            </w:r>
          </w:p>
        </w:tc>
        <w:tc>
          <w:tcPr>
            <w:tcW w:w="60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Total</w:t>
            </w:r>
          </w:p>
        </w:tc>
      </w:tr>
      <w:tr>
        <w:trPr>
          <w:trHeight w:val="154"/>
        </w:trPr>
        <w:tc>
          <w:tcPr>
            <w:tcW w:w="2680" w:type="dxa"/>
            <w:vAlign w:val="bottom"/>
            <w:shd w:val="clear" w:color="auto" w:fill="E7E7E8"/>
          </w:tcPr>
          <w:p>
            <w:pPr>
              <w:spacing w:after="0"/>
              <w:rPr>
                <w:sz w:val="20"/>
                <w:szCs w:val="20"/>
                <w:color w:val="auto"/>
              </w:rPr>
            </w:pPr>
            <w:r>
              <w:rPr>
                <w:rFonts w:ascii="Arial" w:cs="Arial" w:eastAsia="Arial" w:hAnsi="Arial"/>
                <w:sz w:val="11"/>
                <w:szCs w:val="11"/>
                <w:b w:val="1"/>
                <w:bCs w:val="1"/>
                <w:color w:val="auto"/>
              </w:rPr>
              <w:t>Year</w:t>
            </w:r>
          </w:p>
        </w:tc>
        <w:tc>
          <w:tcPr>
            <w:tcW w:w="1280" w:type="dxa"/>
            <w:vAlign w:val="bottom"/>
            <w:shd w:val="clear" w:color="auto" w:fill="E7E7E8"/>
          </w:tcPr>
          <w:p>
            <w:pPr>
              <w:jc w:val="right"/>
              <w:ind w:right="724"/>
              <w:spacing w:after="0"/>
              <w:rPr>
                <w:sz w:val="20"/>
                <w:szCs w:val="20"/>
                <w:color w:val="auto"/>
              </w:rPr>
            </w:pPr>
            <w:r>
              <w:rPr>
                <w:rFonts w:ascii="Arial" w:cs="Arial" w:eastAsia="Arial" w:hAnsi="Arial"/>
                <w:sz w:val="11"/>
                <w:szCs w:val="11"/>
                <w:b w:val="1"/>
                <w:bCs w:val="1"/>
                <w:color w:val="auto"/>
              </w:rPr>
              <w:t>($)</w:t>
            </w:r>
          </w:p>
        </w:tc>
        <w:tc>
          <w:tcPr>
            <w:tcW w:w="1140" w:type="dxa"/>
            <w:vAlign w:val="bottom"/>
            <w:shd w:val="clear" w:color="auto" w:fill="E7E7E8"/>
          </w:tcPr>
          <w:p>
            <w:pPr>
              <w:jc w:val="right"/>
              <w:ind w:right="83"/>
              <w:spacing w:after="0" w:line="15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(1)</w:t>
            </w:r>
          </w:p>
        </w:tc>
        <w:tc>
          <w:tcPr>
            <w:tcW w:w="740" w:type="dxa"/>
            <w:vAlign w:val="bottom"/>
            <w:shd w:val="clear" w:color="auto" w:fill="E7E7E8"/>
          </w:tcPr>
          <w:p>
            <w:pPr>
              <w:jc w:val="right"/>
              <w:ind w:right="83"/>
              <w:spacing w:after="0" w:line="15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(2)</w:t>
            </w:r>
          </w:p>
        </w:tc>
        <w:tc>
          <w:tcPr>
            <w:tcW w:w="760" w:type="dxa"/>
            <w:vAlign w:val="bottom"/>
            <w:shd w:val="clear" w:color="auto" w:fill="E7E7E8"/>
          </w:tcPr>
          <w:p>
            <w:pPr>
              <w:jc w:val="right"/>
              <w:ind w:right="103"/>
              <w:spacing w:after="0" w:line="15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(3)</w:t>
            </w:r>
          </w:p>
        </w:tc>
        <w:tc>
          <w:tcPr>
            <w:tcW w:w="1040" w:type="dxa"/>
            <w:vAlign w:val="bottom"/>
            <w:shd w:val="clear" w:color="auto" w:fill="E7E7E8"/>
          </w:tcPr>
          <w:p>
            <w:pPr>
              <w:jc w:val="right"/>
              <w:ind w:right="103"/>
              <w:spacing w:after="0" w:line="15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(4)</w:t>
            </w:r>
          </w:p>
        </w:tc>
        <w:tc>
          <w:tcPr>
            <w:tcW w:w="1020" w:type="dxa"/>
            <w:vAlign w:val="bottom"/>
            <w:shd w:val="clear" w:color="auto" w:fill="E7E7E8"/>
          </w:tcPr>
          <w:p>
            <w:pPr>
              <w:jc w:val="right"/>
              <w:ind w:right="83"/>
              <w:spacing w:after="0" w:line="15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b w:val="1"/>
                <w:bCs w:val="1"/>
                <w:color w:val="auto"/>
                <w:vertAlign w:val="superscript"/>
              </w:rPr>
              <w:t>(5)</w:t>
            </w:r>
          </w:p>
        </w:tc>
        <w:tc>
          <w:tcPr>
            <w:tcW w:w="60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w:t>
            </w:r>
          </w:p>
        </w:tc>
      </w:tr>
      <w:tr>
        <w:trPr>
          <w:trHeight w:val="115"/>
        </w:trPr>
        <w:tc>
          <w:tcPr>
            <w:tcW w:w="2680" w:type="dxa"/>
            <w:vAlign w:val="bottom"/>
          </w:tcPr>
          <w:p>
            <w:pPr>
              <w:spacing w:after="0" w:line="115" w:lineRule="exact"/>
              <w:rPr>
                <w:sz w:val="20"/>
                <w:szCs w:val="20"/>
                <w:color w:val="auto"/>
              </w:rPr>
            </w:pPr>
            <w:r>
              <w:rPr>
                <w:rFonts w:ascii="Arial" w:cs="Arial" w:eastAsia="Arial" w:hAnsi="Arial"/>
                <w:sz w:val="11"/>
                <w:szCs w:val="11"/>
                <w:b w:val="1"/>
                <w:bCs w:val="1"/>
                <w:color w:val="auto"/>
              </w:rPr>
              <w:t>James C. Fish, Jr.</w:t>
            </w: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40"/>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President and Chief Executive Officer</w:t>
            </w:r>
          </w:p>
        </w:tc>
        <w:tc>
          <w:tcPr>
            <w:tcW w:w="1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2018</w:t>
            </w:r>
          </w:p>
        </w:tc>
        <w:tc>
          <w:tcPr>
            <w:tcW w:w="1280" w:type="dxa"/>
            <w:vAlign w:val="bottom"/>
            <w:tcBorders>
              <w:bottom w:val="single" w:sz="8" w:color="auto"/>
            </w:tcBorders>
          </w:tcPr>
          <w:p>
            <w:pPr>
              <w:jc w:val="right"/>
              <w:ind w:right="604"/>
              <w:spacing w:after="0" w:line="126" w:lineRule="exact"/>
              <w:rPr>
                <w:sz w:val="20"/>
                <w:szCs w:val="20"/>
                <w:color w:val="auto"/>
              </w:rPr>
            </w:pPr>
            <w:r>
              <w:rPr>
                <w:rFonts w:ascii="Arial" w:cs="Arial" w:eastAsia="Arial" w:hAnsi="Arial"/>
                <w:sz w:val="9"/>
                <w:szCs w:val="9"/>
                <w:color w:val="auto"/>
              </w:rPr>
              <w:t>1,157,692</w:t>
            </w:r>
            <w:r>
              <w:rPr>
                <w:rFonts w:ascii="Arial" w:cs="Arial" w:eastAsia="Arial" w:hAnsi="Arial"/>
                <w:sz w:val="14"/>
                <w:szCs w:val="14"/>
                <w:color w:val="auto"/>
                <w:vertAlign w:val="superscript"/>
              </w:rPr>
              <w:t>(6)</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5,431,408</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1,199,997</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1,169,293</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166,891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9,125,281</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2017</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w w:val="97"/>
              </w:rPr>
              <w:t>1,076,923</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4,762,674</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1,000,002</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2,062,111</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92,395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8,994,105</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2016</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705,996</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3,104,074</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344,002</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1,013,304</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59,482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5,226,858</w:t>
            </w:r>
          </w:p>
        </w:tc>
      </w:tr>
      <w:tr>
        <w:trPr>
          <w:trHeight w:val="115"/>
        </w:trPr>
        <w:tc>
          <w:tcPr>
            <w:tcW w:w="2680" w:type="dxa"/>
            <w:vAlign w:val="bottom"/>
          </w:tcPr>
          <w:p>
            <w:pPr>
              <w:spacing w:after="0" w:line="115" w:lineRule="exact"/>
              <w:rPr>
                <w:sz w:val="20"/>
                <w:szCs w:val="20"/>
                <w:color w:val="auto"/>
              </w:rPr>
            </w:pPr>
            <w:r>
              <w:rPr>
                <w:rFonts w:ascii="Arial" w:cs="Arial" w:eastAsia="Arial" w:hAnsi="Arial"/>
                <w:sz w:val="11"/>
                <w:szCs w:val="11"/>
                <w:b w:val="1"/>
                <w:bCs w:val="1"/>
                <w:color w:val="auto"/>
              </w:rPr>
              <w:t>Devina A. Rankin</w:t>
            </w: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40"/>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Senior Vice President and Chief Financial Officer</w:t>
            </w:r>
          </w:p>
        </w:tc>
        <w:tc>
          <w:tcPr>
            <w:tcW w:w="1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2018</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539,923</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1,538,892</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340,006</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379,541</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53,956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2,852,318</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2017</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470,077</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50,000</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952,569</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200,002</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572,398</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34,062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2,279,108</w:t>
            </w:r>
          </w:p>
        </w:tc>
      </w:tr>
      <w:tr>
        <w:trPr>
          <w:trHeight w:val="115"/>
        </w:trPr>
        <w:tc>
          <w:tcPr>
            <w:tcW w:w="2680" w:type="dxa"/>
            <w:vAlign w:val="bottom"/>
          </w:tcPr>
          <w:p>
            <w:pPr>
              <w:spacing w:after="0" w:line="115" w:lineRule="exact"/>
              <w:rPr>
                <w:sz w:val="20"/>
                <w:szCs w:val="20"/>
                <w:color w:val="auto"/>
              </w:rPr>
            </w:pPr>
            <w:r>
              <w:rPr>
                <w:rFonts w:ascii="Arial" w:cs="Arial" w:eastAsia="Arial" w:hAnsi="Arial"/>
                <w:sz w:val="11"/>
                <w:szCs w:val="11"/>
                <w:b w:val="1"/>
                <w:bCs w:val="1"/>
                <w:color w:val="auto"/>
              </w:rPr>
              <w:t>James E. Trevathan, Jr.</w:t>
            </w: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40"/>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6"/>
              </w:rPr>
              <w:t>Executive Vice President and Chief Operating Officer</w:t>
            </w:r>
          </w:p>
        </w:tc>
        <w:tc>
          <w:tcPr>
            <w:tcW w:w="1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2018</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752,231</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2,009,656</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443,998</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528,303</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141,746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3,875,934</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2017</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724,962</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2,048,005</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429,996</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925,437</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50,685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4,179,085</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2016</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676,885</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2,055,089</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344,002</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882,920</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79,740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4,038,636</w:t>
            </w:r>
          </w:p>
        </w:tc>
      </w:tr>
      <w:tr>
        <w:trPr>
          <w:trHeight w:val="115"/>
        </w:trPr>
        <w:tc>
          <w:tcPr>
            <w:tcW w:w="2680" w:type="dxa"/>
            <w:vAlign w:val="bottom"/>
          </w:tcPr>
          <w:p>
            <w:pPr>
              <w:spacing w:after="0" w:line="115" w:lineRule="exact"/>
              <w:rPr>
                <w:sz w:val="20"/>
                <w:szCs w:val="20"/>
                <w:color w:val="auto"/>
              </w:rPr>
            </w:pPr>
            <w:r>
              <w:rPr>
                <w:rFonts w:ascii="Arial" w:cs="Arial" w:eastAsia="Arial" w:hAnsi="Arial"/>
                <w:sz w:val="11"/>
                <w:szCs w:val="11"/>
                <w:b w:val="1"/>
                <w:bCs w:val="1"/>
                <w:color w:val="auto"/>
              </w:rPr>
              <w:t>Jeff M. Harris</w:t>
            </w: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40"/>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Senior Vice President — Operations</w:t>
            </w:r>
          </w:p>
        </w:tc>
        <w:tc>
          <w:tcPr>
            <w:tcW w:w="1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2018</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704,289</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2,195,127</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359,997</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474,166</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96,879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3,830,458</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2017</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673,000</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1,428,853</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299,999</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859,127</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68,869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3,329,848</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2016</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608,846</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1,761,482</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294,860</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773,906</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54,163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3,493,257</w:t>
            </w:r>
          </w:p>
        </w:tc>
      </w:tr>
      <w:tr>
        <w:trPr>
          <w:trHeight w:val="115"/>
        </w:trPr>
        <w:tc>
          <w:tcPr>
            <w:tcW w:w="2680" w:type="dxa"/>
            <w:vAlign w:val="bottom"/>
          </w:tcPr>
          <w:p>
            <w:pPr>
              <w:spacing w:after="0" w:line="115" w:lineRule="exact"/>
              <w:rPr>
                <w:sz w:val="20"/>
                <w:szCs w:val="20"/>
                <w:color w:val="auto"/>
              </w:rPr>
            </w:pPr>
            <w:r>
              <w:rPr>
                <w:rFonts w:ascii="Arial" w:cs="Arial" w:eastAsia="Arial" w:hAnsi="Arial"/>
                <w:sz w:val="11"/>
                <w:szCs w:val="11"/>
                <w:b w:val="1"/>
                <w:bCs w:val="1"/>
                <w:color w:val="auto"/>
              </w:rPr>
              <w:t>John J. Morris, Jr.</w:t>
            </w: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40"/>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Senior Vice President — Operations</w:t>
            </w:r>
          </w:p>
        </w:tc>
        <w:tc>
          <w:tcPr>
            <w:tcW w:w="1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2018</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646,192</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1,629,462</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359,997</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435,053</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116,032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3,186,736</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2017</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625,577</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1,428,853</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299,999</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798,560</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65,941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3,218,930</w:t>
            </w:r>
          </w:p>
        </w:tc>
      </w:tr>
      <w:tr>
        <w:trPr>
          <w:trHeight w:val="129"/>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2016</w:t>
            </w:r>
          </w:p>
        </w:tc>
        <w:tc>
          <w:tcPr>
            <w:tcW w:w="12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593,462</w:t>
            </w: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1,761,482</w:t>
            </w: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294,860</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754,350</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52,630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3,456,784</w:t>
            </w:r>
          </w:p>
        </w:tc>
      </w:tr>
    </w:tbl>
    <w:p>
      <w:pPr>
        <w:spacing w:after="0" w:line="163" w:lineRule="exact"/>
        <w:rPr>
          <w:sz w:val="20"/>
          <w:szCs w:val="20"/>
          <w:color w:val="auto"/>
        </w:rPr>
      </w:pPr>
    </w:p>
    <w:p>
      <w:pPr>
        <w:ind w:left="1600" w:hanging="464"/>
        <w:spacing w:after="0" w:line="275" w:lineRule="auto"/>
        <w:tabs>
          <w:tab w:leader="none" w:pos="16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Ms. Rankin received a $50,000 cash bonus in January 2017 in recognition of her additional responsibilities while serving as Acting Chief Financial Officer. Ms. Rankin's promotion was made permanent in February 2017.</w:t>
      </w:r>
    </w:p>
    <w:p>
      <w:pPr>
        <w:spacing w:after="0" w:line="76" w:lineRule="exact"/>
        <w:rPr>
          <w:rFonts w:ascii="Arial" w:cs="Arial" w:eastAsia="Arial" w:hAnsi="Arial"/>
          <w:sz w:val="11"/>
          <w:szCs w:val="11"/>
          <w:color w:val="auto"/>
        </w:rPr>
      </w:pPr>
    </w:p>
    <w:p>
      <w:pPr>
        <w:jc w:val="both"/>
        <w:ind w:left="1600" w:hanging="464"/>
        <w:spacing w:after="0" w:line="251" w:lineRule="auto"/>
        <w:tabs>
          <w:tab w:leader="none" w:pos="1600" w:val="left"/>
        </w:tabs>
        <w:numPr>
          <w:ilvl w:val="0"/>
          <w:numId w:val="38"/>
        </w:numPr>
        <w:rPr>
          <w:rFonts w:ascii="Arial" w:cs="Arial" w:eastAsia="Arial" w:hAnsi="Arial"/>
          <w:sz w:val="11"/>
          <w:szCs w:val="11"/>
          <w:color w:val="auto"/>
        </w:rPr>
      </w:pPr>
      <w:r>
        <w:rPr>
          <w:rFonts w:ascii="Arial" w:cs="Arial" w:eastAsia="Arial" w:hAnsi="Arial"/>
          <w:sz w:val="11"/>
          <w:szCs w:val="11"/>
          <w:color w:val="auto"/>
        </w:rPr>
        <w:t>Amounts in this column represent the grant date fair value of PSUs granted to all named executives annually, and 15,625 RSUs granted to Mr. Fish in 2016 with a fair value of $1,048,984. The grant date fair values were calculated in accordance with ASC Topic 718, as further described in Note 14 in the Notes to the Consolidated Financial Statements in our 2018 Annual Report on Form 10-K. The grant date fair value of our performance share units subject to total shareholder return relative to the S&amp;P 500 was based on a Monte Carlo valuation, and because total shareholder return is a market condition, projected achievement is embedded in the grant date fair value.</w:t>
      </w:r>
    </w:p>
    <w:p>
      <w:pPr>
        <w:spacing w:after="0" w:line="157" w:lineRule="exact"/>
        <w:rPr>
          <w:rFonts w:ascii="Arial" w:cs="Arial" w:eastAsia="Arial" w:hAnsi="Arial"/>
          <w:sz w:val="11"/>
          <w:szCs w:val="11"/>
          <w:color w:val="auto"/>
        </w:rPr>
      </w:pPr>
    </w:p>
    <w:p>
      <w:pPr>
        <w:jc w:val="both"/>
        <w:ind w:left="1600"/>
        <w:spacing w:after="0" w:line="251" w:lineRule="auto"/>
        <w:rPr>
          <w:rFonts w:ascii="Arial" w:cs="Arial" w:eastAsia="Arial" w:hAnsi="Arial"/>
          <w:sz w:val="11"/>
          <w:szCs w:val="11"/>
          <w:color w:val="auto"/>
        </w:rPr>
      </w:pPr>
      <w:r>
        <w:rPr>
          <w:rFonts w:ascii="Arial" w:cs="Arial" w:eastAsia="Arial" w:hAnsi="Arial"/>
          <w:sz w:val="11"/>
          <w:szCs w:val="11"/>
          <w:color w:val="auto"/>
        </w:rPr>
        <w:t>For purposes of calculating the grant date fair value of PSUs subject to the cash flow generation performance measure, we have assumed that the Company will achieve target performance levels. The table below shows (a) the aggregate grant date fair value of performance share units subject to the cash flow generation performance measure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127635</wp:posOffset>
            </wp:positionV>
            <wp:extent cx="6985" cy="4794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5" cy="47942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127635</wp:posOffset>
            </wp:positionV>
            <wp:extent cx="6985" cy="4794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5" cy="47942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127635</wp:posOffset>
            </wp:positionV>
            <wp:extent cx="6985" cy="4794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5" cy="479425"/>
                    </a:xfrm>
                    <a:prstGeom prst="rect">
                      <a:avLst/>
                    </a:prstGeom>
                    <a:noFill/>
                  </pic:spPr>
                </pic:pic>
              </a:graphicData>
            </a:graphic>
          </wp:anchor>
        </w:drawing>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140" w:type="dxa"/>
            <w:vAlign w:val="bottom"/>
            <w:shd w:val="clear" w:color="auto" w:fill="E7E7E8"/>
          </w:tcPr>
          <w:p>
            <w:pPr>
              <w:spacing w:after="0"/>
              <w:rPr>
                <w:sz w:val="10"/>
                <w:szCs w:val="10"/>
                <w:color w:val="auto"/>
              </w:rPr>
            </w:pPr>
          </w:p>
        </w:tc>
        <w:tc>
          <w:tcPr>
            <w:tcW w:w="2920" w:type="dxa"/>
            <w:vAlign w:val="bottom"/>
            <w:shd w:val="clear" w:color="auto" w:fill="E7E7E8"/>
          </w:tcPr>
          <w:p>
            <w:pPr>
              <w:spacing w:after="0"/>
              <w:rPr>
                <w:sz w:val="10"/>
                <w:szCs w:val="10"/>
                <w:color w:val="auto"/>
              </w:rPr>
            </w:pPr>
          </w:p>
        </w:tc>
        <w:tc>
          <w:tcPr>
            <w:tcW w:w="158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Aggregate Grant Date</w:t>
            </w:r>
          </w:p>
        </w:tc>
        <w:tc>
          <w:tcPr>
            <w:tcW w:w="13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Aggregate Grant Date</w:t>
            </w:r>
          </w:p>
        </w:tc>
      </w:tr>
      <w:tr>
        <w:trPr>
          <w:trHeight w:val="126"/>
        </w:trPr>
        <w:tc>
          <w:tcPr>
            <w:tcW w:w="20" w:type="dxa"/>
            <w:vAlign w:val="bottom"/>
          </w:tcPr>
          <w:p>
            <w:pPr>
              <w:spacing w:after="0"/>
              <w:rPr>
                <w:sz w:val="10"/>
                <w:szCs w:val="10"/>
                <w:color w:val="auto"/>
              </w:rPr>
            </w:pPr>
          </w:p>
        </w:tc>
        <w:tc>
          <w:tcPr>
            <w:tcW w:w="3140" w:type="dxa"/>
            <w:vAlign w:val="bottom"/>
            <w:shd w:val="clear" w:color="auto" w:fill="E7E7E8"/>
          </w:tcPr>
          <w:p>
            <w:pPr>
              <w:spacing w:after="0"/>
              <w:rPr>
                <w:sz w:val="10"/>
                <w:szCs w:val="10"/>
                <w:color w:val="auto"/>
              </w:rPr>
            </w:pPr>
          </w:p>
        </w:tc>
        <w:tc>
          <w:tcPr>
            <w:tcW w:w="2920" w:type="dxa"/>
            <w:vAlign w:val="bottom"/>
            <w:shd w:val="clear" w:color="auto" w:fill="E7E7E8"/>
          </w:tcPr>
          <w:p>
            <w:pPr>
              <w:spacing w:after="0"/>
              <w:rPr>
                <w:sz w:val="10"/>
                <w:szCs w:val="10"/>
                <w:color w:val="auto"/>
              </w:rPr>
            </w:pPr>
          </w:p>
        </w:tc>
        <w:tc>
          <w:tcPr>
            <w:tcW w:w="158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Fair Value of Cash</w:t>
            </w:r>
          </w:p>
        </w:tc>
        <w:tc>
          <w:tcPr>
            <w:tcW w:w="13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Fair Value of Cash</w:t>
            </w:r>
          </w:p>
        </w:tc>
      </w:tr>
      <w:tr>
        <w:trPr>
          <w:trHeight w:val="126"/>
        </w:trPr>
        <w:tc>
          <w:tcPr>
            <w:tcW w:w="20" w:type="dxa"/>
            <w:vAlign w:val="bottom"/>
          </w:tcPr>
          <w:p>
            <w:pPr>
              <w:spacing w:after="0"/>
              <w:rPr>
                <w:sz w:val="10"/>
                <w:szCs w:val="10"/>
                <w:color w:val="auto"/>
              </w:rPr>
            </w:pPr>
          </w:p>
        </w:tc>
        <w:tc>
          <w:tcPr>
            <w:tcW w:w="3140" w:type="dxa"/>
            <w:vAlign w:val="bottom"/>
            <w:shd w:val="clear" w:color="auto" w:fill="E7E7E8"/>
          </w:tcPr>
          <w:p>
            <w:pPr>
              <w:spacing w:after="0"/>
              <w:rPr>
                <w:sz w:val="10"/>
                <w:szCs w:val="10"/>
                <w:color w:val="auto"/>
              </w:rPr>
            </w:pPr>
          </w:p>
        </w:tc>
        <w:tc>
          <w:tcPr>
            <w:tcW w:w="2920" w:type="dxa"/>
            <w:vAlign w:val="bottom"/>
            <w:shd w:val="clear" w:color="auto" w:fill="E7E7E8"/>
          </w:tcPr>
          <w:p>
            <w:pPr>
              <w:spacing w:after="0"/>
              <w:rPr>
                <w:sz w:val="10"/>
                <w:szCs w:val="10"/>
                <w:color w:val="auto"/>
              </w:rPr>
            </w:pPr>
          </w:p>
        </w:tc>
        <w:tc>
          <w:tcPr>
            <w:tcW w:w="158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Flow Generation PSUs</w:t>
            </w:r>
          </w:p>
        </w:tc>
        <w:tc>
          <w:tcPr>
            <w:tcW w:w="13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Flow Generation PSUs</w:t>
            </w:r>
          </w:p>
        </w:tc>
      </w:tr>
      <w:tr>
        <w:trPr>
          <w:trHeight w:val="126"/>
        </w:trPr>
        <w:tc>
          <w:tcPr>
            <w:tcW w:w="20" w:type="dxa"/>
            <w:vAlign w:val="bottom"/>
          </w:tcPr>
          <w:p>
            <w:pPr>
              <w:spacing w:after="0"/>
              <w:rPr>
                <w:sz w:val="10"/>
                <w:szCs w:val="10"/>
                <w:color w:val="auto"/>
              </w:rPr>
            </w:pPr>
          </w:p>
        </w:tc>
        <w:tc>
          <w:tcPr>
            <w:tcW w:w="3140" w:type="dxa"/>
            <w:vAlign w:val="bottom"/>
            <w:shd w:val="clear" w:color="auto" w:fill="E7E7E8"/>
          </w:tcPr>
          <w:p>
            <w:pPr>
              <w:spacing w:after="0"/>
              <w:rPr>
                <w:sz w:val="10"/>
                <w:szCs w:val="10"/>
                <w:color w:val="auto"/>
              </w:rPr>
            </w:pPr>
          </w:p>
        </w:tc>
        <w:tc>
          <w:tcPr>
            <w:tcW w:w="2920" w:type="dxa"/>
            <w:vAlign w:val="bottom"/>
            <w:shd w:val="clear" w:color="auto" w:fill="E7E7E8"/>
          </w:tcPr>
          <w:p>
            <w:pPr>
              <w:spacing w:after="0"/>
              <w:rPr>
                <w:sz w:val="10"/>
                <w:szCs w:val="10"/>
                <w:color w:val="auto"/>
              </w:rPr>
            </w:pPr>
          </w:p>
        </w:tc>
        <w:tc>
          <w:tcPr>
            <w:tcW w:w="158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Assuming Target</w:t>
            </w:r>
          </w:p>
        </w:tc>
        <w:tc>
          <w:tcPr>
            <w:tcW w:w="13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Assuming Highest</w:t>
            </w:r>
          </w:p>
        </w:tc>
      </w:tr>
      <w:tr>
        <w:trPr>
          <w:trHeight w:val="126"/>
        </w:trPr>
        <w:tc>
          <w:tcPr>
            <w:tcW w:w="20" w:type="dxa"/>
            <w:vAlign w:val="bottom"/>
          </w:tcPr>
          <w:p>
            <w:pPr>
              <w:spacing w:after="0"/>
              <w:rPr>
                <w:sz w:val="10"/>
                <w:szCs w:val="10"/>
                <w:color w:val="auto"/>
              </w:rPr>
            </w:pPr>
          </w:p>
        </w:tc>
        <w:tc>
          <w:tcPr>
            <w:tcW w:w="3140" w:type="dxa"/>
            <w:vAlign w:val="bottom"/>
            <w:shd w:val="clear" w:color="auto" w:fill="E7E7E8"/>
          </w:tcPr>
          <w:p>
            <w:pPr>
              <w:spacing w:after="0"/>
              <w:rPr>
                <w:sz w:val="10"/>
                <w:szCs w:val="10"/>
                <w:color w:val="auto"/>
              </w:rPr>
            </w:pPr>
          </w:p>
        </w:tc>
        <w:tc>
          <w:tcPr>
            <w:tcW w:w="2920" w:type="dxa"/>
            <w:vAlign w:val="bottom"/>
            <w:shd w:val="clear" w:color="auto" w:fill="E7E7E8"/>
          </w:tcPr>
          <w:p>
            <w:pPr>
              <w:spacing w:after="0"/>
              <w:rPr>
                <w:sz w:val="10"/>
                <w:szCs w:val="10"/>
                <w:color w:val="auto"/>
              </w:rPr>
            </w:pPr>
          </w:p>
        </w:tc>
        <w:tc>
          <w:tcPr>
            <w:tcW w:w="158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Level of Performance</w:t>
            </w:r>
          </w:p>
        </w:tc>
        <w:tc>
          <w:tcPr>
            <w:tcW w:w="13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Level of Performance</w:t>
            </w:r>
          </w:p>
        </w:tc>
      </w:tr>
      <w:tr>
        <w:trPr>
          <w:trHeight w:val="137"/>
        </w:trPr>
        <w:tc>
          <w:tcPr>
            <w:tcW w:w="20" w:type="dxa"/>
            <w:vAlign w:val="bottom"/>
          </w:tcPr>
          <w:p>
            <w:pPr>
              <w:spacing w:after="0"/>
              <w:rPr>
                <w:sz w:val="11"/>
                <w:szCs w:val="11"/>
                <w:color w:val="auto"/>
              </w:rPr>
            </w:pPr>
          </w:p>
        </w:tc>
        <w:tc>
          <w:tcPr>
            <w:tcW w:w="3140" w:type="dxa"/>
            <w:vAlign w:val="bottom"/>
            <w:shd w:val="clear" w:color="auto" w:fill="E7E7E8"/>
          </w:tcPr>
          <w:p>
            <w:pPr>
              <w:spacing w:after="0"/>
              <w:rPr>
                <w:sz w:val="11"/>
                <w:szCs w:val="11"/>
                <w:color w:val="auto"/>
              </w:rPr>
            </w:pPr>
          </w:p>
        </w:tc>
        <w:tc>
          <w:tcPr>
            <w:tcW w:w="292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Year</w:t>
            </w:r>
          </w:p>
        </w:tc>
        <w:tc>
          <w:tcPr>
            <w:tcW w:w="158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Achieved ($)</w:t>
            </w:r>
          </w:p>
        </w:tc>
        <w:tc>
          <w:tcPr>
            <w:tcW w:w="13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Achieved ($)</w:t>
            </w:r>
          </w:p>
        </w:tc>
      </w:tr>
      <w:tr>
        <w:trPr>
          <w:trHeight w:val="129"/>
        </w:trPr>
        <w:tc>
          <w:tcPr>
            <w:tcW w:w="20" w:type="dxa"/>
            <w:vAlign w:val="bottom"/>
          </w:tcPr>
          <w:p>
            <w:pPr>
              <w:spacing w:after="0"/>
              <w:rPr>
                <w:sz w:val="11"/>
                <w:szCs w:val="11"/>
                <w:color w:val="auto"/>
              </w:rPr>
            </w:pPr>
          </w:p>
        </w:tc>
        <w:tc>
          <w:tcPr>
            <w:tcW w:w="3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Mr. Fish</w:t>
            </w: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2018</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2,354,189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4,708,378</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2017</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2,065,774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4,131,548</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2016</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921,475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1,842,950</w:t>
            </w:r>
          </w:p>
        </w:tc>
      </w:tr>
      <w:tr>
        <w:trPr>
          <w:trHeight w:val="129"/>
        </w:trPr>
        <w:tc>
          <w:tcPr>
            <w:tcW w:w="20" w:type="dxa"/>
            <w:vAlign w:val="bottom"/>
          </w:tcPr>
          <w:p>
            <w:pPr>
              <w:spacing w:after="0"/>
              <w:rPr>
                <w:sz w:val="11"/>
                <w:szCs w:val="11"/>
                <w:color w:val="auto"/>
              </w:rPr>
            </w:pPr>
          </w:p>
        </w:tc>
        <w:tc>
          <w:tcPr>
            <w:tcW w:w="3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Ms. Rankin</w:t>
            </w: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2018</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667,017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1,334,034</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2017</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413,169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826,338</w:t>
            </w:r>
          </w:p>
        </w:tc>
      </w:tr>
      <w:tr>
        <w:trPr>
          <w:trHeight w:val="129"/>
        </w:trPr>
        <w:tc>
          <w:tcPr>
            <w:tcW w:w="20" w:type="dxa"/>
            <w:vAlign w:val="bottom"/>
          </w:tcPr>
          <w:p>
            <w:pPr>
              <w:spacing w:after="0"/>
              <w:rPr>
                <w:sz w:val="11"/>
                <w:szCs w:val="11"/>
                <w:color w:val="auto"/>
              </w:rPr>
            </w:pPr>
          </w:p>
        </w:tc>
        <w:tc>
          <w:tcPr>
            <w:tcW w:w="3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Mr. Trevathan</w:t>
            </w: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2018</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871,065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1,742,130</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2017</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888,307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1,776,614</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2016</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921,475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1,842,950</w:t>
            </w:r>
          </w:p>
        </w:tc>
      </w:tr>
      <w:tr>
        <w:trPr>
          <w:trHeight w:val="129"/>
        </w:trPr>
        <w:tc>
          <w:tcPr>
            <w:tcW w:w="20" w:type="dxa"/>
            <w:vAlign w:val="bottom"/>
          </w:tcPr>
          <w:p>
            <w:pPr>
              <w:spacing w:after="0"/>
              <w:rPr>
                <w:sz w:val="11"/>
                <w:szCs w:val="11"/>
                <w:color w:val="auto"/>
              </w:rPr>
            </w:pPr>
          </w:p>
        </w:tc>
        <w:tc>
          <w:tcPr>
            <w:tcW w:w="3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Mr. Harris</w:t>
            </w: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2018</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951,456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1,902,912</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2017</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619,754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1,239,508</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2016</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789,825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1,579,650</w:t>
            </w:r>
          </w:p>
        </w:tc>
      </w:tr>
      <w:tr>
        <w:trPr>
          <w:trHeight w:val="129"/>
        </w:trPr>
        <w:tc>
          <w:tcPr>
            <w:tcW w:w="20" w:type="dxa"/>
            <w:vAlign w:val="bottom"/>
          </w:tcPr>
          <w:p>
            <w:pPr>
              <w:spacing w:after="0"/>
              <w:rPr>
                <w:sz w:val="11"/>
                <w:szCs w:val="11"/>
                <w:color w:val="auto"/>
              </w:rPr>
            </w:pPr>
          </w:p>
        </w:tc>
        <w:tc>
          <w:tcPr>
            <w:tcW w:w="3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Mr. Morris</w:t>
            </w: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2018</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706,274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1,412,548</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2017</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619,754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1,239,508</w:t>
            </w:r>
          </w:p>
        </w:tc>
      </w:tr>
      <w:tr>
        <w:trPr>
          <w:trHeight w:val="186"/>
        </w:trPr>
        <w:tc>
          <w:tcPr>
            <w:tcW w:w="20" w:type="dxa"/>
            <w:vAlign w:val="bottom"/>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2016</w:t>
            </w:r>
          </w:p>
        </w:tc>
        <w:tc>
          <w:tcPr>
            <w:tcW w:w="15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789,825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1,579,650</w:t>
            </w:r>
          </w:p>
        </w:tc>
      </w:tr>
    </w:tbl>
    <w:p>
      <w:pPr>
        <w:spacing w:after="0" w:line="163" w:lineRule="exact"/>
        <w:rPr>
          <w:sz w:val="20"/>
          <w:szCs w:val="20"/>
          <w:color w:val="auto"/>
        </w:rPr>
      </w:pPr>
    </w:p>
    <w:p>
      <w:pPr>
        <w:jc w:val="both"/>
        <w:ind w:left="1600" w:hanging="464"/>
        <w:spacing w:after="0" w:line="257" w:lineRule="auto"/>
        <w:tabs>
          <w:tab w:leader="none" w:pos="16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Amounts in this column represent the grant date fair value of stock options granted annually, in accordance with ASC Topic 718. The grant date fair value of the options was estimated using the Black-Scholes option pricing model. The assumptions made in determining the grant date fair values of options are disclosed in Note 14 in the Notes to the Consolidated Financial Statements in our 2018 Annual Report on Form 10-K.</w:t>
      </w:r>
    </w:p>
    <w:p>
      <w:pPr>
        <w:spacing w:after="0" w:line="85" w:lineRule="exact"/>
        <w:rPr>
          <w:rFonts w:ascii="Arial" w:cs="Arial" w:eastAsia="Arial" w:hAnsi="Arial"/>
          <w:sz w:val="11"/>
          <w:szCs w:val="11"/>
          <w:color w:val="auto"/>
        </w:rPr>
      </w:pPr>
    </w:p>
    <w:p>
      <w:pPr>
        <w:ind w:left="1600" w:hanging="464"/>
        <w:spacing w:after="0" w:line="275" w:lineRule="auto"/>
        <w:tabs>
          <w:tab w:leader="none" w:pos="16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Amounts in this column represent cash incentive awards earned and paid based on the achievement of performance criteria. Please see "Compensation Discussion and Analysis — Named Executive's 2018 Compensation Program and Results — Annual Cash Incentive" for additional information.</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amounts included in "All Other Compensation" for 2018 are shown below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121285</wp:posOffset>
            </wp:positionV>
            <wp:extent cx="6985" cy="3340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121285</wp:posOffset>
            </wp:positionV>
            <wp:extent cx="6985" cy="3340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121285</wp:posOffset>
            </wp:positionV>
            <wp:extent cx="6985" cy="3340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5" cy="33401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121285</wp:posOffset>
            </wp:positionV>
            <wp:extent cx="6985" cy="3340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85" cy="334010"/>
                    </a:xfrm>
                    <a:prstGeom prst="rect">
                      <a:avLst/>
                    </a:prstGeom>
                    <a:noFill/>
                  </pic:spPr>
                </pic:pic>
              </a:graphicData>
            </a:graphic>
          </wp:anchor>
        </w:drawing>
      </w:r>
    </w:p>
    <w:p>
      <w:pPr>
        <w:spacing w:after="0" w:line="171" w:lineRule="exact"/>
        <w:rPr>
          <w:sz w:val="20"/>
          <w:szCs w:val="20"/>
          <w:color w:val="auto"/>
        </w:rPr>
      </w:pPr>
    </w:p>
    <w:tbl>
      <w:tblPr>
        <w:tblLayout w:type="fixed"/>
        <w:tblInd w:w="1940" w:type="dxa"/>
        <w:tblCellMar>
          <w:top w:w="0" w:type="dxa"/>
          <w:left w:w="0" w:type="dxa"/>
          <w:bottom w:w="0" w:type="dxa"/>
          <w:right w:w="0" w:type="dxa"/>
        </w:tblCellMar>
      </w:tblPr>
      <w:tr>
        <w:trPr>
          <w:trHeight w:val="126"/>
        </w:trPr>
        <w:tc>
          <w:tcPr>
            <w:tcW w:w="1940" w:type="dxa"/>
            <w:vAlign w:val="bottom"/>
            <w:shd w:val="clear" w:color="auto" w:fill="E7E7E8"/>
          </w:tcPr>
          <w:p>
            <w:pPr>
              <w:spacing w:after="0"/>
              <w:rPr>
                <w:sz w:val="10"/>
                <w:szCs w:val="10"/>
                <w:color w:val="auto"/>
              </w:rPr>
            </w:pPr>
          </w:p>
        </w:tc>
        <w:tc>
          <w:tcPr>
            <w:tcW w:w="2220" w:type="dxa"/>
            <w:vAlign w:val="bottom"/>
            <w:shd w:val="clear" w:color="auto" w:fill="E7E7E8"/>
          </w:tcPr>
          <w:p>
            <w:pPr>
              <w:spacing w:after="0"/>
              <w:rPr>
                <w:sz w:val="10"/>
                <w:szCs w:val="10"/>
                <w:color w:val="auto"/>
              </w:rPr>
            </w:pPr>
          </w:p>
        </w:tc>
        <w:tc>
          <w:tcPr>
            <w:tcW w:w="126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409A</w:t>
            </w:r>
          </w:p>
        </w:tc>
        <w:tc>
          <w:tcPr>
            <w:tcW w:w="1240" w:type="dxa"/>
            <w:vAlign w:val="bottom"/>
            <w:shd w:val="clear" w:color="auto" w:fill="E7E7E8"/>
          </w:tcPr>
          <w:p>
            <w:pPr>
              <w:spacing w:after="0"/>
              <w:rPr>
                <w:sz w:val="10"/>
                <w:szCs w:val="1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Perquisites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1940" w:type="dxa"/>
            <w:vAlign w:val="bottom"/>
            <w:shd w:val="clear" w:color="auto" w:fill="E7E7E8"/>
          </w:tcPr>
          <w:p>
            <w:pPr>
              <w:spacing w:after="0"/>
              <w:rPr>
                <w:sz w:val="10"/>
                <w:szCs w:val="10"/>
                <w:color w:val="auto"/>
              </w:rPr>
            </w:pPr>
          </w:p>
        </w:tc>
        <w:tc>
          <w:tcPr>
            <w:tcW w:w="2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401(k)</w:t>
            </w:r>
          </w:p>
        </w:tc>
        <w:tc>
          <w:tcPr>
            <w:tcW w:w="126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Deferral Plan</w:t>
            </w:r>
          </w:p>
        </w:tc>
        <w:tc>
          <w:tcPr>
            <w:tcW w:w="1240" w:type="dxa"/>
            <w:vAlign w:val="bottom"/>
            <w:shd w:val="clear" w:color="auto" w:fill="E7E7E8"/>
          </w:tcPr>
          <w:p>
            <w:pPr>
              <w:spacing w:after="0"/>
              <w:rPr>
                <w:sz w:val="10"/>
                <w:szCs w:val="10"/>
                <w:color w:val="auto"/>
              </w:rPr>
            </w:pPr>
          </w:p>
        </w:tc>
        <w:tc>
          <w:tcPr>
            <w:tcW w:w="78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and Other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1940" w:type="dxa"/>
            <w:vAlign w:val="bottom"/>
            <w:shd w:val="clear" w:color="auto" w:fill="E7E7E8"/>
          </w:tcPr>
          <w:p>
            <w:pPr>
              <w:spacing w:after="0"/>
              <w:rPr>
                <w:sz w:val="10"/>
                <w:szCs w:val="10"/>
                <w:color w:val="auto"/>
              </w:rPr>
            </w:pPr>
          </w:p>
        </w:tc>
        <w:tc>
          <w:tcPr>
            <w:tcW w:w="2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Plan Matching</w:t>
            </w:r>
          </w:p>
        </w:tc>
        <w:tc>
          <w:tcPr>
            <w:tcW w:w="126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Matching</w:t>
            </w:r>
          </w:p>
        </w:tc>
        <w:tc>
          <w:tcPr>
            <w:tcW w:w="124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Life Insurance</w:t>
            </w:r>
          </w:p>
        </w:tc>
        <w:tc>
          <w:tcPr>
            <w:tcW w:w="78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Personal</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940" w:type="dxa"/>
            <w:vAlign w:val="bottom"/>
            <w:shd w:val="clear" w:color="auto" w:fill="E7E7E8"/>
          </w:tcPr>
          <w:p>
            <w:pPr>
              <w:spacing w:after="0"/>
              <w:rPr>
                <w:sz w:val="12"/>
                <w:szCs w:val="12"/>
                <w:color w:val="auto"/>
              </w:rPr>
            </w:pPr>
          </w:p>
        </w:tc>
        <w:tc>
          <w:tcPr>
            <w:tcW w:w="2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Contributions</w:t>
            </w:r>
          </w:p>
        </w:tc>
        <w:tc>
          <w:tcPr>
            <w:tcW w:w="126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Contributions</w:t>
            </w:r>
          </w:p>
        </w:tc>
        <w:tc>
          <w:tcPr>
            <w:tcW w:w="124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Premiums</w:t>
            </w:r>
          </w:p>
        </w:tc>
        <w:tc>
          <w:tcPr>
            <w:tcW w:w="780" w:type="dxa"/>
            <w:vAlign w:val="bottom"/>
            <w:shd w:val="clear" w:color="auto" w:fill="E7E7E8"/>
          </w:tcPr>
          <w:p>
            <w:pPr>
              <w:jc w:val="right"/>
              <w:spacing w:after="0" w:line="149" w:lineRule="exact"/>
              <w:rPr>
                <w:sz w:val="20"/>
                <w:szCs w:val="20"/>
                <w:color w:val="auto"/>
              </w:rPr>
            </w:pPr>
            <w:r>
              <w:rPr>
                <w:rFonts w:ascii="Arial" w:cs="Arial" w:eastAsia="Arial" w:hAnsi="Arial"/>
                <w:sz w:val="10"/>
                <w:szCs w:val="10"/>
                <w:b w:val="1"/>
                <w:bCs w:val="1"/>
                <w:color w:val="auto"/>
              </w:rPr>
              <w:t>Benefits</w:t>
            </w:r>
            <w:r>
              <w:rPr>
                <w:rFonts w:ascii="Arial" w:cs="Arial" w:eastAsia="Arial" w:hAnsi="Arial"/>
                <w:sz w:val="17"/>
                <w:szCs w:val="17"/>
                <w:b w:val="1"/>
                <w:bCs w:val="1"/>
                <w:color w:val="auto"/>
                <w:vertAlign w:val="superscript"/>
              </w:rPr>
              <w:t>(a)</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Mr. Fish</w:t>
            </w:r>
          </w:p>
        </w:tc>
        <w:tc>
          <w:tcPr>
            <w:tcW w:w="22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12,375</w:t>
            </w: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135,329</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2,260</w:t>
            </w: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16,927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Ms. Rankin</w:t>
            </w:r>
          </w:p>
        </w:tc>
        <w:tc>
          <w:tcPr>
            <w:tcW w:w="22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12,375</w:t>
            </w: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40,561</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1,020</w:t>
            </w: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2"/>
        </w:trPr>
        <w:tc>
          <w:tcPr>
            <w:tcW w:w="1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Mr. Trevathan</w:t>
            </w:r>
          </w:p>
        </w:tc>
        <w:tc>
          <w:tcPr>
            <w:tcW w:w="22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12,375</w:t>
            </w: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26,591</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911</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0"/>
                <w:szCs w:val="10"/>
                <w:color w:val="auto"/>
              </w:rPr>
              <w:t>101,869</w:t>
            </w:r>
            <w:r>
              <w:rPr>
                <w:rFonts w:ascii="Arial" w:cs="Arial" w:eastAsia="Arial" w:hAnsi="Arial"/>
                <w:sz w:val="17"/>
                <w:szCs w:val="17"/>
                <w:color w:val="auto"/>
                <w:vertAlign w:val="superscript"/>
              </w:rPr>
              <w:t>(b)</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940" w:type="dxa"/>
            <w:vAlign w:val="bottom"/>
          </w:tcPr>
          <w:p>
            <w:pPr>
              <w:spacing w:after="0"/>
              <w:rPr>
                <w:sz w:val="20"/>
                <w:szCs w:val="20"/>
                <w:color w:val="auto"/>
              </w:rPr>
            </w:pPr>
            <w:r>
              <w:rPr>
                <w:rFonts w:ascii="Arial" w:cs="Arial" w:eastAsia="Arial" w:hAnsi="Arial"/>
                <w:sz w:val="11"/>
                <w:szCs w:val="11"/>
                <w:b w:val="1"/>
                <w:bCs w:val="1"/>
                <w:color w:val="auto"/>
              </w:rPr>
              <w:t>Mr. Harris</w:t>
            </w:r>
          </w:p>
        </w:tc>
        <w:tc>
          <w:tcPr>
            <w:tcW w:w="2220" w:type="dxa"/>
            <w:vAlign w:val="bottom"/>
          </w:tcPr>
          <w:p>
            <w:pPr>
              <w:jc w:val="right"/>
              <w:ind w:right="223"/>
              <w:spacing w:after="0"/>
              <w:rPr>
                <w:sz w:val="20"/>
                <w:szCs w:val="20"/>
                <w:color w:val="auto"/>
              </w:rPr>
            </w:pPr>
            <w:r>
              <w:rPr>
                <w:rFonts w:ascii="Arial" w:cs="Arial" w:eastAsia="Arial" w:hAnsi="Arial"/>
                <w:sz w:val="11"/>
                <w:szCs w:val="11"/>
                <w:color w:val="auto"/>
              </w:rPr>
              <w:t>12,375</w:t>
            </w:r>
          </w:p>
        </w:tc>
        <w:tc>
          <w:tcPr>
            <w:tcW w:w="1260" w:type="dxa"/>
            <w:vAlign w:val="bottom"/>
          </w:tcPr>
          <w:p>
            <w:pPr>
              <w:jc w:val="right"/>
              <w:ind w:right="223"/>
              <w:spacing w:after="0"/>
              <w:rPr>
                <w:sz w:val="20"/>
                <w:szCs w:val="20"/>
                <w:color w:val="auto"/>
              </w:rPr>
            </w:pPr>
            <w:r>
              <w:rPr>
                <w:rFonts w:ascii="Arial" w:cs="Arial" w:eastAsia="Arial" w:hAnsi="Arial"/>
                <w:sz w:val="11"/>
                <w:szCs w:val="11"/>
                <w:color w:val="auto"/>
              </w:rPr>
              <w:t>61,222</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1,417</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0"/>
                <w:szCs w:val="10"/>
                <w:color w:val="auto"/>
              </w:rPr>
              <w:t>21,865</w:t>
            </w:r>
            <w:r>
              <w:rPr>
                <w:rFonts w:ascii="Arial" w:cs="Arial" w:eastAsia="Arial" w:hAnsi="Arial"/>
                <w:sz w:val="17"/>
                <w:szCs w:val="17"/>
                <w:color w:val="auto"/>
                <w:vertAlign w:val="superscript"/>
              </w:rPr>
              <w:t>(b)</w:t>
            </w:r>
          </w:p>
        </w:tc>
        <w:tc>
          <w:tcPr>
            <w:tcW w:w="20" w:type="dxa"/>
            <w:vAlign w:val="bottom"/>
          </w:tcPr>
          <w:p>
            <w:pPr>
              <w:spacing w:after="0"/>
              <w:rPr>
                <w:sz w:val="13"/>
                <w:szCs w:val="13"/>
                <w:color w:val="auto"/>
              </w:rPr>
            </w:pPr>
          </w:p>
        </w:tc>
      </w:tr>
      <w:tr>
        <w:trPr>
          <w:trHeight w:val="129"/>
        </w:trPr>
        <w:tc>
          <w:tcPr>
            <w:tcW w:w="1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b w:val="1"/>
                <w:bCs w:val="1"/>
                <w:color w:val="auto"/>
              </w:rPr>
              <w:t>Mr. Morris</w:t>
            </w:r>
          </w:p>
        </w:tc>
        <w:tc>
          <w:tcPr>
            <w:tcW w:w="222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color w:val="auto"/>
              </w:rPr>
              <w:t>12,375</w:t>
            </w:r>
          </w:p>
        </w:tc>
        <w:tc>
          <w:tcPr>
            <w:tcW w:w="12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color w:val="auto"/>
              </w:rPr>
              <w:t>55,273</w:t>
            </w:r>
          </w:p>
        </w:tc>
        <w:tc>
          <w:tcPr>
            <w:tcW w:w="12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color w:val="auto"/>
              </w:rPr>
              <w:t>1,309</w:t>
            </w:r>
          </w:p>
        </w:tc>
        <w:tc>
          <w:tcPr>
            <w:tcW w:w="7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47,075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163" w:lineRule="exact"/>
        <w:rPr>
          <w:sz w:val="20"/>
          <w:szCs w:val="20"/>
          <w:color w:val="auto"/>
        </w:rPr>
      </w:pPr>
    </w:p>
    <w:p>
      <w:pPr>
        <w:jc w:val="both"/>
        <w:ind w:left="2060" w:hanging="466"/>
        <w:spacing w:after="0" w:line="243" w:lineRule="auto"/>
        <w:tabs>
          <w:tab w:leader="none" w:pos="2060" w:val="left"/>
        </w:tabs>
        <w:numPr>
          <w:ilvl w:val="1"/>
          <w:numId w:val="40"/>
        </w:numPr>
        <w:rPr>
          <w:rFonts w:ascii="Arial" w:cs="Arial" w:eastAsia="Arial" w:hAnsi="Arial"/>
          <w:sz w:val="11"/>
          <w:szCs w:val="11"/>
          <w:color w:val="auto"/>
        </w:rPr>
      </w:pPr>
      <w:r>
        <w:rPr>
          <w:rFonts w:ascii="Arial" w:cs="Arial" w:eastAsia="Arial" w:hAnsi="Arial"/>
          <w:sz w:val="11"/>
          <w:szCs w:val="11"/>
          <w:color w:val="auto"/>
        </w:rPr>
        <w:t>Includes perquisites and personal benefits received by a named executive officer in 2018, to the extent that the total value of such perquisites and personal benefits was at least $10,000. Amounts in this column include incremental cost to us for personal use of Company aircraft in the following amounts: Mr. Fish — $11,562; Mr. Trevathan — $46,504; and Mr. Morris — $41,710.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For example, the majority of all named executive personal aircraft use reported above resulted from deviations from business travel flight plans to pick up or drop off the executive in another location for personal reasons; in such case, we calculate the time difference resulting from the flight plan deviation and multiply it by the direct operating cost. We also allocate incremental cost to the named executive for any deadhead flights required to position the aircraft to serve personal needs. We own and operate our aircraft primarily for business use; therefore, we do not include purchase costs or other fixed costs associated with the ownership or operation of our aircraft in the direct operating cost. Amounts in this column also include $5,365 of imputed income for each of Messrs. Fish, Trevathan, Harris and Morris reflecting the cost to the Company for his spouse's participation in corporate events.</w:t>
      </w:r>
    </w:p>
    <w:p>
      <w:pPr>
        <w:spacing w:after="0" w:line="94" w:lineRule="exact"/>
        <w:rPr>
          <w:rFonts w:ascii="Arial" w:cs="Arial" w:eastAsia="Arial" w:hAnsi="Arial"/>
          <w:sz w:val="11"/>
          <w:szCs w:val="11"/>
          <w:color w:val="auto"/>
        </w:rPr>
      </w:pPr>
    </w:p>
    <w:p>
      <w:pPr>
        <w:jc w:val="both"/>
        <w:ind w:left="2060" w:right="20" w:hanging="466"/>
        <w:spacing w:after="0" w:line="257" w:lineRule="auto"/>
        <w:tabs>
          <w:tab w:leader="none" w:pos="2060" w:val="left"/>
        </w:tabs>
        <w:numPr>
          <w:ilvl w:val="1"/>
          <w:numId w:val="40"/>
        </w:numPr>
        <w:rPr>
          <w:rFonts w:ascii="Arial" w:cs="Arial" w:eastAsia="Arial" w:hAnsi="Arial"/>
          <w:sz w:val="11"/>
          <w:szCs w:val="11"/>
          <w:color w:val="auto"/>
        </w:rPr>
      </w:pPr>
      <w:r>
        <w:rPr>
          <w:rFonts w:ascii="Arial" w:cs="Arial" w:eastAsia="Arial" w:hAnsi="Arial"/>
          <w:sz w:val="11"/>
          <w:szCs w:val="11"/>
          <w:color w:val="auto"/>
        </w:rPr>
        <w:t>In recognition of their decades of dedicated service to the Company, Mr. Trevathan received a retirement gift consisting of a set of golf clubs and a cash gift of $45,000, and Mr. Harris received a cash retirement gift of $16,500. The Company also made a contribution of $5,000 to a charity chosen by each of Mr. Trevathan and Mr. Harris in honor of his retirement. These charitable contributions are not included above, as the named executives did not receive a personal benefit, nor were the contributions intended to serve as compensation.</w:t>
      </w:r>
    </w:p>
    <w:p>
      <w:pPr>
        <w:spacing w:after="0" w:line="268" w:lineRule="exact"/>
        <w:rPr>
          <w:rFonts w:ascii="Arial" w:cs="Arial" w:eastAsia="Arial" w:hAnsi="Arial"/>
          <w:sz w:val="11"/>
          <w:szCs w:val="11"/>
          <w:color w:val="auto"/>
        </w:rPr>
      </w:pPr>
    </w:p>
    <w:p>
      <w:pPr>
        <w:ind w:left="1600" w:hanging="464"/>
        <w:spacing w:after="0"/>
        <w:tabs>
          <w:tab w:leader="none" w:pos="1600" w:val="left"/>
        </w:tabs>
        <w:numPr>
          <w:ilvl w:val="0"/>
          <w:numId w:val="41"/>
        </w:numPr>
        <w:rPr>
          <w:rFonts w:ascii="Arial" w:cs="Arial" w:eastAsia="Arial" w:hAnsi="Arial"/>
          <w:sz w:val="11"/>
          <w:szCs w:val="11"/>
          <w:color w:val="auto"/>
        </w:rPr>
      </w:pPr>
      <w:r>
        <w:rPr>
          <w:rFonts w:ascii="Arial" w:cs="Arial" w:eastAsia="Arial" w:hAnsi="Arial"/>
          <w:sz w:val="11"/>
          <w:szCs w:val="11"/>
          <w:color w:val="auto"/>
        </w:rPr>
        <w:t>Includes $50,000 of base salary in 2018 to which Mr. Fish was entitled but voluntarily relinquished to fund a scholarship program for children of Company employees.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Grant of Plan-Based Awards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130175</wp:posOffset>
            </wp:positionV>
            <wp:extent cx="4483735" cy="668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483735" cy="668655"/>
                    </a:xfrm>
                    <a:prstGeom prst="rect">
                      <a:avLst/>
                    </a:prstGeom>
                    <a:noFill/>
                  </pic:spPr>
                </pic:pic>
              </a:graphicData>
            </a:graphic>
          </wp:anchor>
        </w:drawing>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200" w:type="dxa"/>
            <w:vAlign w:val="bottom"/>
            <w:shd w:val="clear" w:color="auto" w:fill="E7E7E8"/>
          </w:tcPr>
          <w:p>
            <w:pPr>
              <w:spacing w:after="0"/>
              <w:rPr>
                <w:sz w:val="10"/>
                <w:szCs w:val="10"/>
                <w:color w:val="auto"/>
              </w:rPr>
            </w:pPr>
          </w:p>
        </w:tc>
        <w:tc>
          <w:tcPr>
            <w:tcW w:w="820" w:type="dxa"/>
            <w:vAlign w:val="bottom"/>
            <w:shd w:val="clear" w:color="auto" w:fill="E7E7E8"/>
          </w:tcPr>
          <w:p>
            <w:pPr>
              <w:spacing w:after="0"/>
              <w:rPr>
                <w:sz w:val="10"/>
                <w:szCs w:val="10"/>
                <w:color w:val="auto"/>
              </w:rPr>
            </w:pPr>
          </w:p>
        </w:tc>
        <w:tc>
          <w:tcPr>
            <w:tcW w:w="780" w:type="dxa"/>
            <w:vAlign w:val="bottom"/>
            <w:shd w:val="clear" w:color="auto" w:fill="E7E7E8"/>
          </w:tcPr>
          <w:p>
            <w:pPr>
              <w:spacing w:after="0"/>
              <w:rPr>
                <w:sz w:val="10"/>
                <w:szCs w:val="10"/>
                <w:color w:val="auto"/>
              </w:rPr>
            </w:pPr>
          </w:p>
        </w:tc>
        <w:tc>
          <w:tcPr>
            <w:tcW w:w="760" w:type="dxa"/>
            <w:vAlign w:val="bottom"/>
            <w:shd w:val="clear" w:color="auto" w:fill="E7E7E8"/>
          </w:tcPr>
          <w:p>
            <w:pPr>
              <w:spacing w:after="0"/>
              <w:rPr>
                <w:sz w:val="10"/>
                <w:szCs w:val="10"/>
                <w:color w:val="auto"/>
              </w:rPr>
            </w:pPr>
          </w:p>
        </w:tc>
        <w:tc>
          <w:tcPr>
            <w:tcW w:w="700" w:type="dxa"/>
            <w:vAlign w:val="bottom"/>
            <w:shd w:val="clear" w:color="auto" w:fill="E7E7E8"/>
          </w:tcPr>
          <w:p>
            <w:pPr>
              <w:spacing w:after="0"/>
              <w:rPr>
                <w:sz w:val="10"/>
                <w:szCs w:val="10"/>
                <w:color w:val="auto"/>
              </w:rPr>
            </w:pPr>
          </w:p>
        </w:tc>
        <w:tc>
          <w:tcPr>
            <w:tcW w:w="740" w:type="dxa"/>
            <w:vAlign w:val="bottom"/>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570" w:type="dxa"/>
            <w:vAlign w:val="bottom"/>
            <w:shd w:val="clear" w:color="auto" w:fill="E7E7E8"/>
          </w:tcPr>
          <w:p>
            <w:pPr>
              <w:spacing w:after="0"/>
              <w:rPr>
                <w:sz w:val="10"/>
                <w:szCs w:val="10"/>
                <w:color w:val="auto"/>
              </w:rPr>
            </w:pPr>
          </w:p>
        </w:tc>
        <w:tc>
          <w:tcPr>
            <w:tcW w:w="93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All other</w:t>
            </w:r>
          </w:p>
        </w:tc>
        <w:tc>
          <w:tcPr>
            <w:tcW w:w="740" w:type="dxa"/>
            <w:vAlign w:val="bottom"/>
            <w:shd w:val="clear" w:color="auto" w:fill="E7E7E8"/>
          </w:tcPr>
          <w:p>
            <w:pPr>
              <w:spacing w:after="0"/>
              <w:rPr>
                <w:sz w:val="10"/>
                <w:szCs w:val="10"/>
                <w:color w:val="auto"/>
              </w:rPr>
            </w:pPr>
          </w:p>
        </w:tc>
        <w:tc>
          <w:tcPr>
            <w:tcW w:w="700" w:type="dxa"/>
            <w:vAlign w:val="bottom"/>
            <w:shd w:val="clear" w:color="auto" w:fill="E7E7E8"/>
          </w:tcPr>
          <w:p>
            <w:pPr>
              <w:spacing w:after="0"/>
              <w:rPr>
                <w:sz w:val="10"/>
                <w:szCs w:val="10"/>
                <w:color w:val="auto"/>
              </w:rPr>
            </w:pPr>
          </w:p>
        </w:tc>
        <w:tc>
          <w:tcPr>
            <w:tcW w:w="66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200" w:type="dxa"/>
            <w:vAlign w:val="bottom"/>
            <w:shd w:val="clear" w:color="auto" w:fill="E7E7E8"/>
          </w:tcPr>
          <w:p>
            <w:pPr>
              <w:spacing w:after="0"/>
              <w:rPr>
                <w:sz w:val="10"/>
                <w:szCs w:val="10"/>
                <w:color w:val="auto"/>
              </w:rPr>
            </w:pPr>
          </w:p>
        </w:tc>
        <w:tc>
          <w:tcPr>
            <w:tcW w:w="820" w:type="dxa"/>
            <w:vAlign w:val="bottom"/>
            <w:shd w:val="clear" w:color="auto" w:fill="E7E7E8"/>
          </w:tcPr>
          <w:p>
            <w:pPr>
              <w:spacing w:after="0"/>
              <w:rPr>
                <w:sz w:val="10"/>
                <w:szCs w:val="10"/>
                <w:color w:val="auto"/>
              </w:rPr>
            </w:pPr>
          </w:p>
        </w:tc>
        <w:tc>
          <w:tcPr>
            <w:tcW w:w="780" w:type="dxa"/>
            <w:vAlign w:val="bottom"/>
            <w:shd w:val="clear" w:color="auto" w:fill="E7E7E8"/>
          </w:tcPr>
          <w:p>
            <w:pPr>
              <w:spacing w:after="0"/>
              <w:rPr>
                <w:sz w:val="10"/>
                <w:szCs w:val="10"/>
                <w:color w:val="auto"/>
              </w:rPr>
            </w:pPr>
          </w:p>
        </w:tc>
        <w:tc>
          <w:tcPr>
            <w:tcW w:w="760" w:type="dxa"/>
            <w:vAlign w:val="bottom"/>
            <w:shd w:val="clear" w:color="auto" w:fill="E7E7E8"/>
          </w:tcPr>
          <w:p>
            <w:pPr>
              <w:spacing w:after="0"/>
              <w:rPr>
                <w:sz w:val="10"/>
                <w:szCs w:val="10"/>
                <w:color w:val="auto"/>
              </w:rPr>
            </w:pPr>
          </w:p>
        </w:tc>
        <w:tc>
          <w:tcPr>
            <w:tcW w:w="700" w:type="dxa"/>
            <w:vAlign w:val="bottom"/>
            <w:shd w:val="clear" w:color="auto" w:fill="E7E7E8"/>
          </w:tcPr>
          <w:p>
            <w:pPr>
              <w:spacing w:after="0"/>
              <w:rPr>
                <w:sz w:val="10"/>
                <w:szCs w:val="10"/>
                <w:color w:val="auto"/>
              </w:rPr>
            </w:pPr>
          </w:p>
        </w:tc>
        <w:tc>
          <w:tcPr>
            <w:tcW w:w="740" w:type="dxa"/>
            <w:vAlign w:val="bottom"/>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570" w:type="dxa"/>
            <w:vAlign w:val="bottom"/>
            <w:shd w:val="clear" w:color="auto" w:fill="E7E7E8"/>
          </w:tcPr>
          <w:p>
            <w:pPr>
              <w:spacing w:after="0"/>
              <w:rPr>
                <w:sz w:val="10"/>
                <w:szCs w:val="10"/>
                <w:color w:val="auto"/>
              </w:rPr>
            </w:pPr>
          </w:p>
        </w:tc>
        <w:tc>
          <w:tcPr>
            <w:tcW w:w="93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Option</w:t>
            </w:r>
          </w:p>
        </w:tc>
        <w:tc>
          <w:tcPr>
            <w:tcW w:w="740" w:type="dxa"/>
            <w:vAlign w:val="bottom"/>
            <w:shd w:val="clear" w:color="auto" w:fill="E7E7E8"/>
          </w:tcPr>
          <w:p>
            <w:pPr>
              <w:spacing w:after="0"/>
              <w:rPr>
                <w:sz w:val="10"/>
                <w:szCs w:val="10"/>
                <w:color w:val="auto"/>
              </w:rPr>
            </w:pPr>
          </w:p>
        </w:tc>
        <w:tc>
          <w:tcPr>
            <w:tcW w:w="70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Closing</w:t>
            </w:r>
          </w:p>
        </w:tc>
        <w:tc>
          <w:tcPr>
            <w:tcW w:w="6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200" w:type="dxa"/>
            <w:vAlign w:val="bottom"/>
            <w:shd w:val="clear" w:color="auto" w:fill="E7E7E8"/>
          </w:tcPr>
          <w:p>
            <w:pPr>
              <w:spacing w:after="0"/>
              <w:rPr>
                <w:sz w:val="10"/>
                <w:szCs w:val="10"/>
                <w:color w:val="auto"/>
              </w:rPr>
            </w:pPr>
          </w:p>
        </w:tc>
        <w:tc>
          <w:tcPr>
            <w:tcW w:w="2360" w:type="dxa"/>
            <w:vAlign w:val="bottom"/>
            <w:gridSpan w:val="3"/>
            <w:vMerge w:val="restart"/>
            <w:shd w:val="clear" w:color="auto" w:fill="E7E7E8"/>
          </w:tcPr>
          <w:p>
            <w:pPr>
              <w:jc w:val="center"/>
              <w:ind w:right="123"/>
              <w:spacing w:after="0"/>
              <w:rPr>
                <w:sz w:val="20"/>
                <w:szCs w:val="20"/>
                <w:color w:val="auto"/>
              </w:rPr>
            </w:pPr>
            <w:r>
              <w:rPr>
                <w:rFonts w:ascii="Arial" w:cs="Arial" w:eastAsia="Arial" w:hAnsi="Arial"/>
                <w:sz w:val="11"/>
                <w:szCs w:val="11"/>
                <w:b w:val="1"/>
                <w:bCs w:val="1"/>
                <w:color w:val="auto"/>
                <w:w w:val="91"/>
              </w:rPr>
              <w:t>Estimated Possible Payouts</w:t>
            </w:r>
          </w:p>
        </w:tc>
        <w:tc>
          <w:tcPr>
            <w:tcW w:w="1740" w:type="dxa"/>
            <w:vAlign w:val="bottom"/>
            <w:gridSpan w:val="3"/>
            <w:vMerge w:val="restart"/>
            <w:shd w:val="clear" w:color="auto" w:fill="E7E7E8"/>
          </w:tcPr>
          <w:p>
            <w:pPr>
              <w:jc w:val="center"/>
              <w:ind w:left="343"/>
              <w:spacing w:after="0"/>
              <w:rPr>
                <w:sz w:val="20"/>
                <w:szCs w:val="20"/>
                <w:color w:val="auto"/>
              </w:rPr>
            </w:pPr>
            <w:r>
              <w:rPr>
                <w:rFonts w:ascii="Arial" w:cs="Arial" w:eastAsia="Arial" w:hAnsi="Arial"/>
                <w:sz w:val="11"/>
                <w:szCs w:val="11"/>
                <w:b w:val="1"/>
                <w:bCs w:val="1"/>
                <w:color w:val="auto"/>
                <w:w w:val="92"/>
              </w:rPr>
              <w:t>Estimated Future Payouts</w:t>
            </w:r>
          </w:p>
        </w:tc>
        <w:tc>
          <w:tcPr>
            <w:tcW w:w="570" w:type="dxa"/>
            <w:vAlign w:val="bottom"/>
            <w:shd w:val="clear" w:color="auto" w:fill="E7E7E8"/>
          </w:tcPr>
          <w:p>
            <w:pPr>
              <w:spacing w:after="0"/>
              <w:rPr>
                <w:sz w:val="10"/>
                <w:szCs w:val="10"/>
                <w:color w:val="auto"/>
              </w:rPr>
            </w:pPr>
          </w:p>
        </w:tc>
        <w:tc>
          <w:tcPr>
            <w:tcW w:w="93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Awards:</w:t>
            </w:r>
          </w:p>
        </w:tc>
        <w:tc>
          <w:tcPr>
            <w:tcW w:w="740" w:type="dxa"/>
            <w:vAlign w:val="bottom"/>
            <w:shd w:val="clear" w:color="auto" w:fill="E7E7E8"/>
          </w:tcPr>
          <w:p>
            <w:pPr>
              <w:jc w:val="right"/>
              <w:ind w:right="123"/>
              <w:spacing w:after="0"/>
              <w:rPr>
                <w:sz w:val="20"/>
                <w:szCs w:val="20"/>
                <w:color w:val="auto"/>
              </w:rPr>
            </w:pPr>
            <w:r>
              <w:rPr>
                <w:rFonts w:ascii="Arial" w:cs="Arial" w:eastAsia="Arial" w:hAnsi="Arial"/>
                <w:sz w:val="11"/>
                <w:szCs w:val="11"/>
                <w:b w:val="1"/>
                <w:bCs w:val="1"/>
                <w:color w:val="auto"/>
              </w:rPr>
              <w:t>Exercise</w:t>
            </w:r>
          </w:p>
        </w:tc>
        <w:tc>
          <w:tcPr>
            <w:tcW w:w="70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Market</w:t>
            </w:r>
          </w:p>
        </w:tc>
        <w:tc>
          <w:tcPr>
            <w:tcW w:w="6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Date Fair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shd w:val="clear" w:color="auto" w:fill="E7E7E8"/>
          </w:tcPr>
          <w:p>
            <w:pPr>
              <w:spacing w:after="0"/>
              <w:rPr>
                <w:sz w:val="9"/>
                <w:szCs w:val="9"/>
                <w:color w:val="auto"/>
              </w:rPr>
            </w:pPr>
          </w:p>
        </w:tc>
        <w:tc>
          <w:tcPr>
            <w:tcW w:w="200" w:type="dxa"/>
            <w:vAlign w:val="bottom"/>
            <w:shd w:val="clear" w:color="auto" w:fill="E7E7E8"/>
          </w:tcPr>
          <w:p>
            <w:pPr>
              <w:spacing w:after="0"/>
              <w:rPr>
                <w:sz w:val="9"/>
                <w:szCs w:val="9"/>
                <w:color w:val="auto"/>
              </w:rPr>
            </w:pPr>
          </w:p>
        </w:tc>
        <w:tc>
          <w:tcPr>
            <w:tcW w:w="2360" w:type="dxa"/>
            <w:vAlign w:val="bottom"/>
            <w:gridSpan w:val="3"/>
            <w:vMerge w:val="continue"/>
            <w:shd w:val="clear" w:color="auto" w:fill="E7E7E8"/>
          </w:tcPr>
          <w:p>
            <w:pPr>
              <w:spacing w:after="0"/>
              <w:rPr>
                <w:sz w:val="9"/>
                <w:szCs w:val="9"/>
                <w:color w:val="auto"/>
              </w:rPr>
            </w:pPr>
          </w:p>
        </w:tc>
        <w:tc>
          <w:tcPr>
            <w:tcW w:w="1740" w:type="dxa"/>
            <w:vAlign w:val="bottom"/>
            <w:gridSpan w:val="3"/>
            <w:vMerge w:val="continue"/>
            <w:shd w:val="clear" w:color="auto" w:fill="E7E7E8"/>
          </w:tcPr>
          <w:p>
            <w:pPr>
              <w:spacing w:after="0"/>
              <w:rPr>
                <w:sz w:val="9"/>
                <w:szCs w:val="9"/>
                <w:color w:val="auto"/>
              </w:rPr>
            </w:pPr>
          </w:p>
        </w:tc>
        <w:tc>
          <w:tcPr>
            <w:tcW w:w="570" w:type="dxa"/>
            <w:vAlign w:val="bottom"/>
            <w:shd w:val="clear" w:color="auto" w:fill="E7E7E8"/>
          </w:tcPr>
          <w:p>
            <w:pPr>
              <w:spacing w:after="0"/>
              <w:rPr>
                <w:sz w:val="9"/>
                <w:szCs w:val="9"/>
                <w:color w:val="auto"/>
              </w:rPr>
            </w:pPr>
          </w:p>
        </w:tc>
        <w:tc>
          <w:tcPr>
            <w:tcW w:w="930" w:type="dxa"/>
            <w:vAlign w:val="bottom"/>
            <w:shd w:val="clear" w:color="auto" w:fill="E7E7E8"/>
          </w:tcPr>
          <w:p>
            <w:pPr>
              <w:jc w:val="right"/>
              <w:ind w:right="143"/>
              <w:spacing w:after="0" w:line="114" w:lineRule="exact"/>
              <w:rPr>
                <w:sz w:val="20"/>
                <w:szCs w:val="20"/>
                <w:color w:val="auto"/>
              </w:rPr>
            </w:pPr>
            <w:r>
              <w:rPr>
                <w:rFonts w:ascii="Arial" w:cs="Arial" w:eastAsia="Arial" w:hAnsi="Arial"/>
                <w:sz w:val="11"/>
                <w:szCs w:val="11"/>
                <w:b w:val="1"/>
                <w:bCs w:val="1"/>
                <w:color w:val="auto"/>
              </w:rPr>
              <w:t>Number of</w:t>
            </w:r>
          </w:p>
        </w:tc>
        <w:tc>
          <w:tcPr>
            <w:tcW w:w="740" w:type="dxa"/>
            <w:vAlign w:val="bottom"/>
            <w:shd w:val="clear" w:color="auto" w:fill="E7E7E8"/>
          </w:tcPr>
          <w:p>
            <w:pPr>
              <w:jc w:val="right"/>
              <w:ind w:right="123"/>
              <w:spacing w:after="0" w:line="114" w:lineRule="exact"/>
              <w:rPr>
                <w:sz w:val="20"/>
                <w:szCs w:val="20"/>
                <w:color w:val="auto"/>
              </w:rPr>
            </w:pPr>
            <w:r>
              <w:rPr>
                <w:rFonts w:ascii="Arial" w:cs="Arial" w:eastAsia="Arial" w:hAnsi="Arial"/>
                <w:sz w:val="11"/>
                <w:szCs w:val="11"/>
                <w:b w:val="1"/>
                <w:bCs w:val="1"/>
                <w:color w:val="auto"/>
              </w:rPr>
              <w:t>or Base</w:t>
            </w:r>
          </w:p>
        </w:tc>
        <w:tc>
          <w:tcPr>
            <w:tcW w:w="700" w:type="dxa"/>
            <w:vAlign w:val="bottom"/>
            <w:shd w:val="clear" w:color="auto" w:fill="E7E7E8"/>
          </w:tcPr>
          <w:p>
            <w:pPr>
              <w:jc w:val="right"/>
              <w:ind w:right="143"/>
              <w:spacing w:after="0" w:line="114" w:lineRule="exact"/>
              <w:rPr>
                <w:sz w:val="20"/>
                <w:szCs w:val="20"/>
                <w:color w:val="auto"/>
              </w:rPr>
            </w:pPr>
            <w:r>
              <w:rPr>
                <w:rFonts w:ascii="Arial" w:cs="Arial" w:eastAsia="Arial" w:hAnsi="Arial"/>
                <w:sz w:val="11"/>
                <w:szCs w:val="11"/>
                <w:b w:val="1"/>
                <w:bCs w:val="1"/>
                <w:color w:val="auto"/>
              </w:rPr>
              <w:t>Price</w:t>
            </w:r>
          </w:p>
        </w:tc>
        <w:tc>
          <w:tcPr>
            <w:tcW w:w="660" w:type="dxa"/>
            <w:vAlign w:val="bottom"/>
            <w:shd w:val="clear" w:color="auto" w:fill="E7E7E8"/>
          </w:tcPr>
          <w:p>
            <w:pPr>
              <w:jc w:val="right"/>
              <w:spacing w:after="0" w:line="114" w:lineRule="exact"/>
              <w:rPr>
                <w:sz w:val="20"/>
                <w:szCs w:val="20"/>
                <w:color w:val="auto"/>
              </w:rPr>
            </w:pPr>
            <w:r>
              <w:rPr>
                <w:rFonts w:ascii="Arial" w:cs="Arial" w:eastAsia="Arial" w:hAnsi="Arial"/>
                <w:sz w:val="11"/>
                <w:szCs w:val="11"/>
                <w:b w:val="1"/>
                <w:bCs w:val="1"/>
                <w:color w:val="auto"/>
              </w:rPr>
              <w:t>Value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200" w:type="dxa"/>
            <w:vAlign w:val="bottom"/>
            <w:shd w:val="clear" w:color="auto" w:fill="E7E7E8"/>
          </w:tcPr>
          <w:p>
            <w:pPr>
              <w:spacing w:after="0"/>
              <w:rPr>
                <w:sz w:val="10"/>
                <w:szCs w:val="10"/>
                <w:color w:val="auto"/>
              </w:rPr>
            </w:pPr>
          </w:p>
        </w:tc>
        <w:tc>
          <w:tcPr>
            <w:tcW w:w="1600" w:type="dxa"/>
            <w:vAlign w:val="bottom"/>
            <w:gridSpan w:val="2"/>
            <w:shd w:val="clear" w:color="auto" w:fill="E7E7E8"/>
          </w:tcPr>
          <w:p>
            <w:pPr>
              <w:jc w:val="center"/>
              <w:ind w:left="524"/>
              <w:spacing w:after="0"/>
              <w:rPr>
                <w:sz w:val="20"/>
                <w:szCs w:val="20"/>
                <w:color w:val="auto"/>
              </w:rPr>
            </w:pPr>
            <w:r>
              <w:rPr>
                <w:rFonts w:ascii="Arial" w:cs="Arial" w:eastAsia="Arial" w:hAnsi="Arial"/>
                <w:sz w:val="11"/>
                <w:szCs w:val="11"/>
                <w:b w:val="1"/>
                <w:bCs w:val="1"/>
                <w:color w:val="auto"/>
                <w:w w:val="96"/>
              </w:rPr>
              <w:t>Under Non-Equity</w:t>
            </w:r>
          </w:p>
        </w:tc>
        <w:tc>
          <w:tcPr>
            <w:tcW w:w="760" w:type="dxa"/>
            <w:vAlign w:val="bottom"/>
            <w:shd w:val="clear" w:color="auto" w:fill="E7E7E8"/>
          </w:tcPr>
          <w:p>
            <w:pPr>
              <w:spacing w:after="0"/>
              <w:rPr>
                <w:sz w:val="10"/>
                <w:szCs w:val="10"/>
                <w:color w:val="auto"/>
              </w:rPr>
            </w:pPr>
          </w:p>
        </w:tc>
        <w:tc>
          <w:tcPr>
            <w:tcW w:w="700" w:type="dxa"/>
            <w:vAlign w:val="bottom"/>
            <w:shd w:val="clear" w:color="auto" w:fill="E7E7E8"/>
          </w:tcPr>
          <w:p>
            <w:pPr>
              <w:spacing w:after="0"/>
              <w:rPr>
                <w:sz w:val="10"/>
                <w:szCs w:val="10"/>
                <w:color w:val="auto"/>
              </w:rPr>
            </w:pPr>
          </w:p>
        </w:tc>
        <w:tc>
          <w:tcPr>
            <w:tcW w:w="740" w:type="dxa"/>
            <w:vAlign w:val="bottom"/>
            <w:shd w:val="clear" w:color="auto" w:fill="E7E7E8"/>
          </w:tcPr>
          <w:p>
            <w:pPr>
              <w:jc w:val="center"/>
              <w:spacing w:after="0"/>
              <w:rPr>
                <w:sz w:val="20"/>
                <w:szCs w:val="20"/>
                <w:color w:val="auto"/>
              </w:rPr>
            </w:pPr>
            <w:r>
              <w:rPr>
                <w:rFonts w:ascii="Arial" w:cs="Arial" w:eastAsia="Arial" w:hAnsi="Arial"/>
                <w:sz w:val="11"/>
                <w:szCs w:val="11"/>
                <w:b w:val="1"/>
                <w:bCs w:val="1"/>
                <w:color w:val="auto"/>
                <w:w w:val="96"/>
              </w:rPr>
              <w:t>Under Equity</w:t>
            </w:r>
          </w:p>
        </w:tc>
        <w:tc>
          <w:tcPr>
            <w:tcW w:w="300" w:type="dxa"/>
            <w:vAlign w:val="bottom"/>
            <w:shd w:val="clear" w:color="auto" w:fill="E7E7E8"/>
          </w:tcPr>
          <w:p>
            <w:pPr>
              <w:spacing w:after="0"/>
              <w:rPr>
                <w:sz w:val="10"/>
                <w:szCs w:val="10"/>
                <w:color w:val="auto"/>
              </w:rPr>
            </w:pPr>
          </w:p>
        </w:tc>
        <w:tc>
          <w:tcPr>
            <w:tcW w:w="570" w:type="dxa"/>
            <w:vAlign w:val="bottom"/>
            <w:shd w:val="clear" w:color="auto" w:fill="E7E7E8"/>
          </w:tcPr>
          <w:p>
            <w:pPr>
              <w:spacing w:after="0"/>
              <w:rPr>
                <w:sz w:val="10"/>
                <w:szCs w:val="10"/>
                <w:color w:val="auto"/>
              </w:rPr>
            </w:pPr>
          </w:p>
        </w:tc>
        <w:tc>
          <w:tcPr>
            <w:tcW w:w="93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Securities</w:t>
            </w:r>
          </w:p>
        </w:tc>
        <w:tc>
          <w:tcPr>
            <w:tcW w:w="740" w:type="dxa"/>
            <w:vAlign w:val="bottom"/>
            <w:shd w:val="clear" w:color="auto" w:fill="E7E7E8"/>
          </w:tcPr>
          <w:p>
            <w:pPr>
              <w:jc w:val="right"/>
              <w:ind w:right="123"/>
              <w:spacing w:after="0"/>
              <w:rPr>
                <w:sz w:val="20"/>
                <w:szCs w:val="20"/>
                <w:color w:val="auto"/>
              </w:rPr>
            </w:pPr>
            <w:r>
              <w:rPr>
                <w:rFonts w:ascii="Arial" w:cs="Arial" w:eastAsia="Arial" w:hAnsi="Arial"/>
                <w:sz w:val="11"/>
                <w:szCs w:val="11"/>
                <w:b w:val="1"/>
                <w:bCs w:val="1"/>
                <w:color w:val="auto"/>
              </w:rPr>
              <w:t>Price of</w:t>
            </w:r>
          </w:p>
        </w:tc>
        <w:tc>
          <w:tcPr>
            <w:tcW w:w="70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on</w:t>
            </w:r>
          </w:p>
        </w:tc>
        <w:tc>
          <w:tcPr>
            <w:tcW w:w="6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E7E7E8"/>
          </w:tcPr>
          <w:p>
            <w:pPr>
              <w:spacing w:after="0"/>
              <w:rPr>
                <w:sz w:val="12"/>
                <w:szCs w:val="12"/>
                <w:color w:val="auto"/>
              </w:rPr>
            </w:pPr>
          </w:p>
        </w:tc>
        <w:tc>
          <w:tcPr>
            <w:tcW w:w="200" w:type="dxa"/>
            <w:vAlign w:val="bottom"/>
            <w:shd w:val="clear" w:color="auto" w:fill="E7E7E8"/>
          </w:tcPr>
          <w:p>
            <w:pPr>
              <w:spacing w:after="0"/>
              <w:rPr>
                <w:sz w:val="12"/>
                <w:szCs w:val="12"/>
                <w:color w:val="auto"/>
              </w:rPr>
            </w:pPr>
          </w:p>
        </w:tc>
        <w:tc>
          <w:tcPr>
            <w:tcW w:w="2360" w:type="dxa"/>
            <w:vAlign w:val="bottom"/>
            <w:gridSpan w:val="3"/>
            <w:shd w:val="clear" w:color="auto" w:fill="E7E7E8"/>
          </w:tcPr>
          <w:p>
            <w:pPr>
              <w:jc w:val="center"/>
              <w:ind w:right="123"/>
              <w:spacing w:after="0" w:line="149" w:lineRule="exact"/>
              <w:rPr>
                <w:sz w:val="20"/>
                <w:szCs w:val="20"/>
                <w:color w:val="auto"/>
              </w:rPr>
            </w:pPr>
            <w:r>
              <w:rPr>
                <w:rFonts w:ascii="Arial" w:cs="Arial" w:eastAsia="Arial" w:hAnsi="Arial"/>
                <w:sz w:val="10"/>
                <w:szCs w:val="10"/>
                <w:b w:val="1"/>
                <w:bCs w:val="1"/>
                <w:color w:val="auto"/>
              </w:rPr>
              <w:t>Incentive Plan Awards</w:t>
            </w:r>
            <w:r>
              <w:rPr>
                <w:rFonts w:ascii="Arial" w:cs="Arial" w:eastAsia="Arial" w:hAnsi="Arial"/>
                <w:sz w:val="17"/>
                <w:szCs w:val="17"/>
                <w:b w:val="1"/>
                <w:bCs w:val="1"/>
                <w:color w:val="auto"/>
                <w:vertAlign w:val="superscript"/>
              </w:rPr>
              <w:t>(1)</w:t>
            </w:r>
          </w:p>
        </w:tc>
        <w:tc>
          <w:tcPr>
            <w:tcW w:w="1740" w:type="dxa"/>
            <w:vAlign w:val="bottom"/>
            <w:gridSpan w:val="3"/>
            <w:shd w:val="clear" w:color="auto" w:fill="E7E7E8"/>
          </w:tcPr>
          <w:p>
            <w:pPr>
              <w:jc w:val="center"/>
              <w:ind w:left="343"/>
              <w:spacing w:after="0" w:line="149" w:lineRule="exact"/>
              <w:rPr>
                <w:sz w:val="20"/>
                <w:szCs w:val="20"/>
                <w:color w:val="auto"/>
              </w:rPr>
            </w:pPr>
            <w:r>
              <w:rPr>
                <w:rFonts w:ascii="Arial" w:cs="Arial" w:eastAsia="Arial" w:hAnsi="Arial"/>
                <w:sz w:val="10"/>
                <w:szCs w:val="10"/>
                <w:b w:val="1"/>
                <w:bCs w:val="1"/>
                <w:color w:val="auto"/>
              </w:rPr>
              <w:t>Incentive Plan Awards</w:t>
            </w:r>
            <w:r>
              <w:rPr>
                <w:rFonts w:ascii="Arial" w:cs="Arial" w:eastAsia="Arial" w:hAnsi="Arial"/>
                <w:sz w:val="17"/>
                <w:szCs w:val="17"/>
                <w:b w:val="1"/>
                <w:bCs w:val="1"/>
                <w:color w:val="auto"/>
                <w:vertAlign w:val="superscript"/>
              </w:rPr>
              <w:t>(2)</w:t>
            </w:r>
          </w:p>
        </w:tc>
        <w:tc>
          <w:tcPr>
            <w:tcW w:w="570" w:type="dxa"/>
            <w:vAlign w:val="bottom"/>
            <w:shd w:val="clear" w:color="auto" w:fill="E7E7E8"/>
          </w:tcPr>
          <w:p>
            <w:pPr>
              <w:spacing w:after="0"/>
              <w:rPr>
                <w:sz w:val="12"/>
                <w:szCs w:val="12"/>
                <w:color w:val="auto"/>
              </w:rPr>
            </w:pPr>
          </w:p>
        </w:tc>
        <w:tc>
          <w:tcPr>
            <w:tcW w:w="93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Underlying</w:t>
            </w:r>
          </w:p>
        </w:tc>
        <w:tc>
          <w:tcPr>
            <w:tcW w:w="740" w:type="dxa"/>
            <w:vAlign w:val="bottom"/>
            <w:shd w:val="clear" w:color="auto" w:fill="E7E7E8"/>
          </w:tcPr>
          <w:p>
            <w:pPr>
              <w:jc w:val="right"/>
              <w:ind w:right="123"/>
              <w:spacing w:after="0"/>
              <w:rPr>
                <w:sz w:val="20"/>
                <w:szCs w:val="20"/>
                <w:color w:val="auto"/>
              </w:rPr>
            </w:pPr>
            <w:r>
              <w:rPr>
                <w:rFonts w:ascii="Arial" w:cs="Arial" w:eastAsia="Arial" w:hAnsi="Arial"/>
                <w:sz w:val="11"/>
                <w:szCs w:val="11"/>
                <w:b w:val="1"/>
                <w:bCs w:val="1"/>
                <w:color w:val="auto"/>
              </w:rPr>
              <w:t>Option</w:t>
            </w:r>
          </w:p>
        </w:tc>
        <w:tc>
          <w:tcPr>
            <w:tcW w:w="70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Date of</w:t>
            </w:r>
          </w:p>
        </w:tc>
        <w:tc>
          <w:tcPr>
            <w:tcW w:w="6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Option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40" w:type="dxa"/>
            <w:vAlign w:val="bottom"/>
            <w:shd w:val="clear" w:color="auto" w:fill="E7E7E8"/>
          </w:tcPr>
          <w:p>
            <w:pPr>
              <w:spacing w:after="0"/>
              <w:rPr>
                <w:sz w:val="11"/>
                <w:szCs w:val="11"/>
                <w:color w:val="auto"/>
              </w:rPr>
            </w:pPr>
          </w:p>
        </w:tc>
        <w:tc>
          <w:tcPr>
            <w:tcW w:w="200" w:type="dxa"/>
            <w:vAlign w:val="bottom"/>
            <w:shd w:val="clear" w:color="auto" w:fill="E7E7E8"/>
          </w:tcPr>
          <w:p>
            <w:pPr>
              <w:spacing w:after="0"/>
              <w:rPr>
                <w:sz w:val="11"/>
                <w:szCs w:val="11"/>
                <w:color w:val="auto"/>
              </w:rPr>
            </w:pPr>
          </w:p>
        </w:tc>
        <w:tc>
          <w:tcPr>
            <w:tcW w:w="820" w:type="dxa"/>
            <w:vAlign w:val="bottom"/>
            <w:shd w:val="clear" w:color="auto" w:fill="E7E7E8"/>
          </w:tcPr>
          <w:p>
            <w:pPr>
              <w:jc w:val="right"/>
              <w:ind w:right="124"/>
              <w:spacing w:after="0"/>
              <w:rPr>
                <w:sz w:val="20"/>
                <w:szCs w:val="20"/>
                <w:color w:val="auto"/>
              </w:rPr>
            </w:pPr>
            <w:r>
              <w:rPr>
                <w:rFonts w:ascii="Arial" w:cs="Arial" w:eastAsia="Arial" w:hAnsi="Arial"/>
                <w:sz w:val="11"/>
                <w:szCs w:val="11"/>
                <w:b w:val="1"/>
                <w:bCs w:val="1"/>
                <w:color w:val="auto"/>
              </w:rPr>
              <w:t>Threshold</w:t>
            </w:r>
          </w:p>
        </w:tc>
        <w:tc>
          <w:tcPr>
            <w:tcW w:w="780" w:type="dxa"/>
            <w:vAlign w:val="bottom"/>
            <w:shd w:val="clear" w:color="auto" w:fill="E7E7E8"/>
          </w:tcPr>
          <w:p>
            <w:pPr>
              <w:jc w:val="right"/>
              <w:ind w:right="243"/>
              <w:spacing w:after="0"/>
              <w:rPr>
                <w:sz w:val="20"/>
                <w:szCs w:val="20"/>
                <w:color w:val="auto"/>
              </w:rPr>
            </w:pPr>
            <w:r>
              <w:rPr>
                <w:rFonts w:ascii="Arial" w:cs="Arial" w:eastAsia="Arial" w:hAnsi="Arial"/>
                <w:sz w:val="11"/>
                <w:szCs w:val="11"/>
                <w:b w:val="1"/>
                <w:bCs w:val="1"/>
                <w:color w:val="auto"/>
              </w:rPr>
              <w:t>Target</w:t>
            </w:r>
          </w:p>
        </w:tc>
        <w:tc>
          <w:tcPr>
            <w:tcW w:w="760" w:type="dxa"/>
            <w:vAlign w:val="bottom"/>
            <w:shd w:val="clear" w:color="auto" w:fill="E7E7E8"/>
          </w:tcPr>
          <w:p>
            <w:pPr>
              <w:jc w:val="right"/>
              <w:ind w:right="123"/>
              <w:spacing w:after="0"/>
              <w:rPr>
                <w:sz w:val="20"/>
                <w:szCs w:val="20"/>
                <w:color w:val="auto"/>
              </w:rPr>
            </w:pPr>
            <w:r>
              <w:rPr>
                <w:rFonts w:ascii="Arial" w:cs="Arial" w:eastAsia="Arial" w:hAnsi="Arial"/>
                <w:sz w:val="11"/>
                <w:szCs w:val="11"/>
                <w:b w:val="1"/>
                <w:bCs w:val="1"/>
                <w:color w:val="auto"/>
              </w:rPr>
              <w:t>Maximum</w:t>
            </w:r>
          </w:p>
        </w:tc>
        <w:tc>
          <w:tcPr>
            <w:tcW w:w="70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Threshold</w:t>
            </w:r>
          </w:p>
        </w:tc>
        <w:tc>
          <w:tcPr>
            <w:tcW w:w="74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Target</w:t>
            </w:r>
          </w:p>
        </w:tc>
        <w:tc>
          <w:tcPr>
            <w:tcW w:w="870" w:type="dxa"/>
            <w:vAlign w:val="bottom"/>
            <w:gridSpan w:val="2"/>
            <w:shd w:val="clear" w:color="auto" w:fill="E7E7E8"/>
          </w:tcPr>
          <w:p>
            <w:pPr>
              <w:jc w:val="right"/>
              <w:ind w:right="133"/>
              <w:spacing w:after="0"/>
              <w:rPr>
                <w:sz w:val="20"/>
                <w:szCs w:val="20"/>
                <w:color w:val="auto"/>
              </w:rPr>
            </w:pPr>
            <w:r>
              <w:rPr>
                <w:rFonts w:ascii="Arial" w:cs="Arial" w:eastAsia="Arial" w:hAnsi="Arial"/>
                <w:sz w:val="11"/>
                <w:szCs w:val="11"/>
                <w:b w:val="1"/>
                <w:bCs w:val="1"/>
                <w:color w:val="auto"/>
              </w:rPr>
              <w:t>Maximum</w:t>
            </w:r>
          </w:p>
        </w:tc>
        <w:tc>
          <w:tcPr>
            <w:tcW w:w="93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Options</w:t>
            </w:r>
          </w:p>
        </w:tc>
        <w:tc>
          <w:tcPr>
            <w:tcW w:w="74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Awards</w:t>
            </w:r>
          </w:p>
        </w:tc>
        <w:tc>
          <w:tcPr>
            <w:tcW w:w="70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Grant</w:t>
            </w:r>
          </w:p>
        </w:tc>
        <w:tc>
          <w:tcPr>
            <w:tcW w:w="6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shd w:val="clear" w:color="auto" w:fill="E7E7E8"/>
          </w:tcPr>
          <w:p>
            <w:pPr>
              <w:spacing w:after="0"/>
              <w:rPr>
                <w:sz w:val="20"/>
                <w:szCs w:val="20"/>
                <w:color w:val="auto"/>
              </w:rPr>
            </w:pPr>
            <w:r>
              <w:rPr>
                <w:rFonts w:ascii="Arial" w:cs="Arial" w:eastAsia="Arial" w:hAnsi="Arial"/>
                <w:sz w:val="11"/>
                <w:szCs w:val="11"/>
                <w:b w:val="1"/>
                <w:bCs w:val="1"/>
                <w:color w:val="auto"/>
              </w:rPr>
              <w:t>Grant Date</w:t>
            </w:r>
          </w:p>
        </w:tc>
        <w:tc>
          <w:tcPr>
            <w:tcW w:w="200" w:type="dxa"/>
            <w:vAlign w:val="bottom"/>
            <w:shd w:val="clear" w:color="auto" w:fill="E7E7E8"/>
          </w:tcPr>
          <w:p>
            <w:pPr>
              <w:spacing w:after="0"/>
              <w:rPr>
                <w:sz w:val="14"/>
                <w:szCs w:val="14"/>
                <w:color w:val="auto"/>
              </w:rPr>
            </w:pPr>
          </w:p>
        </w:tc>
        <w:tc>
          <w:tcPr>
            <w:tcW w:w="820" w:type="dxa"/>
            <w:vAlign w:val="bottom"/>
            <w:shd w:val="clear" w:color="auto" w:fill="E7E7E8"/>
          </w:tcPr>
          <w:p>
            <w:pPr>
              <w:jc w:val="right"/>
              <w:ind w:right="124"/>
              <w:spacing w:after="0"/>
              <w:rPr>
                <w:sz w:val="20"/>
                <w:szCs w:val="20"/>
                <w:color w:val="auto"/>
              </w:rPr>
            </w:pPr>
            <w:r>
              <w:rPr>
                <w:rFonts w:ascii="Arial" w:cs="Arial" w:eastAsia="Arial" w:hAnsi="Arial"/>
                <w:sz w:val="11"/>
                <w:szCs w:val="11"/>
                <w:b w:val="1"/>
                <w:bCs w:val="1"/>
                <w:color w:val="auto"/>
              </w:rPr>
              <w:t>($)</w:t>
            </w:r>
          </w:p>
        </w:tc>
        <w:tc>
          <w:tcPr>
            <w:tcW w:w="780" w:type="dxa"/>
            <w:vAlign w:val="bottom"/>
            <w:shd w:val="clear" w:color="auto" w:fill="E7E7E8"/>
          </w:tcPr>
          <w:p>
            <w:pPr>
              <w:jc w:val="right"/>
              <w:ind w:right="243"/>
              <w:spacing w:after="0"/>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E7E7E8"/>
          </w:tcPr>
          <w:p>
            <w:pPr>
              <w:jc w:val="right"/>
              <w:ind w:right="123"/>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w:t>
            </w:r>
          </w:p>
        </w:tc>
        <w:tc>
          <w:tcPr>
            <w:tcW w:w="74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w:t>
            </w:r>
          </w:p>
        </w:tc>
        <w:tc>
          <w:tcPr>
            <w:tcW w:w="300" w:type="dxa"/>
            <w:vAlign w:val="bottom"/>
            <w:shd w:val="clear" w:color="auto" w:fill="E7E7E8"/>
          </w:tcPr>
          <w:p>
            <w:pPr>
              <w:spacing w:after="0"/>
              <w:rPr>
                <w:sz w:val="14"/>
                <w:szCs w:val="14"/>
                <w:color w:val="auto"/>
              </w:rPr>
            </w:pPr>
          </w:p>
        </w:tc>
        <w:tc>
          <w:tcPr>
            <w:tcW w:w="570" w:type="dxa"/>
            <w:vAlign w:val="bottom"/>
            <w:shd w:val="clear" w:color="auto" w:fill="E7E7E8"/>
          </w:tcPr>
          <w:p>
            <w:pPr>
              <w:jc w:val="right"/>
              <w:ind w:right="133"/>
              <w:spacing w:after="0"/>
              <w:rPr>
                <w:sz w:val="20"/>
                <w:szCs w:val="20"/>
                <w:color w:val="auto"/>
              </w:rPr>
            </w:pPr>
            <w:r>
              <w:rPr>
                <w:rFonts w:ascii="Arial" w:cs="Arial" w:eastAsia="Arial" w:hAnsi="Arial"/>
                <w:sz w:val="11"/>
                <w:szCs w:val="11"/>
                <w:b w:val="1"/>
                <w:bCs w:val="1"/>
                <w:color w:val="auto"/>
              </w:rPr>
              <w:t>(#)</w:t>
            </w:r>
          </w:p>
        </w:tc>
        <w:tc>
          <w:tcPr>
            <w:tcW w:w="930" w:type="dxa"/>
            <w:vAlign w:val="bottom"/>
            <w:shd w:val="clear" w:color="auto" w:fill="E7E7E8"/>
          </w:tcPr>
          <w:p>
            <w:pPr>
              <w:jc w:val="right"/>
              <w:ind w:right="143"/>
              <w:spacing w:after="0" w:line="16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(3)</w:t>
            </w:r>
          </w:p>
        </w:tc>
        <w:tc>
          <w:tcPr>
            <w:tcW w:w="740" w:type="dxa"/>
            <w:vAlign w:val="bottom"/>
            <w:shd w:val="clear" w:color="auto" w:fill="E7E7E8"/>
          </w:tcPr>
          <w:p>
            <w:pPr>
              <w:jc w:val="right"/>
              <w:ind w:right="143"/>
              <w:spacing w:after="0" w:line="164" w:lineRule="exact"/>
              <w:rPr>
                <w:sz w:val="20"/>
                <w:szCs w:val="20"/>
                <w:color w:val="auto"/>
              </w:rPr>
            </w:pPr>
            <w:r>
              <w:rPr>
                <w:rFonts w:ascii="Arial" w:cs="Arial" w:eastAsia="Arial" w:hAnsi="Arial"/>
                <w:sz w:val="11"/>
                <w:szCs w:val="11"/>
                <w:b w:val="1"/>
                <w:bCs w:val="1"/>
                <w:color w:val="auto"/>
              </w:rPr>
              <w:t>($/sh)</w:t>
            </w:r>
            <w:r>
              <w:rPr>
                <w:rFonts w:ascii="Arial" w:cs="Arial" w:eastAsia="Arial" w:hAnsi="Arial"/>
                <w:sz w:val="18"/>
                <w:szCs w:val="18"/>
                <w:b w:val="1"/>
                <w:bCs w:val="1"/>
                <w:color w:val="auto"/>
                <w:vertAlign w:val="superscript"/>
              </w:rPr>
              <w:t>(4)</w:t>
            </w:r>
          </w:p>
        </w:tc>
        <w:tc>
          <w:tcPr>
            <w:tcW w:w="700" w:type="dxa"/>
            <w:vAlign w:val="bottom"/>
            <w:shd w:val="clear" w:color="auto" w:fill="E7E7E8"/>
          </w:tcPr>
          <w:p>
            <w:pPr>
              <w:jc w:val="right"/>
              <w:ind w:right="143"/>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E7E7E8"/>
          </w:tcPr>
          <w:p>
            <w:pPr>
              <w:jc w:val="right"/>
              <w:spacing w:after="0" w:line="16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James C. Fish, Jr.</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360" w:type="dxa"/>
            <w:vAlign w:val="bottom"/>
            <w:gridSpan w:val="2"/>
          </w:tcPr>
          <w:p>
            <w:pPr>
              <w:spacing w:after="0"/>
              <w:rPr>
                <w:sz w:val="20"/>
                <w:szCs w:val="20"/>
                <w:color w:val="auto"/>
              </w:rPr>
            </w:pPr>
            <w:r>
              <w:rPr>
                <w:rFonts w:ascii="Arial" w:cs="Arial" w:eastAsia="Arial" w:hAnsi="Arial"/>
                <w:sz w:val="11"/>
                <w:szCs w:val="11"/>
                <w:color w:val="auto"/>
              </w:rPr>
              <w:t>Annual Cash Incentive</w:t>
            </w:r>
          </w:p>
        </w:tc>
        <w:tc>
          <w:tcPr>
            <w:tcW w:w="1020" w:type="dxa"/>
            <w:vAlign w:val="bottom"/>
            <w:gridSpan w:val="2"/>
          </w:tcPr>
          <w:p>
            <w:pPr>
              <w:jc w:val="right"/>
              <w:ind w:right="124"/>
              <w:spacing w:after="0"/>
              <w:rPr>
                <w:sz w:val="20"/>
                <w:szCs w:val="20"/>
                <w:color w:val="auto"/>
              </w:rPr>
            </w:pPr>
            <w:r>
              <w:rPr>
                <w:rFonts w:ascii="Arial" w:cs="Arial" w:eastAsia="Arial" w:hAnsi="Arial"/>
                <w:sz w:val="11"/>
                <w:szCs w:val="11"/>
                <w:color w:val="auto"/>
              </w:rPr>
              <w:t>937,936</w:t>
            </w:r>
          </w:p>
        </w:tc>
        <w:tc>
          <w:tcPr>
            <w:tcW w:w="780" w:type="dxa"/>
            <w:vAlign w:val="bottom"/>
          </w:tcPr>
          <w:p>
            <w:pPr>
              <w:jc w:val="right"/>
              <w:ind w:right="243"/>
              <w:spacing w:after="0"/>
              <w:rPr>
                <w:sz w:val="20"/>
                <w:szCs w:val="20"/>
                <w:color w:val="auto"/>
              </w:rPr>
            </w:pPr>
            <w:r>
              <w:rPr>
                <w:rFonts w:ascii="Arial" w:cs="Arial" w:eastAsia="Arial" w:hAnsi="Arial"/>
                <w:sz w:val="11"/>
                <w:szCs w:val="11"/>
                <w:color w:val="auto"/>
                <w:w w:val="93"/>
              </w:rPr>
              <w:t>1,563,226</w:t>
            </w:r>
          </w:p>
        </w:tc>
        <w:tc>
          <w:tcPr>
            <w:tcW w:w="760" w:type="dxa"/>
            <w:vAlign w:val="bottom"/>
          </w:tcPr>
          <w:p>
            <w:pPr>
              <w:jc w:val="right"/>
              <w:ind w:right="123"/>
              <w:spacing w:after="0"/>
              <w:rPr>
                <w:sz w:val="20"/>
                <w:szCs w:val="20"/>
                <w:color w:val="auto"/>
              </w:rPr>
            </w:pPr>
            <w:r>
              <w:rPr>
                <w:rFonts w:ascii="Arial" w:cs="Arial" w:eastAsia="Arial" w:hAnsi="Arial"/>
                <w:sz w:val="11"/>
                <w:szCs w:val="11"/>
                <w:color w:val="auto"/>
              </w:rPr>
              <w:t>3,126,452</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70" w:type="dxa"/>
            <w:vAlign w:val="bottom"/>
          </w:tcPr>
          <w:p>
            <w:pPr>
              <w:spacing w:after="0"/>
              <w:rPr>
                <w:sz w:val="16"/>
                <w:szCs w:val="16"/>
                <w:color w:val="auto"/>
              </w:rPr>
            </w:pPr>
          </w:p>
        </w:tc>
        <w:tc>
          <w:tcPr>
            <w:tcW w:w="93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33,103</w:t>
            </w:r>
          </w:p>
        </w:tc>
        <w:tc>
          <w:tcPr>
            <w:tcW w:w="7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rPr>
              <w:t>55,172</w:t>
            </w:r>
          </w:p>
        </w:tc>
        <w:tc>
          <w:tcPr>
            <w:tcW w:w="300" w:type="dxa"/>
            <w:vAlign w:val="bottom"/>
            <w:tcBorders>
              <w:top w:val="single" w:sz="8" w:color="auto"/>
              <w:bottom w:val="single" w:sz="8" w:color="auto"/>
            </w:tcBorders>
          </w:tcPr>
          <w:p>
            <w:pPr>
              <w:spacing w:after="0"/>
              <w:rPr>
                <w:sz w:val="11"/>
                <w:szCs w:val="11"/>
                <w:color w:val="auto"/>
              </w:rPr>
            </w:pPr>
          </w:p>
        </w:tc>
        <w:tc>
          <w:tcPr>
            <w:tcW w:w="57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1"/>
                <w:szCs w:val="11"/>
                <w:color w:val="auto"/>
                <w:w w:val="90"/>
              </w:rPr>
              <w:t>110,344</w:t>
            </w:r>
          </w:p>
        </w:tc>
        <w:tc>
          <w:tcPr>
            <w:tcW w:w="93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5,431,408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98,684</w:t>
            </w: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85.34</w:t>
            </w: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84.87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1,199,997</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Devina A. Rankin</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360" w:type="dxa"/>
            <w:vAlign w:val="bottom"/>
            <w:gridSpan w:val="2"/>
          </w:tcPr>
          <w:p>
            <w:pPr>
              <w:spacing w:after="0"/>
              <w:rPr>
                <w:sz w:val="20"/>
                <w:szCs w:val="20"/>
                <w:color w:val="auto"/>
              </w:rPr>
            </w:pPr>
            <w:r>
              <w:rPr>
                <w:rFonts w:ascii="Arial" w:cs="Arial" w:eastAsia="Arial" w:hAnsi="Arial"/>
                <w:sz w:val="11"/>
                <w:szCs w:val="11"/>
                <w:color w:val="auto"/>
              </w:rPr>
              <w:t>Annual Cash Incentive</w:t>
            </w:r>
          </w:p>
        </w:tc>
        <w:tc>
          <w:tcPr>
            <w:tcW w:w="1020" w:type="dxa"/>
            <w:vAlign w:val="bottom"/>
            <w:gridSpan w:val="2"/>
          </w:tcPr>
          <w:p>
            <w:pPr>
              <w:jc w:val="right"/>
              <w:ind w:right="124"/>
              <w:spacing w:after="0"/>
              <w:rPr>
                <w:sz w:val="20"/>
                <w:szCs w:val="20"/>
                <w:color w:val="auto"/>
              </w:rPr>
            </w:pPr>
            <w:r>
              <w:rPr>
                <w:rFonts w:ascii="Arial" w:cs="Arial" w:eastAsia="Arial" w:hAnsi="Arial"/>
                <w:sz w:val="11"/>
                <w:szCs w:val="11"/>
                <w:color w:val="auto"/>
              </w:rPr>
              <w:t>304,171</w:t>
            </w: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506,952</w:t>
            </w:r>
          </w:p>
        </w:tc>
        <w:tc>
          <w:tcPr>
            <w:tcW w:w="760" w:type="dxa"/>
            <w:vAlign w:val="bottom"/>
          </w:tcPr>
          <w:p>
            <w:pPr>
              <w:jc w:val="right"/>
              <w:ind w:right="123"/>
              <w:spacing w:after="0"/>
              <w:rPr>
                <w:sz w:val="20"/>
                <w:szCs w:val="20"/>
                <w:color w:val="auto"/>
              </w:rPr>
            </w:pPr>
            <w:r>
              <w:rPr>
                <w:rFonts w:ascii="Arial" w:cs="Arial" w:eastAsia="Arial" w:hAnsi="Arial"/>
                <w:sz w:val="11"/>
                <w:szCs w:val="11"/>
                <w:color w:val="auto"/>
              </w:rPr>
              <w:t>1,013,904</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70" w:type="dxa"/>
            <w:vAlign w:val="bottom"/>
          </w:tcPr>
          <w:p>
            <w:pPr>
              <w:spacing w:after="0"/>
              <w:rPr>
                <w:sz w:val="16"/>
                <w:szCs w:val="16"/>
                <w:color w:val="auto"/>
              </w:rPr>
            </w:pPr>
          </w:p>
        </w:tc>
        <w:tc>
          <w:tcPr>
            <w:tcW w:w="93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9,379</w:t>
            </w:r>
          </w:p>
        </w:tc>
        <w:tc>
          <w:tcPr>
            <w:tcW w:w="7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rPr>
              <w:t>15,632</w:t>
            </w:r>
          </w:p>
        </w:tc>
        <w:tc>
          <w:tcPr>
            <w:tcW w:w="300" w:type="dxa"/>
            <w:vAlign w:val="bottom"/>
            <w:tcBorders>
              <w:top w:val="single" w:sz="8" w:color="auto"/>
              <w:bottom w:val="single" w:sz="8" w:color="auto"/>
            </w:tcBorders>
          </w:tcPr>
          <w:p>
            <w:pPr>
              <w:spacing w:after="0"/>
              <w:rPr>
                <w:sz w:val="11"/>
                <w:szCs w:val="11"/>
                <w:color w:val="auto"/>
              </w:rPr>
            </w:pPr>
          </w:p>
        </w:tc>
        <w:tc>
          <w:tcPr>
            <w:tcW w:w="57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1"/>
                <w:szCs w:val="11"/>
                <w:color w:val="auto"/>
              </w:rPr>
              <w:t>31,264</w:t>
            </w:r>
          </w:p>
        </w:tc>
        <w:tc>
          <w:tcPr>
            <w:tcW w:w="93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1,538,892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27,961</w:t>
            </w: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85.34</w:t>
            </w: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84.87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340,006</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James E. Trevathan, Jr.</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360" w:type="dxa"/>
            <w:vAlign w:val="bottom"/>
            <w:gridSpan w:val="2"/>
          </w:tcPr>
          <w:p>
            <w:pPr>
              <w:spacing w:after="0"/>
              <w:rPr>
                <w:sz w:val="20"/>
                <w:szCs w:val="20"/>
                <w:color w:val="auto"/>
              </w:rPr>
            </w:pPr>
            <w:r>
              <w:rPr>
                <w:rFonts w:ascii="Arial" w:cs="Arial" w:eastAsia="Arial" w:hAnsi="Arial"/>
                <w:sz w:val="11"/>
                <w:szCs w:val="11"/>
                <w:color w:val="auto"/>
              </w:rPr>
              <w:t>Annual Cash Incentive</w:t>
            </w:r>
          </w:p>
        </w:tc>
        <w:tc>
          <w:tcPr>
            <w:tcW w:w="1020" w:type="dxa"/>
            <w:vAlign w:val="bottom"/>
            <w:gridSpan w:val="2"/>
          </w:tcPr>
          <w:p>
            <w:pPr>
              <w:jc w:val="right"/>
              <w:ind w:right="124"/>
              <w:spacing w:after="0"/>
              <w:rPr>
                <w:sz w:val="20"/>
                <w:szCs w:val="20"/>
                <w:color w:val="auto"/>
              </w:rPr>
            </w:pPr>
            <w:r>
              <w:rPr>
                <w:rFonts w:ascii="Arial" w:cs="Arial" w:eastAsia="Arial" w:hAnsi="Arial"/>
                <w:sz w:val="11"/>
                <w:szCs w:val="11"/>
                <w:color w:val="auto"/>
              </w:rPr>
              <w:t>423,675</w:t>
            </w: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706,125</w:t>
            </w:r>
          </w:p>
        </w:tc>
        <w:tc>
          <w:tcPr>
            <w:tcW w:w="760" w:type="dxa"/>
            <w:vAlign w:val="bottom"/>
          </w:tcPr>
          <w:p>
            <w:pPr>
              <w:jc w:val="right"/>
              <w:ind w:right="123"/>
              <w:spacing w:after="0"/>
              <w:rPr>
                <w:sz w:val="20"/>
                <w:szCs w:val="20"/>
                <w:color w:val="auto"/>
              </w:rPr>
            </w:pPr>
            <w:r>
              <w:rPr>
                <w:rFonts w:ascii="Arial" w:cs="Arial" w:eastAsia="Arial" w:hAnsi="Arial"/>
                <w:sz w:val="11"/>
                <w:szCs w:val="11"/>
                <w:color w:val="auto"/>
              </w:rPr>
              <w:t>1,412,250</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70" w:type="dxa"/>
            <w:vAlign w:val="bottom"/>
          </w:tcPr>
          <w:p>
            <w:pPr>
              <w:spacing w:after="0"/>
              <w:rPr>
                <w:sz w:val="16"/>
                <w:szCs w:val="16"/>
                <w:color w:val="auto"/>
              </w:rPr>
            </w:pPr>
          </w:p>
        </w:tc>
        <w:tc>
          <w:tcPr>
            <w:tcW w:w="93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12,248</w:t>
            </w:r>
          </w:p>
        </w:tc>
        <w:tc>
          <w:tcPr>
            <w:tcW w:w="7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rPr>
              <w:t>20,414</w:t>
            </w:r>
          </w:p>
        </w:tc>
        <w:tc>
          <w:tcPr>
            <w:tcW w:w="300" w:type="dxa"/>
            <w:vAlign w:val="bottom"/>
            <w:tcBorders>
              <w:top w:val="single" w:sz="8" w:color="auto"/>
              <w:bottom w:val="single" w:sz="8" w:color="auto"/>
            </w:tcBorders>
          </w:tcPr>
          <w:p>
            <w:pPr>
              <w:spacing w:after="0"/>
              <w:rPr>
                <w:sz w:val="11"/>
                <w:szCs w:val="11"/>
                <w:color w:val="auto"/>
              </w:rPr>
            </w:pPr>
          </w:p>
        </w:tc>
        <w:tc>
          <w:tcPr>
            <w:tcW w:w="57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1"/>
                <w:szCs w:val="11"/>
                <w:color w:val="auto"/>
              </w:rPr>
              <w:t>40,828</w:t>
            </w:r>
          </w:p>
        </w:tc>
        <w:tc>
          <w:tcPr>
            <w:tcW w:w="93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2,009,656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36,513</w:t>
            </w: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85.34</w:t>
            </w: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84.87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443,998</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Jeff M. Harris</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360" w:type="dxa"/>
            <w:vAlign w:val="bottom"/>
            <w:gridSpan w:val="2"/>
          </w:tcPr>
          <w:p>
            <w:pPr>
              <w:spacing w:after="0"/>
              <w:rPr>
                <w:sz w:val="20"/>
                <w:szCs w:val="20"/>
                <w:color w:val="auto"/>
              </w:rPr>
            </w:pPr>
            <w:r>
              <w:rPr>
                <w:rFonts w:ascii="Arial" w:cs="Arial" w:eastAsia="Arial" w:hAnsi="Arial"/>
                <w:sz w:val="11"/>
                <w:szCs w:val="11"/>
                <w:color w:val="auto"/>
              </w:rPr>
              <w:t>Annual Cash Incentive</w:t>
            </w:r>
          </w:p>
        </w:tc>
        <w:tc>
          <w:tcPr>
            <w:tcW w:w="1020" w:type="dxa"/>
            <w:vAlign w:val="bottom"/>
            <w:gridSpan w:val="2"/>
          </w:tcPr>
          <w:p>
            <w:pPr>
              <w:jc w:val="right"/>
              <w:ind w:right="124"/>
              <w:spacing w:after="0"/>
              <w:rPr>
                <w:sz w:val="20"/>
                <w:szCs w:val="20"/>
                <w:color w:val="auto"/>
              </w:rPr>
            </w:pPr>
            <w:r>
              <w:rPr>
                <w:rFonts w:ascii="Arial" w:cs="Arial" w:eastAsia="Arial" w:hAnsi="Arial"/>
                <w:sz w:val="11"/>
                <w:szCs w:val="11"/>
                <w:color w:val="auto"/>
              </w:rPr>
              <w:t>380,347</w:t>
            </w: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633,912</w:t>
            </w:r>
          </w:p>
        </w:tc>
        <w:tc>
          <w:tcPr>
            <w:tcW w:w="760" w:type="dxa"/>
            <w:vAlign w:val="bottom"/>
          </w:tcPr>
          <w:p>
            <w:pPr>
              <w:jc w:val="right"/>
              <w:ind w:right="123"/>
              <w:spacing w:after="0"/>
              <w:rPr>
                <w:sz w:val="20"/>
                <w:szCs w:val="20"/>
                <w:color w:val="auto"/>
              </w:rPr>
            </w:pPr>
            <w:r>
              <w:rPr>
                <w:rFonts w:ascii="Arial" w:cs="Arial" w:eastAsia="Arial" w:hAnsi="Arial"/>
                <w:sz w:val="11"/>
                <w:szCs w:val="11"/>
                <w:color w:val="auto"/>
              </w:rPr>
              <w:t>1,267,824</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70" w:type="dxa"/>
            <w:vAlign w:val="bottom"/>
          </w:tcPr>
          <w:p>
            <w:pPr>
              <w:spacing w:after="0"/>
              <w:rPr>
                <w:sz w:val="16"/>
                <w:szCs w:val="16"/>
                <w:color w:val="auto"/>
              </w:rPr>
            </w:pPr>
          </w:p>
        </w:tc>
        <w:tc>
          <w:tcPr>
            <w:tcW w:w="93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13,379</w:t>
            </w:r>
          </w:p>
        </w:tc>
        <w:tc>
          <w:tcPr>
            <w:tcW w:w="7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rPr>
              <w:t>22,298</w:t>
            </w:r>
          </w:p>
        </w:tc>
        <w:tc>
          <w:tcPr>
            <w:tcW w:w="300" w:type="dxa"/>
            <w:vAlign w:val="bottom"/>
            <w:tcBorders>
              <w:top w:val="single" w:sz="8" w:color="auto"/>
              <w:bottom w:val="single" w:sz="8" w:color="auto"/>
            </w:tcBorders>
          </w:tcPr>
          <w:p>
            <w:pPr>
              <w:spacing w:after="0"/>
              <w:rPr>
                <w:sz w:val="11"/>
                <w:szCs w:val="11"/>
                <w:color w:val="auto"/>
              </w:rPr>
            </w:pPr>
          </w:p>
        </w:tc>
        <w:tc>
          <w:tcPr>
            <w:tcW w:w="57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1"/>
                <w:szCs w:val="11"/>
                <w:color w:val="auto"/>
              </w:rPr>
              <w:t>44,596</w:t>
            </w:r>
          </w:p>
        </w:tc>
        <w:tc>
          <w:tcPr>
            <w:tcW w:w="93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2,195,127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29,605</w:t>
            </w: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85.34</w:t>
            </w: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84.87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359,997</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John J. Morris, Jr.</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360" w:type="dxa"/>
            <w:vAlign w:val="bottom"/>
            <w:gridSpan w:val="2"/>
          </w:tcPr>
          <w:p>
            <w:pPr>
              <w:spacing w:after="0"/>
              <w:rPr>
                <w:sz w:val="20"/>
                <w:szCs w:val="20"/>
                <w:color w:val="auto"/>
              </w:rPr>
            </w:pPr>
            <w:r>
              <w:rPr>
                <w:rFonts w:ascii="Arial" w:cs="Arial" w:eastAsia="Arial" w:hAnsi="Arial"/>
                <w:sz w:val="11"/>
                <w:szCs w:val="11"/>
                <w:color w:val="auto"/>
              </w:rPr>
              <w:t>Annual Cash Incentive</w:t>
            </w:r>
          </w:p>
        </w:tc>
        <w:tc>
          <w:tcPr>
            <w:tcW w:w="1020" w:type="dxa"/>
            <w:vAlign w:val="bottom"/>
            <w:gridSpan w:val="2"/>
          </w:tcPr>
          <w:p>
            <w:pPr>
              <w:jc w:val="right"/>
              <w:ind w:right="124"/>
              <w:spacing w:after="0"/>
              <w:rPr>
                <w:sz w:val="20"/>
                <w:szCs w:val="20"/>
                <w:color w:val="auto"/>
              </w:rPr>
            </w:pPr>
            <w:r>
              <w:rPr>
                <w:rFonts w:ascii="Arial" w:cs="Arial" w:eastAsia="Arial" w:hAnsi="Arial"/>
                <w:sz w:val="11"/>
                <w:szCs w:val="11"/>
                <w:color w:val="auto"/>
              </w:rPr>
              <w:t>348,973</w:t>
            </w: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581,621</w:t>
            </w:r>
          </w:p>
        </w:tc>
        <w:tc>
          <w:tcPr>
            <w:tcW w:w="760" w:type="dxa"/>
            <w:vAlign w:val="bottom"/>
          </w:tcPr>
          <w:p>
            <w:pPr>
              <w:jc w:val="right"/>
              <w:ind w:right="123"/>
              <w:spacing w:after="0"/>
              <w:rPr>
                <w:sz w:val="20"/>
                <w:szCs w:val="20"/>
                <w:color w:val="auto"/>
              </w:rPr>
            </w:pPr>
            <w:r>
              <w:rPr>
                <w:rFonts w:ascii="Arial" w:cs="Arial" w:eastAsia="Arial" w:hAnsi="Arial"/>
                <w:sz w:val="11"/>
                <w:szCs w:val="11"/>
                <w:color w:val="auto"/>
              </w:rPr>
              <w:t>1,163,242</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70" w:type="dxa"/>
            <w:vAlign w:val="bottom"/>
          </w:tcPr>
          <w:p>
            <w:pPr>
              <w:spacing w:after="0"/>
              <w:rPr>
                <w:sz w:val="16"/>
                <w:szCs w:val="16"/>
                <w:color w:val="auto"/>
              </w:rPr>
            </w:pPr>
          </w:p>
        </w:tc>
        <w:tc>
          <w:tcPr>
            <w:tcW w:w="93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9,931</w:t>
            </w:r>
          </w:p>
        </w:tc>
        <w:tc>
          <w:tcPr>
            <w:tcW w:w="7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color w:val="auto"/>
              </w:rPr>
              <w:t>16,552</w:t>
            </w:r>
          </w:p>
        </w:tc>
        <w:tc>
          <w:tcPr>
            <w:tcW w:w="300" w:type="dxa"/>
            <w:vAlign w:val="bottom"/>
            <w:tcBorders>
              <w:top w:val="single" w:sz="8" w:color="auto"/>
              <w:bottom w:val="single" w:sz="8" w:color="auto"/>
            </w:tcBorders>
          </w:tcPr>
          <w:p>
            <w:pPr>
              <w:spacing w:after="0"/>
              <w:rPr>
                <w:sz w:val="11"/>
                <w:szCs w:val="11"/>
                <w:color w:val="auto"/>
              </w:rPr>
            </w:pPr>
          </w:p>
        </w:tc>
        <w:tc>
          <w:tcPr>
            <w:tcW w:w="57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1"/>
                <w:szCs w:val="11"/>
                <w:color w:val="auto"/>
              </w:rPr>
              <w:t>33,104</w:t>
            </w:r>
          </w:p>
        </w:tc>
        <w:tc>
          <w:tcPr>
            <w:tcW w:w="93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1,629,462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bottom w:val="single" w:sz="8" w:color="auto"/>
            </w:tcBorders>
          </w:tcPr>
          <w:p>
            <w:pPr>
              <w:jc w:val="right"/>
              <w:ind w:right="863"/>
              <w:spacing w:after="0"/>
              <w:rPr>
                <w:sz w:val="20"/>
                <w:szCs w:val="20"/>
                <w:color w:val="auto"/>
              </w:rPr>
            </w:pPr>
            <w:r>
              <w:rPr>
                <w:rFonts w:ascii="Arial" w:cs="Arial" w:eastAsia="Arial" w:hAnsi="Arial"/>
                <w:sz w:val="11"/>
                <w:szCs w:val="11"/>
                <w:color w:val="auto"/>
              </w:rPr>
              <w:t>2/20/18</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29,605</w:t>
            </w: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85.34</w:t>
            </w: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84.87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359,997</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1600" w:hanging="464"/>
        <w:spacing w:after="0" w:line="248" w:lineRule="auto"/>
        <w:tabs>
          <w:tab w:leader="none" w:pos="16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Actual payouts of cash incentive awards for 2018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requirements were met for each performance measure. The possible payouts for Ms. Rankin and Mr. Trevathan reflect that each received an increase in their target percentage of base salary effective February 2018. Please see "Compensation Discussion and Analysis — Named Executive's 2018 Compensation Program and Results — Annual Cash Incentive" for additional information about these awards, including performance criteria.</w:t>
      </w:r>
    </w:p>
    <w:p>
      <w:pPr>
        <w:spacing w:after="0" w:line="90" w:lineRule="exact"/>
        <w:rPr>
          <w:rFonts w:ascii="Arial" w:cs="Arial" w:eastAsia="Arial" w:hAnsi="Arial"/>
          <w:sz w:val="11"/>
          <w:szCs w:val="11"/>
          <w:color w:val="auto"/>
        </w:rPr>
      </w:pPr>
    </w:p>
    <w:p>
      <w:pPr>
        <w:jc w:val="both"/>
        <w:ind w:left="1600" w:hanging="464"/>
        <w:spacing w:after="0" w:line="251" w:lineRule="auto"/>
        <w:tabs>
          <w:tab w:leader="none" w:pos="16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Represents the number of shares of Common Stock potentially issuable based on the achievement of performance criteria under performance share unit awards granted under our 2014 Stock Incentive Plan. Please see "Compensation Discussion and Analysis — Named Executive's 2018 Compensation Program and Results — Long-Term Equity Incentives — Performance Share Units" for additional information about these awards, including performance criteria. The performance period for these awards ends December 31, 2020. PSUs earn dividend equivalents, which are paid out based on the number of shares earned at the end of the performance period.</w:t>
      </w:r>
    </w:p>
    <w:p>
      <w:pPr>
        <w:spacing w:after="0" w:line="88" w:lineRule="exact"/>
        <w:rPr>
          <w:rFonts w:ascii="Arial" w:cs="Arial" w:eastAsia="Arial" w:hAnsi="Arial"/>
          <w:sz w:val="11"/>
          <w:szCs w:val="11"/>
          <w:color w:val="auto"/>
        </w:rPr>
      </w:pPr>
    </w:p>
    <w:p>
      <w:pPr>
        <w:jc w:val="both"/>
        <w:ind w:left="1600" w:hanging="464"/>
        <w:spacing w:after="0" w:line="248" w:lineRule="auto"/>
        <w:tabs>
          <w:tab w:leader="none" w:pos="16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Represents the number of shares of Common Stock potentially issuable upon the exercise of options granted under our 2014 Stock Incentive Plan. Please see "Compensation Discussion and Analysis — Named Executive's 2018 Compensation Program and Results — Long-Term Equity Incentives — Stock Options" for additional information about these awards. The stock options will vest in 25% increments on the first two anniversaries of the date of grant and the remaining 50% will vest on the third anniversary. 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stock option awards are not included as "Equity Incentive Plan Awards" in the table above or the Outstanding Equity Awards as of December 31, 2018 table.</w:t>
      </w:r>
    </w:p>
    <w:p>
      <w:pPr>
        <w:spacing w:after="0" w:line="90" w:lineRule="exact"/>
        <w:rPr>
          <w:rFonts w:ascii="Arial" w:cs="Arial" w:eastAsia="Arial" w:hAnsi="Arial"/>
          <w:sz w:val="11"/>
          <w:szCs w:val="11"/>
          <w:color w:val="auto"/>
        </w:rPr>
      </w:pPr>
    </w:p>
    <w:p>
      <w:pPr>
        <w:ind w:left="1600" w:hanging="464"/>
        <w:spacing w:after="0"/>
        <w:tabs>
          <w:tab w:leader="none" w:pos="16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exercise price represents the average of the high and low market price on the date of the grant, in accordance with our 2014 Stock Incentive Plan.</w:t>
      </w:r>
    </w:p>
    <w:p>
      <w:pPr>
        <w:spacing w:after="0" w:line="113" w:lineRule="exact"/>
        <w:rPr>
          <w:rFonts w:ascii="Arial" w:cs="Arial" w:eastAsia="Arial" w:hAnsi="Arial"/>
          <w:sz w:val="11"/>
          <w:szCs w:val="11"/>
          <w:color w:val="auto"/>
        </w:rPr>
      </w:pPr>
    </w:p>
    <w:p>
      <w:pPr>
        <w:ind w:left="1600" w:hanging="464"/>
        <w:spacing w:after="0" w:line="275" w:lineRule="auto"/>
        <w:tabs>
          <w:tab w:leader="none" w:pos="160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These amounts are grant date fair values of the awards as calculated under ASC Topic 718 and as further described in Note 14 in the Notes to the Consolidated Financial Statements in our 2018 Annual Report on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Outstanding Equity Awards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130175</wp:posOffset>
            </wp:positionV>
            <wp:extent cx="4862195" cy="13442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62195" cy="1344295"/>
                    </a:xfrm>
                    <a:prstGeom prst="rect">
                      <a:avLst/>
                    </a:prstGeom>
                    <a:noFill/>
                  </pic:spPr>
                </pic:pic>
              </a:graphicData>
            </a:graphic>
          </wp:anchor>
        </w:drawing>
      </w:r>
    </w:p>
    <w:p>
      <w:pPr>
        <w:spacing w:after="0" w:line="150" w:lineRule="exact"/>
        <w:rPr>
          <w:sz w:val="20"/>
          <w:szCs w:val="20"/>
          <w:color w:val="auto"/>
        </w:rPr>
      </w:pPr>
    </w:p>
    <w:tbl>
      <w:tblPr>
        <w:tblLayout w:type="fixed"/>
        <w:tblInd w:w="1180" w:type="dxa"/>
        <w:tblCellMar>
          <w:top w:w="0" w:type="dxa"/>
          <w:left w:w="0" w:type="dxa"/>
          <w:bottom w:w="0" w:type="dxa"/>
          <w:right w:w="0" w:type="dxa"/>
        </w:tblCellMar>
      </w:tblPr>
      <w:tr>
        <w:trPr>
          <w:trHeight w:val="218"/>
        </w:trPr>
        <w:tc>
          <w:tcPr>
            <w:tcW w:w="170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Option Awards</w:t>
            </w:r>
          </w:p>
        </w:tc>
        <w:tc>
          <w:tcPr>
            <w:tcW w:w="68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920" w:type="dxa"/>
            <w:vAlign w:val="bottom"/>
            <w:shd w:val="clear" w:color="auto" w:fill="E7E7E8"/>
          </w:tcPr>
          <w:p>
            <w:pPr>
              <w:spacing w:after="0"/>
              <w:rPr>
                <w:sz w:val="18"/>
                <w:szCs w:val="18"/>
                <w:color w:val="auto"/>
              </w:rPr>
            </w:pPr>
          </w:p>
        </w:tc>
        <w:tc>
          <w:tcPr>
            <w:tcW w:w="1820" w:type="dxa"/>
            <w:vAlign w:val="bottom"/>
            <w:gridSpan w:val="2"/>
            <w:shd w:val="clear" w:color="auto" w:fill="E7E7E8"/>
          </w:tcPr>
          <w:p>
            <w:pPr>
              <w:jc w:val="right"/>
              <w:ind w:right="483"/>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19"/>
                <w:szCs w:val="19"/>
                <w:b w:val="1"/>
                <w:bCs w:val="1"/>
                <w:color w:val="auto"/>
                <w:vertAlign w:val="superscript"/>
              </w:rPr>
              <w:t>(1)</w:t>
            </w:r>
          </w:p>
        </w:tc>
        <w:tc>
          <w:tcPr>
            <w:tcW w:w="820" w:type="dxa"/>
            <w:vAlign w:val="bottom"/>
            <w:shd w:val="clear" w:color="auto" w:fill="E7E7E8"/>
          </w:tcPr>
          <w:p>
            <w:pPr>
              <w:spacing w:after="0"/>
              <w:rPr>
                <w:sz w:val="18"/>
                <w:szCs w:val="18"/>
                <w:color w:val="auto"/>
              </w:rPr>
            </w:pPr>
          </w:p>
        </w:tc>
      </w:tr>
      <w:tr>
        <w:trPr>
          <w:trHeight w:val="140"/>
        </w:trPr>
        <w:tc>
          <w:tcPr>
            <w:tcW w:w="170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c>
          <w:tcPr>
            <w:tcW w:w="1220" w:type="dxa"/>
            <w:vAlign w:val="bottom"/>
            <w:shd w:val="clear" w:color="auto" w:fill="E7E7E8"/>
          </w:tcPr>
          <w:p>
            <w:pPr>
              <w:spacing w:after="0"/>
              <w:rPr>
                <w:sz w:val="12"/>
                <w:szCs w:val="12"/>
                <w:color w:val="auto"/>
              </w:rPr>
            </w:pPr>
          </w:p>
        </w:tc>
        <w:tc>
          <w:tcPr>
            <w:tcW w:w="680" w:type="dxa"/>
            <w:vAlign w:val="bottom"/>
            <w:shd w:val="clear" w:color="auto" w:fill="E7E7E8"/>
          </w:tcPr>
          <w:p>
            <w:pPr>
              <w:spacing w:after="0"/>
              <w:rPr>
                <w:sz w:val="12"/>
                <w:szCs w:val="12"/>
                <w:color w:val="auto"/>
              </w:rPr>
            </w:pPr>
          </w:p>
        </w:tc>
        <w:tc>
          <w:tcPr>
            <w:tcW w:w="960" w:type="dxa"/>
            <w:vAlign w:val="bottom"/>
            <w:shd w:val="clear" w:color="auto" w:fill="E7E7E8"/>
          </w:tcPr>
          <w:p>
            <w:pPr>
              <w:spacing w:after="0"/>
              <w:rPr>
                <w:sz w:val="12"/>
                <w:szCs w:val="12"/>
                <w:color w:val="auto"/>
              </w:rPr>
            </w:pPr>
          </w:p>
        </w:tc>
        <w:tc>
          <w:tcPr>
            <w:tcW w:w="92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1000" w:type="dxa"/>
            <w:vAlign w:val="bottom"/>
            <w:shd w:val="clear" w:color="auto" w:fill="E7E7E8"/>
          </w:tcPr>
          <w:p>
            <w:pPr>
              <w:spacing w:after="0"/>
              <w:rPr>
                <w:sz w:val="12"/>
                <w:szCs w:val="12"/>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i w:val="1"/>
                <w:iCs w:val="1"/>
                <w:color w:val="auto"/>
              </w:rPr>
              <w:t>Equity</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spacing w:after="0"/>
              <w:rPr>
                <w:sz w:val="10"/>
                <w:szCs w:val="10"/>
                <w:color w:val="auto"/>
              </w:rPr>
            </w:pPr>
          </w:p>
        </w:tc>
        <w:tc>
          <w:tcPr>
            <w:tcW w:w="820" w:type="dxa"/>
            <w:vAlign w:val="bottom"/>
            <w:shd w:val="clear" w:color="auto" w:fill="E7E7E8"/>
          </w:tcPr>
          <w:p>
            <w:pPr>
              <w:spacing w:after="0"/>
              <w:rPr>
                <w:sz w:val="10"/>
                <w:szCs w:val="10"/>
                <w:color w:val="auto"/>
              </w:rPr>
            </w:pP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i w:val="1"/>
                <w:iCs w:val="1"/>
                <w:color w:val="auto"/>
              </w:rPr>
              <w:t>Equity</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i w:val="1"/>
                <w:iCs w:val="1"/>
                <w:color w:val="auto"/>
              </w:rPr>
              <w:t>Incentive</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spacing w:after="0"/>
              <w:rPr>
                <w:sz w:val="10"/>
                <w:szCs w:val="10"/>
                <w:color w:val="auto"/>
              </w:rPr>
            </w:pPr>
          </w:p>
        </w:tc>
        <w:tc>
          <w:tcPr>
            <w:tcW w:w="820" w:type="dxa"/>
            <w:vAlign w:val="bottom"/>
            <w:shd w:val="clear" w:color="auto" w:fill="E7E7E8"/>
          </w:tcPr>
          <w:p>
            <w:pPr>
              <w:spacing w:after="0"/>
              <w:rPr>
                <w:sz w:val="10"/>
                <w:szCs w:val="10"/>
                <w:color w:val="auto"/>
              </w:rPr>
            </w:pP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i w:val="1"/>
                <w:iCs w:val="1"/>
                <w:color w:val="auto"/>
              </w:rPr>
              <w:t>Incentive</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i w:val="1"/>
                <w:iCs w:val="1"/>
                <w:color w:val="auto"/>
              </w:rPr>
              <w:t>Plan</w:t>
            </w:r>
          </w:p>
        </w:tc>
      </w:tr>
      <w:tr>
        <w:trPr>
          <w:trHeight w:val="124"/>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spacing w:after="0"/>
              <w:rPr>
                <w:sz w:val="10"/>
                <w:szCs w:val="10"/>
                <w:color w:val="auto"/>
              </w:rPr>
            </w:pPr>
          </w:p>
        </w:tc>
        <w:tc>
          <w:tcPr>
            <w:tcW w:w="820" w:type="dxa"/>
            <w:vAlign w:val="bottom"/>
            <w:shd w:val="clear" w:color="auto" w:fill="E7E7E8"/>
          </w:tcPr>
          <w:p>
            <w:pPr>
              <w:spacing w:after="0"/>
              <w:rPr>
                <w:sz w:val="10"/>
                <w:szCs w:val="10"/>
                <w:color w:val="auto"/>
              </w:rPr>
            </w:pPr>
          </w:p>
        </w:tc>
        <w:tc>
          <w:tcPr>
            <w:tcW w:w="1000" w:type="dxa"/>
            <w:vAlign w:val="bottom"/>
            <w:shd w:val="clear" w:color="auto" w:fill="E7E7E8"/>
          </w:tcPr>
          <w:p>
            <w:pPr>
              <w:jc w:val="right"/>
              <w:ind w:right="183"/>
              <w:spacing w:after="0" w:line="124" w:lineRule="exact"/>
              <w:rPr>
                <w:sz w:val="20"/>
                <w:szCs w:val="20"/>
                <w:color w:val="auto"/>
              </w:rPr>
            </w:pPr>
            <w:r>
              <w:rPr>
                <w:rFonts w:ascii="Arial" w:cs="Arial" w:eastAsia="Arial" w:hAnsi="Arial"/>
                <w:sz w:val="11"/>
                <w:szCs w:val="11"/>
                <w:i w:val="1"/>
                <w:iCs w:val="1"/>
                <w:color w:val="auto"/>
              </w:rPr>
              <w:t>Plan</w:t>
            </w:r>
          </w:p>
        </w:tc>
        <w:tc>
          <w:tcPr>
            <w:tcW w:w="820" w:type="dxa"/>
            <w:vAlign w:val="bottom"/>
            <w:shd w:val="clear" w:color="auto" w:fill="E7E7E8"/>
          </w:tcPr>
          <w:p>
            <w:pPr>
              <w:jc w:val="right"/>
              <w:spacing w:after="0" w:line="124" w:lineRule="exact"/>
              <w:rPr>
                <w:sz w:val="20"/>
                <w:szCs w:val="20"/>
                <w:color w:val="auto"/>
              </w:rPr>
            </w:pPr>
            <w:r>
              <w:rPr>
                <w:rFonts w:ascii="Arial" w:cs="Arial" w:eastAsia="Arial" w:hAnsi="Arial"/>
                <w:sz w:val="11"/>
                <w:szCs w:val="11"/>
                <w:i w:val="1"/>
                <w:iCs w:val="1"/>
                <w:color w:val="auto"/>
              </w:rPr>
              <w:t>Awards:</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spacing w:after="0"/>
              <w:rPr>
                <w:sz w:val="10"/>
                <w:szCs w:val="10"/>
                <w:color w:val="auto"/>
              </w:rPr>
            </w:pPr>
          </w:p>
        </w:tc>
        <w:tc>
          <w:tcPr>
            <w:tcW w:w="820" w:type="dxa"/>
            <w:vAlign w:val="bottom"/>
            <w:shd w:val="clear" w:color="auto" w:fill="E7E7E8"/>
          </w:tcPr>
          <w:p>
            <w:pPr>
              <w:spacing w:after="0"/>
              <w:rPr>
                <w:sz w:val="10"/>
                <w:szCs w:val="10"/>
                <w:color w:val="auto"/>
              </w:rPr>
            </w:pP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i w:val="1"/>
                <w:iCs w:val="1"/>
                <w:color w:val="auto"/>
              </w:rPr>
              <w:t>Awards:</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Market or</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spacing w:after="0"/>
              <w:rPr>
                <w:sz w:val="10"/>
                <w:szCs w:val="10"/>
                <w:color w:val="auto"/>
              </w:rPr>
            </w:pPr>
          </w:p>
        </w:tc>
        <w:tc>
          <w:tcPr>
            <w:tcW w:w="820" w:type="dxa"/>
            <w:vAlign w:val="bottom"/>
            <w:shd w:val="clear" w:color="auto" w:fill="E7E7E8"/>
          </w:tcPr>
          <w:p>
            <w:pPr>
              <w:spacing w:after="0"/>
              <w:rPr>
                <w:sz w:val="10"/>
                <w:szCs w:val="10"/>
                <w:color w:val="auto"/>
              </w:rPr>
            </w:pP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Number of</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Payout</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spacing w:after="0"/>
              <w:rPr>
                <w:sz w:val="10"/>
                <w:szCs w:val="10"/>
                <w:color w:val="auto"/>
              </w:rPr>
            </w:pPr>
          </w:p>
        </w:tc>
        <w:tc>
          <w:tcPr>
            <w:tcW w:w="82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Market</w:t>
            </w: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Unearned</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Value of</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Number of</w:t>
            </w:r>
          </w:p>
        </w:tc>
        <w:tc>
          <w:tcPr>
            <w:tcW w:w="82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Value of</w:t>
            </w: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Shares,</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Unearned</w:t>
            </w:r>
          </w:p>
        </w:tc>
      </w:tr>
      <w:tr>
        <w:trPr>
          <w:trHeight w:val="137"/>
        </w:trPr>
        <w:tc>
          <w:tcPr>
            <w:tcW w:w="1700" w:type="dxa"/>
            <w:vAlign w:val="bottom"/>
            <w:shd w:val="clear" w:color="auto" w:fill="E7E7E8"/>
          </w:tcPr>
          <w:p>
            <w:pPr>
              <w:spacing w:after="0"/>
              <w:rPr>
                <w:sz w:val="11"/>
                <w:szCs w:val="11"/>
                <w:color w:val="auto"/>
              </w:rPr>
            </w:pPr>
          </w:p>
        </w:tc>
        <w:tc>
          <w:tcPr>
            <w:tcW w:w="11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Number of</w:t>
            </w:r>
          </w:p>
        </w:tc>
        <w:tc>
          <w:tcPr>
            <w:tcW w:w="1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Number of</w:t>
            </w:r>
          </w:p>
        </w:tc>
        <w:tc>
          <w:tcPr>
            <w:tcW w:w="680" w:type="dxa"/>
            <w:vAlign w:val="bottom"/>
            <w:shd w:val="clear" w:color="auto" w:fill="E7E7E8"/>
          </w:tcPr>
          <w:p>
            <w:pPr>
              <w:spacing w:after="0"/>
              <w:rPr>
                <w:sz w:val="11"/>
                <w:szCs w:val="11"/>
                <w:color w:val="auto"/>
              </w:rPr>
            </w:pPr>
          </w:p>
        </w:tc>
        <w:tc>
          <w:tcPr>
            <w:tcW w:w="960" w:type="dxa"/>
            <w:vAlign w:val="bottom"/>
            <w:shd w:val="clear" w:color="auto" w:fill="E7E7E8"/>
          </w:tcPr>
          <w:p>
            <w:pPr>
              <w:spacing w:after="0"/>
              <w:rPr>
                <w:sz w:val="11"/>
                <w:szCs w:val="11"/>
                <w:color w:val="auto"/>
              </w:rPr>
            </w:pPr>
          </w:p>
        </w:tc>
        <w:tc>
          <w:tcPr>
            <w:tcW w:w="9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Shares or</w:t>
            </w:r>
          </w:p>
        </w:tc>
        <w:tc>
          <w:tcPr>
            <w:tcW w:w="82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Shares or</w:t>
            </w: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Units or</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Shares,</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Securities</w:t>
            </w:r>
          </w:p>
        </w:tc>
        <w:tc>
          <w:tcPr>
            <w:tcW w:w="1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Securities</w:t>
            </w: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Units of</w:t>
            </w:r>
          </w:p>
        </w:tc>
        <w:tc>
          <w:tcPr>
            <w:tcW w:w="82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Units of</w:t>
            </w: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Other</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Units or</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Underlying</w:t>
            </w:r>
          </w:p>
        </w:tc>
        <w:tc>
          <w:tcPr>
            <w:tcW w:w="1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Underlying</w:t>
            </w:r>
          </w:p>
        </w:tc>
        <w:tc>
          <w:tcPr>
            <w:tcW w:w="680" w:type="dxa"/>
            <w:vAlign w:val="bottom"/>
            <w:shd w:val="clear" w:color="auto" w:fill="E7E7E8"/>
          </w:tcPr>
          <w:p>
            <w:pPr>
              <w:spacing w:after="0"/>
              <w:rPr>
                <w:sz w:val="10"/>
                <w:szCs w:val="10"/>
                <w:color w:val="auto"/>
              </w:rPr>
            </w:pP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Stock</w:t>
            </w:r>
          </w:p>
        </w:tc>
        <w:tc>
          <w:tcPr>
            <w:tcW w:w="82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Stock</w:t>
            </w: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Rights</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Other</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Unexercised</w:t>
            </w:r>
          </w:p>
        </w:tc>
        <w:tc>
          <w:tcPr>
            <w:tcW w:w="1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Unexercised</w:t>
            </w:r>
          </w:p>
        </w:tc>
        <w:tc>
          <w:tcPr>
            <w:tcW w:w="68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Option</w:t>
            </w:r>
          </w:p>
        </w:tc>
        <w:tc>
          <w:tcPr>
            <w:tcW w:w="960" w:type="dxa"/>
            <w:vAlign w:val="bottom"/>
            <w:shd w:val="clear" w:color="auto" w:fill="E7E7E8"/>
          </w:tcPr>
          <w:p>
            <w:pPr>
              <w:spacing w:after="0"/>
              <w:rPr>
                <w:sz w:val="10"/>
                <w:szCs w:val="10"/>
                <w:color w:val="auto"/>
              </w:rPr>
            </w:pPr>
          </w:p>
        </w:tc>
        <w:tc>
          <w:tcPr>
            <w:tcW w:w="9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That Have</w:t>
            </w:r>
          </w:p>
        </w:tc>
        <w:tc>
          <w:tcPr>
            <w:tcW w:w="82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that</w:t>
            </w: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That Have</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Rights</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Options</w:t>
            </w:r>
          </w:p>
        </w:tc>
        <w:tc>
          <w:tcPr>
            <w:tcW w:w="1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Options</w:t>
            </w:r>
          </w:p>
        </w:tc>
        <w:tc>
          <w:tcPr>
            <w:tcW w:w="68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w w:val="92"/>
              </w:rPr>
              <w:t>Exercise</w:t>
            </w:r>
          </w:p>
        </w:tc>
        <w:tc>
          <w:tcPr>
            <w:tcW w:w="96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Option</w:t>
            </w:r>
          </w:p>
        </w:tc>
        <w:tc>
          <w:tcPr>
            <w:tcW w:w="9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Not</w:t>
            </w:r>
          </w:p>
        </w:tc>
        <w:tc>
          <w:tcPr>
            <w:tcW w:w="82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Have Not</w:t>
            </w: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Not</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That</w:t>
            </w:r>
          </w:p>
        </w:tc>
      </w:tr>
      <w:tr>
        <w:trPr>
          <w:trHeight w:val="126"/>
        </w:trPr>
        <w:tc>
          <w:tcPr>
            <w:tcW w:w="1700" w:type="dxa"/>
            <w:vAlign w:val="bottom"/>
            <w:shd w:val="clear" w:color="auto" w:fill="E7E7E8"/>
          </w:tcPr>
          <w:p>
            <w:pPr>
              <w:spacing w:after="0"/>
              <w:rPr>
                <w:sz w:val="10"/>
                <w:szCs w:val="10"/>
                <w:color w:val="auto"/>
              </w:rPr>
            </w:pPr>
          </w:p>
        </w:tc>
        <w:tc>
          <w:tcPr>
            <w:tcW w:w="11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Exercisable</w:t>
            </w:r>
          </w:p>
        </w:tc>
        <w:tc>
          <w:tcPr>
            <w:tcW w:w="1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Unexercisable</w:t>
            </w:r>
          </w:p>
        </w:tc>
        <w:tc>
          <w:tcPr>
            <w:tcW w:w="68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Price</w:t>
            </w:r>
          </w:p>
        </w:tc>
        <w:tc>
          <w:tcPr>
            <w:tcW w:w="96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Expiration</w:t>
            </w:r>
          </w:p>
        </w:tc>
        <w:tc>
          <w:tcPr>
            <w:tcW w:w="920" w:type="dxa"/>
            <w:vAlign w:val="bottom"/>
            <w:shd w:val="clear" w:color="auto" w:fill="E7E7E8"/>
          </w:tcPr>
          <w:p>
            <w:pPr>
              <w:jc w:val="right"/>
              <w:ind w:right="83"/>
              <w:spacing w:after="0"/>
              <w:rPr>
                <w:sz w:val="20"/>
                <w:szCs w:val="20"/>
                <w:color w:val="auto"/>
              </w:rPr>
            </w:pPr>
            <w:r>
              <w:rPr>
                <w:rFonts w:ascii="Arial" w:cs="Arial" w:eastAsia="Arial" w:hAnsi="Arial"/>
                <w:sz w:val="11"/>
                <w:szCs w:val="11"/>
                <w:b w:val="1"/>
                <w:bCs w:val="1"/>
                <w:color w:val="auto"/>
              </w:rPr>
              <w:t>Vested</w:t>
            </w:r>
          </w:p>
        </w:tc>
        <w:tc>
          <w:tcPr>
            <w:tcW w:w="82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Vested</w:t>
            </w:r>
          </w:p>
        </w:tc>
        <w:tc>
          <w:tcPr>
            <w:tcW w:w="100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Vested</w:t>
            </w:r>
          </w:p>
        </w:tc>
        <w:tc>
          <w:tcPr>
            <w:tcW w:w="82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Have Not</w:t>
            </w:r>
          </w:p>
        </w:tc>
      </w:tr>
      <w:tr>
        <w:trPr>
          <w:trHeight w:val="149"/>
        </w:trPr>
        <w:tc>
          <w:tcPr>
            <w:tcW w:w="1700" w:type="dxa"/>
            <w:vAlign w:val="bottom"/>
            <w:shd w:val="clear" w:color="auto" w:fill="E7E7E8"/>
          </w:tcPr>
          <w:p>
            <w:pPr>
              <w:spacing w:after="0"/>
              <w:rPr>
                <w:sz w:val="20"/>
                <w:szCs w:val="20"/>
                <w:color w:val="auto"/>
              </w:rPr>
            </w:pPr>
            <w:r>
              <w:rPr>
                <w:rFonts w:ascii="Arial" w:cs="Arial" w:eastAsia="Arial" w:hAnsi="Arial"/>
                <w:sz w:val="11"/>
                <w:szCs w:val="11"/>
                <w:b w:val="1"/>
                <w:bCs w:val="1"/>
                <w:color w:val="auto"/>
              </w:rPr>
              <w:t>Name</w:t>
            </w:r>
          </w:p>
        </w:tc>
        <w:tc>
          <w:tcPr>
            <w:tcW w:w="1100" w:type="dxa"/>
            <w:vAlign w:val="bottom"/>
            <w:shd w:val="clear" w:color="auto" w:fill="E7E7E8"/>
          </w:tcPr>
          <w:p>
            <w:pPr>
              <w:jc w:val="right"/>
              <w:ind w:right="183"/>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(2)</w:t>
            </w:r>
          </w:p>
        </w:tc>
        <w:tc>
          <w:tcPr>
            <w:tcW w:w="122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E7E7E8"/>
          </w:tcPr>
          <w:p>
            <w:pPr>
              <w:jc w:val="right"/>
              <w:ind w:right="1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7E7E8"/>
          </w:tcPr>
          <w:p>
            <w:pPr>
              <w:jc w:val="right"/>
              <w:ind w:right="163"/>
              <w:spacing w:after="0"/>
              <w:rPr>
                <w:sz w:val="20"/>
                <w:szCs w:val="20"/>
                <w:color w:val="auto"/>
              </w:rPr>
            </w:pPr>
            <w:r>
              <w:rPr>
                <w:rFonts w:ascii="Arial" w:cs="Arial" w:eastAsia="Arial" w:hAnsi="Arial"/>
                <w:sz w:val="11"/>
                <w:szCs w:val="11"/>
                <w:b w:val="1"/>
                <w:bCs w:val="1"/>
                <w:color w:val="auto"/>
              </w:rPr>
              <w:t>Date</w:t>
            </w:r>
          </w:p>
        </w:tc>
        <w:tc>
          <w:tcPr>
            <w:tcW w:w="920" w:type="dxa"/>
            <w:vAlign w:val="bottom"/>
            <w:shd w:val="clear" w:color="auto" w:fill="E7E7E8"/>
          </w:tcPr>
          <w:p>
            <w:pPr>
              <w:jc w:val="right"/>
              <w:ind w:right="83"/>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(6)</w:t>
            </w:r>
          </w:p>
        </w:tc>
        <w:tc>
          <w:tcPr>
            <w:tcW w:w="820" w:type="dxa"/>
            <w:vAlign w:val="bottom"/>
            <w:shd w:val="clear" w:color="auto" w:fill="E7E7E8"/>
          </w:tcPr>
          <w:p>
            <w:pPr>
              <w:jc w:val="right"/>
              <w:ind w:right="163"/>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(6)</w:t>
            </w:r>
          </w:p>
        </w:tc>
        <w:tc>
          <w:tcPr>
            <w:tcW w:w="1000" w:type="dxa"/>
            <w:vAlign w:val="bottom"/>
            <w:shd w:val="clear" w:color="auto" w:fill="E7E7E8"/>
          </w:tcPr>
          <w:p>
            <w:pPr>
              <w:jc w:val="right"/>
              <w:ind w:right="183"/>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(7)</w:t>
            </w:r>
          </w:p>
        </w:tc>
        <w:tc>
          <w:tcPr>
            <w:tcW w:w="820" w:type="dxa"/>
            <w:vAlign w:val="bottom"/>
            <w:shd w:val="clear" w:color="auto" w:fill="E7E7E8"/>
          </w:tcPr>
          <w:p>
            <w:pPr>
              <w:jc w:val="right"/>
              <w:spacing w:after="0" w:line="149" w:lineRule="exact"/>
              <w:rPr>
                <w:sz w:val="20"/>
                <w:szCs w:val="20"/>
                <w:color w:val="auto"/>
              </w:rPr>
            </w:pPr>
            <w:r>
              <w:rPr>
                <w:rFonts w:ascii="Arial" w:cs="Arial" w:eastAsia="Arial" w:hAnsi="Arial"/>
                <w:sz w:val="10"/>
                <w:szCs w:val="10"/>
                <w:b w:val="1"/>
                <w:bCs w:val="1"/>
                <w:color w:val="auto"/>
              </w:rPr>
              <w:t>Vested ($)</w:t>
            </w:r>
            <w:r>
              <w:rPr>
                <w:rFonts w:ascii="Arial" w:cs="Arial" w:eastAsia="Arial" w:hAnsi="Arial"/>
                <w:sz w:val="17"/>
                <w:szCs w:val="17"/>
                <w:b w:val="1"/>
                <w:bCs w:val="1"/>
                <w:color w:val="auto"/>
                <w:vertAlign w:val="superscript"/>
              </w:rPr>
              <w:t>(7)</w:t>
            </w:r>
          </w:p>
        </w:tc>
      </w:tr>
      <w:tr>
        <w:trPr>
          <w:trHeight w:val="129"/>
        </w:trPr>
        <w:tc>
          <w:tcPr>
            <w:tcW w:w="1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James C. Fish, Jr.</w:t>
            </w: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98,684</w:t>
            </w:r>
            <w:r>
              <w:rPr>
                <w:rFonts w:ascii="Arial" w:cs="Arial" w:eastAsia="Arial" w:hAnsi="Arial"/>
                <w:sz w:val="19"/>
                <w:szCs w:val="19"/>
                <w:color w:val="auto"/>
                <w:vertAlign w:val="superscript"/>
              </w:rPr>
              <w:t>(3)</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85.34</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2/20/2028</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5,208</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463,460</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111,510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19,846,550</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97,151</w:t>
            </w:r>
            <w:r>
              <w:rPr>
                <w:rFonts w:ascii="Arial" w:cs="Arial" w:eastAsia="Arial" w:hAnsi="Arial"/>
                <w:sz w:val="19"/>
                <w:szCs w:val="19"/>
                <w:color w:val="auto"/>
                <w:vertAlign w:val="superscript"/>
              </w:rPr>
              <w:t>(4)</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73.335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2/28/2027</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27,259</w:t>
            </w:r>
            <w:r>
              <w:rPr>
                <w:rFonts w:ascii="Arial" w:cs="Arial" w:eastAsia="Arial" w:hAnsi="Arial"/>
                <w:sz w:val="19"/>
                <w:szCs w:val="19"/>
                <w:color w:val="auto"/>
                <w:vertAlign w:val="superscript"/>
              </w:rPr>
              <w:t>(5)</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56.235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2/26/2026</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29"/>
        </w:trPr>
        <w:tc>
          <w:tcPr>
            <w:tcW w:w="1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Devina A. Rankin</w:t>
            </w: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27,961</w:t>
            </w:r>
            <w:r>
              <w:rPr>
                <w:rFonts w:ascii="Arial" w:cs="Arial" w:eastAsia="Arial" w:hAnsi="Arial"/>
                <w:sz w:val="19"/>
                <w:szCs w:val="19"/>
                <w:color w:val="auto"/>
                <w:vertAlign w:val="superscript"/>
              </w:rPr>
              <w:t>(3)</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85.34</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2/20/2028</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759</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67,543</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26,900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4,787,662</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6,476</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19,431</w:t>
            </w:r>
            <w:r>
              <w:rPr>
                <w:rFonts w:ascii="Arial" w:cs="Arial" w:eastAsia="Arial" w:hAnsi="Arial"/>
                <w:sz w:val="19"/>
                <w:szCs w:val="19"/>
                <w:color w:val="auto"/>
                <w:vertAlign w:val="superscript"/>
              </w:rPr>
              <w:t>(4)</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73.335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2/28/2027</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3,193</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3,193</w:t>
            </w:r>
            <w:r>
              <w:rPr>
                <w:rFonts w:ascii="Arial" w:cs="Arial" w:eastAsia="Arial" w:hAnsi="Arial"/>
                <w:sz w:val="19"/>
                <w:szCs w:val="19"/>
                <w:color w:val="auto"/>
                <w:vertAlign w:val="superscript"/>
              </w:rPr>
              <w:t>(5)</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56.235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2/26/2026</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29"/>
        </w:trPr>
        <w:tc>
          <w:tcPr>
            <w:tcW w:w="1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James E. Trevathan, Jr.</w:t>
            </w: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36,513</w:t>
            </w:r>
            <w:r>
              <w:rPr>
                <w:rFonts w:ascii="Arial" w:cs="Arial" w:eastAsia="Arial" w:hAnsi="Arial"/>
                <w:sz w:val="19"/>
                <w:szCs w:val="19"/>
                <w:color w:val="auto"/>
                <w:vertAlign w:val="superscript"/>
              </w:rPr>
              <w:t>(3)</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85.34</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2/20/2028</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44,640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7,945,027</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13,924</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41,775</w:t>
            </w:r>
            <w:r>
              <w:rPr>
                <w:rFonts w:ascii="Arial" w:cs="Arial" w:eastAsia="Arial" w:hAnsi="Arial"/>
                <w:sz w:val="19"/>
                <w:szCs w:val="19"/>
                <w:color w:val="auto"/>
                <w:vertAlign w:val="superscript"/>
              </w:rPr>
              <w:t>(4)</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73.335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2/28/2027</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27,258</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27,259</w:t>
            </w:r>
            <w:r>
              <w:rPr>
                <w:rFonts w:ascii="Arial" w:cs="Arial" w:eastAsia="Arial" w:hAnsi="Arial"/>
                <w:sz w:val="19"/>
                <w:szCs w:val="19"/>
                <w:color w:val="auto"/>
                <w:vertAlign w:val="superscript"/>
              </w:rPr>
              <w:t>(5)</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56.235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2/26/2026</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60,420</w:t>
            </w:r>
          </w:p>
        </w:tc>
        <w:tc>
          <w:tcPr>
            <w:tcW w:w="122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54.635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2/25/2025</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33,708</w:t>
            </w:r>
          </w:p>
        </w:tc>
        <w:tc>
          <w:tcPr>
            <w:tcW w:w="122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41.37</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3/7/2024</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29"/>
        </w:trPr>
        <w:tc>
          <w:tcPr>
            <w:tcW w:w="1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Jeff M. Harris</w:t>
            </w: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29,605</w:t>
            </w:r>
            <w:r>
              <w:rPr>
                <w:rFonts w:ascii="Arial" w:cs="Arial" w:eastAsia="Arial" w:hAnsi="Arial"/>
                <w:sz w:val="19"/>
                <w:szCs w:val="19"/>
                <w:color w:val="auto"/>
                <w:vertAlign w:val="superscript"/>
              </w:rPr>
              <w:t>(3)</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85.34</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2/20/2028</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39,200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6,976,816</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29,145</w:t>
            </w:r>
            <w:r>
              <w:rPr>
                <w:rFonts w:ascii="Arial" w:cs="Arial" w:eastAsia="Arial" w:hAnsi="Arial"/>
                <w:sz w:val="19"/>
                <w:szCs w:val="19"/>
                <w:color w:val="auto"/>
                <w:vertAlign w:val="superscript"/>
              </w:rPr>
              <w:t>(4)</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73.335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2/28/2027</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23,365</w:t>
            </w:r>
            <w:r>
              <w:rPr>
                <w:rFonts w:ascii="Arial" w:cs="Arial" w:eastAsia="Arial" w:hAnsi="Arial"/>
                <w:sz w:val="19"/>
                <w:szCs w:val="19"/>
                <w:color w:val="auto"/>
                <w:vertAlign w:val="superscript"/>
              </w:rPr>
              <w:t>(5)</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56.235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2/26/2026</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29"/>
        </w:trPr>
        <w:tc>
          <w:tcPr>
            <w:tcW w:w="1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John J. Morris, Jr.</w:t>
            </w: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29,605</w:t>
            </w:r>
            <w:r>
              <w:rPr>
                <w:rFonts w:ascii="Arial" w:cs="Arial" w:eastAsia="Arial" w:hAnsi="Arial"/>
                <w:sz w:val="19"/>
                <w:szCs w:val="19"/>
                <w:color w:val="auto"/>
                <w:vertAlign w:val="superscript"/>
              </w:rPr>
              <w:t>(3)</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85.34</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2/20/2028</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33,454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5,954,143</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9,715</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29,145</w:t>
            </w:r>
            <w:r>
              <w:rPr>
                <w:rFonts w:ascii="Arial" w:cs="Arial" w:eastAsia="Arial" w:hAnsi="Arial"/>
                <w:sz w:val="19"/>
                <w:szCs w:val="19"/>
                <w:color w:val="auto"/>
                <w:vertAlign w:val="superscript"/>
              </w:rPr>
              <w:t>(4)</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73.335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2/28/2027</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86"/>
        </w:trPr>
        <w:tc>
          <w:tcPr>
            <w:tcW w:w="1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1"/>
                <w:szCs w:val="11"/>
                <w:color w:val="auto"/>
              </w:rPr>
              <w:t>23,365</w:t>
            </w:r>
            <w:r>
              <w:rPr>
                <w:rFonts w:ascii="Arial" w:cs="Arial" w:eastAsia="Arial" w:hAnsi="Arial"/>
                <w:sz w:val="19"/>
                <w:szCs w:val="19"/>
                <w:color w:val="auto"/>
                <w:vertAlign w:val="superscript"/>
              </w:rPr>
              <w:t>(5)</w:t>
            </w: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56.235</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2/26/2026</w:t>
            </w: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bl>
    <w:p>
      <w:pPr>
        <w:spacing w:after="0" w:line="163" w:lineRule="exact"/>
        <w:rPr>
          <w:sz w:val="20"/>
          <w:szCs w:val="20"/>
          <w:color w:val="auto"/>
        </w:rPr>
      </w:pPr>
    </w:p>
    <w:p>
      <w:pPr>
        <w:ind w:left="1600" w:hanging="464"/>
        <w:spacing w:after="0"/>
        <w:tabs>
          <w:tab w:leader="none" w:pos="16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Values are based on the closing price of the Company's Common Stock on December 31, 2018 of $88.99.</w:t>
      </w:r>
    </w:p>
    <w:p>
      <w:pPr>
        <w:spacing w:after="0" w:line="113" w:lineRule="exact"/>
        <w:rPr>
          <w:rFonts w:ascii="Arial" w:cs="Arial" w:eastAsia="Arial" w:hAnsi="Arial"/>
          <w:sz w:val="11"/>
          <w:szCs w:val="11"/>
          <w:color w:val="auto"/>
        </w:rPr>
      </w:pPr>
    </w:p>
    <w:p>
      <w:pPr>
        <w:ind w:left="1600" w:hanging="464"/>
        <w:spacing w:after="0" w:line="275" w:lineRule="auto"/>
        <w:tabs>
          <w:tab w:leader="none" w:pos="16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Includes vested stock options granted on March 7, 2014 pursuant to our 2009 Stock Incentive Plan and vested stock options granted on February 25, 2015, February 26, 2016 and February 28, 2017 pursuant to our 2014 Stock Incentive Plan.</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Includes stock options granted on February 20, 2018 that vest 25% on the first and second anniversary of the date of grant and 50% on the third anniversary of the date of grant.</w:t>
      </w:r>
    </w:p>
    <w:p>
      <w:pPr>
        <w:spacing w:after="0" w:line="113" w:lineRule="exact"/>
        <w:rPr>
          <w:rFonts w:ascii="Arial" w:cs="Arial" w:eastAsia="Arial" w:hAnsi="Arial"/>
          <w:sz w:val="11"/>
          <w:szCs w:val="11"/>
          <w:color w:val="auto"/>
        </w:rPr>
      </w:pPr>
    </w:p>
    <w:p>
      <w:pPr>
        <w:ind w:left="1600" w:hanging="464"/>
        <w:spacing w:after="0" w:line="275" w:lineRule="auto"/>
        <w:tabs>
          <w:tab w:leader="none" w:pos="16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Includes stock options granted on February 28, 2017 that vested 25% on the first anniversary of the date of grant. An additional 25% will vest on the second anniversary of the date of grant and 50% will vest on the third anniversary of the date of grant.</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Includes stock options granted on February 26, 2016 that vested 25% on the first and second anniversary of the date of grant. The remaining 50% will vest on the third anniversary of the date of grant.</w:t>
      </w:r>
    </w:p>
    <w:p>
      <w:pPr>
        <w:spacing w:after="0" w:line="113" w:lineRule="exact"/>
        <w:rPr>
          <w:rFonts w:ascii="Arial" w:cs="Arial" w:eastAsia="Arial" w:hAnsi="Arial"/>
          <w:sz w:val="11"/>
          <w:szCs w:val="11"/>
          <w:color w:val="auto"/>
        </w:rPr>
      </w:pPr>
    </w:p>
    <w:p>
      <w:pPr>
        <w:jc w:val="both"/>
        <w:ind w:left="1600" w:hanging="464"/>
        <w:spacing w:after="0" w:line="251" w:lineRule="auto"/>
        <w:tabs>
          <w:tab w:leader="none" w:pos="16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Includes RSUs granted under our 2014 Stock Incentive Plan to Mr. Fish on November 11, 2016 in connection with his promotion to President and Chief Executive Officer. One-third of the RSUs granted to Mr. Fish vested in 2017 and 2018 on each of the first and second anniversaries of the date of grant. The remaining one-third of the RSUs will vest in 2019 on the third anniversary of the date of grant. Also includes RSUs granted under our 2014 Stock Incentive Plan to Ms. Rankin on February 26, 2016 as part of her annual incentive compensation prior to her promotion to the senior leadership team. Ms. Rankin's RSUs vested in February 2019 on the third anniversary of the date of grant.</w:t>
      </w:r>
    </w:p>
    <w:p>
      <w:pPr>
        <w:spacing w:after="0" w:line="88" w:lineRule="exact"/>
        <w:rPr>
          <w:rFonts w:ascii="Arial" w:cs="Arial" w:eastAsia="Arial" w:hAnsi="Arial"/>
          <w:sz w:val="11"/>
          <w:szCs w:val="11"/>
          <w:color w:val="auto"/>
        </w:rPr>
      </w:pPr>
    </w:p>
    <w:p>
      <w:pPr>
        <w:jc w:val="both"/>
        <w:ind w:left="1600" w:hanging="464"/>
        <w:spacing w:after="0" w:line="257" w:lineRule="auto"/>
        <w:tabs>
          <w:tab w:leader="none" w:pos="160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Includes PSUs with three-year performance periods ending December 31, 2019 and December 31, 2020. Payouts on PSUs are made after the Company's financial results for the performance period are reported and the MD&amp;C Committee determines achievement of performance results and corresponding vesting, typically in mid to late February of the succeeding year. The PSUs for the performance period ended December 31, 2018 are not included in the table as they are considered earned as of December 31, 2018 for proxy statement disclosure purposes; instead,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2" w:lineRule="exact"/>
        <w:rPr>
          <w:sz w:val="20"/>
          <w:szCs w:val="20"/>
          <w:color w:val="auto"/>
        </w:rPr>
      </w:pPr>
    </w:p>
    <w:p>
      <w:pPr>
        <w:jc w:val="both"/>
        <w:ind w:left="1600" w:right="20"/>
        <w:spacing w:after="0" w:line="251" w:lineRule="auto"/>
        <w:rPr>
          <w:sz w:val="20"/>
          <w:szCs w:val="20"/>
          <w:color w:val="auto"/>
        </w:rPr>
      </w:pPr>
      <w:r>
        <w:rPr>
          <w:rFonts w:ascii="Arial" w:cs="Arial" w:eastAsia="Arial" w:hAnsi="Arial"/>
          <w:sz w:val="11"/>
          <w:szCs w:val="11"/>
          <w:color w:val="auto"/>
        </w:rPr>
        <w:t>PSUs are included in the Option Exercises and Stock Vested table below. Pursuant to SEC disclosure instructions, because the Company's performance on the metrics governing our PSUs with the performance period ended December 31, 2018 exceeded target, the payout value of unearned awards is calculated assuming maximum performance criteria is achieved. The following number of PSUs have a performance period ending December 31, 2019: Mr. Fish – 56,338; Ms. Rankin – 11,268; Mr. Trevathan – 24,226; Mr. Harris – 16,902; and Mr. Morris – 16,902. The following number of PSUs have a performance period ending December 31, 2020: Mr. Fish – 55,172; Ms. Rankin – 15,632; Mr. Trevathan – 20,414; Mr. Harris – 22,298; and Mr. Morris – 16,552.</w:t>
      </w:r>
    </w:p>
    <w:p>
      <w:pPr>
        <w:spacing w:after="0" w:line="33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210185</wp:posOffset>
            </wp:positionV>
            <wp:extent cx="3924300" cy="305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24300" cy="305435"/>
                    </a:xfrm>
                    <a:prstGeom prst="rect">
                      <a:avLst/>
                    </a:prstGeom>
                    <a:noFill/>
                  </pic:spPr>
                </pic:pic>
              </a:graphicData>
            </a:graphic>
          </wp:anchor>
        </w:drawing>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3"/>
        </w:trPr>
        <w:tc>
          <w:tcPr>
            <w:tcW w:w="3080" w:type="dxa"/>
            <w:vAlign w:val="bottom"/>
            <w:shd w:val="clear" w:color="auto" w:fill="E7E7E8"/>
          </w:tcPr>
          <w:p>
            <w:pPr>
              <w:spacing w:after="0"/>
              <w:rPr>
                <w:sz w:val="15"/>
                <w:szCs w:val="15"/>
                <w:color w:val="auto"/>
              </w:rPr>
            </w:pPr>
          </w:p>
        </w:tc>
        <w:tc>
          <w:tcPr>
            <w:tcW w:w="2060" w:type="dxa"/>
            <w:vAlign w:val="bottom"/>
            <w:shd w:val="clear" w:color="auto" w:fill="E7E7E8"/>
          </w:tcPr>
          <w:p>
            <w:pPr>
              <w:jc w:val="right"/>
              <w:ind w:right="5"/>
              <w:spacing w:after="0"/>
              <w:rPr>
                <w:sz w:val="20"/>
                <w:szCs w:val="20"/>
                <w:color w:val="auto"/>
              </w:rPr>
            </w:pPr>
            <w:r>
              <w:rPr>
                <w:rFonts w:ascii="Arial" w:cs="Arial" w:eastAsia="Arial" w:hAnsi="Arial"/>
                <w:sz w:val="11"/>
                <w:szCs w:val="11"/>
                <w:b w:val="1"/>
                <w:bCs w:val="1"/>
                <w:color w:val="auto"/>
              </w:rPr>
              <w:t>Option Awards</w:t>
            </w:r>
          </w:p>
        </w:tc>
        <w:tc>
          <w:tcPr>
            <w:tcW w:w="1200" w:type="dxa"/>
            <w:vAlign w:val="bottom"/>
            <w:shd w:val="clear" w:color="auto" w:fill="E7E7E8"/>
          </w:tcPr>
          <w:p>
            <w:pPr>
              <w:spacing w:after="0"/>
              <w:rPr>
                <w:sz w:val="15"/>
                <w:szCs w:val="15"/>
                <w:color w:val="auto"/>
              </w:rPr>
            </w:pPr>
          </w:p>
        </w:tc>
        <w:tc>
          <w:tcPr>
            <w:tcW w:w="1960" w:type="dxa"/>
            <w:vAlign w:val="bottom"/>
            <w:shd w:val="clear" w:color="auto" w:fill="E7E7E8"/>
          </w:tcPr>
          <w:p>
            <w:pPr>
              <w:jc w:val="right"/>
              <w:ind w:right="45"/>
              <w:spacing w:after="0"/>
              <w:rPr>
                <w:sz w:val="20"/>
                <w:szCs w:val="20"/>
                <w:color w:val="auto"/>
              </w:rPr>
            </w:pPr>
            <w:r>
              <w:rPr>
                <w:rFonts w:ascii="Arial" w:cs="Arial" w:eastAsia="Arial" w:hAnsi="Arial"/>
                <w:sz w:val="11"/>
                <w:szCs w:val="11"/>
                <w:b w:val="1"/>
                <w:bCs w:val="1"/>
                <w:color w:val="auto"/>
              </w:rPr>
              <w:t>Stock Awards</w:t>
            </w:r>
          </w:p>
        </w:tc>
        <w:tc>
          <w:tcPr>
            <w:tcW w:w="960" w:type="dxa"/>
            <w:vAlign w:val="bottom"/>
            <w:shd w:val="clear" w:color="auto" w:fill="E7E7E8"/>
          </w:tcPr>
          <w:p>
            <w:pPr>
              <w:spacing w:after="0"/>
              <w:rPr>
                <w:sz w:val="15"/>
                <w:szCs w:val="15"/>
                <w:color w:val="auto"/>
              </w:rPr>
            </w:pPr>
          </w:p>
        </w:tc>
      </w:tr>
      <w:tr>
        <w:trPr>
          <w:trHeight w:val="149"/>
        </w:trPr>
        <w:tc>
          <w:tcPr>
            <w:tcW w:w="3080" w:type="dxa"/>
            <w:vAlign w:val="bottom"/>
            <w:shd w:val="clear" w:color="auto" w:fill="E7E7E8"/>
          </w:tcPr>
          <w:p>
            <w:pPr>
              <w:spacing w:after="0"/>
              <w:rPr>
                <w:sz w:val="12"/>
                <w:szCs w:val="12"/>
                <w:color w:val="auto"/>
              </w:rPr>
            </w:pPr>
          </w:p>
        </w:tc>
        <w:tc>
          <w:tcPr>
            <w:tcW w:w="2060" w:type="dxa"/>
            <w:vAlign w:val="bottom"/>
            <w:shd w:val="clear" w:color="auto" w:fill="E7E7E8"/>
          </w:tcPr>
          <w:p>
            <w:pPr>
              <w:jc w:val="right"/>
              <w:ind w:right="385"/>
              <w:spacing w:after="0"/>
              <w:rPr>
                <w:sz w:val="20"/>
                <w:szCs w:val="20"/>
                <w:color w:val="auto"/>
              </w:rPr>
            </w:pPr>
            <w:r>
              <w:rPr>
                <w:rFonts w:ascii="Arial" w:cs="Arial" w:eastAsia="Arial" w:hAnsi="Arial"/>
                <w:sz w:val="11"/>
                <w:szCs w:val="11"/>
                <w:b w:val="1"/>
                <w:bCs w:val="1"/>
                <w:color w:val="auto"/>
              </w:rPr>
              <w:t>Number of Shares</w:t>
            </w:r>
          </w:p>
        </w:tc>
        <w:tc>
          <w:tcPr>
            <w:tcW w:w="120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w w:val="96"/>
              </w:rPr>
              <w:t>Value Realized on</w:t>
            </w:r>
          </w:p>
        </w:tc>
        <w:tc>
          <w:tcPr>
            <w:tcW w:w="1960" w:type="dxa"/>
            <w:vAlign w:val="bottom"/>
            <w:shd w:val="clear" w:color="auto" w:fill="E7E7E8"/>
          </w:tcPr>
          <w:p>
            <w:pPr>
              <w:jc w:val="right"/>
              <w:ind w:right="345"/>
              <w:spacing w:after="0"/>
              <w:rPr>
                <w:sz w:val="20"/>
                <w:szCs w:val="20"/>
                <w:color w:val="auto"/>
              </w:rPr>
            </w:pPr>
            <w:r>
              <w:rPr>
                <w:rFonts w:ascii="Arial" w:cs="Arial" w:eastAsia="Arial" w:hAnsi="Arial"/>
                <w:sz w:val="11"/>
                <w:szCs w:val="11"/>
                <w:b w:val="1"/>
                <w:bCs w:val="1"/>
                <w:color w:val="auto"/>
              </w:rPr>
              <w:t>Number of Shares</w:t>
            </w:r>
          </w:p>
        </w:tc>
        <w:tc>
          <w:tcPr>
            <w:tcW w:w="96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Value Realized on</w:t>
            </w:r>
          </w:p>
        </w:tc>
      </w:tr>
      <w:tr>
        <w:trPr>
          <w:trHeight w:val="149"/>
        </w:trPr>
        <w:tc>
          <w:tcPr>
            <w:tcW w:w="3080" w:type="dxa"/>
            <w:vAlign w:val="bottom"/>
            <w:shd w:val="clear" w:color="auto" w:fill="E7E7E8"/>
          </w:tcPr>
          <w:p>
            <w:pPr>
              <w:spacing w:after="0"/>
              <w:rPr>
                <w:sz w:val="20"/>
                <w:szCs w:val="20"/>
                <w:color w:val="auto"/>
              </w:rPr>
            </w:pPr>
            <w:r>
              <w:rPr>
                <w:rFonts w:ascii="Arial" w:cs="Arial" w:eastAsia="Arial" w:hAnsi="Arial"/>
                <w:sz w:val="11"/>
                <w:szCs w:val="11"/>
                <w:b w:val="1"/>
                <w:bCs w:val="1"/>
                <w:color w:val="auto"/>
              </w:rPr>
              <w:t>Name</w:t>
            </w:r>
          </w:p>
        </w:tc>
        <w:tc>
          <w:tcPr>
            <w:tcW w:w="2060" w:type="dxa"/>
            <w:vAlign w:val="bottom"/>
            <w:shd w:val="clear" w:color="auto" w:fill="E7E7E8"/>
          </w:tcPr>
          <w:p>
            <w:pPr>
              <w:jc w:val="right"/>
              <w:ind w:right="385"/>
              <w:spacing w:after="0"/>
              <w:rPr>
                <w:sz w:val="20"/>
                <w:szCs w:val="20"/>
                <w:color w:val="auto"/>
              </w:rPr>
            </w:pPr>
            <w:r>
              <w:rPr>
                <w:rFonts w:ascii="Arial" w:cs="Arial" w:eastAsia="Arial" w:hAnsi="Arial"/>
                <w:sz w:val="11"/>
                <w:szCs w:val="11"/>
                <w:b w:val="1"/>
                <w:bCs w:val="1"/>
                <w:color w:val="auto"/>
              </w:rPr>
              <w:t>Acquired on Exercise (#)</w:t>
            </w:r>
          </w:p>
        </w:tc>
        <w:tc>
          <w:tcPr>
            <w:tcW w:w="1200" w:type="dxa"/>
            <w:vAlign w:val="bottom"/>
            <w:shd w:val="clear" w:color="auto" w:fill="E7E7E8"/>
          </w:tcPr>
          <w:p>
            <w:pPr>
              <w:jc w:val="right"/>
              <w:ind w:right="223"/>
              <w:spacing w:after="0"/>
              <w:rPr>
                <w:sz w:val="20"/>
                <w:szCs w:val="20"/>
                <w:color w:val="auto"/>
              </w:rPr>
            </w:pPr>
            <w:r>
              <w:rPr>
                <w:rFonts w:ascii="Arial" w:cs="Arial" w:eastAsia="Arial" w:hAnsi="Arial"/>
                <w:sz w:val="11"/>
                <w:szCs w:val="11"/>
                <w:b w:val="1"/>
                <w:bCs w:val="1"/>
                <w:color w:val="auto"/>
              </w:rPr>
              <w:t>Exercise ($)</w:t>
            </w:r>
          </w:p>
        </w:tc>
        <w:tc>
          <w:tcPr>
            <w:tcW w:w="1960" w:type="dxa"/>
            <w:vAlign w:val="bottom"/>
            <w:shd w:val="clear" w:color="auto" w:fill="E7E7E8"/>
          </w:tcPr>
          <w:p>
            <w:pPr>
              <w:jc w:val="right"/>
              <w:ind w:right="345"/>
              <w:spacing w:after="0" w:line="149" w:lineRule="exact"/>
              <w:rPr>
                <w:sz w:val="20"/>
                <w:szCs w:val="20"/>
                <w:color w:val="auto"/>
              </w:rPr>
            </w:pPr>
            <w:r>
              <w:rPr>
                <w:rFonts w:ascii="Arial" w:cs="Arial" w:eastAsia="Arial" w:hAnsi="Arial"/>
                <w:sz w:val="10"/>
                <w:szCs w:val="10"/>
                <w:b w:val="1"/>
                <w:bCs w:val="1"/>
                <w:color w:val="auto"/>
              </w:rPr>
              <w:t>Acquired on Vesting (#)</w:t>
            </w:r>
            <w:r>
              <w:rPr>
                <w:rFonts w:ascii="Arial" w:cs="Arial" w:eastAsia="Arial" w:hAnsi="Arial"/>
                <w:sz w:val="17"/>
                <w:szCs w:val="17"/>
                <w:b w:val="1"/>
                <w:bCs w:val="1"/>
                <w:color w:val="auto"/>
                <w:vertAlign w:val="superscript"/>
              </w:rPr>
              <w:t>(1)</w:t>
            </w:r>
          </w:p>
        </w:tc>
        <w:tc>
          <w:tcPr>
            <w:tcW w:w="960" w:type="dxa"/>
            <w:vAlign w:val="bottom"/>
            <w:shd w:val="clear" w:color="auto" w:fill="E7E7E8"/>
          </w:tcPr>
          <w:p>
            <w:pPr>
              <w:jc w:val="right"/>
              <w:spacing w:after="0" w:line="149" w:lineRule="exact"/>
              <w:rPr>
                <w:sz w:val="20"/>
                <w:szCs w:val="20"/>
                <w:color w:val="auto"/>
              </w:rPr>
            </w:pPr>
            <w:r>
              <w:rPr>
                <w:rFonts w:ascii="Arial" w:cs="Arial" w:eastAsia="Arial" w:hAnsi="Arial"/>
                <w:sz w:val="10"/>
                <w:szCs w:val="10"/>
                <w:b w:val="1"/>
                <w:bCs w:val="1"/>
                <w:color w:val="auto"/>
              </w:rPr>
              <w:t>Vesting ($)</w:t>
            </w:r>
            <w:r>
              <w:rPr>
                <w:rFonts w:ascii="Arial" w:cs="Arial" w:eastAsia="Arial" w:hAnsi="Arial"/>
                <w:sz w:val="17"/>
                <w:szCs w:val="17"/>
                <w:b w:val="1"/>
                <w:bCs w:val="1"/>
                <w:color w:val="auto"/>
                <w:vertAlign w:val="superscript"/>
              </w:rPr>
              <w:t>(1)</w:t>
            </w:r>
          </w:p>
        </w:tc>
      </w:tr>
      <w:tr>
        <w:trPr>
          <w:trHeight w:val="152"/>
        </w:trPr>
        <w:tc>
          <w:tcPr>
            <w:tcW w:w="30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James C. Fish, Jr.</w:t>
            </w:r>
          </w:p>
        </w:tc>
        <w:tc>
          <w:tcPr>
            <w:tcW w:w="2060" w:type="dxa"/>
            <w:vAlign w:val="bottom"/>
            <w:tcBorders>
              <w:bottom w:val="single" w:sz="8" w:color="auto"/>
            </w:tcBorders>
          </w:tcPr>
          <w:p>
            <w:pPr>
              <w:jc w:val="right"/>
              <w:ind w:right="385"/>
              <w:spacing w:after="0" w:line="149" w:lineRule="exact"/>
              <w:rPr>
                <w:sz w:val="20"/>
                <w:szCs w:val="20"/>
                <w:color w:val="auto"/>
              </w:rPr>
            </w:pPr>
            <w:r>
              <w:rPr>
                <w:rFonts w:ascii="Arial" w:cs="Arial" w:eastAsia="Arial" w:hAnsi="Arial"/>
                <w:sz w:val="10"/>
                <w:szCs w:val="10"/>
                <w:color w:val="auto"/>
              </w:rPr>
              <w:t>76,222</w:t>
            </w:r>
            <w:r>
              <w:rPr>
                <w:rFonts w:ascii="Arial" w:cs="Arial" w:eastAsia="Arial" w:hAnsi="Arial"/>
                <w:sz w:val="17"/>
                <w:szCs w:val="17"/>
                <w:color w:val="auto"/>
                <w:vertAlign w:val="superscript"/>
              </w:rPr>
              <w:t>(2)</w:t>
            </w:r>
          </w:p>
        </w:tc>
        <w:tc>
          <w:tcPr>
            <w:tcW w:w="12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2,068,223</w:t>
            </w:r>
          </w:p>
        </w:tc>
        <w:tc>
          <w:tcPr>
            <w:tcW w:w="1960" w:type="dxa"/>
            <w:vAlign w:val="bottom"/>
            <w:tcBorders>
              <w:bottom w:val="single" w:sz="8" w:color="auto"/>
            </w:tcBorders>
          </w:tcPr>
          <w:p>
            <w:pPr>
              <w:jc w:val="right"/>
              <w:ind w:right="345"/>
              <w:spacing w:after="0" w:line="149" w:lineRule="exact"/>
              <w:rPr>
                <w:sz w:val="20"/>
                <w:szCs w:val="20"/>
                <w:color w:val="auto"/>
              </w:rPr>
            </w:pPr>
            <w:r>
              <w:rPr>
                <w:rFonts w:ascii="Arial" w:cs="Arial" w:eastAsia="Arial" w:hAnsi="Arial"/>
                <w:sz w:val="10"/>
                <w:szCs w:val="10"/>
                <w:color w:val="auto"/>
              </w:rPr>
              <w:t>57,060</w:t>
            </w:r>
            <w:r>
              <w:rPr>
                <w:rFonts w:ascii="Arial" w:cs="Arial" w:eastAsia="Arial" w:hAnsi="Arial"/>
                <w:sz w:val="17"/>
                <w:szCs w:val="17"/>
                <w:color w:val="auto"/>
                <w:vertAlign w:val="superscript"/>
              </w:rPr>
              <w:t>(3)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5,583,018</w:t>
            </w:r>
          </w:p>
        </w:tc>
      </w:tr>
      <w:tr>
        <w:trPr>
          <w:trHeight w:val="152"/>
        </w:trPr>
        <w:tc>
          <w:tcPr>
            <w:tcW w:w="30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Devina A. Rankin</w:t>
            </w:r>
          </w:p>
        </w:tc>
        <w:tc>
          <w:tcPr>
            <w:tcW w:w="2060" w:type="dxa"/>
            <w:vAlign w:val="bottom"/>
            <w:tcBorders>
              <w:bottom w:val="single" w:sz="8" w:color="auto"/>
            </w:tcBorders>
          </w:tcPr>
          <w:p>
            <w:pPr>
              <w:jc w:val="right"/>
              <w:ind w:right="385"/>
              <w:spacing w:after="0" w:line="149" w:lineRule="exact"/>
              <w:rPr>
                <w:sz w:val="20"/>
                <w:szCs w:val="20"/>
                <w:color w:val="auto"/>
              </w:rPr>
            </w:pPr>
            <w:r>
              <w:rPr>
                <w:rFonts w:ascii="Arial" w:cs="Arial" w:eastAsia="Arial" w:hAnsi="Arial"/>
                <w:sz w:val="10"/>
                <w:szCs w:val="10"/>
                <w:color w:val="auto"/>
              </w:rPr>
              <w:t>11,341</w:t>
            </w:r>
            <w:r>
              <w:rPr>
                <w:rFonts w:ascii="Arial" w:cs="Arial" w:eastAsia="Arial" w:hAnsi="Arial"/>
                <w:sz w:val="17"/>
                <w:szCs w:val="17"/>
                <w:color w:val="auto"/>
                <w:vertAlign w:val="superscript"/>
              </w:rPr>
              <w:t>(4)</w:t>
            </w:r>
          </w:p>
        </w:tc>
        <w:tc>
          <w:tcPr>
            <w:tcW w:w="12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506,312</w:t>
            </w:r>
          </w:p>
        </w:tc>
        <w:tc>
          <w:tcPr>
            <w:tcW w:w="1960" w:type="dxa"/>
            <w:vAlign w:val="bottom"/>
            <w:tcBorders>
              <w:bottom w:val="single" w:sz="8" w:color="auto"/>
            </w:tcBorders>
          </w:tcPr>
          <w:p>
            <w:pPr>
              <w:jc w:val="center"/>
              <w:ind w:left="745"/>
              <w:spacing w:after="0" w:line="149" w:lineRule="exact"/>
              <w:rPr>
                <w:sz w:val="20"/>
                <w:szCs w:val="20"/>
                <w:color w:val="auto"/>
              </w:rPr>
            </w:pPr>
            <w:r>
              <w:rPr>
                <w:rFonts w:ascii="Arial" w:cs="Arial" w:eastAsia="Arial" w:hAnsi="Arial"/>
                <w:sz w:val="10"/>
                <w:szCs w:val="10"/>
                <w:color w:val="auto"/>
                <w:w w:val="92"/>
              </w:rPr>
              <w:t>5,330</w:t>
            </w:r>
            <w:r>
              <w:rPr>
                <w:rFonts w:ascii="Arial" w:cs="Arial" w:eastAsia="Arial" w:hAnsi="Arial"/>
                <w:sz w:val="17"/>
                <w:szCs w:val="17"/>
                <w:color w:val="auto"/>
                <w:w w:val="92"/>
                <w:vertAlign w:val="superscript"/>
              </w:rPr>
              <w:t>(3)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514,988</w:t>
            </w:r>
          </w:p>
        </w:tc>
      </w:tr>
      <w:tr>
        <w:trPr>
          <w:trHeight w:val="129"/>
        </w:trPr>
        <w:tc>
          <w:tcPr>
            <w:tcW w:w="30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James E. Trevathan, Jr.</w:t>
            </w:r>
          </w:p>
        </w:tc>
        <w:tc>
          <w:tcPr>
            <w:tcW w:w="206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1960" w:type="dxa"/>
            <w:vAlign w:val="bottom"/>
            <w:tcBorders>
              <w:bottom w:val="single" w:sz="8" w:color="auto"/>
            </w:tcBorders>
          </w:tcPr>
          <w:p>
            <w:pPr>
              <w:jc w:val="center"/>
              <w:ind w:left="745"/>
              <w:spacing w:after="0"/>
              <w:rPr>
                <w:sz w:val="20"/>
                <w:szCs w:val="20"/>
                <w:color w:val="auto"/>
              </w:rPr>
            </w:pPr>
            <w:r>
              <w:rPr>
                <w:rFonts w:ascii="Arial" w:cs="Arial" w:eastAsia="Arial" w:hAnsi="Arial"/>
                <w:sz w:val="11"/>
                <w:szCs w:val="11"/>
                <w:color w:val="auto"/>
                <w:w w:val="94"/>
              </w:rPr>
              <w:t>51,852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5,113,126</w:t>
            </w:r>
          </w:p>
        </w:tc>
      </w:tr>
      <w:tr>
        <w:trPr>
          <w:trHeight w:val="152"/>
        </w:trPr>
        <w:tc>
          <w:tcPr>
            <w:tcW w:w="30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Jeff M. Harris</w:t>
            </w:r>
          </w:p>
        </w:tc>
        <w:tc>
          <w:tcPr>
            <w:tcW w:w="2060" w:type="dxa"/>
            <w:vAlign w:val="bottom"/>
            <w:tcBorders>
              <w:bottom w:val="single" w:sz="8" w:color="auto"/>
            </w:tcBorders>
          </w:tcPr>
          <w:p>
            <w:pPr>
              <w:jc w:val="right"/>
              <w:ind w:right="385"/>
              <w:spacing w:after="0" w:line="149" w:lineRule="exact"/>
              <w:rPr>
                <w:sz w:val="20"/>
                <w:szCs w:val="20"/>
                <w:color w:val="auto"/>
              </w:rPr>
            </w:pPr>
            <w:r>
              <w:rPr>
                <w:rFonts w:ascii="Arial" w:cs="Arial" w:eastAsia="Arial" w:hAnsi="Arial"/>
                <w:sz w:val="10"/>
                <w:szCs w:val="10"/>
                <w:color w:val="auto"/>
              </w:rPr>
              <w:t>46,617</w:t>
            </w:r>
            <w:r>
              <w:rPr>
                <w:rFonts w:ascii="Arial" w:cs="Arial" w:eastAsia="Arial" w:hAnsi="Arial"/>
                <w:sz w:val="17"/>
                <w:szCs w:val="17"/>
                <w:color w:val="auto"/>
                <w:vertAlign w:val="superscript"/>
              </w:rPr>
              <w:t>(5)</w:t>
            </w:r>
          </w:p>
        </w:tc>
        <w:tc>
          <w:tcPr>
            <w:tcW w:w="12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1,293,732</w:t>
            </w:r>
          </w:p>
        </w:tc>
        <w:tc>
          <w:tcPr>
            <w:tcW w:w="1960" w:type="dxa"/>
            <w:vAlign w:val="bottom"/>
            <w:tcBorders>
              <w:bottom w:val="single" w:sz="8" w:color="auto"/>
            </w:tcBorders>
          </w:tcPr>
          <w:p>
            <w:pPr>
              <w:jc w:val="center"/>
              <w:ind w:left="745"/>
              <w:spacing w:after="0"/>
              <w:rPr>
                <w:sz w:val="20"/>
                <w:szCs w:val="20"/>
                <w:color w:val="auto"/>
              </w:rPr>
            </w:pPr>
            <w:r>
              <w:rPr>
                <w:rFonts w:ascii="Arial" w:cs="Arial" w:eastAsia="Arial" w:hAnsi="Arial"/>
                <w:sz w:val="11"/>
                <w:szCs w:val="11"/>
                <w:color w:val="auto"/>
                <w:w w:val="94"/>
              </w:rPr>
              <w:t>44,444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4,382,623</w:t>
            </w:r>
          </w:p>
        </w:tc>
      </w:tr>
      <w:tr>
        <w:trPr>
          <w:trHeight w:val="152"/>
        </w:trPr>
        <w:tc>
          <w:tcPr>
            <w:tcW w:w="30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John J. Morris, Jr.</w:t>
            </w:r>
          </w:p>
        </w:tc>
        <w:tc>
          <w:tcPr>
            <w:tcW w:w="2060" w:type="dxa"/>
            <w:vAlign w:val="bottom"/>
            <w:tcBorders>
              <w:bottom w:val="single" w:sz="8" w:color="auto"/>
            </w:tcBorders>
          </w:tcPr>
          <w:p>
            <w:pPr>
              <w:jc w:val="right"/>
              <w:ind w:right="385"/>
              <w:spacing w:after="0" w:line="149" w:lineRule="exact"/>
              <w:rPr>
                <w:sz w:val="20"/>
                <w:szCs w:val="20"/>
                <w:color w:val="auto"/>
              </w:rPr>
            </w:pPr>
            <w:r>
              <w:rPr>
                <w:rFonts w:ascii="Arial" w:cs="Arial" w:eastAsia="Arial" w:hAnsi="Arial"/>
                <w:sz w:val="10"/>
                <w:szCs w:val="10"/>
                <w:color w:val="auto"/>
              </w:rPr>
              <w:t>36,902</w:t>
            </w:r>
            <w:r>
              <w:rPr>
                <w:rFonts w:ascii="Arial" w:cs="Arial" w:eastAsia="Arial" w:hAnsi="Arial"/>
                <w:sz w:val="17"/>
                <w:szCs w:val="17"/>
                <w:color w:val="auto"/>
                <w:vertAlign w:val="superscript"/>
              </w:rPr>
              <w:t>(6)</w:t>
            </w:r>
          </w:p>
        </w:tc>
        <w:tc>
          <w:tcPr>
            <w:tcW w:w="12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1,259,272</w:t>
            </w:r>
          </w:p>
        </w:tc>
        <w:tc>
          <w:tcPr>
            <w:tcW w:w="1960" w:type="dxa"/>
            <w:vAlign w:val="bottom"/>
            <w:tcBorders>
              <w:bottom w:val="single" w:sz="8" w:color="auto"/>
            </w:tcBorders>
          </w:tcPr>
          <w:p>
            <w:pPr>
              <w:jc w:val="center"/>
              <w:ind w:left="745"/>
              <w:spacing w:after="0"/>
              <w:rPr>
                <w:sz w:val="20"/>
                <w:szCs w:val="20"/>
                <w:color w:val="auto"/>
              </w:rPr>
            </w:pPr>
            <w:r>
              <w:rPr>
                <w:rFonts w:ascii="Arial" w:cs="Arial" w:eastAsia="Arial" w:hAnsi="Arial"/>
                <w:sz w:val="11"/>
                <w:szCs w:val="11"/>
                <w:color w:val="auto"/>
                <w:w w:val="94"/>
              </w:rPr>
              <w:t>44,444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4,382,623</w:t>
            </w:r>
          </w:p>
        </w:tc>
      </w:tr>
    </w:tbl>
    <w:p>
      <w:pPr>
        <w:spacing w:after="0" w:line="163" w:lineRule="exact"/>
        <w:rPr>
          <w:sz w:val="20"/>
          <w:szCs w:val="20"/>
          <w:color w:val="auto"/>
        </w:rPr>
      </w:pPr>
    </w:p>
    <w:p>
      <w:pPr>
        <w:jc w:val="both"/>
        <w:ind w:left="1600" w:hanging="464"/>
        <w:spacing w:after="0" w:line="257" w:lineRule="auto"/>
        <w:tabs>
          <w:tab w:leader="none" w:pos="16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Includes shares of the Company's Common Stock issued on account of PSUs granted in 2016 with a performance period ended December 31, 2018. The determination of achievement of performance results and corresponding vesting of such PSUs was performed by the MD&amp;C Committee in February 2019. Following such determination, shares of the Company's Common Stock earned under this award were issued on February 14, 2019, based on the average of the high and low market price of the Company's Common Stock on that date.</w:t>
      </w:r>
    </w:p>
    <w:p>
      <w:pPr>
        <w:spacing w:after="0" w:line="85" w:lineRule="exact"/>
        <w:rPr>
          <w:rFonts w:ascii="Arial" w:cs="Arial" w:eastAsia="Arial" w:hAnsi="Arial"/>
          <w:sz w:val="11"/>
          <w:szCs w:val="11"/>
          <w:color w:val="auto"/>
        </w:rPr>
      </w:pPr>
    </w:p>
    <w:p>
      <w:pPr>
        <w:ind w:left="1600" w:hanging="464"/>
        <w:spacing w:after="0"/>
        <w:tabs>
          <w:tab w:leader="none" w:pos="16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Mr. Fish received 13,939 net shares after payment of, or withholding of shares to cover, option costs and tax withholding.</w:t>
      </w:r>
    </w:p>
    <w:p>
      <w:pPr>
        <w:spacing w:after="0" w:line="113" w:lineRule="exact"/>
        <w:rPr>
          <w:rFonts w:ascii="Arial" w:cs="Arial" w:eastAsia="Arial" w:hAnsi="Arial"/>
          <w:sz w:val="11"/>
          <w:szCs w:val="11"/>
          <w:color w:val="auto"/>
        </w:rPr>
      </w:pPr>
    </w:p>
    <w:p>
      <w:pPr>
        <w:ind w:left="1600" w:right="20" w:hanging="464"/>
        <w:spacing w:after="0" w:line="275" w:lineRule="auto"/>
        <w:tabs>
          <w:tab w:leader="none" w:pos="16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Includes 5,208 and 774 restricted stock units granted to Mr. Fish and Ms. Rankin, respectively. The value of restricted stock units realized on vesting was calculated using the average of the high and low market price of the Company's Common Stock on the date of vesting.</w:t>
      </w:r>
    </w:p>
    <w:p>
      <w:pPr>
        <w:spacing w:after="0" w:line="122" w:lineRule="exact"/>
        <w:rPr>
          <w:rFonts w:ascii="Arial" w:cs="Arial" w:eastAsia="Arial" w:hAnsi="Arial"/>
          <w:sz w:val="11"/>
          <w:szCs w:val="11"/>
          <w:color w:val="auto"/>
        </w:rPr>
      </w:pPr>
    </w:p>
    <w:p>
      <w:pPr>
        <w:ind w:left="1600"/>
        <w:spacing w:after="0" w:line="275" w:lineRule="auto"/>
        <w:rPr>
          <w:rFonts w:ascii="Arial" w:cs="Arial" w:eastAsia="Arial" w:hAnsi="Arial"/>
          <w:sz w:val="11"/>
          <w:szCs w:val="11"/>
          <w:color w:val="auto"/>
        </w:rPr>
      </w:pPr>
      <w:r>
        <w:rPr>
          <w:rFonts w:ascii="Arial" w:cs="Arial" w:eastAsia="Arial" w:hAnsi="Arial"/>
          <w:sz w:val="11"/>
          <w:szCs w:val="11"/>
          <w:color w:val="auto"/>
        </w:rPr>
        <w:t>Mr. Fish deferred receipt of 51,852 shares of Common Stock valued at $5,113,126 earned on account of PSUs with the performance period ended December 31, 2018. See the Nonqualified Deferred Compensation in 2018 table below and accompanying disclosure for additional information.</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Ms. Rankin received 3,234 net shares after payment of option costs and tax withholding.</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Mr. Harris received 8,371 net shares after payment of option costs and tax withholding.</w:t>
      </w:r>
    </w:p>
    <w:p>
      <w:pPr>
        <w:spacing w:after="0" w:line="113" w:lineRule="exact"/>
        <w:rPr>
          <w:rFonts w:ascii="Arial" w:cs="Arial" w:eastAsia="Arial" w:hAnsi="Arial"/>
          <w:sz w:val="11"/>
          <w:szCs w:val="11"/>
          <w:color w:val="auto"/>
        </w:rPr>
      </w:pPr>
    </w:p>
    <w:p>
      <w:pPr>
        <w:ind w:left="1600" w:hanging="464"/>
        <w:spacing w:after="0"/>
        <w:tabs>
          <w:tab w:leader="none" w:pos="16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Mr. Morris received 5,612 net shares after payment of, or withholding of shares to cover, option costs and tax withholding.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Nonqualified Deferred Compensation in 2018</w:t>
      </w:r>
    </w:p>
    <w:p>
      <w:pPr>
        <w:spacing w:after="0" w:line="198" w:lineRule="exact"/>
        <w:rPr>
          <w:sz w:val="20"/>
          <w:szCs w:val="20"/>
          <w:color w:val="auto"/>
        </w:rPr>
      </w:pPr>
    </w:p>
    <w:p>
      <w:pPr>
        <w:jc w:val="both"/>
        <w:ind w:firstLine="375"/>
        <w:spacing w:after="0" w:line="278" w:lineRule="auto"/>
        <w:rPr>
          <w:sz w:val="20"/>
          <w:szCs w:val="20"/>
          <w:color w:val="auto"/>
        </w:rPr>
      </w:pPr>
      <w:r>
        <w:rPr>
          <w:rFonts w:ascii="Arial" w:cs="Arial" w:eastAsia="Arial" w:hAnsi="Arial"/>
          <w:sz w:val="14"/>
          <w:szCs w:val="14"/>
          <w:color w:val="auto"/>
        </w:rPr>
        <w:t>Each of our named executive officers is eligible to participate in our 409A Deferral Plan and may elect to defer receipt of portions of their base salary and cash incentives in excess of the annual compensation threshold established under Section 401(a)(17) of the IRC, referred to as the "Threshold." As of 2018, the Threshold was $275,000. The plan provides that eligible employees may defer for payment at a future date (i) up to 25% of base salary and up to 100% of annual cash incentives payable after the aggregate of such compensation components reaches the Threshold; (ii) receipt of any RSUs and (iii) receipt of any PSUs. The Company match provided under the 409A Deferral Plan is dollar for 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153"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5"/>
          <w:szCs w:val="15"/>
          <w:color w:val="auto"/>
        </w:rPr>
        <w:t>Participating employees generally can elect to receive distributions 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109220</wp:posOffset>
            </wp:positionV>
            <wp:extent cx="6985" cy="414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5" cy="414020"/>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109220</wp:posOffset>
            </wp:positionV>
            <wp:extent cx="6985" cy="414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5" cy="41402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109220</wp:posOffset>
            </wp:positionV>
            <wp:extent cx="6985" cy="414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5" cy="41402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109220</wp:posOffset>
            </wp:positionV>
            <wp:extent cx="6985" cy="414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85" cy="414020"/>
                    </a:xfrm>
                    <a:prstGeom prst="rect">
                      <a:avLst/>
                    </a:prstGeom>
                    <a:noFill/>
                  </pic:spPr>
                </pic:pic>
              </a:graphicData>
            </a:graphic>
          </wp:anchor>
        </w:drawing>
        <w:drawing>
          <wp:anchor simplePos="0" relativeHeight="251657728" behindDoc="1" locked="0" layoutInCell="0" allowOverlap="1">
            <wp:simplePos x="0" y="0"/>
            <wp:positionH relativeFrom="column">
              <wp:posOffset>5932170</wp:posOffset>
            </wp:positionH>
            <wp:positionV relativeFrom="paragraph">
              <wp:posOffset>109220</wp:posOffset>
            </wp:positionV>
            <wp:extent cx="6985" cy="414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5" cy="414020"/>
                    </a:xfrm>
                    <a:prstGeom prst="rect">
                      <a:avLst/>
                    </a:prstGeom>
                    <a:noFill/>
                  </pic:spPr>
                </pic:pic>
              </a:graphicData>
            </a:graphic>
          </wp:anchor>
        </w:drawing>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00" w:type="dxa"/>
            <w:vAlign w:val="bottom"/>
            <w:shd w:val="clear" w:color="auto" w:fill="E7E7E8"/>
          </w:tcPr>
          <w:p>
            <w:pPr>
              <w:spacing w:after="0"/>
              <w:rPr>
                <w:sz w:val="10"/>
                <w:szCs w:val="10"/>
                <w:color w:val="auto"/>
              </w:rPr>
            </w:pPr>
          </w:p>
        </w:tc>
        <w:tc>
          <w:tcPr>
            <w:tcW w:w="1800" w:type="dxa"/>
            <w:vAlign w:val="bottom"/>
            <w:shd w:val="clear" w:color="auto" w:fill="E7E7E8"/>
          </w:tcPr>
          <w:p>
            <w:pPr>
              <w:spacing w:after="0"/>
              <w:rPr>
                <w:sz w:val="10"/>
                <w:szCs w:val="10"/>
                <w:color w:val="auto"/>
              </w:rPr>
            </w:pPr>
          </w:p>
        </w:tc>
        <w:tc>
          <w:tcPr>
            <w:tcW w:w="1000" w:type="dxa"/>
            <w:vAlign w:val="bottom"/>
            <w:shd w:val="clear" w:color="auto" w:fill="E7E7E8"/>
          </w:tcPr>
          <w:p>
            <w:pPr>
              <w:jc w:val="right"/>
              <w:ind w:right="103"/>
              <w:spacing w:after="0"/>
              <w:rPr>
                <w:sz w:val="20"/>
                <w:szCs w:val="20"/>
                <w:color w:val="auto"/>
              </w:rPr>
            </w:pPr>
            <w:r>
              <w:rPr>
                <w:rFonts w:ascii="Arial" w:cs="Arial" w:eastAsia="Arial" w:hAnsi="Arial"/>
                <w:sz w:val="11"/>
                <w:szCs w:val="11"/>
                <w:b w:val="1"/>
                <w:bCs w:val="1"/>
                <w:color w:val="auto"/>
              </w:rPr>
              <w:t>Registrant</w:t>
            </w:r>
          </w:p>
        </w:tc>
        <w:tc>
          <w:tcPr>
            <w:tcW w:w="1480" w:type="dxa"/>
            <w:vAlign w:val="bottom"/>
            <w:shd w:val="clear" w:color="auto" w:fill="E7E7E8"/>
          </w:tcPr>
          <w:p>
            <w:pPr>
              <w:jc w:val="right"/>
              <w:ind w:right="763"/>
              <w:spacing w:after="0"/>
              <w:rPr>
                <w:sz w:val="20"/>
                <w:szCs w:val="20"/>
                <w:color w:val="auto"/>
              </w:rPr>
            </w:pPr>
            <w:r>
              <w:rPr>
                <w:rFonts w:ascii="Arial" w:cs="Arial" w:eastAsia="Arial" w:hAnsi="Arial"/>
                <w:sz w:val="11"/>
                <w:szCs w:val="11"/>
                <w:b w:val="1"/>
                <w:bCs w:val="1"/>
                <w:color w:val="auto"/>
              </w:rPr>
              <w:t>Aggregate</w:t>
            </w:r>
          </w:p>
        </w:tc>
        <w:tc>
          <w:tcPr>
            <w:tcW w:w="1900" w:type="dxa"/>
            <w:vAlign w:val="bottom"/>
            <w:shd w:val="clear" w:color="auto" w:fill="E7E7E8"/>
          </w:tcPr>
          <w:p>
            <w:pPr>
              <w:jc w:val="right"/>
              <w:ind w:right="124"/>
              <w:spacing w:after="0"/>
              <w:rPr>
                <w:sz w:val="20"/>
                <w:szCs w:val="20"/>
                <w:color w:val="auto"/>
              </w:rPr>
            </w:pPr>
            <w:r>
              <w:rPr>
                <w:rFonts w:ascii="Arial" w:cs="Arial" w:eastAsia="Arial" w:hAnsi="Arial"/>
                <w:sz w:val="11"/>
                <w:szCs w:val="11"/>
                <w:b w:val="1"/>
                <w:bCs w:val="1"/>
                <w:color w:val="auto"/>
              </w:rPr>
              <w:t>Aggregate</w:t>
            </w:r>
          </w:p>
        </w:tc>
        <w:tc>
          <w:tcPr>
            <w:tcW w:w="1080" w:type="dxa"/>
            <w:vAlign w:val="bottom"/>
            <w:shd w:val="clear" w:color="auto" w:fill="E7E7E8"/>
          </w:tcPr>
          <w:p>
            <w:pPr>
              <w:spacing w:after="0"/>
              <w:rPr>
                <w:sz w:val="10"/>
                <w:szCs w:val="10"/>
                <w:color w:val="auto"/>
              </w:rPr>
            </w:pPr>
          </w:p>
        </w:tc>
      </w:tr>
      <w:tr>
        <w:trPr>
          <w:trHeight w:val="122"/>
        </w:trPr>
        <w:tc>
          <w:tcPr>
            <w:tcW w:w="2000" w:type="dxa"/>
            <w:vAlign w:val="bottom"/>
            <w:shd w:val="clear" w:color="auto" w:fill="E7E7E8"/>
          </w:tcPr>
          <w:p>
            <w:pPr>
              <w:spacing w:after="0"/>
              <w:rPr>
                <w:sz w:val="10"/>
                <w:szCs w:val="10"/>
                <w:color w:val="auto"/>
              </w:rPr>
            </w:pPr>
          </w:p>
        </w:tc>
        <w:tc>
          <w:tcPr>
            <w:tcW w:w="1800" w:type="dxa"/>
            <w:vAlign w:val="bottom"/>
            <w:shd w:val="clear" w:color="auto" w:fill="E7E7E8"/>
          </w:tcPr>
          <w:p>
            <w:pPr>
              <w:jc w:val="right"/>
              <w:ind w:right="123"/>
              <w:spacing w:after="0" w:line="122" w:lineRule="exact"/>
              <w:rPr>
                <w:sz w:val="20"/>
                <w:szCs w:val="20"/>
                <w:color w:val="auto"/>
              </w:rPr>
            </w:pPr>
            <w:r>
              <w:rPr>
                <w:rFonts w:ascii="Arial" w:cs="Arial" w:eastAsia="Arial" w:hAnsi="Arial"/>
                <w:sz w:val="11"/>
                <w:szCs w:val="11"/>
                <w:b w:val="1"/>
                <w:bCs w:val="1"/>
                <w:color w:val="auto"/>
              </w:rPr>
              <w:t>Executive</w:t>
            </w:r>
          </w:p>
        </w:tc>
        <w:tc>
          <w:tcPr>
            <w:tcW w:w="1000" w:type="dxa"/>
            <w:vAlign w:val="bottom"/>
            <w:shd w:val="clear" w:color="auto" w:fill="E7E7E8"/>
          </w:tcPr>
          <w:p>
            <w:pPr>
              <w:jc w:val="right"/>
              <w:ind w:right="103"/>
              <w:spacing w:after="0" w:line="122" w:lineRule="exact"/>
              <w:rPr>
                <w:sz w:val="20"/>
                <w:szCs w:val="20"/>
                <w:color w:val="auto"/>
              </w:rPr>
            </w:pPr>
            <w:r>
              <w:rPr>
                <w:rFonts w:ascii="Arial" w:cs="Arial" w:eastAsia="Arial" w:hAnsi="Arial"/>
                <w:sz w:val="11"/>
                <w:szCs w:val="11"/>
                <w:b w:val="1"/>
                <w:bCs w:val="1"/>
                <w:color w:val="auto"/>
              </w:rPr>
              <w:t>Contributions</w:t>
            </w:r>
          </w:p>
        </w:tc>
        <w:tc>
          <w:tcPr>
            <w:tcW w:w="1480" w:type="dxa"/>
            <w:vAlign w:val="bottom"/>
            <w:shd w:val="clear" w:color="auto" w:fill="E7E7E8"/>
          </w:tcPr>
          <w:p>
            <w:pPr>
              <w:jc w:val="right"/>
              <w:ind w:right="763"/>
              <w:spacing w:after="0" w:line="122" w:lineRule="exact"/>
              <w:rPr>
                <w:sz w:val="20"/>
                <w:szCs w:val="20"/>
                <w:color w:val="auto"/>
              </w:rPr>
            </w:pPr>
            <w:r>
              <w:rPr>
                <w:rFonts w:ascii="Arial" w:cs="Arial" w:eastAsia="Arial" w:hAnsi="Arial"/>
                <w:sz w:val="11"/>
                <w:szCs w:val="11"/>
                <w:b w:val="1"/>
                <w:bCs w:val="1"/>
                <w:color w:val="auto"/>
              </w:rPr>
              <w:t>Earnings</w:t>
            </w:r>
          </w:p>
        </w:tc>
        <w:tc>
          <w:tcPr>
            <w:tcW w:w="1900" w:type="dxa"/>
            <w:vAlign w:val="bottom"/>
            <w:shd w:val="clear" w:color="auto" w:fill="E7E7E8"/>
          </w:tcPr>
          <w:p>
            <w:pPr>
              <w:jc w:val="right"/>
              <w:ind w:right="124"/>
              <w:spacing w:after="0" w:line="122" w:lineRule="exact"/>
              <w:rPr>
                <w:sz w:val="20"/>
                <w:szCs w:val="20"/>
                <w:color w:val="auto"/>
              </w:rPr>
            </w:pPr>
            <w:r>
              <w:rPr>
                <w:rFonts w:ascii="Arial" w:cs="Arial" w:eastAsia="Arial" w:hAnsi="Arial"/>
                <w:sz w:val="11"/>
                <w:szCs w:val="11"/>
                <w:b w:val="1"/>
                <w:bCs w:val="1"/>
                <w:color w:val="auto"/>
              </w:rPr>
              <w:t>Withdrawals/</w:t>
            </w:r>
          </w:p>
        </w:tc>
        <w:tc>
          <w:tcPr>
            <w:tcW w:w="1080" w:type="dxa"/>
            <w:vAlign w:val="bottom"/>
            <w:shd w:val="clear" w:color="auto" w:fill="E7E7E8"/>
          </w:tcPr>
          <w:p>
            <w:pPr>
              <w:spacing w:after="0"/>
              <w:rPr>
                <w:sz w:val="10"/>
                <w:szCs w:val="10"/>
                <w:color w:val="auto"/>
              </w:rPr>
            </w:pPr>
          </w:p>
        </w:tc>
      </w:tr>
      <w:tr>
        <w:trPr>
          <w:trHeight w:val="141"/>
        </w:trPr>
        <w:tc>
          <w:tcPr>
            <w:tcW w:w="2000" w:type="dxa"/>
            <w:vAlign w:val="bottom"/>
            <w:shd w:val="clear" w:color="auto" w:fill="E7E7E8"/>
          </w:tcPr>
          <w:p>
            <w:pPr>
              <w:spacing w:after="0"/>
              <w:rPr>
                <w:sz w:val="12"/>
                <w:szCs w:val="12"/>
                <w:color w:val="auto"/>
              </w:rPr>
            </w:pPr>
          </w:p>
        </w:tc>
        <w:tc>
          <w:tcPr>
            <w:tcW w:w="1800" w:type="dxa"/>
            <w:vAlign w:val="bottom"/>
            <w:shd w:val="clear" w:color="auto" w:fill="E7E7E8"/>
          </w:tcPr>
          <w:p>
            <w:pPr>
              <w:jc w:val="right"/>
              <w:ind w:right="123"/>
              <w:spacing w:after="0"/>
              <w:rPr>
                <w:sz w:val="20"/>
                <w:szCs w:val="20"/>
                <w:color w:val="auto"/>
              </w:rPr>
            </w:pPr>
            <w:r>
              <w:rPr>
                <w:rFonts w:ascii="Arial" w:cs="Arial" w:eastAsia="Arial" w:hAnsi="Arial"/>
                <w:sz w:val="11"/>
                <w:szCs w:val="11"/>
                <w:b w:val="1"/>
                <w:bCs w:val="1"/>
                <w:color w:val="auto"/>
              </w:rPr>
              <w:t>Contributions</w:t>
            </w:r>
          </w:p>
        </w:tc>
        <w:tc>
          <w:tcPr>
            <w:tcW w:w="1000" w:type="dxa"/>
            <w:vAlign w:val="bottom"/>
            <w:shd w:val="clear" w:color="auto" w:fill="E7E7E8"/>
          </w:tcPr>
          <w:p>
            <w:pPr>
              <w:jc w:val="right"/>
              <w:ind w:right="103"/>
              <w:spacing w:after="0"/>
              <w:rPr>
                <w:sz w:val="20"/>
                <w:szCs w:val="20"/>
                <w:color w:val="auto"/>
              </w:rPr>
            </w:pPr>
            <w:r>
              <w:rPr>
                <w:rFonts w:ascii="Arial" w:cs="Arial" w:eastAsia="Arial" w:hAnsi="Arial"/>
                <w:sz w:val="11"/>
                <w:szCs w:val="11"/>
                <w:b w:val="1"/>
                <w:bCs w:val="1"/>
                <w:color w:val="auto"/>
              </w:rPr>
              <w:t>in Last</w:t>
            </w:r>
          </w:p>
        </w:tc>
        <w:tc>
          <w:tcPr>
            <w:tcW w:w="1480" w:type="dxa"/>
            <w:vAlign w:val="bottom"/>
            <w:shd w:val="clear" w:color="auto" w:fill="E7E7E8"/>
          </w:tcPr>
          <w:p>
            <w:pPr>
              <w:jc w:val="right"/>
              <w:ind w:right="763"/>
              <w:spacing w:after="0"/>
              <w:rPr>
                <w:sz w:val="20"/>
                <w:szCs w:val="20"/>
                <w:color w:val="auto"/>
              </w:rPr>
            </w:pPr>
            <w:r>
              <w:rPr>
                <w:rFonts w:ascii="Arial" w:cs="Arial" w:eastAsia="Arial" w:hAnsi="Arial"/>
                <w:sz w:val="11"/>
                <w:szCs w:val="11"/>
                <w:b w:val="1"/>
                <w:bCs w:val="1"/>
                <w:color w:val="auto"/>
              </w:rPr>
              <w:t>in Last</w:t>
            </w:r>
          </w:p>
        </w:tc>
        <w:tc>
          <w:tcPr>
            <w:tcW w:w="1900" w:type="dxa"/>
            <w:vAlign w:val="bottom"/>
            <w:shd w:val="clear" w:color="auto" w:fill="E7E7E8"/>
          </w:tcPr>
          <w:p>
            <w:pPr>
              <w:jc w:val="right"/>
              <w:ind w:right="124"/>
              <w:spacing w:after="0" w:line="141" w:lineRule="exact"/>
              <w:rPr>
                <w:sz w:val="20"/>
                <w:szCs w:val="20"/>
                <w:color w:val="auto"/>
              </w:rPr>
            </w:pPr>
            <w:r>
              <w:rPr>
                <w:rFonts w:ascii="Arial" w:cs="Arial" w:eastAsia="Arial" w:hAnsi="Arial"/>
                <w:sz w:val="10"/>
                <w:szCs w:val="10"/>
                <w:b w:val="1"/>
                <w:bCs w:val="1"/>
                <w:color w:val="auto"/>
              </w:rPr>
              <w:t>Distributions ($)</w:t>
            </w:r>
            <w:r>
              <w:rPr>
                <w:rFonts w:ascii="Arial" w:cs="Arial" w:eastAsia="Arial" w:hAnsi="Arial"/>
                <w:sz w:val="16"/>
                <w:szCs w:val="16"/>
                <w:b w:val="1"/>
                <w:bCs w:val="1"/>
                <w:color w:val="auto"/>
                <w:vertAlign w:val="superscript"/>
              </w:rPr>
              <w:t>(4)</w:t>
            </w:r>
          </w:p>
        </w:tc>
        <w:tc>
          <w:tcPr>
            <w:tcW w:w="1080" w:type="dxa"/>
            <w:vAlign w:val="bottom"/>
            <w:shd w:val="clear" w:color="auto" w:fill="E7E7E8"/>
          </w:tcPr>
          <w:p>
            <w:pPr>
              <w:jc w:val="right"/>
              <w:spacing w:after="0"/>
              <w:rPr>
                <w:sz w:val="20"/>
                <w:szCs w:val="20"/>
                <w:color w:val="auto"/>
              </w:rPr>
            </w:pPr>
            <w:r>
              <w:rPr>
                <w:rFonts w:ascii="Arial" w:cs="Arial" w:eastAsia="Arial" w:hAnsi="Arial"/>
                <w:sz w:val="11"/>
                <w:szCs w:val="11"/>
                <w:b w:val="1"/>
                <w:bCs w:val="1"/>
                <w:color w:val="auto"/>
              </w:rPr>
              <w:t>Aggregate Balance</w:t>
            </w:r>
          </w:p>
        </w:tc>
      </w:tr>
      <w:tr>
        <w:trPr>
          <w:trHeight w:val="111"/>
        </w:trPr>
        <w:tc>
          <w:tcPr>
            <w:tcW w:w="2000" w:type="dxa"/>
            <w:vAlign w:val="bottom"/>
            <w:shd w:val="clear" w:color="auto" w:fill="E7E7E8"/>
          </w:tcPr>
          <w:p>
            <w:pPr>
              <w:spacing w:after="0"/>
              <w:rPr>
                <w:sz w:val="9"/>
                <w:szCs w:val="9"/>
                <w:color w:val="auto"/>
              </w:rPr>
            </w:pPr>
          </w:p>
        </w:tc>
        <w:tc>
          <w:tcPr>
            <w:tcW w:w="1800" w:type="dxa"/>
            <w:vAlign w:val="bottom"/>
            <w:shd w:val="clear" w:color="auto" w:fill="E7E7E8"/>
          </w:tcPr>
          <w:p>
            <w:pPr>
              <w:jc w:val="right"/>
              <w:ind w:right="123"/>
              <w:spacing w:after="0" w:line="111" w:lineRule="exact"/>
              <w:rPr>
                <w:sz w:val="20"/>
                <w:szCs w:val="20"/>
                <w:color w:val="auto"/>
              </w:rPr>
            </w:pPr>
            <w:r>
              <w:rPr>
                <w:rFonts w:ascii="Arial" w:cs="Arial" w:eastAsia="Arial" w:hAnsi="Arial"/>
                <w:sz w:val="11"/>
                <w:szCs w:val="11"/>
                <w:b w:val="1"/>
                <w:bCs w:val="1"/>
                <w:color w:val="auto"/>
              </w:rPr>
              <w:t>in Last Fiscal</w:t>
            </w:r>
          </w:p>
        </w:tc>
        <w:tc>
          <w:tcPr>
            <w:tcW w:w="1000" w:type="dxa"/>
            <w:vAlign w:val="bottom"/>
            <w:shd w:val="clear" w:color="auto" w:fill="E7E7E8"/>
          </w:tcPr>
          <w:p>
            <w:pPr>
              <w:jc w:val="right"/>
              <w:ind w:right="103"/>
              <w:spacing w:after="0" w:line="111" w:lineRule="exact"/>
              <w:rPr>
                <w:sz w:val="20"/>
                <w:szCs w:val="20"/>
                <w:color w:val="auto"/>
              </w:rPr>
            </w:pPr>
            <w:r>
              <w:rPr>
                <w:rFonts w:ascii="Arial" w:cs="Arial" w:eastAsia="Arial" w:hAnsi="Arial"/>
                <w:sz w:val="11"/>
                <w:szCs w:val="11"/>
                <w:b w:val="1"/>
                <w:bCs w:val="1"/>
                <w:color w:val="auto"/>
              </w:rPr>
              <w:t>Fiscal Year</w:t>
            </w:r>
          </w:p>
        </w:tc>
        <w:tc>
          <w:tcPr>
            <w:tcW w:w="1480" w:type="dxa"/>
            <w:vAlign w:val="bottom"/>
            <w:shd w:val="clear" w:color="auto" w:fill="E7E7E8"/>
          </w:tcPr>
          <w:p>
            <w:pPr>
              <w:jc w:val="right"/>
              <w:ind w:right="763"/>
              <w:spacing w:after="0" w:line="111" w:lineRule="exact"/>
              <w:rPr>
                <w:sz w:val="20"/>
                <w:szCs w:val="20"/>
                <w:color w:val="auto"/>
              </w:rPr>
            </w:pPr>
            <w:r>
              <w:rPr>
                <w:rFonts w:ascii="Arial" w:cs="Arial" w:eastAsia="Arial" w:hAnsi="Arial"/>
                <w:sz w:val="11"/>
                <w:szCs w:val="11"/>
                <w:b w:val="1"/>
                <w:bCs w:val="1"/>
                <w:color w:val="auto"/>
              </w:rPr>
              <w:t>Fiscal</w:t>
            </w:r>
          </w:p>
        </w:tc>
        <w:tc>
          <w:tcPr>
            <w:tcW w:w="1900" w:type="dxa"/>
            <w:vAlign w:val="bottom"/>
            <w:shd w:val="clear" w:color="auto" w:fill="E7E7E8"/>
          </w:tcPr>
          <w:p>
            <w:pPr>
              <w:spacing w:after="0"/>
              <w:rPr>
                <w:sz w:val="9"/>
                <w:szCs w:val="9"/>
                <w:color w:val="auto"/>
              </w:rPr>
            </w:pPr>
          </w:p>
        </w:tc>
        <w:tc>
          <w:tcPr>
            <w:tcW w:w="1080" w:type="dxa"/>
            <w:vAlign w:val="bottom"/>
            <w:shd w:val="clear" w:color="auto" w:fill="E7E7E8"/>
          </w:tcPr>
          <w:p>
            <w:pPr>
              <w:jc w:val="right"/>
              <w:spacing w:after="0" w:line="111" w:lineRule="exact"/>
              <w:rPr>
                <w:sz w:val="20"/>
                <w:szCs w:val="20"/>
                <w:color w:val="auto"/>
              </w:rPr>
            </w:pPr>
            <w:r>
              <w:rPr>
                <w:rFonts w:ascii="Arial" w:cs="Arial" w:eastAsia="Arial" w:hAnsi="Arial"/>
                <w:sz w:val="11"/>
                <w:szCs w:val="11"/>
                <w:b w:val="1"/>
                <w:bCs w:val="1"/>
                <w:color w:val="auto"/>
              </w:rPr>
              <w:t>at Last Fiscal</w:t>
            </w:r>
          </w:p>
        </w:tc>
      </w:tr>
      <w:tr>
        <w:trPr>
          <w:trHeight w:val="164"/>
        </w:trPr>
        <w:tc>
          <w:tcPr>
            <w:tcW w:w="2000" w:type="dxa"/>
            <w:vAlign w:val="bottom"/>
            <w:shd w:val="clear" w:color="auto" w:fill="E7E7E8"/>
          </w:tcPr>
          <w:p>
            <w:pPr>
              <w:spacing w:after="0"/>
              <w:rPr>
                <w:sz w:val="20"/>
                <w:szCs w:val="20"/>
                <w:color w:val="auto"/>
              </w:rPr>
            </w:pPr>
            <w:r>
              <w:rPr>
                <w:rFonts w:ascii="Arial" w:cs="Arial" w:eastAsia="Arial" w:hAnsi="Arial"/>
                <w:sz w:val="11"/>
                <w:szCs w:val="11"/>
                <w:b w:val="1"/>
                <w:bCs w:val="1"/>
                <w:color w:val="auto"/>
              </w:rPr>
              <w:t>Name</w:t>
            </w:r>
          </w:p>
        </w:tc>
        <w:tc>
          <w:tcPr>
            <w:tcW w:w="1800" w:type="dxa"/>
            <w:vAlign w:val="bottom"/>
            <w:shd w:val="clear" w:color="auto" w:fill="E7E7E8"/>
          </w:tcPr>
          <w:p>
            <w:pPr>
              <w:jc w:val="right"/>
              <w:ind w:right="123"/>
              <w:spacing w:after="0" w:line="164" w:lineRule="exact"/>
              <w:rPr>
                <w:sz w:val="20"/>
                <w:szCs w:val="20"/>
                <w:color w:val="auto"/>
              </w:rPr>
            </w:pPr>
            <w:r>
              <w:rPr>
                <w:rFonts w:ascii="Arial" w:cs="Arial" w:eastAsia="Arial" w:hAnsi="Arial"/>
                <w:sz w:val="11"/>
                <w:szCs w:val="11"/>
                <w:b w:val="1"/>
                <w:bCs w:val="1"/>
                <w:color w:val="auto"/>
              </w:rPr>
              <w:t>Year ($)</w:t>
            </w:r>
            <w:r>
              <w:rPr>
                <w:rFonts w:ascii="Arial" w:cs="Arial" w:eastAsia="Arial" w:hAnsi="Arial"/>
                <w:sz w:val="18"/>
                <w:szCs w:val="18"/>
                <w:b w:val="1"/>
                <w:bCs w:val="1"/>
                <w:color w:val="auto"/>
                <w:vertAlign w:val="superscript"/>
              </w:rPr>
              <w:t>(1)</w:t>
            </w:r>
          </w:p>
        </w:tc>
        <w:tc>
          <w:tcPr>
            <w:tcW w:w="1000" w:type="dxa"/>
            <w:vAlign w:val="bottom"/>
            <w:shd w:val="clear" w:color="auto" w:fill="E7E7E8"/>
          </w:tcPr>
          <w:p>
            <w:pPr>
              <w:jc w:val="right"/>
              <w:ind w:right="103"/>
              <w:spacing w:after="0" w:line="164"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(2)</w:t>
            </w:r>
          </w:p>
        </w:tc>
        <w:tc>
          <w:tcPr>
            <w:tcW w:w="1480" w:type="dxa"/>
            <w:vAlign w:val="bottom"/>
            <w:shd w:val="clear" w:color="auto" w:fill="E7E7E8"/>
          </w:tcPr>
          <w:p>
            <w:pPr>
              <w:jc w:val="right"/>
              <w:ind w:right="763"/>
              <w:spacing w:after="0" w:line="164" w:lineRule="exact"/>
              <w:rPr>
                <w:sz w:val="20"/>
                <w:szCs w:val="20"/>
                <w:color w:val="auto"/>
              </w:rPr>
            </w:pPr>
            <w:r>
              <w:rPr>
                <w:rFonts w:ascii="Arial" w:cs="Arial" w:eastAsia="Arial" w:hAnsi="Arial"/>
                <w:sz w:val="11"/>
                <w:szCs w:val="11"/>
                <w:b w:val="1"/>
                <w:bCs w:val="1"/>
                <w:color w:val="auto"/>
              </w:rPr>
              <w:t>Year ($)</w:t>
            </w:r>
            <w:r>
              <w:rPr>
                <w:rFonts w:ascii="Arial" w:cs="Arial" w:eastAsia="Arial" w:hAnsi="Arial"/>
                <w:sz w:val="18"/>
                <w:szCs w:val="18"/>
                <w:b w:val="1"/>
                <w:bCs w:val="1"/>
                <w:color w:val="auto"/>
                <w:vertAlign w:val="superscript"/>
              </w:rPr>
              <w:t>(3)</w:t>
            </w:r>
          </w:p>
        </w:tc>
        <w:tc>
          <w:tcPr>
            <w:tcW w:w="1900" w:type="dxa"/>
            <w:vAlign w:val="bottom"/>
            <w:shd w:val="clear" w:color="auto" w:fill="E7E7E8"/>
          </w:tcPr>
          <w:p>
            <w:pPr>
              <w:spacing w:after="0"/>
              <w:rPr>
                <w:sz w:val="14"/>
                <w:szCs w:val="14"/>
                <w:color w:val="auto"/>
              </w:rPr>
            </w:pPr>
          </w:p>
        </w:tc>
        <w:tc>
          <w:tcPr>
            <w:tcW w:w="1080" w:type="dxa"/>
            <w:vAlign w:val="bottom"/>
            <w:shd w:val="clear" w:color="auto" w:fill="E7E7E8"/>
          </w:tcPr>
          <w:p>
            <w:pPr>
              <w:jc w:val="right"/>
              <w:spacing w:after="0" w:line="164" w:lineRule="exact"/>
              <w:rPr>
                <w:sz w:val="20"/>
                <w:szCs w:val="20"/>
                <w:color w:val="auto"/>
              </w:rPr>
            </w:pPr>
            <w:r>
              <w:rPr>
                <w:rFonts w:ascii="Arial" w:cs="Arial" w:eastAsia="Arial" w:hAnsi="Arial"/>
                <w:sz w:val="11"/>
                <w:szCs w:val="11"/>
                <w:b w:val="1"/>
                <w:bCs w:val="1"/>
                <w:color w:val="auto"/>
              </w:rPr>
              <w:t>Year End ($)</w:t>
            </w:r>
            <w:r>
              <w:rPr>
                <w:rFonts w:ascii="Arial" w:cs="Arial" w:eastAsia="Arial" w:hAnsi="Arial"/>
                <w:sz w:val="18"/>
                <w:szCs w:val="18"/>
                <w:b w:val="1"/>
                <w:bCs w:val="1"/>
                <w:color w:val="auto"/>
                <w:vertAlign w:val="superscript"/>
              </w:rPr>
              <w:t>(5)</w:t>
            </w:r>
          </w:p>
        </w:tc>
      </w:tr>
      <w:tr>
        <w:trPr>
          <w:trHeight w:val="129"/>
        </w:trPr>
        <w:tc>
          <w:tcPr>
            <w:tcW w:w="2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James C. Fish, Jr.</w:t>
            </w:r>
          </w:p>
        </w:tc>
        <w:tc>
          <w:tcPr>
            <w:tcW w:w="18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262,240</w:t>
            </w: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135,329</w:t>
            </w:r>
          </w:p>
        </w:tc>
        <w:tc>
          <w:tcPr>
            <w:tcW w:w="148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rPr>
              <w:t>177,929</w:t>
            </w:r>
          </w:p>
        </w:tc>
        <w:tc>
          <w:tcPr>
            <w:tcW w:w="19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rPr>
              <w:t>79,965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5,044,494</w:t>
            </w:r>
          </w:p>
        </w:tc>
      </w:tr>
      <w:tr>
        <w:trPr>
          <w:trHeight w:val="129"/>
        </w:trPr>
        <w:tc>
          <w:tcPr>
            <w:tcW w:w="2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Devina A. Rankin</w:t>
            </w:r>
          </w:p>
        </w:tc>
        <w:tc>
          <w:tcPr>
            <w:tcW w:w="18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50,119</w:t>
            </w: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40,561</w:t>
            </w:r>
          </w:p>
        </w:tc>
        <w:tc>
          <w:tcPr>
            <w:tcW w:w="148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rPr>
              <w:t>(149)</w:t>
            </w:r>
          </w:p>
        </w:tc>
        <w:tc>
          <w:tcPr>
            <w:tcW w:w="19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207,733</w:t>
            </w:r>
          </w:p>
        </w:tc>
      </w:tr>
      <w:tr>
        <w:trPr>
          <w:trHeight w:val="129"/>
        </w:trPr>
        <w:tc>
          <w:tcPr>
            <w:tcW w:w="2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James E. Trevathan, Jr.</w:t>
            </w:r>
          </w:p>
        </w:tc>
        <w:tc>
          <w:tcPr>
            <w:tcW w:w="18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4,529,031</w:t>
            </w: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26,591</w:t>
            </w:r>
          </w:p>
        </w:tc>
        <w:tc>
          <w:tcPr>
            <w:tcW w:w="148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rPr>
              <w:t>332,701</w:t>
            </w:r>
          </w:p>
        </w:tc>
        <w:tc>
          <w:tcPr>
            <w:tcW w:w="19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rPr>
              <w:t>101,900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8,556,442</w:t>
            </w:r>
          </w:p>
        </w:tc>
      </w:tr>
      <w:tr>
        <w:trPr>
          <w:trHeight w:val="129"/>
        </w:trPr>
        <w:tc>
          <w:tcPr>
            <w:tcW w:w="2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Jeff M. Harris</w:t>
            </w:r>
          </w:p>
        </w:tc>
        <w:tc>
          <w:tcPr>
            <w:tcW w:w="18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157,169</w:t>
            </w: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61,222</w:t>
            </w:r>
          </w:p>
        </w:tc>
        <w:tc>
          <w:tcPr>
            <w:tcW w:w="148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rPr>
              <w:t>(29,105)</w:t>
            </w:r>
          </w:p>
        </w:tc>
        <w:tc>
          <w:tcPr>
            <w:tcW w:w="19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1,183,134</w:t>
            </w:r>
          </w:p>
        </w:tc>
      </w:tr>
      <w:tr>
        <w:trPr>
          <w:trHeight w:val="129"/>
        </w:trPr>
        <w:tc>
          <w:tcPr>
            <w:tcW w:w="20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John J. Morris, Jr.</w:t>
            </w:r>
          </w:p>
        </w:tc>
        <w:tc>
          <w:tcPr>
            <w:tcW w:w="18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70,148</w:t>
            </w: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55,273</w:t>
            </w:r>
          </w:p>
        </w:tc>
        <w:tc>
          <w:tcPr>
            <w:tcW w:w="148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color w:val="auto"/>
              </w:rPr>
              <w:t>(50,596)</w:t>
            </w:r>
          </w:p>
        </w:tc>
        <w:tc>
          <w:tcPr>
            <w:tcW w:w="19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1,287,093</w:t>
            </w:r>
          </w:p>
        </w:tc>
      </w:tr>
    </w:tbl>
    <w:p>
      <w:pPr>
        <w:spacing w:after="0" w:line="163" w:lineRule="exact"/>
        <w:rPr>
          <w:sz w:val="20"/>
          <w:szCs w:val="20"/>
          <w:color w:val="auto"/>
        </w:rPr>
      </w:pPr>
    </w:p>
    <w:p>
      <w:pPr>
        <w:ind w:left="1600" w:hanging="464"/>
        <w:spacing w:after="0" w:line="275" w:lineRule="auto"/>
        <w:tabs>
          <w:tab w:leader="none" w:pos="16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76" w:lineRule="exact"/>
        <w:rPr>
          <w:rFonts w:ascii="Arial" w:cs="Arial" w:eastAsia="Arial" w:hAnsi="Arial"/>
          <w:sz w:val="11"/>
          <w:szCs w:val="11"/>
          <w:color w:val="auto"/>
        </w:rPr>
      </w:pPr>
    </w:p>
    <w:p>
      <w:pPr>
        <w:ind w:left="1600" w:hanging="464"/>
        <w:spacing w:after="0"/>
        <w:tabs>
          <w:tab w:leader="none" w:pos="16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Company contributions to the executives' 409A Deferral Plan accounts are included in the All Other Compensation column in the Summary Compensation Table.</w:t>
      </w:r>
    </w:p>
    <w:p>
      <w:pPr>
        <w:spacing w:after="0" w:line="113" w:lineRule="exact"/>
        <w:rPr>
          <w:rFonts w:ascii="Arial" w:cs="Arial" w:eastAsia="Arial" w:hAnsi="Arial"/>
          <w:sz w:val="11"/>
          <w:szCs w:val="11"/>
          <w:color w:val="auto"/>
        </w:rPr>
      </w:pPr>
    </w:p>
    <w:p>
      <w:pPr>
        <w:jc w:val="both"/>
        <w:ind w:left="1600" w:hanging="464"/>
        <w:spacing w:after="0" w:line="248" w:lineRule="auto"/>
        <w:tabs>
          <w:tab w:leader="none" w:pos="16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case of Messrs. Fish and Trevathan, who have deferred receipt of 42,992 shares (not including the shares deferred in February 2019) and 54,785 shares, respectively, earnings also include the change in the closing price per share of the Company's Common Stock from December 31, 2017 to December 31, 2018, plus $1.86 of dividends paid per share of Common Stock in 2018, multiplied by the number of shares deferred. The value of all such deferred shares was included in the Option Exercises and Stock Vested table for the year of vesting.</w:t>
      </w:r>
    </w:p>
    <w:p>
      <w:pPr>
        <w:spacing w:after="0" w:line="90" w:lineRule="exact"/>
        <w:rPr>
          <w:rFonts w:ascii="Arial" w:cs="Arial" w:eastAsia="Arial" w:hAnsi="Arial"/>
          <w:sz w:val="11"/>
          <w:szCs w:val="11"/>
          <w:color w:val="auto"/>
        </w:rPr>
      </w:pPr>
    </w:p>
    <w:p>
      <w:pPr>
        <w:ind w:left="1600" w:hanging="464"/>
        <w:spacing w:after="0"/>
        <w:tabs>
          <w:tab w:leader="none" w:pos="16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Amounts shown in this column consist of dividend equivalents paid out on deferred shares.</w:t>
      </w:r>
    </w:p>
    <w:p>
      <w:pPr>
        <w:spacing w:after="0" w:line="113" w:lineRule="exact"/>
        <w:rPr>
          <w:rFonts w:ascii="Arial" w:cs="Arial" w:eastAsia="Arial" w:hAnsi="Arial"/>
          <w:sz w:val="11"/>
          <w:szCs w:val="11"/>
          <w:color w:val="auto"/>
        </w:rPr>
      </w:pPr>
    </w:p>
    <w:p>
      <w:pPr>
        <w:ind w:left="1600" w:hanging="464"/>
        <w:spacing w:after="0" w:line="275" w:lineRule="auto"/>
        <w:tabs>
          <w:tab w:leader="none" w:pos="16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Amounts shown in this column include the following amounts that were reported as compensation to the named executive in the Summary Compensation Table for 2016-2018: Mr. Fish — $711,421; Ms. Rankin — $139,201; Mr. Trevathan — $257,482; Mr. Harris — $582,940; and Mr. Morris — $333,153.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98" w:lineRule="exact"/>
        <w:rPr>
          <w:sz w:val="20"/>
          <w:szCs w:val="20"/>
          <w:color w:val="auto"/>
        </w:rPr>
      </w:pPr>
    </w:p>
    <w:p>
      <w:pPr>
        <w:jc w:val="both"/>
        <w:ind w:firstLine="498"/>
        <w:spacing w:after="0" w:line="277" w:lineRule="auto"/>
        <w:rPr>
          <w:sz w:val="20"/>
          <w:szCs w:val="20"/>
          <w:color w:val="auto"/>
        </w:rPr>
      </w:pPr>
      <w:r>
        <w:rPr>
          <w:rFonts w:ascii="Arial" w:cs="Arial" w:eastAsia="Arial" w:hAnsi="Arial"/>
          <w:sz w:val="14"/>
          <w:szCs w:val="14"/>
          <w:i w:val="1"/>
          <w:iCs w:val="1"/>
          <w:u w:val="single" w:color="auto"/>
          <w:color w:val="auto"/>
        </w:rPr>
        <w:t>Change in Control</w:t>
      </w:r>
      <w:r>
        <w:rPr>
          <w:rFonts w:ascii="Arial" w:cs="Arial" w:eastAsia="Arial" w:hAnsi="Arial"/>
          <w:sz w:val="14"/>
          <w:szCs w:val="14"/>
          <w:i w:val="1"/>
          <w:iCs w:val="1"/>
          <w:color w:val="auto"/>
        </w:rPr>
        <w:t xml:space="preserve">. </w:t>
      </w:r>
      <w:r>
        <w:rPr>
          <w:rFonts w:ascii="Arial" w:cs="Arial" w:eastAsia="Arial" w:hAnsi="Arial"/>
          <w:sz w:val="14"/>
          <w:szCs w:val="14"/>
          <w:color w:val="auto"/>
        </w:rPr>
        <w:t>The post-employment compensation our named executives receive is based on provisions included in retirement and severance plan documents, employment</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which are not routinely a component of our named executive officer compensation,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153" w:lineRule="exact"/>
        <w:rPr>
          <w:sz w:val="20"/>
          <w:szCs w:val="20"/>
          <w:color w:val="auto"/>
        </w:rPr>
      </w:pPr>
    </w:p>
    <w:p>
      <w:pPr>
        <w:jc w:val="both"/>
        <w:ind w:firstLine="475"/>
        <w:spacing w:after="0" w:line="259" w:lineRule="auto"/>
        <w:rPr>
          <w:sz w:val="20"/>
          <w:szCs w:val="20"/>
          <w:color w:val="auto"/>
        </w:rPr>
      </w:pPr>
      <w:r>
        <w:rPr>
          <w:rFonts w:ascii="Arial" w:cs="Arial" w:eastAsia="Arial" w:hAnsi="Arial"/>
          <w:sz w:val="15"/>
          <w:szCs w:val="15"/>
          <w:i w:val="1"/>
          <w:iCs w:val="1"/>
          <w:u w:val="single" w:color="auto"/>
          <w:color w:val="auto"/>
        </w:rPr>
        <w:t>Involuntary Termination or Resignation for Good Reason</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Severance Protection Plan, in the event a participant is terminated without cause or resigns for good reason,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two-year period); (b) continuation of group health benefits over a two-year period following termination and (c)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165" w:lineRule="exact"/>
        <w:rPr>
          <w:sz w:val="20"/>
          <w:szCs w:val="20"/>
          <w:color w:val="auto"/>
        </w:rPr>
      </w:pPr>
    </w:p>
    <w:p>
      <w:pPr>
        <w:jc w:val="both"/>
        <w:ind w:right="20" w:firstLine="382"/>
        <w:spacing w:after="0" w:line="314" w:lineRule="auto"/>
        <w:rPr>
          <w:sz w:val="20"/>
          <w:szCs w:val="20"/>
          <w:color w:val="auto"/>
        </w:rPr>
      </w:pPr>
      <w:r>
        <w:rPr>
          <w:rFonts w:ascii="Arial" w:cs="Arial" w:eastAsia="Arial" w:hAnsi="Arial"/>
          <w:sz w:val="14"/>
          <w:szCs w:val="14"/>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for the actual definitions.</w:t>
      </w:r>
    </w:p>
    <w:p>
      <w:pPr>
        <w:spacing w:after="0" w:line="128" w:lineRule="exact"/>
        <w:rPr>
          <w:sz w:val="20"/>
          <w:szCs w:val="20"/>
          <w:color w:val="auto"/>
        </w:rPr>
      </w:pPr>
    </w:p>
    <w:p>
      <w:pPr>
        <w:jc w:val="both"/>
        <w:ind w:left="440"/>
        <w:spacing w:after="0" w:line="356" w:lineRule="auto"/>
        <w:rPr>
          <w:sz w:val="20"/>
          <w:szCs w:val="20"/>
          <w:color w:val="auto"/>
        </w:rPr>
      </w:pPr>
      <w:r>
        <w:rPr>
          <w:rFonts w:ascii="Arial" w:cs="Arial" w:eastAsia="Arial" w:hAnsi="Arial"/>
          <w:sz w:val="13"/>
          <w:szCs w:val="13"/>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106" w:lineRule="exact"/>
        <w:rPr>
          <w:sz w:val="20"/>
          <w:szCs w:val="20"/>
          <w:color w:val="auto"/>
        </w:rPr>
      </w:pPr>
    </w:p>
    <w:p>
      <w:pPr>
        <w:jc w:val="both"/>
        <w:ind w:left="440"/>
        <w:spacing w:after="0" w:line="265" w:lineRule="auto"/>
        <w:rPr>
          <w:sz w:val="20"/>
          <w:szCs w:val="20"/>
          <w:color w:val="auto"/>
        </w:rPr>
      </w:pPr>
      <w:r>
        <w:rPr>
          <w:rFonts w:ascii="Arial" w:cs="Arial" w:eastAsia="Arial" w:hAnsi="Arial"/>
          <w:sz w:val="15"/>
          <w:szCs w:val="15"/>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161" w:lineRule="exact"/>
        <w:rPr>
          <w:sz w:val="20"/>
          <w:szCs w:val="20"/>
          <w:color w:val="auto"/>
        </w:rPr>
      </w:pPr>
    </w:p>
    <w:p>
      <w:pPr>
        <w:jc w:val="both"/>
        <w:ind w:left="440" w:right="20"/>
        <w:spacing w:after="0" w:line="265" w:lineRule="auto"/>
        <w:rPr>
          <w:sz w:val="20"/>
          <w:szCs w:val="20"/>
          <w:color w:val="auto"/>
        </w:rPr>
      </w:pPr>
      <w:r>
        <w:rPr>
          <w:rFonts w:ascii="Arial" w:cs="Arial" w:eastAsia="Arial" w:hAnsi="Arial"/>
          <w:sz w:val="15"/>
          <w:szCs w:val="15"/>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post-merger voting power of the surviving entity does not consist of the Company's pre-merger voting power, or a merger to effect a recapitalization that resulted in a person or persons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acting as a group acquired 25% or more of the Company's voting securities; or the Company is liquidating or selling all or substantially all of its assets.</w:t>
      </w:r>
    </w:p>
    <w:p>
      <w:pPr>
        <w:spacing w:after="0" w:line="194"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151" w:lineRule="exact"/>
        <w:rPr>
          <w:sz w:val="20"/>
          <w:szCs w:val="20"/>
          <w:color w:val="auto"/>
        </w:rPr>
      </w:pPr>
    </w:p>
    <w:p>
      <w:pPr>
        <w:jc w:val="both"/>
        <w:ind w:firstLine="418"/>
        <w:spacing w:after="0" w:line="258" w:lineRule="auto"/>
        <w:rPr>
          <w:sz w:val="20"/>
          <w:szCs w:val="20"/>
          <w:color w:val="auto"/>
        </w:rPr>
      </w:pPr>
      <w:r>
        <w:rPr>
          <w:rFonts w:ascii="Arial" w:cs="Arial" w:eastAsia="Arial" w:hAnsi="Arial"/>
          <w:sz w:val="15"/>
          <w:szCs w:val="15"/>
          <w:i w:val="1"/>
          <w:iCs w:val="1"/>
          <w:u w:val="single" w:color="auto"/>
          <w:color w:val="auto"/>
        </w:rPr>
        <w:t>Voluntary Termination; Retirement</w:t>
      </w:r>
      <w:r>
        <w:rPr>
          <w:rFonts w:ascii="Arial" w:cs="Arial" w:eastAsia="Arial" w:hAnsi="Arial"/>
          <w:sz w:val="15"/>
          <w:szCs w:val="15"/>
          <w:i w:val="1"/>
          <w:iCs w:val="1"/>
          <w:color w:val="auto"/>
        </w:rPr>
        <w:t xml:space="preserve">. </w:t>
      </w:r>
      <w:r>
        <w:rPr>
          <w:rFonts w:ascii="Arial" w:cs="Arial" w:eastAsia="Arial" w:hAnsi="Arial"/>
          <w:sz w:val="15"/>
          <w:szCs w:val="15"/>
          <w:color w:val="auto"/>
        </w:rPr>
        <w:t>Our equity award agreements generally provide that an executive forfeits unvested awards if he or she voluntarily terminates employment. RSUs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generally vest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upon an employee's qualifying retirement, and RSUs and PSUs generally vest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upon involuntary termination other than for cause. With respect to outstanding PSUs granted in 2017, such awards vest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upon an employee's qualifying retirement, except that the award agreement for PSUs granted to Mr. Trevathan in 2017 provides that such PSUs would not be prorated if his qualifying retirement occurred on or after December 31, 2018. For PSUs granted in 2018, the MD&amp;C Committee changed the treatment of such awards upon a qualifying retirement to provide all executive officers with full vesting of PSUs at the end of the performance period based on actual results achieved, instead of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vesting, provided that qualifying retirement occurred on or after December 31, 2018. This action was taken to align with market practices and aid recruitment and retention by providing a more competitive retirement benefit.</w:t>
      </w:r>
    </w:p>
    <w:p>
      <w:pPr>
        <w:spacing w:after="0" w:line="167" w:lineRule="exact"/>
        <w:rPr>
          <w:sz w:val="20"/>
          <w:szCs w:val="20"/>
          <w:color w:val="auto"/>
        </w:rPr>
      </w:pPr>
    </w:p>
    <w:p>
      <w:pPr>
        <w:jc w:val="both"/>
        <w:ind w:right="20" w:firstLine="401"/>
        <w:spacing w:after="0" w:line="356" w:lineRule="auto"/>
        <w:rPr>
          <w:sz w:val="20"/>
          <w:szCs w:val="20"/>
          <w:color w:val="auto"/>
        </w:rPr>
      </w:pPr>
      <w:r>
        <w:rPr>
          <w:rFonts w:ascii="Arial" w:cs="Arial" w:eastAsia="Arial" w:hAnsi="Arial"/>
          <w:sz w:val="13"/>
          <w:szCs w:val="13"/>
          <w:color w:val="auto"/>
        </w:rPr>
        <w:t>In the event of a recipient's qualifying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w:t>
      </w:r>
    </w:p>
    <w:p>
      <w:pPr>
        <w:spacing w:after="0" w:line="106" w:lineRule="exact"/>
        <w:rPr>
          <w:sz w:val="20"/>
          <w:szCs w:val="20"/>
          <w:color w:val="auto"/>
        </w:rPr>
      </w:pPr>
    </w:p>
    <w:p>
      <w:pPr>
        <w:jc w:val="both"/>
        <w:ind w:firstLine="498"/>
        <w:spacing w:after="0" w:line="262" w:lineRule="auto"/>
        <w:rPr>
          <w:sz w:val="20"/>
          <w:szCs w:val="20"/>
          <w:color w:val="auto"/>
        </w:rPr>
      </w:pPr>
      <w:r>
        <w:rPr>
          <w:rFonts w:ascii="Arial" w:cs="Arial" w:eastAsia="Arial" w:hAnsi="Arial"/>
          <w:sz w:val="15"/>
          <w:szCs w:val="15"/>
          <w:i w:val="1"/>
          <w:iCs w:val="1"/>
          <w:u w:val="single" w:color="auto"/>
          <w:color w:val="auto"/>
        </w:rPr>
        <w:t>Explanation of Tabular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The following table presents potential payouts to our currently-serving named executives at year-end upon termination of employment in the</w:t>
      </w:r>
      <w:r>
        <w:rPr>
          <w:rFonts w:ascii="Arial" w:cs="Arial" w:eastAsia="Arial" w:hAnsi="Arial"/>
          <w:sz w:val="15"/>
          <w:szCs w:val="15"/>
          <w:i w:val="1"/>
          <w:iCs w:val="1"/>
          <w:color w:val="auto"/>
        </w:rPr>
        <w:t xml:space="preserve"> </w:t>
      </w:r>
      <w:r>
        <w:rPr>
          <w:rFonts w:ascii="Arial" w:cs="Arial" w:eastAsia="Arial" w:hAnsi="Arial"/>
          <w:sz w:val="15"/>
          <w:szCs w:val="15"/>
          <w:color w:val="auto"/>
        </w:rPr>
        <w:t>circumstances indicated pursuant to the terms of applicable plans and agreements. The payouts set forth below assume the triggering event indicated occurred on December 31, 2018, when the closing price of our Common Stock was $88.99 per share. These payouts are calculated for SEC disclosure purposes and are not necessarily indicative of the actual amounts the named executive would receive. Please note the following when reviewing the payouts set forth below:</w:t>
      </w:r>
    </w:p>
    <w:p>
      <w:pPr>
        <w:spacing w:after="0" w:line="174" w:lineRule="exact"/>
        <w:rPr>
          <w:sz w:val="20"/>
          <w:szCs w:val="20"/>
          <w:color w:val="auto"/>
        </w:rPr>
      </w:pPr>
    </w:p>
    <w:p>
      <w:pPr>
        <w:ind w:left="900" w:right="20" w:hanging="451"/>
        <w:spacing w:after="0" w:line="277"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compensation component set forth below for accelerated vesting of stock options is comprised of the unvested stock options granted in 2016, 2017 and 2018, which vest 25% on the first and second anniversary of the date of grant and 50% on the third anniversary of the date of grant.</w:t>
      </w:r>
    </w:p>
    <w:p>
      <w:pPr>
        <w:spacing w:after="0" w:line="174"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For purposes of calculating the payout of performance share unit awards outstanding as of December 31, 2018, we have assumed that target performance was achieved; any actual performance share unit payouts will be based on actual performance of the Company during the performance period.</w:t>
      </w:r>
    </w:p>
    <w:p>
      <w:pPr>
        <w:spacing w:after="0" w:line="162" w:lineRule="exact"/>
        <w:rPr>
          <w:rFonts w:ascii="Arial" w:cs="Arial" w:eastAsia="Arial" w:hAnsi="Arial"/>
          <w:sz w:val="15"/>
          <w:szCs w:val="15"/>
          <w:color w:val="auto"/>
        </w:rPr>
      </w:pPr>
    </w:p>
    <w:p>
      <w:pPr>
        <w:jc w:val="both"/>
        <w:ind w:left="900" w:hanging="451"/>
        <w:spacing w:after="0" w:line="265"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2018.</w:t>
      </w:r>
    </w:p>
    <w:p>
      <w:pPr>
        <w:spacing w:after="0" w:line="172" w:lineRule="exact"/>
        <w:rPr>
          <w:rFonts w:ascii="Arial" w:cs="Arial" w:eastAsia="Arial" w:hAnsi="Arial"/>
          <w:sz w:val="15"/>
          <w:szCs w:val="15"/>
          <w:color w:val="auto"/>
        </w:rPr>
      </w:pPr>
    </w:p>
    <w:p>
      <w:pPr>
        <w:ind w:left="900" w:hanging="451"/>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payout for continuation of benefits is an estimate of the cost the Company would incur to continue those benefits.</w:t>
      </w:r>
    </w:p>
    <w:p>
      <w:pPr>
        <w:spacing w:after="0" w:line="216"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Company's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162"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Refer to the Nonqualified Deferred Compensation in 2018 table above for aggregate balances payable to the named executives under our 409A Deferral Plan pursuant to the named executive's distribution elections.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2"/>
        </w:trPr>
        <w:tc>
          <w:tcPr>
            <w:tcW w:w="7540" w:type="dxa"/>
            <w:vAlign w:val="bottom"/>
            <w:gridSpan w:val="4"/>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Table of Contents</w:t>
              </w:r>
            </w:hyperlink>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540" w:type="dxa"/>
            <w:vAlign w:val="bottom"/>
            <w:gridSpan w:val="4"/>
          </w:tcPr>
          <w:p>
            <w:pPr>
              <w:spacing w:after="0"/>
              <w:rPr>
                <w:sz w:val="20"/>
                <w:szCs w:val="20"/>
                <w:color w:val="auto"/>
              </w:rPr>
            </w:pPr>
            <w:r>
              <w:rPr>
                <w:rFonts w:ascii="Arial" w:cs="Arial" w:eastAsia="Arial" w:hAnsi="Arial"/>
                <w:sz w:val="15"/>
                <w:szCs w:val="15"/>
                <w:b w:val="1"/>
                <w:bCs w:val="1"/>
                <w:color w:val="auto"/>
              </w:rPr>
              <w:t>Potential Consideration upon Termination of Employment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5"/>
                <w:szCs w:val="15"/>
                <w:b w:val="1"/>
                <w:bCs w:val="1"/>
                <w:color w:val="auto"/>
                <w:w w:val="97"/>
              </w:rPr>
              <w:t>James C.</w:t>
            </w:r>
          </w:p>
        </w:tc>
        <w:tc>
          <w:tcPr>
            <w:tcW w:w="14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Devina A.</w:t>
            </w:r>
          </w:p>
        </w:tc>
        <w:tc>
          <w:tcPr>
            <w:tcW w:w="1980" w:type="dxa"/>
            <w:vAlign w:val="bottom"/>
            <w:gridSpan w:val="2"/>
          </w:tcPr>
          <w:p>
            <w:pPr>
              <w:jc w:val="center"/>
              <w:ind w:right="1140"/>
              <w:spacing w:after="0"/>
              <w:rPr>
                <w:sz w:val="20"/>
                <w:szCs w:val="20"/>
                <w:color w:val="auto"/>
              </w:rPr>
            </w:pPr>
            <w:r>
              <w:rPr>
                <w:rFonts w:ascii="Arial" w:cs="Arial" w:eastAsia="Arial" w:hAnsi="Arial"/>
                <w:sz w:val="15"/>
                <w:szCs w:val="15"/>
                <w:b w:val="1"/>
                <w:bCs w:val="1"/>
                <w:color w:val="auto"/>
                <w:w w:val="91"/>
              </w:rPr>
              <w:t>John J.</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6"/>
              <w:spacing w:after="0"/>
              <w:rPr>
                <w:sz w:val="20"/>
                <w:szCs w:val="20"/>
                <w:color w:val="auto"/>
              </w:rPr>
            </w:pPr>
            <w:r>
              <w:rPr>
                <w:rFonts w:ascii="Arial" w:cs="Arial" w:eastAsia="Arial" w:hAnsi="Arial"/>
                <w:sz w:val="15"/>
                <w:szCs w:val="15"/>
                <w:b w:val="1"/>
                <w:bCs w:val="1"/>
                <w:color w:val="auto"/>
              </w:rPr>
              <w:t>Fish, Jr.</w:t>
            </w:r>
          </w:p>
        </w:tc>
        <w:tc>
          <w:tcPr>
            <w:tcW w:w="14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Rankin</w:t>
            </w:r>
          </w:p>
        </w:tc>
        <w:tc>
          <w:tcPr>
            <w:tcW w:w="1980" w:type="dxa"/>
            <w:vAlign w:val="bottom"/>
            <w:gridSpan w:val="2"/>
          </w:tcPr>
          <w:p>
            <w:pPr>
              <w:jc w:val="center"/>
              <w:ind w:right="1180"/>
              <w:spacing w:after="0"/>
              <w:rPr>
                <w:sz w:val="20"/>
                <w:szCs w:val="20"/>
                <w:color w:val="auto"/>
              </w:rPr>
            </w:pPr>
            <w:r>
              <w:rPr>
                <w:rFonts w:ascii="Arial" w:cs="Arial" w:eastAsia="Arial" w:hAnsi="Arial"/>
                <w:sz w:val="15"/>
                <w:szCs w:val="15"/>
                <w:b w:val="1"/>
                <w:bCs w:val="1"/>
                <w:color w:val="auto"/>
                <w:w w:val="93"/>
              </w:rPr>
              <w:t>Morris, Jr.</w:t>
            </w: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Payout or Value of Compensation Components,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in dollars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shd w:val="clear" w:color="auto" w:fill="E7E7E8"/>
          </w:tcPr>
          <w:p>
            <w:pPr>
              <w:spacing w:after="0"/>
              <w:rPr>
                <w:sz w:val="20"/>
                <w:szCs w:val="20"/>
                <w:color w:val="auto"/>
              </w:rPr>
            </w:pPr>
            <w:r>
              <w:rPr>
                <w:rFonts w:ascii="Arial" w:cs="Arial" w:eastAsia="Arial" w:hAnsi="Arial"/>
                <w:sz w:val="15"/>
                <w:szCs w:val="15"/>
                <w:b w:val="1"/>
                <w:bCs w:val="1"/>
                <w:i w:val="1"/>
                <w:iCs w:val="1"/>
                <w:color w:val="auto"/>
              </w:rPr>
              <w:t>In Event of Death or Disability</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2,773,964</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510,837</w:t>
            </w:r>
          </w:p>
        </w:tc>
        <w:tc>
          <w:tcPr>
            <w:tcW w:w="1980" w:type="dxa"/>
            <w:vAlign w:val="bottom"/>
            <w:gridSpan w:val="2"/>
            <w:vMerge w:val="restart"/>
          </w:tcPr>
          <w:p>
            <w:pPr>
              <w:jc w:val="right"/>
              <w:ind w:right="1140"/>
              <w:spacing w:after="0"/>
              <w:rPr>
                <w:sz w:val="20"/>
                <w:szCs w:val="20"/>
                <w:color w:val="auto"/>
              </w:rPr>
            </w:pPr>
            <w:r>
              <w:rPr>
                <w:rFonts w:ascii="Arial" w:cs="Arial" w:eastAsia="Arial" w:hAnsi="Arial"/>
                <w:sz w:val="15"/>
                <w:szCs w:val="15"/>
                <w:color w:val="auto"/>
              </w:rPr>
              <w:t>1,329,644</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rPr>
              <w:t>•  Accelerated vesting of stock options</w:t>
            </w:r>
          </w:p>
        </w:tc>
        <w:tc>
          <w:tcPr>
            <w:tcW w:w="90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Payment of PSUs (contingent on actual performance at end of performance period)</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9,923,275</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2,393,831</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2,977,071</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Accelerated vesting of restricted stock units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463,460</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67,543</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Life insurance benefit paid by insurance company (in the case of death)</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1,100,000</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500,000</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634,000</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14,260,699</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3,472,211</w:t>
            </w: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4,940,715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shd w:val="clear" w:color="auto" w:fill="E7E7E8"/>
          </w:tcPr>
          <w:p>
            <w:pPr>
              <w:spacing w:after="0" w:line="158" w:lineRule="exact"/>
              <w:rPr>
                <w:sz w:val="20"/>
                <w:szCs w:val="20"/>
                <w:color w:val="auto"/>
              </w:rPr>
            </w:pPr>
            <w:r>
              <w:rPr>
                <w:rFonts w:ascii="Arial" w:cs="Arial" w:eastAsia="Arial" w:hAnsi="Arial"/>
                <w:sz w:val="15"/>
                <w:szCs w:val="15"/>
                <w:b w:val="1"/>
                <w:bCs w:val="1"/>
                <w:i w:val="1"/>
                <w:iCs w:val="1"/>
                <w:color w:val="auto"/>
                <w:w w:val="95"/>
              </w:rPr>
              <w:t>In Event of Termination Without Cause by the Company or For Good Reason by the Employee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w w:val="89"/>
              </w:rPr>
              <w:t>•  Two times base salary plus target annual cash bonus (one-half payable in lump sum; one-half payable in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Pr>
          <w:p>
            <w:pPr>
              <w:ind w:left="160"/>
              <w:spacing w:after="0"/>
              <w:rPr>
                <w:sz w:val="20"/>
                <w:szCs w:val="20"/>
                <w:color w:val="auto"/>
              </w:rPr>
            </w:pPr>
            <w:r>
              <w:rPr>
                <w:rFonts w:ascii="Arial" w:cs="Arial" w:eastAsia="Arial" w:hAnsi="Arial"/>
                <w:sz w:val="15"/>
                <w:szCs w:val="15"/>
                <w:color w:val="auto"/>
              </w:rPr>
              <w:t>bi-weekly installments over a two-year period)</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5,522,500</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2,152,410</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2,469,430</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Continued coverage under health and welfare benefit plans for two years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26,040</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26,040</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26,040</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Prorated payment of PSUs (contingent on actual performance at end of performance period)</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4,978,931</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1,132,190</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1,493,727</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Prorated vesting of restricted stock units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64,888</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64,166</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10,592,359</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3,374,806</w:t>
            </w: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3,989,197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shd w:val="clear" w:color="auto" w:fill="E7E7E8"/>
          </w:tcPr>
          <w:p>
            <w:pPr>
              <w:spacing w:after="0" w:line="151" w:lineRule="exact"/>
              <w:rPr>
                <w:sz w:val="20"/>
                <w:szCs w:val="20"/>
                <w:color w:val="auto"/>
              </w:rPr>
            </w:pPr>
            <w:r>
              <w:rPr>
                <w:rFonts w:ascii="Arial" w:cs="Arial" w:eastAsia="Arial" w:hAnsi="Arial"/>
                <w:sz w:val="15"/>
                <w:szCs w:val="15"/>
                <w:b w:val="1"/>
                <w:bCs w:val="1"/>
                <w:i w:val="1"/>
                <w:iCs w:val="1"/>
                <w:color w:val="auto"/>
                <w:w w:val="90"/>
              </w:rPr>
              <w:t>In Event of Termination Without Cause by the Company or For Good Reasons by the Employee Six</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80" w:type="dxa"/>
            <w:vAlign w:val="bottom"/>
            <w:shd w:val="clear" w:color="auto" w:fill="E7E7E8"/>
          </w:tcPr>
          <w:p>
            <w:pPr>
              <w:spacing w:after="0"/>
              <w:rPr>
                <w:sz w:val="20"/>
                <w:szCs w:val="20"/>
                <w:color w:val="auto"/>
              </w:rPr>
            </w:pPr>
            <w:r>
              <w:rPr>
                <w:rFonts w:ascii="Arial" w:cs="Arial" w:eastAsia="Arial" w:hAnsi="Arial"/>
                <w:sz w:val="15"/>
                <w:szCs w:val="15"/>
                <w:b w:val="1"/>
                <w:bCs w:val="1"/>
                <w:i w:val="1"/>
                <w:iCs w:val="1"/>
                <w:color w:val="auto"/>
              </w:rPr>
              <w:t>Months Following a Change in Control (Double Trigger)</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5"/>
                <w:szCs w:val="15"/>
                <w:color w:val="auto"/>
                <w:w w:val="89"/>
              </w:rPr>
              <w:t>•  Two times base salary plus target annual cash bonus (one-half payable in lump sum; one-half payable in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Pr>
          <w:p>
            <w:pPr>
              <w:ind w:left="160"/>
              <w:spacing w:after="0"/>
              <w:rPr>
                <w:sz w:val="20"/>
                <w:szCs w:val="20"/>
                <w:color w:val="auto"/>
              </w:rPr>
            </w:pPr>
            <w:r>
              <w:rPr>
                <w:rFonts w:ascii="Arial" w:cs="Arial" w:eastAsia="Arial" w:hAnsi="Arial"/>
                <w:sz w:val="15"/>
                <w:szCs w:val="15"/>
                <w:color w:val="auto"/>
              </w:rPr>
              <w:t>bi-weekly installments over a two-year period)</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5,522,500</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2,152,410</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2,469,430</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Continued coverage under health and welfare benefit plans for two years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26,040</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26,040</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26,040</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Accelerated vesting of stock options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2,773,964</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510,837</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1,329,644</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Prorated accelerated payment of PSUs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4,978,931</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1,132,190</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1,493,727</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Accelerated payment of PSUs replacement grant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4,944,344</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1,261,641</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1,483,344</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Accelerated vesting of restricted stock units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463,460</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67,543</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0" w:type="dxa"/>
            <w:vAlign w:val="bottom"/>
            <w:gridSpan w:val="2"/>
          </w:tcPr>
          <w:p>
            <w:pPr>
              <w:spacing w:after="0"/>
              <w:rPr>
                <w:sz w:val="20"/>
                <w:szCs w:val="20"/>
                <w:color w:val="auto"/>
              </w:rPr>
            </w:pPr>
            <w:r>
              <w:rPr>
                <w:rFonts w:ascii="Arial" w:cs="Arial" w:eastAsia="Arial" w:hAnsi="Arial"/>
                <w:sz w:val="15"/>
                <w:szCs w:val="15"/>
                <w:color w:val="auto"/>
              </w:rPr>
              <w:t>•  Prorated maximum annual cash bonus</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3,172,500</w:t>
            </w:r>
          </w:p>
        </w:tc>
        <w:tc>
          <w:tcPr>
            <w:tcW w:w="1020" w:type="dxa"/>
            <w:vAlign w:val="bottom"/>
            <w:gridSpan w:val="3"/>
          </w:tcPr>
          <w:p>
            <w:pPr>
              <w:jc w:val="right"/>
              <w:ind w:right="120"/>
              <w:spacing w:after="0"/>
              <w:rPr>
                <w:sz w:val="20"/>
                <w:szCs w:val="20"/>
                <w:color w:val="auto"/>
              </w:rPr>
            </w:pPr>
            <w:r>
              <w:rPr>
                <w:rFonts w:ascii="Arial" w:cs="Arial" w:eastAsia="Arial" w:hAnsi="Arial"/>
                <w:sz w:val="15"/>
                <w:szCs w:val="15"/>
                <w:color w:val="auto"/>
              </w:rPr>
              <w:t>1,048,610</w:t>
            </w:r>
          </w:p>
        </w:tc>
        <w:tc>
          <w:tcPr>
            <w:tcW w:w="1980" w:type="dxa"/>
            <w:vAlign w:val="bottom"/>
            <w:gridSpan w:val="2"/>
          </w:tcPr>
          <w:p>
            <w:pPr>
              <w:jc w:val="right"/>
              <w:ind w:right="1140"/>
              <w:spacing w:after="0"/>
              <w:rPr>
                <w:sz w:val="20"/>
                <w:szCs w:val="20"/>
                <w:color w:val="auto"/>
              </w:rPr>
            </w:pPr>
            <w:r>
              <w:rPr>
                <w:rFonts w:ascii="Arial" w:cs="Arial" w:eastAsia="Arial" w:hAnsi="Arial"/>
                <w:sz w:val="15"/>
                <w:szCs w:val="15"/>
                <w:color w:val="auto"/>
              </w:rPr>
              <w:t>1,169,730</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21,881,739</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6,199,271</w:t>
            </w: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7,971,915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gridSpan w:val="4"/>
            <w:vMerge w:val="restart"/>
          </w:tcPr>
          <w:p>
            <w:pPr>
              <w:jc w:val="right"/>
              <w:ind w:right="1686"/>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5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4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3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of Messrs. Trevathan and Harris</w:t>
      </w:r>
    </w:p>
    <w:p>
      <w:pPr>
        <w:spacing w:after="0" w:line="198" w:lineRule="exact"/>
        <w:rPr>
          <w:sz w:val="20"/>
          <w:szCs w:val="20"/>
          <w:color w:val="auto"/>
        </w:rPr>
      </w:pPr>
    </w:p>
    <w:p>
      <w:pPr>
        <w:jc w:val="both"/>
        <w:ind w:firstLine="467"/>
        <w:spacing w:after="0" w:line="314" w:lineRule="auto"/>
        <w:rPr>
          <w:sz w:val="20"/>
          <w:szCs w:val="20"/>
          <w:color w:val="auto"/>
        </w:rPr>
      </w:pPr>
      <w:r>
        <w:rPr>
          <w:rFonts w:ascii="Arial" w:cs="Arial" w:eastAsia="Arial" w:hAnsi="Arial"/>
          <w:sz w:val="13"/>
          <w:szCs w:val="13"/>
          <w:color w:val="auto"/>
        </w:rPr>
        <w:t>In February 2018, Mr. Trevathan and Mr. Harris announced their intention to retire at the end of the year, and each of them retired from the Company as of December 31, 2018. No payments were made to Messrs. Trevathan or Harris as a result of their retirement from the Company, other than the retirement gifts included in the "All Other Compensation" column of the Summary Compensation Table and described in note (5) thereto. The outstanding PSUs and stock options held by Messrs. Trevathan and Harris will be treated under the retirement provisions of their applicable award agreements, as described immediately above under "Potential Payments Upon Termination or Change in Control — Voluntary Termination; Retirement."</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Chief Executive Officer Pay Ratio</w:t>
      </w:r>
    </w:p>
    <w:p>
      <w:pPr>
        <w:spacing w:after="0" w:line="198" w:lineRule="exact"/>
        <w:rPr>
          <w:sz w:val="20"/>
          <w:szCs w:val="20"/>
          <w:color w:val="auto"/>
        </w:rPr>
      </w:pPr>
    </w:p>
    <w:p>
      <w:pPr>
        <w:jc w:val="both"/>
        <w:ind w:firstLine="539"/>
        <w:spacing w:after="0" w:line="279" w:lineRule="auto"/>
        <w:rPr>
          <w:sz w:val="20"/>
          <w:szCs w:val="20"/>
          <w:color w:val="auto"/>
        </w:rPr>
      </w:pPr>
      <w:r>
        <w:rPr>
          <w:rFonts w:ascii="Arial" w:cs="Arial" w:eastAsia="Arial" w:hAnsi="Arial"/>
          <w:sz w:val="14"/>
          <w:szCs w:val="14"/>
          <w:color w:val="auto"/>
        </w:rPr>
        <w:t>Last year we identified the Company's median employee, based on total annual compensation for all employees other than our Chief Executive Officer, in accordance with SEC Regulation S-K, Item 402(u) for purposes of the proxy statement filed in March 2018 (the "Median Employee"). The Median Employee, a Driver in the United States, was identified from a list of Company employees as of December 31, 2017. Out of a total worldwide employee population of 42,075 on that date, the list included 41,585 employees and excluded the Chief Executive Officer and our 489 employees based in India. Approximately 90% of these total employees work in the United States and approximately 10% work in Canada. Over 99% of these individuals are full-time employees. Any temporary or seasonal employees are included; any subcontracted workers are not employees and are excluded. To select the Median Employee, we determined the actual taxable compensation paid to each listed employee in 2017, converted to U.S. dollars at appropriate exchange rates for non-U.S. employees and annualized for salaried employees hired during the year. We did not apply any cost-of-living adjustments nor did we use any form of statistical sampling.</w:t>
      </w:r>
    </w:p>
    <w:p>
      <w:pPr>
        <w:spacing w:after="0" w:line="155"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5"/>
          <w:szCs w:val="15"/>
          <w:color w:val="auto"/>
        </w:rPr>
        <w:t>Since December 31, 2017, there been no changes to the Company's employee population, compensation arrangements, or the circumstances of the Median Employee that the Company believes would significantly impact this pay ratio disclosure. Accordingly, as permitted by SEC Regulation S-K, Item 402(u), the Company is providing the following information based on the Median Employee identified last year.</w:t>
      </w:r>
    </w:p>
    <w:p>
      <w:pPr>
        <w:spacing w:after="0" w:line="161" w:lineRule="exact"/>
        <w:rPr>
          <w:sz w:val="20"/>
          <w:szCs w:val="20"/>
          <w:color w:val="auto"/>
        </w:rPr>
      </w:pPr>
    </w:p>
    <w:p>
      <w:pPr>
        <w:jc w:val="both"/>
        <w:ind w:firstLine="505"/>
        <w:spacing w:after="0" w:line="356" w:lineRule="auto"/>
        <w:rPr>
          <w:sz w:val="20"/>
          <w:szCs w:val="20"/>
          <w:color w:val="auto"/>
        </w:rPr>
      </w:pPr>
      <w:r>
        <w:rPr>
          <w:rFonts w:ascii="Arial" w:cs="Arial" w:eastAsia="Arial" w:hAnsi="Arial"/>
          <w:sz w:val="13"/>
          <w:szCs w:val="13"/>
          <w:color w:val="auto"/>
        </w:rPr>
        <w:t>For 2018, total annual compensation for the Median Employee was $81,096. The annual compensation of our Chief Executive Officer was $9,125,281, for a ratio of 1:113. These compensation values were calculated in accordance with SEC Regulation S-K, Item 402(c)(2)(x) requirements for reporting total compensation in the Summary Compensation Table.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Equity Compensation Plan Table</w:t>
      </w:r>
    </w:p>
    <w:p>
      <w:pPr>
        <w:spacing w:after="0" w:line="198" w:lineRule="exact"/>
        <w:rPr>
          <w:sz w:val="20"/>
          <w:szCs w:val="20"/>
          <w:color w:val="auto"/>
        </w:rPr>
      </w:pPr>
    </w:p>
    <w:p>
      <w:pPr>
        <w:ind w:firstLine="369"/>
        <w:spacing w:after="0" w:line="277" w:lineRule="auto"/>
        <w:rPr>
          <w:sz w:val="20"/>
          <w:szCs w:val="20"/>
          <w:color w:val="auto"/>
        </w:rPr>
      </w:pPr>
      <w:r>
        <w:rPr>
          <w:rFonts w:ascii="Arial" w:cs="Arial" w:eastAsia="Arial" w:hAnsi="Arial"/>
          <w:sz w:val="15"/>
          <w:szCs w:val="15"/>
          <w:color w:val="auto"/>
        </w:rPr>
        <w:t>The following table provides information as of December 31, 2018 about the number of shares to be issued upon vesting or exercise of equity awards and the number of shares remaining available for issuance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100330</wp:posOffset>
            </wp:positionV>
            <wp:extent cx="6985" cy="8140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5" cy="814070"/>
                    </a:xfrm>
                    <a:prstGeom prst="rect">
                      <a:avLst/>
                    </a:prstGeom>
                    <a:noFill/>
                  </pic:spPr>
                </pic:pic>
              </a:graphicData>
            </a:graphic>
          </wp:anchor>
        </w:drawing>
        <w:drawing>
          <wp:anchor simplePos="0" relativeHeight="251657728" behindDoc="1" locked="0" layoutInCell="0" allowOverlap="1">
            <wp:simplePos x="0" y="0"/>
            <wp:positionH relativeFrom="column">
              <wp:posOffset>4507865</wp:posOffset>
            </wp:positionH>
            <wp:positionV relativeFrom="paragraph">
              <wp:posOffset>100330</wp:posOffset>
            </wp:positionV>
            <wp:extent cx="6985" cy="8140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85" cy="814070"/>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100330</wp:posOffset>
            </wp:positionV>
            <wp:extent cx="6985" cy="8140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85" cy="814070"/>
                    </a:xfrm>
                    <a:prstGeom prst="rect">
                      <a:avLst/>
                    </a:prstGeom>
                    <a:noFill/>
                  </pic:spPr>
                </pic:pic>
              </a:graphicData>
            </a:graphic>
          </wp:anchor>
        </w:drawing>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3980" w:type="dxa"/>
            <w:vAlign w:val="bottom"/>
            <w:shd w:val="clear" w:color="auto" w:fill="E7E7E8"/>
          </w:tcPr>
          <w:p>
            <w:pPr>
              <w:spacing w:after="0"/>
              <w:rPr>
                <w:sz w:val="14"/>
                <w:szCs w:val="14"/>
                <w:color w:val="auto"/>
              </w:rPr>
            </w:pPr>
          </w:p>
        </w:tc>
        <w:tc>
          <w:tcPr>
            <w:tcW w:w="1920" w:type="dxa"/>
            <w:vAlign w:val="bottom"/>
            <w:shd w:val="clear" w:color="auto" w:fill="E7E7E8"/>
          </w:tcPr>
          <w:p>
            <w:pPr>
              <w:spacing w:after="0"/>
              <w:rPr>
                <w:sz w:val="14"/>
                <w:szCs w:val="14"/>
                <w:color w:val="auto"/>
              </w:rPr>
            </w:pPr>
          </w:p>
        </w:tc>
        <w:tc>
          <w:tcPr>
            <w:tcW w:w="320" w:type="dxa"/>
            <w:vAlign w:val="bottom"/>
            <w:shd w:val="clear" w:color="auto" w:fill="E7E7E8"/>
          </w:tcPr>
          <w:p>
            <w:pPr>
              <w:spacing w:after="0"/>
              <w:rPr>
                <w:sz w:val="14"/>
                <w:szCs w:val="14"/>
                <w:color w:val="auto"/>
              </w:rPr>
            </w:pPr>
          </w:p>
        </w:tc>
        <w:tc>
          <w:tcPr>
            <w:tcW w:w="1500" w:type="dxa"/>
            <w:vAlign w:val="bottom"/>
            <w:shd w:val="clear" w:color="auto" w:fill="E7E7E8"/>
          </w:tcPr>
          <w:p>
            <w:pPr>
              <w:spacing w:after="0"/>
              <w:rPr>
                <w:sz w:val="14"/>
                <w:szCs w:val="14"/>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5"/>
                <w:szCs w:val="15"/>
                <w:b w:val="1"/>
                <w:bCs w:val="1"/>
                <w:color w:val="auto"/>
              </w:rPr>
              <w:t>Number of</w:t>
            </w:r>
          </w:p>
        </w:tc>
      </w:tr>
      <w:tr>
        <w:trPr>
          <w:trHeight w:val="183"/>
        </w:trPr>
        <w:tc>
          <w:tcPr>
            <w:tcW w:w="3980" w:type="dxa"/>
            <w:vAlign w:val="bottom"/>
            <w:shd w:val="clear" w:color="auto" w:fill="E7E7E8"/>
          </w:tcPr>
          <w:p>
            <w:pPr>
              <w:spacing w:after="0"/>
              <w:rPr>
                <w:sz w:val="15"/>
                <w:szCs w:val="15"/>
                <w:color w:val="auto"/>
              </w:rPr>
            </w:pPr>
          </w:p>
        </w:tc>
        <w:tc>
          <w:tcPr>
            <w:tcW w:w="1920" w:type="dxa"/>
            <w:vAlign w:val="bottom"/>
            <w:shd w:val="clear" w:color="auto" w:fill="E7E7E8"/>
          </w:tcPr>
          <w:p>
            <w:pPr>
              <w:jc w:val="right"/>
              <w:ind w:right="126"/>
              <w:spacing w:after="0"/>
              <w:rPr>
                <w:sz w:val="20"/>
                <w:szCs w:val="20"/>
                <w:color w:val="auto"/>
              </w:rPr>
            </w:pPr>
            <w:r>
              <w:rPr>
                <w:rFonts w:ascii="Arial" w:cs="Arial" w:eastAsia="Arial" w:hAnsi="Arial"/>
                <w:sz w:val="15"/>
                <w:szCs w:val="15"/>
                <w:b w:val="1"/>
                <w:bCs w:val="1"/>
                <w:color w:val="auto"/>
              </w:rPr>
              <w:t>Number of</w:t>
            </w:r>
          </w:p>
        </w:tc>
        <w:tc>
          <w:tcPr>
            <w:tcW w:w="320" w:type="dxa"/>
            <w:vAlign w:val="bottom"/>
            <w:shd w:val="clear" w:color="auto" w:fill="E7E7E8"/>
          </w:tcPr>
          <w:p>
            <w:pPr>
              <w:spacing w:after="0"/>
              <w:rPr>
                <w:sz w:val="15"/>
                <w:szCs w:val="15"/>
                <w:color w:val="auto"/>
              </w:rPr>
            </w:pPr>
          </w:p>
        </w:tc>
        <w:tc>
          <w:tcPr>
            <w:tcW w:w="1500" w:type="dxa"/>
            <w:vAlign w:val="bottom"/>
            <w:shd w:val="clear" w:color="auto" w:fill="E7E7E8"/>
          </w:tcPr>
          <w:p>
            <w:pPr>
              <w:spacing w:after="0"/>
              <w:rPr>
                <w:sz w:val="15"/>
                <w:szCs w:val="15"/>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5"/>
                <w:szCs w:val="15"/>
                <w:b w:val="1"/>
                <w:bCs w:val="1"/>
                <w:color w:val="auto"/>
              </w:rPr>
              <w:t>Securities</w:t>
            </w:r>
          </w:p>
        </w:tc>
      </w:tr>
      <w:tr>
        <w:trPr>
          <w:trHeight w:val="183"/>
        </w:trPr>
        <w:tc>
          <w:tcPr>
            <w:tcW w:w="3980" w:type="dxa"/>
            <w:vAlign w:val="bottom"/>
            <w:shd w:val="clear" w:color="auto" w:fill="E7E7E8"/>
          </w:tcPr>
          <w:p>
            <w:pPr>
              <w:spacing w:after="0"/>
              <w:rPr>
                <w:sz w:val="15"/>
                <w:szCs w:val="15"/>
                <w:color w:val="auto"/>
              </w:rPr>
            </w:pPr>
          </w:p>
        </w:tc>
        <w:tc>
          <w:tcPr>
            <w:tcW w:w="1920" w:type="dxa"/>
            <w:vAlign w:val="bottom"/>
            <w:shd w:val="clear" w:color="auto" w:fill="E7E7E8"/>
          </w:tcPr>
          <w:p>
            <w:pPr>
              <w:jc w:val="right"/>
              <w:ind w:right="126"/>
              <w:spacing w:after="0"/>
              <w:rPr>
                <w:sz w:val="20"/>
                <w:szCs w:val="20"/>
                <w:color w:val="auto"/>
              </w:rPr>
            </w:pPr>
            <w:r>
              <w:rPr>
                <w:rFonts w:ascii="Arial" w:cs="Arial" w:eastAsia="Arial" w:hAnsi="Arial"/>
                <w:sz w:val="15"/>
                <w:szCs w:val="15"/>
                <w:b w:val="1"/>
                <w:bCs w:val="1"/>
                <w:color w:val="auto"/>
              </w:rPr>
              <w:t>Securities to be</w:t>
            </w:r>
          </w:p>
        </w:tc>
        <w:tc>
          <w:tcPr>
            <w:tcW w:w="320" w:type="dxa"/>
            <w:vAlign w:val="bottom"/>
            <w:shd w:val="clear" w:color="auto" w:fill="E7E7E8"/>
          </w:tcPr>
          <w:p>
            <w:pPr>
              <w:spacing w:after="0"/>
              <w:rPr>
                <w:sz w:val="15"/>
                <w:szCs w:val="15"/>
                <w:color w:val="auto"/>
              </w:rPr>
            </w:pPr>
          </w:p>
        </w:tc>
        <w:tc>
          <w:tcPr>
            <w:tcW w:w="1500" w:type="dxa"/>
            <w:vAlign w:val="bottom"/>
            <w:shd w:val="clear" w:color="auto" w:fill="E7E7E8"/>
          </w:tcPr>
          <w:p>
            <w:pPr>
              <w:spacing w:after="0"/>
              <w:rPr>
                <w:sz w:val="15"/>
                <w:szCs w:val="15"/>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5"/>
                <w:szCs w:val="15"/>
                <w:b w:val="1"/>
                <w:bCs w:val="1"/>
                <w:color w:val="auto"/>
              </w:rPr>
              <w:t>Remaining</w:t>
            </w:r>
          </w:p>
        </w:tc>
      </w:tr>
      <w:tr>
        <w:trPr>
          <w:trHeight w:val="183"/>
        </w:trPr>
        <w:tc>
          <w:tcPr>
            <w:tcW w:w="3980" w:type="dxa"/>
            <w:vAlign w:val="bottom"/>
            <w:shd w:val="clear" w:color="auto" w:fill="E7E7E8"/>
          </w:tcPr>
          <w:p>
            <w:pPr>
              <w:spacing w:after="0"/>
              <w:rPr>
                <w:sz w:val="15"/>
                <w:szCs w:val="15"/>
                <w:color w:val="auto"/>
              </w:rPr>
            </w:pPr>
          </w:p>
        </w:tc>
        <w:tc>
          <w:tcPr>
            <w:tcW w:w="1920" w:type="dxa"/>
            <w:vAlign w:val="bottom"/>
            <w:shd w:val="clear" w:color="auto" w:fill="E7E7E8"/>
          </w:tcPr>
          <w:p>
            <w:pPr>
              <w:jc w:val="right"/>
              <w:ind w:right="126"/>
              <w:spacing w:after="0"/>
              <w:rPr>
                <w:sz w:val="20"/>
                <w:szCs w:val="20"/>
                <w:color w:val="auto"/>
              </w:rPr>
            </w:pPr>
            <w:r>
              <w:rPr>
                <w:rFonts w:ascii="Arial" w:cs="Arial" w:eastAsia="Arial" w:hAnsi="Arial"/>
                <w:sz w:val="15"/>
                <w:szCs w:val="15"/>
                <w:b w:val="1"/>
                <w:bCs w:val="1"/>
                <w:color w:val="auto"/>
              </w:rPr>
              <w:t>Issued Upon</w:t>
            </w:r>
          </w:p>
        </w:tc>
        <w:tc>
          <w:tcPr>
            <w:tcW w:w="320" w:type="dxa"/>
            <w:vAlign w:val="bottom"/>
            <w:shd w:val="clear" w:color="auto" w:fill="E7E7E8"/>
          </w:tcPr>
          <w:p>
            <w:pPr>
              <w:spacing w:after="0"/>
              <w:rPr>
                <w:sz w:val="15"/>
                <w:szCs w:val="15"/>
                <w:color w:val="auto"/>
              </w:rPr>
            </w:pPr>
          </w:p>
        </w:tc>
        <w:tc>
          <w:tcPr>
            <w:tcW w:w="1500" w:type="dxa"/>
            <w:vAlign w:val="bottom"/>
            <w:shd w:val="clear" w:color="auto" w:fill="E7E7E8"/>
          </w:tcPr>
          <w:p>
            <w:pPr>
              <w:jc w:val="right"/>
              <w:ind w:right="146"/>
              <w:spacing w:after="0"/>
              <w:rPr>
                <w:sz w:val="20"/>
                <w:szCs w:val="20"/>
                <w:color w:val="auto"/>
              </w:rPr>
            </w:pPr>
            <w:r>
              <w:rPr>
                <w:rFonts w:ascii="Arial" w:cs="Arial" w:eastAsia="Arial" w:hAnsi="Arial"/>
                <w:sz w:val="15"/>
                <w:szCs w:val="15"/>
                <w:b w:val="1"/>
                <w:bCs w:val="1"/>
                <w:color w:val="auto"/>
                <w:w w:val="95"/>
              </w:rPr>
              <w:t>Weighted-Average</w:t>
            </w:r>
          </w:p>
        </w:tc>
        <w:tc>
          <w:tcPr>
            <w:tcW w:w="1540" w:type="dxa"/>
            <w:vAlign w:val="bottom"/>
            <w:shd w:val="clear" w:color="auto" w:fill="E7E7E8"/>
          </w:tcPr>
          <w:p>
            <w:pPr>
              <w:jc w:val="right"/>
              <w:spacing w:after="0"/>
              <w:rPr>
                <w:sz w:val="20"/>
                <w:szCs w:val="20"/>
                <w:color w:val="auto"/>
              </w:rPr>
            </w:pPr>
            <w:r>
              <w:rPr>
                <w:rFonts w:ascii="Arial" w:cs="Arial" w:eastAsia="Arial" w:hAnsi="Arial"/>
                <w:sz w:val="15"/>
                <w:szCs w:val="15"/>
                <w:b w:val="1"/>
                <w:bCs w:val="1"/>
                <w:color w:val="auto"/>
              </w:rPr>
              <w:t>Available for</w:t>
            </w:r>
          </w:p>
        </w:tc>
      </w:tr>
      <w:tr>
        <w:trPr>
          <w:trHeight w:val="183"/>
        </w:trPr>
        <w:tc>
          <w:tcPr>
            <w:tcW w:w="3980" w:type="dxa"/>
            <w:vAlign w:val="bottom"/>
            <w:shd w:val="clear" w:color="auto" w:fill="E7E7E8"/>
          </w:tcPr>
          <w:p>
            <w:pPr>
              <w:spacing w:after="0"/>
              <w:rPr>
                <w:sz w:val="15"/>
                <w:szCs w:val="15"/>
                <w:color w:val="auto"/>
              </w:rPr>
            </w:pPr>
          </w:p>
        </w:tc>
        <w:tc>
          <w:tcPr>
            <w:tcW w:w="1920" w:type="dxa"/>
            <w:vAlign w:val="bottom"/>
            <w:shd w:val="clear" w:color="auto" w:fill="E7E7E8"/>
          </w:tcPr>
          <w:p>
            <w:pPr>
              <w:jc w:val="right"/>
              <w:ind w:right="126"/>
              <w:spacing w:after="0"/>
              <w:rPr>
                <w:sz w:val="20"/>
                <w:szCs w:val="20"/>
                <w:color w:val="auto"/>
              </w:rPr>
            </w:pPr>
            <w:r>
              <w:rPr>
                <w:rFonts w:ascii="Arial" w:cs="Arial" w:eastAsia="Arial" w:hAnsi="Arial"/>
                <w:sz w:val="15"/>
                <w:szCs w:val="15"/>
                <w:b w:val="1"/>
                <w:bCs w:val="1"/>
                <w:color w:val="auto"/>
              </w:rPr>
              <w:t>Exercise</w:t>
            </w:r>
          </w:p>
        </w:tc>
        <w:tc>
          <w:tcPr>
            <w:tcW w:w="320" w:type="dxa"/>
            <w:vAlign w:val="bottom"/>
            <w:shd w:val="clear" w:color="auto" w:fill="E7E7E8"/>
          </w:tcPr>
          <w:p>
            <w:pPr>
              <w:spacing w:after="0"/>
              <w:rPr>
                <w:sz w:val="15"/>
                <w:szCs w:val="15"/>
                <w:color w:val="auto"/>
              </w:rPr>
            </w:pPr>
          </w:p>
        </w:tc>
        <w:tc>
          <w:tcPr>
            <w:tcW w:w="1500" w:type="dxa"/>
            <w:vAlign w:val="bottom"/>
            <w:shd w:val="clear" w:color="auto" w:fill="E7E7E8"/>
          </w:tcPr>
          <w:p>
            <w:pPr>
              <w:jc w:val="right"/>
              <w:ind w:right="146"/>
              <w:spacing w:after="0"/>
              <w:rPr>
                <w:sz w:val="20"/>
                <w:szCs w:val="20"/>
                <w:color w:val="auto"/>
              </w:rPr>
            </w:pPr>
            <w:r>
              <w:rPr>
                <w:rFonts w:ascii="Arial" w:cs="Arial" w:eastAsia="Arial" w:hAnsi="Arial"/>
                <w:sz w:val="15"/>
                <w:szCs w:val="15"/>
                <w:b w:val="1"/>
                <w:bCs w:val="1"/>
                <w:color w:val="auto"/>
              </w:rPr>
              <w:t>Exercise Price of</w:t>
            </w:r>
          </w:p>
        </w:tc>
        <w:tc>
          <w:tcPr>
            <w:tcW w:w="1540" w:type="dxa"/>
            <w:vAlign w:val="bottom"/>
            <w:shd w:val="clear" w:color="auto" w:fill="E7E7E8"/>
          </w:tcPr>
          <w:p>
            <w:pPr>
              <w:jc w:val="right"/>
              <w:spacing w:after="0"/>
              <w:rPr>
                <w:sz w:val="20"/>
                <w:szCs w:val="20"/>
                <w:color w:val="auto"/>
              </w:rPr>
            </w:pPr>
            <w:r>
              <w:rPr>
                <w:rFonts w:ascii="Arial" w:cs="Arial" w:eastAsia="Arial" w:hAnsi="Arial"/>
                <w:sz w:val="15"/>
                <w:szCs w:val="15"/>
                <w:b w:val="1"/>
                <w:bCs w:val="1"/>
                <w:color w:val="auto"/>
              </w:rPr>
              <w:t>Future Issuance</w:t>
            </w:r>
          </w:p>
        </w:tc>
      </w:tr>
      <w:tr>
        <w:trPr>
          <w:trHeight w:val="183"/>
        </w:trPr>
        <w:tc>
          <w:tcPr>
            <w:tcW w:w="3980" w:type="dxa"/>
            <w:vAlign w:val="bottom"/>
            <w:shd w:val="clear" w:color="auto" w:fill="E7E7E8"/>
          </w:tcPr>
          <w:p>
            <w:pPr>
              <w:spacing w:after="0"/>
              <w:rPr>
                <w:sz w:val="15"/>
                <w:szCs w:val="15"/>
                <w:color w:val="auto"/>
              </w:rPr>
            </w:pPr>
          </w:p>
        </w:tc>
        <w:tc>
          <w:tcPr>
            <w:tcW w:w="1920" w:type="dxa"/>
            <w:vAlign w:val="bottom"/>
            <w:shd w:val="clear" w:color="auto" w:fill="E7E7E8"/>
          </w:tcPr>
          <w:p>
            <w:pPr>
              <w:jc w:val="right"/>
              <w:ind w:right="126"/>
              <w:spacing w:after="0"/>
              <w:rPr>
                <w:sz w:val="20"/>
                <w:szCs w:val="20"/>
                <w:color w:val="auto"/>
              </w:rPr>
            </w:pPr>
            <w:r>
              <w:rPr>
                <w:rFonts w:ascii="Arial" w:cs="Arial" w:eastAsia="Arial" w:hAnsi="Arial"/>
                <w:sz w:val="15"/>
                <w:szCs w:val="15"/>
                <w:b w:val="1"/>
                <w:bCs w:val="1"/>
                <w:color w:val="auto"/>
              </w:rPr>
              <w:t>of Outstanding</w:t>
            </w:r>
          </w:p>
        </w:tc>
        <w:tc>
          <w:tcPr>
            <w:tcW w:w="320" w:type="dxa"/>
            <w:vAlign w:val="bottom"/>
            <w:shd w:val="clear" w:color="auto" w:fill="E7E7E8"/>
          </w:tcPr>
          <w:p>
            <w:pPr>
              <w:spacing w:after="0"/>
              <w:rPr>
                <w:sz w:val="15"/>
                <w:szCs w:val="15"/>
                <w:color w:val="auto"/>
              </w:rPr>
            </w:pPr>
          </w:p>
        </w:tc>
        <w:tc>
          <w:tcPr>
            <w:tcW w:w="1500" w:type="dxa"/>
            <w:vAlign w:val="bottom"/>
            <w:shd w:val="clear" w:color="auto" w:fill="E7E7E8"/>
          </w:tcPr>
          <w:p>
            <w:pPr>
              <w:jc w:val="right"/>
              <w:ind w:right="146"/>
              <w:spacing w:after="0"/>
              <w:rPr>
                <w:sz w:val="20"/>
                <w:szCs w:val="20"/>
                <w:color w:val="auto"/>
              </w:rPr>
            </w:pPr>
            <w:r>
              <w:rPr>
                <w:rFonts w:ascii="Arial" w:cs="Arial" w:eastAsia="Arial" w:hAnsi="Arial"/>
                <w:sz w:val="15"/>
                <w:szCs w:val="15"/>
                <w:b w:val="1"/>
                <w:bCs w:val="1"/>
                <w:color w:val="auto"/>
              </w:rPr>
              <w:t>Outstanding</w:t>
            </w:r>
          </w:p>
        </w:tc>
        <w:tc>
          <w:tcPr>
            <w:tcW w:w="1540" w:type="dxa"/>
            <w:vAlign w:val="bottom"/>
            <w:shd w:val="clear" w:color="auto" w:fill="E7E7E8"/>
          </w:tcPr>
          <w:p>
            <w:pPr>
              <w:jc w:val="right"/>
              <w:spacing w:after="0"/>
              <w:rPr>
                <w:sz w:val="20"/>
                <w:szCs w:val="20"/>
                <w:color w:val="auto"/>
              </w:rPr>
            </w:pPr>
            <w:r>
              <w:rPr>
                <w:rFonts w:ascii="Arial" w:cs="Arial" w:eastAsia="Arial" w:hAnsi="Arial"/>
                <w:sz w:val="15"/>
                <w:szCs w:val="15"/>
                <w:b w:val="1"/>
                <w:bCs w:val="1"/>
                <w:color w:val="auto"/>
              </w:rPr>
              <w:t>Under Equity</w:t>
            </w:r>
          </w:p>
        </w:tc>
      </w:tr>
      <w:tr>
        <w:trPr>
          <w:trHeight w:val="194"/>
        </w:trPr>
        <w:tc>
          <w:tcPr>
            <w:tcW w:w="3980" w:type="dxa"/>
            <w:vAlign w:val="bottom"/>
            <w:shd w:val="clear" w:color="auto" w:fill="E7E7E8"/>
          </w:tcPr>
          <w:p>
            <w:pPr>
              <w:spacing w:after="0"/>
              <w:rPr>
                <w:sz w:val="20"/>
                <w:szCs w:val="20"/>
                <w:color w:val="auto"/>
              </w:rPr>
            </w:pPr>
            <w:r>
              <w:rPr>
                <w:rFonts w:ascii="Arial" w:cs="Arial" w:eastAsia="Arial" w:hAnsi="Arial"/>
                <w:sz w:val="15"/>
                <w:szCs w:val="15"/>
                <w:b w:val="1"/>
                <w:bCs w:val="1"/>
                <w:color w:val="auto"/>
              </w:rPr>
              <w:t>Plan Category</w:t>
            </w:r>
          </w:p>
        </w:tc>
        <w:tc>
          <w:tcPr>
            <w:tcW w:w="1920" w:type="dxa"/>
            <w:vAlign w:val="bottom"/>
            <w:shd w:val="clear" w:color="auto" w:fill="E7E7E8"/>
          </w:tcPr>
          <w:p>
            <w:pPr>
              <w:jc w:val="right"/>
              <w:ind w:right="126"/>
              <w:spacing w:after="0"/>
              <w:rPr>
                <w:sz w:val="20"/>
                <w:szCs w:val="20"/>
                <w:color w:val="auto"/>
              </w:rPr>
            </w:pPr>
            <w:r>
              <w:rPr>
                <w:rFonts w:ascii="Arial" w:cs="Arial" w:eastAsia="Arial" w:hAnsi="Arial"/>
                <w:sz w:val="15"/>
                <w:szCs w:val="15"/>
                <w:b w:val="1"/>
                <w:bCs w:val="1"/>
                <w:color w:val="auto"/>
              </w:rPr>
              <w:t>Options and Rights</w:t>
            </w:r>
          </w:p>
        </w:tc>
        <w:tc>
          <w:tcPr>
            <w:tcW w:w="320" w:type="dxa"/>
            <w:vAlign w:val="bottom"/>
            <w:shd w:val="clear" w:color="auto" w:fill="E7E7E8"/>
          </w:tcPr>
          <w:p>
            <w:pPr>
              <w:spacing w:after="0"/>
              <w:rPr>
                <w:sz w:val="16"/>
                <w:szCs w:val="16"/>
                <w:color w:val="auto"/>
              </w:rPr>
            </w:pPr>
          </w:p>
        </w:tc>
        <w:tc>
          <w:tcPr>
            <w:tcW w:w="1500" w:type="dxa"/>
            <w:vAlign w:val="bottom"/>
            <w:shd w:val="clear" w:color="auto" w:fill="E7E7E8"/>
          </w:tcPr>
          <w:p>
            <w:pPr>
              <w:jc w:val="right"/>
              <w:ind w:right="146"/>
              <w:spacing w:after="0"/>
              <w:rPr>
                <w:sz w:val="20"/>
                <w:szCs w:val="20"/>
                <w:color w:val="auto"/>
              </w:rPr>
            </w:pPr>
            <w:r>
              <w:rPr>
                <w:rFonts w:ascii="Arial" w:cs="Arial" w:eastAsia="Arial" w:hAnsi="Arial"/>
                <w:sz w:val="15"/>
                <w:szCs w:val="15"/>
                <w:b w:val="1"/>
                <w:bCs w:val="1"/>
                <w:color w:val="auto"/>
                <w:w w:val="91"/>
              </w:rPr>
              <w:t>Options and Rights</w:t>
            </w:r>
          </w:p>
        </w:tc>
        <w:tc>
          <w:tcPr>
            <w:tcW w:w="1540" w:type="dxa"/>
            <w:vAlign w:val="bottom"/>
            <w:shd w:val="clear" w:color="auto" w:fill="E7E7E8"/>
          </w:tcPr>
          <w:p>
            <w:pPr>
              <w:jc w:val="right"/>
              <w:spacing w:after="0"/>
              <w:rPr>
                <w:sz w:val="20"/>
                <w:szCs w:val="20"/>
                <w:color w:val="auto"/>
              </w:rPr>
            </w:pPr>
            <w:r>
              <w:rPr>
                <w:rFonts w:ascii="Arial" w:cs="Arial" w:eastAsia="Arial" w:hAnsi="Arial"/>
                <w:sz w:val="15"/>
                <w:szCs w:val="15"/>
                <w:b w:val="1"/>
                <w:bCs w:val="1"/>
                <w:color w:val="auto"/>
              </w:rPr>
              <w:t>Compensation Plans</w:t>
            </w:r>
          </w:p>
        </w:tc>
      </w:tr>
      <w:tr>
        <w:trPr>
          <w:trHeight w:val="220"/>
        </w:trPr>
        <w:tc>
          <w:tcPr>
            <w:tcW w:w="3980" w:type="dxa"/>
            <w:vAlign w:val="bottom"/>
            <w:tcBorders>
              <w:bottom w:val="single" w:sz="8" w:color="auto"/>
            </w:tcBorders>
          </w:tcPr>
          <w:p>
            <w:pPr>
              <w:spacing w:after="0" w:line="218" w:lineRule="exact"/>
              <w:rPr>
                <w:sz w:val="20"/>
                <w:szCs w:val="20"/>
                <w:color w:val="auto"/>
              </w:rPr>
            </w:pPr>
            <w:r>
              <w:rPr>
                <w:rFonts w:ascii="Arial" w:cs="Arial" w:eastAsia="Arial" w:hAnsi="Arial"/>
                <w:sz w:val="15"/>
                <w:szCs w:val="15"/>
                <w:color w:val="auto"/>
              </w:rPr>
              <w:t>Equity compensation plans approved by security holders</w:t>
            </w:r>
            <w:r>
              <w:rPr>
                <w:rFonts w:ascii="Arial" w:cs="Arial" w:eastAsia="Arial" w:hAnsi="Arial"/>
                <w:sz w:val="24"/>
                <w:szCs w:val="24"/>
                <w:color w:val="auto"/>
                <w:vertAlign w:val="superscript"/>
              </w:rPr>
              <w:t>(1)</w:t>
            </w:r>
          </w:p>
        </w:tc>
        <w:tc>
          <w:tcPr>
            <w:tcW w:w="1920" w:type="dxa"/>
            <w:vAlign w:val="bottom"/>
            <w:tcBorders>
              <w:bottom w:val="single" w:sz="8" w:color="auto"/>
            </w:tcBorders>
          </w:tcPr>
          <w:p>
            <w:pPr>
              <w:jc w:val="right"/>
              <w:ind w:right="126"/>
              <w:spacing w:after="0" w:line="218" w:lineRule="exact"/>
              <w:rPr>
                <w:sz w:val="20"/>
                <w:szCs w:val="20"/>
                <w:color w:val="auto"/>
              </w:rPr>
            </w:pPr>
            <w:r>
              <w:rPr>
                <w:rFonts w:ascii="Arial" w:cs="Arial" w:eastAsia="Arial" w:hAnsi="Arial"/>
                <w:sz w:val="15"/>
                <w:szCs w:val="15"/>
                <w:color w:val="auto"/>
              </w:rPr>
              <w:t>6,258,851</w:t>
            </w:r>
            <w:r>
              <w:rPr>
                <w:rFonts w:ascii="Arial" w:cs="Arial" w:eastAsia="Arial" w:hAnsi="Arial"/>
                <w:sz w:val="24"/>
                <w:szCs w:val="24"/>
                <w:color w:val="auto"/>
                <w:vertAlign w:val="superscript"/>
              </w:rPr>
              <w:t>(2)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ind w:right="146"/>
              <w:spacing w:after="0" w:line="218" w:lineRule="exact"/>
              <w:rPr>
                <w:sz w:val="20"/>
                <w:szCs w:val="20"/>
                <w:color w:val="auto"/>
              </w:rPr>
            </w:pPr>
            <w:r>
              <w:rPr>
                <w:rFonts w:ascii="Arial" w:cs="Arial" w:eastAsia="Arial" w:hAnsi="Arial"/>
                <w:sz w:val="15"/>
                <w:szCs w:val="15"/>
                <w:color w:val="auto"/>
              </w:rPr>
              <w:t>59.46</w:t>
            </w:r>
            <w:r>
              <w:rPr>
                <w:rFonts w:ascii="Arial" w:cs="Arial" w:eastAsia="Arial" w:hAnsi="Arial"/>
                <w:sz w:val="24"/>
                <w:szCs w:val="24"/>
                <w:color w:val="auto"/>
                <w:vertAlign w:val="superscript"/>
              </w:rPr>
              <w:t>(3)</w:t>
            </w:r>
          </w:p>
        </w:tc>
        <w:tc>
          <w:tcPr>
            <w:tcW w:w="1540" w:type="dxa"/>
            <w:vAlign w:val="bottom"/>
            <w:tcBorders>
              <w:bottom w:val="single" w:sz="8" w:color="auto"/>
            </w:tcBorders>
          </w:tcPr>
          <w:p>
            <w:pPr>
              <w:jc w:val="right"/>
              <w:spacing w:after="0" w:line="218" w:lineRule="exact"/>
              <w:rPr>
                <w:sz w:val="20"/>
                <w:szCs w:val="20"/>
                <w:color w:val="auto"/>
              </w:rPr>
            </w:pPr>
            <w:r>
              <w:rPr>
                <w:rFonts w:ascii="Arial" w:cs="Arial" w:eastAsia="Arial" w:hAnsi="Arial"/>
                <w:sz w:val="15"/>
                <w:szCs w:val="15"/>
                <w:color w:val="auto"/>
              </w:rPr>
              <w:t>22,112,282</w:t>
            </w:r>
            <w:r>
              <w:rPr>
                <w:rFonts w:ascii="Arial" w:cs="Arial" w:eastAsia="Arial" w:hAnsi="Arial"/>
                <w:sz w:val="24"/>
                <w:szCs w:val="24"/>
                <w:color w:val="auto"/>
                <w:vertAlign w:val="superscript"/>
              </w:rPr>
              <w:t>(4)</w:t>
            </w:r>
          </w:p>
        </w:tc>
      </w:tr>
    </w:tbl>
    <w:p>
      <w:pPr>
        <w:spacing w:after="0" w:line="163" w:lineRule="exact"/>
        <w:rPr>
          <w:sz w:val="20"/>
          <w:szCs w:val="20"/>
          <w:color w:val="auto"/>
        </w:rPr>
      </w:pPr>
    </w:p>
    <w:p>
      <w:pPr>
        <w:ind w:left="1600" w:hanging="464"/>
        <w:spacing w:after="0"/>
        <w:tabs>
          <w:tab w:leader="none" w:pos="1600"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Includes our 2009 Stock Incentive Plan, 2014 Stock Incentive Plan and Employee Stock Purchase Plan ("ESPP"). No additional awards may be granted under our 2009 Stock Incentive Plan.</w:t>
      </w:r>
    </w:p>
    <w:p>
      <w:pPr>
        <w:spacing w:after="0" w:line="113" w:lineRule="exact"/>
        <w:rPr>
          <w:rFonts w:ascii="Arial" w:cs="Arial" w:eastAsia="Arial" w:hAnsi="Arial"/>
          <w:sz w:val="11"/>
          <w:szCs w:val="11"/>
          <w:color w:val="auto"/>
        </w:rPr>
      </w:pPr>
    </w:p>
    <w:p>
      <w:pPr>
        <w:jc w:val="both"/>
        <w:ind w:left="1600" w:hanging="464"/>
        <w:spacing w:after="0" w:line="257" w:lineRule="auto"/>
        <w:tabs>
          <w:tab w:leader="none" w:pos="1600"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Includes: options outstanding for 4,441,456 shares of Common Stock; 261,645 shares of Common Stock to be issued in connection with deferred compensation obligations; 391,858 shares underlying unvested restricted stock units and 1,163,892 shares of Common Stock that would be issued on account of outstanding PSUs if the target performance level is achieved. Assuming, instead, that the maximum performance level was achieved on such PSUs, the number of shares of Common Stock that would be issued on account of outstanding awards would increase by 1,163,892 shares.</w:t>
      </w:r>
    </w:p>
    <w:p>
      <w:pPr>
        <w:spacing w:after="0" w:line="154" w:lineRule="exact"/>
        <w:rPr>
          <w:rFonts w:ascii="Arial" w:cs="Arial" w:eastAsia="Arial" w:hAnsi="Arial"/>
          <w:sz w:val="11"/>
          <w:szCs w:val="11"/>
          <w:color w:val="auto"/>
        </w:rPr>
      </w:pPr>
    </w:p>
    <w:p>
      <w:pPr>
        <w:jc w:val="both"/>
        <w:ind w:left="1600"/>
        <w:spacing w:after="0" w:line="295" w:lineRule="auto"/>
        <w:rPr>
          <w:rFonts w:ascii="Arial" w:cs="Arial" w:eastAsia="Arial" w:hAnsi="Arial"/>
          <w:sz w:val="11"/>
          <w:szCs w:val="11"/>
          <w:color w:val="auto"/>
        </w:rPr>
      </w:pPr>
      <w:r>
        <w:rPr>
          <w:rFonts w:ascii="Arial" w:cs="Arial" w:eastAsia="Arial" w:hAnsi="Arial"/>
          <w:sz w:val="10"/>
          <w:szCs w:val="10"/>
          <w:color w:val="auto"/>
        </w:rPr>
        <w:t>The total number of shares subject to outstanding awards in the table above includes 426,662 shares on account of PSUs, at target, with the performance period ended December 31, 2018. The determination of achievement of performance results on such PSUs was performed by the MD&amp;C Committee in February 2019, and the Company achieved maximum performance criteria. A total of 532,473 shares of Common Stock were issued on account of such PSUs in February 2019, net of units deferred, of which 266,236 shares of Common Stock were included in the first column of the table above.</w:t>
      </w:r>
    </w:p>
    <w:p>
      <w:pPr>
        <w:spacing w:after="0" w:line="136" w:lineRule="exact"/>
        <w:rPr>
          <w:rFonts w:ascii="Arial" w:cs="Arial" w:eastAsia="Arial" w:hAnsi="Arial"/>
          <w:sz w:val="11"/>
          <w:szCs w:val="11"/>
          <w:color w:val="auto"/>
        </w:rPr>
      </w:pPr>
    </w:p>
    <w:p>
      <w:pPr>
        <w:jc w:val="both"/>
        <w:ind w:left="1600" w:right="20"/>
        <w:spacing w:after="0" w:line="257" w:lineRule="auto"/>
        <w:rPr>
          <w:rFonts w:ascii="Arial" w:cs="Arial" w:eastAsia="Arial" w:hAnsi="Arial"/>
          <w:sz w:val="11"/>
          <w:szCs w:val="11"/>
          <w:color w:val="auto"/>
        </w:rPr>
      </w:pPr>
      <w:r>
        <w:rPr>
          <w:rFonts w:ascii="Arial" w:cs="Arial" w:eastAsia="Arial" w:hAnsi="Arial"/>
          <w:sz w:val="11"/>
          <w:szCs w:val="11"/>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143" w:lineRule="exact"/>
        <w:rPr>
          <w:rFonts w:ascii="Arial" w:cs="Arial" w:eastAsia="Arial" w:hAnsi="Arial"/>
          <w:sz w:val="11"/>
          <w:szCs w:val="11"/>
          <w:color w:val="auto"/>
        </w:rPr>
      </w:pPr>
    </w:p>
    <w:p>
      <w:pPr>
        <w:ind w:left="1600" w:hanging="464"/>
        <w:spacing w:after="0"/>
        <w:tabs>
          <w:tab w:leader="none" w:pos="1600" w:val="left"/>
        </w:tabs>
        <w:numPr>
          <w:ilvl w:val="0"/>
          <w:numId w:val="47"/>
        </w:numPr>
        <w:rPr>
          <w:rFonts w:ascii="Arial" w:cs="Arial" w:eastAsia="Arial" w:hAnsi="Arial"/>
          <w:sz w:val="11"/>
          <w:szCs w:val="11"/>
          <w:color w:val="auto"/>
        </w:rPr>
      </w:pPr>
      <w:r>
        <w:rPr>
          <w:rFonts w:ascii="Arial" w:cs="Arial" w:eastAsia="Arial" w:hAnsi="Arial"/>
          <w:sz w:val="11"/>
          <w:szCs w:val="11"/>
          <w:color w:val="auto"/>
        </w:rPr>
        <w:t>Excludes PSUs and restricted stock units because those awards do not have exercise prices associated with them. Also excludes purchase rights under the ESPP for the reasons described in (2) above.</w:t>
      </w:r>
    </w:p>
    <w:p>
      <w:pPr>
        <w:spacing w:after="0" w:line="113" w:lineRule="exact"/>
        <w:rPr>
          <w:rFonts w:ascii="Arial" w:cs="Arial" w:eastAsia="Arial" w:hAnsi="Arial"/>
          <w:sz w:val="11"/>
          <w:szCs w:val="11"/>
          <w:color w:val="auto"/>
        </w:rPr>
      </w:pPr>
    </w:p>
    <w:p>
      <w:pPr>
        <w:ind w:left="1600" w:hanging="464"/>
        <w:spacing w:after="0" w:line="275" w:lineRule="auto"/>
        <w:tabs>
          <w:tab w:leader="none" w:pos="160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shares remaining available include 1,344,502 shares under our ESPP and 20,767,780 shares under our 2014 Stock Incentive Plan, assuming payout of PSUs at maximum. Assuming payout of PSUs at target, the number of shares remaining available for issuance under our 2014 Stock Incentive Plan would be 21,931,672.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RATIFICATION OF INDEPENDENT REGISTERED PUBLIC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6757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(ITEM 2 ON THE PROXY CARD)</w:t>
      </w:r>
    </w:p>
    <w:p>
      <w:pPr>
        <w:spacing w:after="0" w:line="198" w:lineRule="exact"/>
        <w:rPr>
          <w:sz w:val="20"/>
          <w:szCs w:val="20"/>
          <w:color w:val="auto"/>
        </w:rPr>
      </w:pPr>
    </w:p>
    <w:p>
      <w:pPr>
        <w:jc w:val="both"/>
        <w:ind w:firstLine="375"/>
        <w:spacing w:after="0" w:line="277" w:lineRule="auto"/>
        <w:rPr>
          <w:sz w:val="20"/>
          <w:szCs w:val="20"/>
          <w:color w:val="auto"/>
        </w:rPr>
      </w:pPr>
      <w:r>
        <w:rPr>
          <w:rFonts w:ascii="Arial" w:cs="Arial" w:eastAsia="Arial" w:hAnsi="Arial"/>
          <w:sz w:val="15"/>
          <w:szCs w:val="15"/>
          <w:color w:val="auto"/>
        </w:rPr>
        <w:t>Our Board of Directors, upon the recommendation of the Audit Committee, has ratified the selection of Ernst &amp; Young LLP to serve as our independent registered public accounting firm for fiscal year 2019, subject to ratification by our stockholders.</w:t>
      </w:r>
    </w:p>
    <w:p>
      <w:pPr>
        <w:spacing w:after="0" w:line="151" w:lineRule="exact"/>
        <w:rPr>
          <w:sz w:val="20"/>
          <w:szCs w:val="20"/>
          <w:color w:val="auto"/>
        </w:rPr>
      </w:pPr>
    </w:p>
    <w:p>
      <w:pPr>
        <w:jc w:val="both"/>
        <w:ind w:right="20" w:firstLine="470"/>
        <w:spacing w:after="0" w:line="277" w:lineRule="auto"/>
        <w:rPr>
          <w:sz w:val="20"/>
          <w:szCs w:val="20"/>
          <w:color w:val="auto"/>
        </w:rPr>
      </w:pPr>
      <w:r>
        <w:rPr>
          <w:rFonts w:ascii="Arial" w:cs="Arial" w:eastAsia="Arial" w:hAnsi="Arial"/>
          <w:sz w:val="15"/>
          <w:szCs w:val="15"/>
          <w:color w:val="auto"/>
        </w:rPr>
        <w:t>Representatives of Ernst &amp; Young LLP will be at the annual meeting. They will be able to make a statement if they want, and will be available to answer any appropriate questions stockholders may have.</w:t>
      </w:r>
    </w:p>
    <w:p>
      <w:pPr>
        <w:spacing w:after="0" w:line="151" w:lineRule="exact"/>
        <w:rPr>
          <w:sz w:val="20"/>
          <w:szCs w:val="20"/>
          <w:color w:val="auto"/>
        </w:rPr>
      </w:pPr>
    </w:p>
    <w:p>
      <w:pPr>
        <w:jc w:val="both"/>
        <w:ind w:firstLine="384"/>
        <w:spacing w:after="0" w:line="314" w:lineRule="auto"/>
        <w:rPr>
          <w:sz w:val="20"/>
          <w:szCs w:val="20"/>
          <w:color w:val="auto"/>
        </w:rPr>
      </w:pPr>
      <w:r>
        <w:rPr>
          <w:rFonts w:ascii="Arial" w:cs="Arial" w:eastAsia="Arial" w:hAnsi="Arial"/>
          <w:sz w:val="13"/>
          <w:szCs w:val="13"/>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Registered Public Accounting Firm Fee Information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3"/>
          <w:szCs w:val="13"/>
          <w:color w:val="auto"/>
        </w:rPr>
        <w:t>Fees for professional services provided by our independent registered public accounting firm in each of the last two fiscal years, in each of the following categories, were as follows:</w:t>
      </w: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193"/>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6"/>
                <w:szCs w:val="16"/>
                <w:color w:val="auto"/>
              </w:rPr>
            </w:pPr>
          </w:p>
        </w:tc>
      </w:tr>
      <w:tr>
        <w:trPr>
          <w:trHeight w:val="175"/>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(In</w:t>
            </w:r>
          </w:p>
        </w:tc>
        <w:tc>
          <w:tcPr>
            <w:tcW w:w="5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84"/>
              </w:rPr>
              <w:t>millions)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Audit Fees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4.6</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4.8</w:t>
            </w:r>
          </w:p>
        </w:tc>
        <w:tc>
          <w:tcPr>
            <w:tcW w:w="140" w:type="dxa"/>
            <w:vAlign w:val="bottom"/>
            <w:shd w:val="clear" w:color="auto" w:fill="CCEEFF"/>
          </w:tcPr>
          <w:p>
            <w:pPr>
              <w:spacing w:after="0"/>
              <w:rPr>
                <w:sz w:val="15"/>
                <w:szCs w:val="15"/>
                <w:color w:val="auto"/>
              </w:rPr>
            </w:pPr>
          </w:p>
        </w:tc>
      </w:tr>
      <w:tr>
        <w:trPr>
          <w:trHeight w:val="183"/>
        </w:trPr>
        <w:tc>
          <w:tcPr>
            <w:tcW w:w="5740" w:type="dxa"/>
            <w:vAlign w:val="bottom"/>
          </w:tcPr>
          <w:p>
            <w:pPr>
              <w:spacing w:after="0"/>
              <w:rPr>
                <w:sz w:val="20"/>
                <w:szCs w:val="20"/>
                <w:color w:val="auto"/>
              </w:rPr>
            </w:pPr>
            <w:r>
              <w:rPr>
                <w:rFonts w:ascii="Arial" w:cs="Arial" w:eastAsia="Arial" w:hAnsi="Arial"/>
                <w:sz w:val="15"/>
                <w:szCs w:val="15"/>
                <w:b w:val="1"/>
                <w:bCs w:val="1"/>
                <w:color w:val="auto"/>
              </w:rPr>
              <w:t>Audit-Related Fees</w:t>
            </w:r>
          </w:p>
        </w:tc>
        <w:tc>
          <w:tcPr>
            <w:tcW w:w="20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5"/>
                <w:szCs w:val="15"/>
                <w:b w:val="1"/>
                <w:bCs w:val="1"/>
                <w:color w:val="auto"/>
              </w:rPr>
              <w:t>0.1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Arial" w:cs="Arial" w:eastAsia="Arial" w:hAnsi="Arial"/>
                <w:sz w:val="15"/>
                <w:szCs w:val="15"/>
                <w:b w:val="1"/>
                <w:bCs w:val="1"/>
                <w:color w:val="auto"/>
              </w:rPr>
              <w:t>0.2</w:t>
            </w:r>
          </w:p>
        </w:tc>
        <w:tc>
          <w:tcPr>
            <w:tcW w:w="140" w:type="dxa"/>
            <w:vAlign w:val="bottom"/>
          </w:tcPr>
          <w:p>
            <w:pPr>
              <w:spacing w:after="0"/>
              <w:rPr>
                <w:sz w:val="15"/>
                <w:szCs w:val="15"/>
                <w:color w:val="auto"/>
              </w:rPr>
            </w:pPr>
          </w:p>
        </w:tc>
      </w:tr>
      <w:tr>
        <w:trPr>
          <w:trHeight w:val="183"/>
        </w:trPr>
        <w:tc>
          <w:tcPr>
            <w:tcW w:w="5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Tax Fees</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w:t>
            </w:r>
          </w:p>
        </w:tc>
      </w:tr>
      <w:tr>
        <w:trPr>
          <w:trHeight w:val="183"/>
        </w:trPr>
        <w:tc>
          <w:tcPr>
            <w:tcW w:w="5740" w:type="dxa"/>
            <w:vAlign w:val="bottom"/>
          </w:tcPr>
          <w:p>
            <w:pPr>
              <w:spacing w:after="0"/>
              <w:rPr>
                <w:sz w:val="20"/>
                <w:szCs w:val="20"/>
                <w:color w:val="auto"/>
              </w:rPr>
            </w:pPr>
            <w:r>
              <w:rPr>
                <w:rFonts w:ascii="Arial" w:cs="Arial" w:eastAsia="Arial" w:hAnsi="Arial"/>
                <w:sz w:val="15"/>
                <w:szCs w:val="15"/>
                <w:b w:val="1"/>
                <w:bCs w:val="1"/>
                <w:color w:val="auto"/>
              </w:rPr>
              <w:t>All Other Fees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r>
      <w:tr>
        <w:trPr>
          <w:trHeight w:val="175"/>
        </w:trPr>
        <w:tc>
          <w:tcPr>
            <w:tcW w:w="57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4.7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5.0</w:t>
            </w:r>
          </w:p>
        </w:tc>
        <w:tc>
          <w:tcPr>
            <w:tcW w:w="140" w:type="dxa"/>
            <w:vAlign w:val="bottom"/>
            <w:shd w:val="clear" w:color="auto" w:fill="CCEEFF"/>
          </w:tcPr>
          <w:p>
            <w:pPr>
              <w:spacing w:after="0"/>
              <w:rPr>
                <w:sz w:val="15"/>
                <w:szCs w:val="15"/>
                <w:color w:val="auto"/>
              </w:rPr>
            </w:pPr>
          </w:p>
        </w:tc>
      </w:tr>
    </w:tbl>
    <w:p>
      <w:pPr>
        <w:spacing w:after="0" w:line="176" w:lineRule="exact"/>
        <w:rPr>
          <w:sz w:val="20"/>
          <w:szCs w:val="20"/>
          <w:color w:val="auto"/>
        </w:rPr>
      </w:pPr>
    </w:p>
    <w:p>
      <w:pPr>
        <w:jc w:val="both"/>
        <w:ind w:firstLine="544"/>
        <w:spacing w:after="0" w:line="356" w:lineRule="auto"/>
        <w:rPr>
          <w:sz w:val="20"/>
          <w:szCs w:val="20"/>
          <w:color w:val="auto"/>
        </w:rPr>
      </w:pPr>
      <w:r>
        <w:rPr>
          <w:rFonts w:ascii="Arial" w:cs="Arial" w:eastAsia="Arial" w:hAnsi="Arial"/>
          <w:sz w:val="13"/>
          <w:szCs w:val="13"/>
          <w:color w:val="auto"/>
        </w:rPr>
        <w:t>Audit fees includes fees for the annual audit, reviews of the Company's Quarterly Reports on Form 10-Q, work performed to support the Company's debt issuances, accounting consultations, and separate subsidiary audits required by statute or regulation. Audit-related fees principally include financial due diligence services relating to certain potential acquisitions.</w:t>
      </w:r>
    </w:p>
    <w:p>
      <w:pPr>
        <w:spacing w:after="0" w:line="106" w:lineRule="exact"/>
        <w:rPr>
          <w:sz w:val="20"/>
          <w:szCs w:val="20"/>
          <w:color w:val="auto"/>
        </w:rPr>
      </w:pPr>
    </w:p>
    <w:p>
      <w:pPr>
        <w:jc w:val="both"/>
        <w:ind w:firstLine="422"/>
        <w:spacing w:after="0" w:line="281" w:lineRule="auto"/>
        <w:rPr>
          <w:sz w:val="20"/>
          <w:szCs w:val="20"/>
          <w:color w:val="auto"/>
        </w:rPr>
      </w:pPr>
      <w:r>
        <w:rPr>
          <w:rFonts w:ascii="Arial" w:cs="Arial" w:eastAsia="Arial" w:hAnsi="Arial"/>
          <w:sz w:val="14"/>
          <w:szCs w:val="14"/>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reported to the full Audit Committee at the next regularly scheduled meeting. The Audit Committee is updated on the status of all services and related fees at every regular meeting. In 2018 and 2017, the Audit Committee or Audit Committee Chairman pre-approved all audit and audit-related services performed by Ernst &amp; Young.</w:t>
      </w:r>
    </w:p>
    <w:p>
      <w:pPr>
        <w:spacing w:after="0" w:line="151"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5"/>
          <w:szCs w:val="15"/>
          <w:color w:val="auto"/>
        </w:rPr>
        <w:t>As set forth in the Audit Committee Report on page 9, the Audit Committee has considered whether the provision of these audit-related services is compatible with maintaining auditor independence and has determined that it is.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Vote Required for Approval</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Approval of this proposal requires the affirmative vote of a majority of the shares present at the meeting, in person or represented by proxy, and entitled to vote.</w:t>
      </w:r>
    </w:p>
    <w:p>
      <w:pPr>
        <w:spacing w:after="0" w:line="190" w:lineRule="exact"/>
        <w:rPr>
          <w:sz w:val="20"/>
          <w:szCs w:val="20"/>
          <w:color w:val="auto"/>
        </w:rPr>
      </w:pPr>
    </w:p>
    <w:p>
      <w:pPr>
        <w:jc w:val="both"/>
        <w:ind w:firstLine="463"/>
        <w:spacing w:after="0" w:line="282" w:lineRule="auto"/>
        <w:rPr>
          <w:sz w:val="20"/>
          <w:szCs w:val="20"/>
          <w:color w:val="auto"/>
        </w:rPr>
      </w:pPr>
      <w:r>
        <w:rPr>
          <w:rFonts w:ascii="Arial" w:cs="Arial" w:eastAsia="Arial" w:hAnsi="Arial"/>
          <w:sz w:val="15"/>
          <w:szCs w:val="15"/>
          <w:b w:val="1"/>
          <w:bCs w:val="1"/>
          <w:color w:val="auto"/>
        </w:rPr>
        <w:t>THE BOARD OF DIRECTORS RECOMMENDS THAT YOU VOTE FOR THE RATIFICATION OF ERNST &amp; YOUNG LLP AS THE COMPANY'S INDEPENDENT REGISTERED PUBLIC ACCOUNTING FIRM FOR FISCAL YEAR 2019.</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3 ON THE PROXY CARD)</w:t>
      </w:r>
    </w:p>
    <w:p>
      <w:pPr>
        <w:spacing w:after="0" w:line="198" w:lineRule="exact"/>
        <w:rPr>
          <w:sz w:val="20"/>
          <w:szCs w:val="20"/>
          <w:color w:val="auto"/>
        </w:rPr>
      </w:pPr>
    </w:p>
    <w:p>
      <w:pPr>
        <w:jc w:val="both"/>
        <w:ind w:firstLine="503"/>
        <w:spacing w:after="0" w:line="265" w:lineRule="auto"/>
        <w:rPr>
          <w:sz w:val="20"/>
          <w:szCs w:val="20"/>
          <w:color w:val="auto"/>
        </w:rPr>
      </w:pPr>
      <w:r>
        <w:rPr>
          <w:rFonts w:ascii="Arial" w:cs="Arial" w:eastAsia="Arial" w:hAnsi="Arial"/>
          <w:sz w:val="15"/>
          <w:szCs w:val="15"/>
          <w:color w:val="auto"/>
        </w:rPr>
        <w:t>Pursuant to Section 14A of the Exchange Act, stockholders are entitled to an advisory (non-binding)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161"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4"/>
          <w:szCs w:val="14"/>
          <w:color w:val="auto"/>
        </w:rPr>
        <w:t xml:space="preserve">We encourage stockholders to review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Executive Compensation Tables</w:t>
      </w:r>
      <w:r>
        <w:rPr>
          <w:rFonts w:ascii="Arial" w:cs="Arial" w:eastAsia="Arial" w:hAnsi="Arial"/>
          <w:sz w:val="14"/>
          <w:szCs w:val="14"/>
          <w:color w:val="auto"/>
        </w:rPr>
        <w:t xml:space="preserve"> on pages 26 to 54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further the objective of our executive compensation program and evidence our dedication to competitive and reasonable compensation practices that are in the best interests of stockholders:</w:t>
      </w:r>
    </w:p>
    <w:p>
      <w:pPr>
        <w:spacing w:after="0" w:line="160" w:lineRule="exact"/>
        <w:rPr>
          <w:sz w:val="20"/>
          <w:szCs w:val="20"/>
          <w:color w:val="auto"/>
        </w:rPr>
      </w:pPr>
    </w:p>
    <w:p>
      <w:pPr>
        <w:ind w:left="900" w:right="20" w:hanging="451"/>
        <w:spacing w:after="0" w:line="356"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over 75% of our named executive's target compensation is linked to Company performance, through annual cash incentive performance criteria and long-term equity-based incentive awards, and over 60% of our named executive's target compensation is tied to long-term equity awards, which aligns executives' interests with those of stockholders;</w:t>
      </w:r>
    </w:p>
    <w:p>
      <w:pPr>
        <w:spacing w:after="0" w:line="128" w:lineRule="exact"/>
        <w:rPr>
          <w:rFonts w:ascii="Arial" w:cs="Arial" w:eastAsia="Arial" w:hAnsi="Arial"/>
          <w:sz w:val="13"/>
          <w:szCs w:val="13"/>
          <w:color w:val="auto"/>
        </w:rPr>
      </w:pPr>
    </w:p>
    <w:p>
      <w:pPr>
        <w:ind w:left="900" w:hanging="451"/>
        <w:spacing w:after="0"/>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our total direct compensation opportunities for named executive officers are targeted to fall in a range around the competitive median;</w:t>
      </w:r>
    </w:p>
    <w:p>
      <w:pPr>
        <w:spacing w:after="0" w:line="205"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performance-based awards include threshold, target and maximum payouts correlating to a range of performance outcomes and are based on a variety of indicators of performance, which limits risk-taking behavior;</w:t>
      </w:r>
    </w:p>
    <w:p>
      <w:pPr>
        <w:spacing w:after="0" w:line="162" w:lineRule="exact"/>
        <w:rPr>
          <w:rFonts w:ascii="Arial" w:cs="Arial" w:eastAsia="Arial" w:hAnsi="Arial"/>
          <w:sz w:val="15"/>
          <w:szCs w:val="15"/>
          <w:color w:val="auto"/>
        </w:rPr>
      </w:pPr>
    </w:p>
    <w:p>
      <w:pPr>
        <w:ind w:left="900" w:right="20" w:hanging="451"/>
        <w:spacing w:after="0" w:line="277"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174" w:lineRule="exact"/>
        <w:rPr>
          <w:rFonts w:ascii="Arial" w:cs="Arial" w:eastAsia="Arial" w:hAnsi="Arial"/>
          <w:sz w:val="15"/>
          <w:szCs w:val="15"/>
          <w:color w:val="auto"/>
        </w:rPr>
      </w:pPr>
    </w:p>
    <w:p>
      <w:pPr>
        <w:ind w:left="900" w:hanging="451"/>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all of our executive officers are subject to stock ownership guidelines, which we believe demonstrates a commitment to, and confidence in, the Company's long-term prospects;</w:t>
      </w:r>
    </w:p>
    <w:p>
      <w:pPr>
        <w:spacing w:after="0" w:line="228" w:lineRule="exact"/>
        <w:rPr>
          <w:rFonts w:ascii="Arial" w:cs="Arial" w:eastAsia="Arial" w:hAnsi="Arial"/>
          <w:sz w:val="13"/>
          <w:szCs w:val="13"/>
          <w:color w:val="auto"/>
        </w:rPr>
      </w:pPr>
    </w:p>
    <w:p>
      <w:pPr>
        <w:ind w:left="900" w:hanging="451"/>
        <w:spacing w:after="0" w:line="277"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162" w:lineRule="exact"/>
        <w:rPr>
          <w:rFonts w:ascii="Arial" w:cs="Arial" w:eastAsia="Arial" w:hAnsi="Arial"/>
          <w:sz w:val="15"/>
          <w:szCs w:val="15"/>
          <w:color w:val="auto"/>
        </w:rPr>
      </w:pPr>
    </w:p>
    <w:p>
      <w:pPr>
        <w:ind w:left="900" w:hanging="451"/>
        <w:spacing w:after="0" w:line="277"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our Severance Limitation Policy limits the amount of benefits the Company may provide to its executive officers under severance agreements entered into after the date of such policy; and</w:t>
      </w:r>
    </w:p>
    <w:p>
      <w:pPr>
        <w:spacing w:after="0" w:line="174" w:lineRule="exact"/>
        <w:rPr>
          <w:rFonts w:ascii="Arial" w:cs="Arial" w:eastAsia="Arial" w:hAnsi="Arial"/>
          <w:sz w:val="15"/>
          <w:szCs w:val="15"/>
          <w:color w:val="auto"/>
        </w:rPr>
      </w:pPr>
    </w:p>
    <w:p>
      <w:pPr>
        <w:ind w:left="360" w:right="160" w:firstLine="89"/>
        <w:spacing w:after="0" w:line="545" w:lineRule="auto"/>
        <w:tabs>
          <w:tab w:leader="none" w:pos="906"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Company has adopted a policy that prohibits it from entering into new agreements with executive officers that provide for certain death benefits or tax gross-up payments. The Board strongly endorses the Company's executive compensation program and recommends that the stockholders vote in favor of the following resolution:</w:t>
      </w:r>
    </w:p>
    <w:p>
      <w:pPr>
        <w:spacing w:after="0" w:line="1" w:lineRule="exact"/>
        <w:rPr>
          <w:sz w:val="20"/>
          <w:szCs w:val="20"/>
          <w:color w:val="auto"/>
        </w:rPr>
      </w:pPr>
    </w:p>
    <w:p>
      <w:pPr>
        <w:ind w:right="20" w:firstLine="479"/>
        <w:spacing w:after="0" w:line="277" w:lineRule="auto"/>
        <w:rPr>
          <w:sz w:val="20"/>
          <w:szCs w:val="20"/>
          <w:color w:val="auto"/>
        </w:rPr>
      </w:pPr>
      <w:r>
        <w:rPr>
          <w:rFonts w:ascii="Arial" w:cs="Arial" w:eastAsia="Arial" w:hAnsi="Arial"/>
          <w:sz w:val="15"/>
          <w:szCs w:val="15"/>
          <w:color w:val="auto"/>
        </w:rPr>
        <w:t xml:space="preserve">RESOLVED, that the compensation of the Company's named executive officers as described in this Proxy Statement under "Executive Compensation," including the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Discussion and Analysis </w:t>
      </w:r>
      <w:r>
        <w:rPr>
          <w:rFonts w:ascii="Arial" w:cs="Arial" w:eastAsia="Arial" w:hAnsi="Arial"/>
          <w:sz w:val="15"/>
          <w:szCs w:val="15"/>
          <w:color w:val="auto"/>
        </w:rPr>
        <w:t>and the tabular and narrative disclosure contained in this Proxy Statement, is hereby APPROVED.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Vote Required for Approval</w:t>
      </w:r>
    </w:p>
    <w:p>
      <w:pPr>
        <w:spacing w:after="0" w:line="198" w:lineRule="exact"/>
        <w:rPr>
          <w:sz w:val="20"/>
          <w:szCs w:val="20"/>
          <w:color w:val="auto"/>
        </w:rPr>
      </w:pPr>
    </w:p>
    <w:p>
      <w:pPr>
        <w:ind w:right="20" w:firstLine="456"/>
        <w:spacing w:after="0" w:line="277" w:lineRule="auto"/>
        <w:rPr>
          <w:sz w:val="20"/>
          <w:szCs w:val="20"/>
          <w:color w:val="auto"/>
        </w:rPr>
      </w:pPr>
      <w:r>
        <w:rPr>
          <w:rFonts w:ascii="Arial" w:cs="Arial" w:eastAsia="Arial" w:hAnsi="Arial"/>
          <w:sz w:val="15"/>
          <w:szCs w:val="15"/>
          <w:color w:val="auto"/>
        </w:rPr>
        <w:t>Approval of this proposal requires the affirmative vote of a majority of the shares present at the meeting, in person or represented by proxy, and entitled to vote. Because the vote is advisory, it will not be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binding,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THE BOARD RECOMMENDS THAT YOU VOTE TO APPROVE THE COMPANY'S EXECUTIVE COMPENSATION.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0"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(ITEM 4 ON THE PROXY CARD)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Waste Management is not responsible for the content of this stockholder proposal or supporting statement.</w:t>
      </w:r>
    </w:p>
    <w:p>
      <w:pPr>
        <w:spacing w:after="0" w:line="194" w:lineRule="exact"/>
        <w:rPr>
          <w:sz w:val="20"/>
          <w:szCs w:val="20"/>
          <w:color w:val="auto"/>
        </w:rPr>
      </w:pPr>
    </w:p>
    <w:p>
      <w:pPr>
        <w:jc w:val="both"/>
        <w:ind w:right="20" w:firstLine="369"/>
        <w:spacing w:after="0" w:line="277" w:lineRule="auto"/>
        <w:rPr>
          <w:sz w:val="20"/>
          <w:szCs w:val="20"/>
          <w:color w:val="auto"/>
        </w:rPr>
      </w:pPr>
      <w:r>
        <w:rPr>
          <w:rFonts w:ascii="Arial" w:cs="Arial" w:eastAsia="Arial" w:hAnsi="Arial"/>
          <w:sz w:val="15"/>
          <w:szCs w:val="15"/>
          <w:color w:val="auto"/>
        </w:rPr>
        <w:t>The following proposal was submitted by the International Brotherhood of Teamsters General Fund, 25 Louisiana Avenue, NW, Washington, DC 20001, which owns 143 shares of Waste Management, Inc. Common Stock. The proposal has been included verbatim as we received it.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Proposal</w:t>
      </w:r>
    </w:p>
    <w:p>
      <w:pPr>
        <w:spacing w:after="0" w:line="194" w:lineRule="exact"/>
        <w:rPr>
          <w:sz w:val="20"/>
          <w:szCs w:val="20"/>
          <w:color w:val="auto"/>
        </w:rPr>
      </w:pPr>
    </w:p>
    <w:p>
      <w:pPr>
        <w:jc w:val="both"/>
        <w:ind w:firstLine="406"/>
        <w:spacing w:after="0" w:line="264" w:lineRule="auto"/>
        <w:rPr>
          <w:sz w:val="20"/>
          <w:szCs w:val="20"/>
          <w:color w:val="auto"/>
        </w:rPr>
      </w:pPr>
      <w:r>
        <w:rPr>
          <w:rFonts w:ascii="Arial" w:cs="Arial" w:eastAsia="Arial" w:hAnsi="Arial"/>
          <w:sz w:val="15"/>
          <w:szCs w:val="15"/>
          <w:b w:val="1"/>
          <w:bCs w:val="1"/>
          <w:color w:val="auto"/>
        </w:rPr>
        <w:t xml:space="preserve">RESOLVED: </w:t>
      </w:r>
      <w:r>
        <w:rPr>
          <w:rFonts w:ascii="Arial" w:cs="Arial" w:eastAsia="Arial" w:hAnsi="Arial"/>
          <w:sz w:val="15"/>
          <w:szCs w:val="15"/>
          <w:color w:val="auto"/>
        </w:rPr>
        <w:t>The shareholders ask the board of directors of Waste Management, Inc. (the "Company"), to adopt a policy that in the event of a change in control (as defined under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applicable employment agreement, equity incentive plan or other plan), there shall be no acceleration of vesting of any equity award granted to any senior executive officer, provided, however, the Board's Compensation Committee may provide in an applicable grant or purchase agreement that any unvested award will vest on a partial,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up to the time of the named executive officer's termination, with such qualifications for an award as the Committee may determine.</w:t>
      </w:r>
    </w:p>
    <w:p>
      <w:pPr>
        <w:spacing w:after="0" w:line="161" w:lineRule="exact"/>
        <w:rPr>
          <w:sz w:val="20"/>
          <w:szCs w:val="20"/>
          <w:color w:val="auto"/>
        </w:rPr>
      </w:pPr>
    </w:p>
    <w:p>
      <w:pPr>
        <w:jc w:val="both"/>
        <w:ind w:firstLine="451"/>
        <w:spacing w:after="0" w:line="293" w:lineRule="auto"/>
        <w:rPr>
          <w:sz w:val="20"/>
          <w:szCs w:val="20"/>
          <w:color w:val="auto"/>
        </w:rPr>
      </w:pPr>
      <w:r>
        <w:rPr>
          <w:rFonts w:ascii="Arial" w:cs="Arial" w:eastAsia="Arial" w:hAnsi="Arial"/>
          <w:sz w:val="14"/>
          <w:szCs w:val="14"/>
          <w:color w:val="auto"/>
        </w:rPr>
        <w:t>For purposes of this Policy, "equity award" means an award granted under an equity incentive plan as defined in Item 402 of the SEC's Regulation S-K, which addresses elements of executive compensation to be disclosed to shareholders. This resolution shall be implemented so as not to affect any contractual rights in existence on the date this proposal is adopted, and it shall apply only to equity awards made under equity incentive plans or plan amendments the shareholders approve after the date of the 2019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SUPPORTING STATEMENT:</w:t>
      </w:r>
    </w:p>
    <w:p>
      <w:pPr>
        <w:spacing w:after="0" w:line="198"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5"/>
          <w:szCs w:val="15"/>
          <w:color w:val="auto"/>
        </w:rPr>
        <w:t>The Company allows senior executives to receive an accelerated award of unearned equity under certain conditions after a change of control of the Company. We do not question that some form of severance payments may be appropriate in that situation. We are concerned, however, current practices at the Company may permit windfall awards that have nothing to do with an executive's performance.</w:t>
      </w:r>
    </w:p>
    <w:p>
      <w:pPr>
        <w:spacing w:after="0" w:line="161" w:lineRule="exact"/>
        <w:rPr>
          <w:sz w:val="20"/>
          <w:szCs w:val="20"/>
          <w:color w:val="auto"/>
        </w:rPr>
      </w:pPr>
    </w:p>
    <w:p>
      <w:pPr>
        <w:jc w:val="both"/>
        <w:ind w:firstLine="467"/>
        <w:spacing w:after="0" w:line="293" w:lineRule="auto"/>
        <w:rPr>
          <w:sz w:val="20"/>
          <w:szCs w:val="20"/>
          <w:color w:val="auto"/>
        </w:rPr>
      </w:pPr>
      <w:r>
        <w:rPr>
          <w:rFonts w:ascii="Arial" w:cs="Arial" w:eastAsia="Arial" w:hAnsi="Arial"/>
          <w:sz w:val="14"/>
          <w:szCs w:val="14"/>
          <w:color w:val="auto"/>
        </w:rPr>
        <w:t xml:space="preserve">Per last year's proxy statement, a termination following a change in control at the end of the 2017 fiscal year could have accelerated the vesting of $32.5 million worth of long term equity and grants to five senior executives, with the CEO entitled to $11.9 million. In the event of a change in control and termination, Waste Management's performance share units vest </w:t>
      </w:r>
      <w:r>
        <w:rPr>
          <w:rFonts w:ascii="Arial" w:cs="Arial" w:eastAsia="Arial" w:hAnsi="Arial"/>
          <w:sz w:val="14"/>
          <w:szCs w:val="14"/>
          <w:i w:val="1"/>
          <w:iCs w:val="1"/>
          <w:color w:val="auto"/>
        </w:rPr>
        <w:t xml:space="preserve">pro-rata </w:t>
      </w:r>
      <w:r>
        <w:rPr>
          <w:rFonts w:ascii="Arial" w:cs="Arial" w:eastAsia="Arial" w:hAnsi="Arial"/>
          <w:sz w:val="14"/>
          <w:szCs w:val="14"/>
          <w:color w:val="auto"/>
        </w:rPr>
        <w:t>but the provision is meaningless because the company compensates the executives through a replacement grant for any lost earnings due to proration.</w:t>
      </w:r>
    </w:p>
    <w:p>
      <w:pPr>
        <w:spacing w:after="0" w:line="143" w:lineRule="exact"/>
        <w:rPr>
          <w:sz w:val="20"/>
          <w:szCs w:val="20"/>
          <w:color w:val="auto"/>
        </w:rPr>
      </w:pPr>
    </w:p>
    <w:p>
      <w:pPr>
        <w:jc w:val="both"/>
        <w:ind w:right="20" w:firstLine="393"/>
        <w:spacing w:after="0" w:line="277" w:lineRule="auto"/>
        <w:rPr>
          <w:sz w:val="20"/>
          <w:szCs w:val="20"/>
          <w:color w:val="auto"/>
        </w:rPr>
      </w:pPr>
      <w:r>
        <w:rPr>
          <w:rFonts w:ascii="Arial" w:cs="Arial" w:eastAsia="Arial" w:hAnsi="Arial"/>
          <w:sz w:val="15"/>
          <w:szCs w:val="15"/>
          <w:color w:val="auto"/>
        </w:rPr>
        <w:t>To accelerate the vesting of unearned equity on the theory that an executive was denied the opportunity to earn those shares seems inconsistent with a "pay for performance" philosophy worthy of the name.</w:t>
      </w:r>
    </w:p>
    <w:p>
      <w:pPr>
        <w:spacing w:after="0" w:line="151" w:lineRule="exact"/>
        <w:rPr>
          <w:sz w:val="20"/>
          <w:szCs w:val="20"/>
          <w:color w:val="auto"/>
        </w:rPr>
      </w:pPr>
    </w:p>
    <w:p>
      <w:pPr>
        <w:jc w:val="both"/>
        <w:ind w:firstLine="443"/>
        <w:spacing w:after="0" w:line="286" w:lineRule="auto"/>
        <w:rPr>
          <w:sz w:val="20"/>
          <w:szCs w:val="20"/>
          <w:color w:val="auto"/>
        </w:rPr>
      </w:pPr>
      <w:r>
        <w:rPr>
          <w:rFonts w:ascii="Arial" w:cs="Arial" w:eastAsia="Arial" w:hAnsi="Arial"/>
          <w:sz w:val="14"/>
          <w:szCs w:val="14"/>
          <w:color w:val="auto"/>
        </w:rPr>
        <w:t xml:space="preserve">We do believe, however, that an affected executive should be eligible to receive an accelerated vesting of equity awards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as of his or her termination date, with the details of any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award to be determined by the Compensation Committee. Other major corporations, including: Apple, Chevron, Dell, Exxon Mobil, IBM, Intel, Microsoft, and Occidental Petroleum, have limitations on accelerated vesting of unearned equity, such as, providing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awards or simply forfeiting unearned awards. Research from James Reda &amp; Associates found that over one-third of the largest 200 companies now </w:t>
      </w:r>
      <w:r>
        <w:rPr>
          <w:rFonts w:ascii="Arial" w:cs="Arial" w:eastAsia="Arial" w:hAnsi="Arial"/>
          <w:sz w:val="14"/>
          <w:szCs w:val="14"/>
          <w:i w:val="1"/>
          <w:iCs w:val="1"/>
          <w:color w:val="auto"/>
        </w:rPr>
        <w:t>pro rate</w:t>
      </w:r>
      <w:r>
        <w:rPr>
          <w:rFonts w:ascii="Arial" w:cs="Arial" w:eastAsia="Arial" w:hAnsi="Arial"/>
          <w:sz w:val="14"/>
          <w:szCs w:val="14"/>
          <w:color w:val="auto"/>
        </w:rPr>
        <w:t>, forfeit, or only partially vest performance shares upon a change of control.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Waste Management Response to Stockholder Proposal on Policy Restricting Accelerated Vesting and Requiring Partial Forfeiture of Equity Awards to Named Executive Officers upon a Change in Control</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The Board recommends that stockholders vote AGAINST this proposal.</w:t>
      </w:r>
    </w:p>
    <w:p>
      <w:pPr>
        <w:spacing w:after="0" w:line="198" w:lineRule="exact"/>
        <w:rPr>
          <w:sz w:val="20"/>
          <w:szCs w:val="20"/>
          <w:color w:val="auto"/>
        </w:rPr>
      </w:pPr>
    </w:p>
    <w:p>
      <w:pPr>
        <w:jc w:val="both"/>
        <w:ind w:firstLine="410"/>
        <w:spacing w:after="0" w:line="262" w:lineRule="auto"/>
        <w:rPr>
          <w:sz w:val="20"/>
          <w:szCs w:val="20"/>
          <w:color w:val="auto"/>
        </w:rPr>
      </w:pPr>
      <w:r>
        <w:rPr>
          <w:rFonts w:ascii="Arial" w:cs="Arial" w:eastAsia="Arial" w:hAnsi="Arial"/>
          <w:sz w:val="15"/>
          <w:szCs w:val="15"/>
          <w:color w:val="auto"/>
        </w:rPr>
        <w:t>The Board does not believe that adoption of a rigid policy restricting the acceleration of vesting and requiring partial forfeiture of named executive officers' equity awards is in the best interests of the Company or our stockholders. Such a policy could put the Company at a competitive disadvantage in attracting and retaining key executives, it would disrupt the alignment of interests between our management and our stockholders by discouraging pursuit of any transaction that could result in a change in control, and it would unduly restrict our MD&amp;C Committee from designing and administering appropriate compensation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Competitive disadvantage in attracting and retaining key executives</w:t>
      </w:r>
    </w:p>
    <w:p>
      <w:pPr>
        <w:spacing w:after="0" w:line="194" w:lineRule="exact"/>
        <w:rPr>
          <w:sz w:val="20"/>
          <w:szCs w:val="20"/>
          <w:color w:val="auto"/>
        </w:rPr>
      </w:pPr>
    </w:p>
    <w:p>
      <w:pPr>
        <w:jc w:val="both"/>
        <w:ind w:firstLine="469"/>
        <w:spacing w:after="0" w:line="265" w:lineRule="auto"/>
        <w:rPr>
          <w:sz w:val="20"/>
          <w:szCs w:val="20"/>
          <w:color w:val="auto"/>
        </w:rPr>
      </w:pPr>
      <w:r>
        <w:rPr>
          <w:rFonts w:ascii="Arial" w:cs="Arial" w:eastAsia="Arial" w:hAnsi="Arial"/>
          <w:sz w:val="15"/>
          <w:szCs w:val="15"/>
          <w:color w:val="auto"/>
        </w:rPr>
        <w:t xml:space="preserve">The proponent's supporting statement asserts that over a third of the largest 200 companies now pro rate, forfeit, or only partially vest performance shares upon a change in control. Waste Management is among those companies, as the proponent notes that we only vest performance share units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upon a change in control, and only based on actual performance to date.</w:t>
      </w:r>
    </w:p>
    <w:p>
      <w:pPr>
        <w:spacing w:after="0" w:line="161" w:lineRule="exact"/>
        <w:rPr>
          <w:sz w:val="20"/>
          <w:szCs w:val="20"/>
          <w:color w:val="auto"/>
        </w:rPr>
      </w:pPr>
    </w:p>
    <w:p>
      <w:pPr>
        <w:jc w:val="both"/>
        <w:ind w:firstLine="381"/>
        <w:spacing w:after="0" w:line="262" w:lineRule="auto"/>
        <w:rPr>
          <w:sz w:val="20"/>
          <w:szCs w:val="20"/>
          <w:color w:val="auto"/>
        </w:rPr>
      </w:pPr>
      <w:r>
        <w:rPr>
          <w:rFonts w:ascii="Arial" w:cs="Arial" w:eastAsia="Arial" w:hAnsi="Arial"/>
          <w:sz w:val="15"/>
          <w:szCs w:val="15"/>
          <w:color w:val="auto"/>
        </w:rPr>
        <w:t>However, a very substantial majority of the companies with which we compete for executive talent are not restricted in their ability to attract and retain key executives through the use of change in control equity vesting triggers, and in fact, routinely provide for accelerated vesting of equity-based awards upon a change in control. As a result, the proposed policy could significantly jeopardize the objective of our compensation program to attract, retain, reward and incentivize exceptional, talented employees who will lead the Company in the successful execution of its strategy.</w:t>
      </w:r>
    </w:p>
    <w:p>
      <w:pPr>
        <w:spacing w:after="0" w:line="162"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4"/>
          <w:szCs w:val="14"/>
          <w:color w:val="auto"/>
        </w:rPr>
        <w:t xml:space="preserve">Additionally, the proposed policy would permit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vesting of equity-based awards following both a change in control and termination of a named executive officer. Yet, vesting of equity-based awards, even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would not be permitted with respect to named executives that continue employment at the post-change in control successor entity. As noted above, our current award agreements for performance share units provide for accelerated vesting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based on actual performance achieved, upon a change in control event, as it is likely not to be feasible to carry forward the performance metrics of the outstanding awards to the successor entity. Under the proposed policy, named executives leaving the Company could have more certainty regarding the value of their outstanding performance share units than named executives that remain, who would have to forfeit their awards or rely on the successor entity to grant replacement awards. Such a result is clearly contrary to the retention objective of our compensation program and fails to appreciate the practical realities of change in control scenarios where the successor is a materially different entity.</w:t>
      </w:r>
    </w:p>
    <w:p>
      <w:pPr>
        <w:spacing w:after="0" w:line="155" w:lineRule="exact"/>
        <w:rPr>
          <w:sz w:val="20"/>
          <w:szCs w:val="20"/>
          <w:color w:val="auto"/>
        </w:rPr>
      </w:pPr>
    </w:p>
    <w:p>
      <w:pPr>
        <w:jc w:val="both"/>
        <w:ind w:firstLine="525"/>
        <w:spacing w:after="0" w:line="262" w:lineRule="auto"/>
        <w:rPr>
          <w:sz w:val="20"/>
          <w:szCs w:val="20"/>
          <w:color w:val="auto"/>
        </w:rPr>
      </w:pPr>
      <w:r>
        <w:rPr>
          <w:rFonts w:ascii="Arial" w:cs="Arial" w:eastAsia="Arial" w:hAnsi="Arial"/>
          <w:sz w:val="15"/>
          <w:szCs w:val="15"/>
          <w:color w:val="auto"/>
        </w:rPr>
        <w:t>The proposed policy may also make it particularly difficult for us to retain key executives during the pendency of a potential change in control, which could be disruptive to the transaction. Allowing executives to retain the value of their awards encourages our executives to remain with us through consummation of a merger or similar change in control transaction, reinforcing the retention value of those awards. Accelerated vesting provisions therefore help provide stability and ensure continuity of executive management during the critical stages of a potential change in control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Disruption of alignment between management and our stockholders</w:t>
      </w:r>
    </w:p>
    <w:p>
      <w:pPr>
        <w:spacing w:after="0" w:line="194"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15"/>
          <w:szCs w:val="15"/>
          <w:color w:val="auto"/>
        </w:rPr>
        <w:t xml:space="preserve">The Board believes that executives should not be discouraged from pursuing and facilitating change in control transactions when they are in the best interests of stockholders. Putting executives' compensation at risk in the event of a change in control could create a conflict of interest if the Board believed a potential change in control transaction was in the best interests of our stockholders. One of the essential purposes of providing executives with equity-based awards is to align their interests with those of our stockholders. As described in our </w:t>
      </w:r>
      <w:r>
        <w:rPr>
          <w:rFonts w:ascii="Arial" w:cs="Arial" w:eastAsia="Arial" w:hAnsi="Arial"/>
          <w:sz w:val="15"/>
          <w:szCs w:val="15"/>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w:t>
      </w:r>
      <w:r>
        <w:rPr>
          <w:rFonts w:ascii="Arial" w:cs="Arial" w:eastAsia="Arial" w:hAnsi="Arial"/>
          <w:sz w:val="15"/>
          <w:szCs w:val="15"/>
          <w:color w:val="auto"/>
        </w:rPr>
        <w:t>, a significant percentage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2" w:name="page63"/>
    <w:bookmarkEnd w:id="6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each named executive officer's compensation opportunity is in the form of equity-based awards, and at any time, our named executives' unvested equity awards represent a significant portion of their total compensation. The proposal would eliminate our ability to provide reasonable assurance to named executives that they can realize the expected value of their equity-based awards and would penalize named executives that consummate a change in control transaction, particularly those that remain with the Company afterwards, with the loss of their incentive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Undue restriction on the MD&amp;C Committee's structuring of executive compensation</w:t>
      </w:r>
    </w:p>
    <w:p>
      <w:pPr>
        <w:spacing w:after="0" w:line="194"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5"/>
          <w:szCs w:val="15"/>
          <w:color w:val="auto"/>
        </w:rPr>
        <w:t xml:space="preserve">Our Board believes that stockholders' interests are best served by recognizing that the MD&amp;C Committee, comprised of six independent, non-management directors, is in the best position to set the terms of executive compensation arrangements. Our stockholders have evidenced their overwhelming support of the MD&amp;C Committee's actions, with at least 96% of shares present and entitled to vote casting votes in favor of our Company's executive compensation at the last eight annual meetings of stockholders. The Board believes that the Company's treatment of equity-based awards upon a change in control, as summarized in our </w:t>
      </w:r>
      <w:r>
        <w:rPr>
          <w:rFonts w:ascii="Arial" w:cs="Arial" w:eastAsia="Arial" w:hAnsi="Arial"/>
          <w:sz w:val="15"/>
          <w:szCs w:val="15"/>
          <w:i w:val="1"/>
          <w:iCs w:val="1"/>
          <w:color w:val="auto"/>
        </w:rPr>
        <w:t>Compensation Discussion and Analysis</w:t>
      </w:r>
      <w:r>
        <w:rPr>
          <w:rFonts w:ascii="Arial" w:cs="Arial" w:eastAsia="Arial" w:hAnsi="Arial"/>
          <w:sz w:val="15"/>
          <w:szCs w:val="15"/>
          <w:color w:val="auto"/>
        </w:rPr>
        <w:t>, is already prudent and appropriately balances the interests of all parties, while not granting executives an undeserved windfall.</w:t>
      </w:r>
    </w:p>
    <w:p>
      <w:pPr>
        <w:spacing w:after="0" w:line="164" w:lineRule="exact"/>
        <w:rPr>
          <w:sz w:val="20"/>
          <w:szCs w:val="20"/>
          <w:color w:val="auto"/>
        </w:rPr>
      </w:pPr>
    </w:p>
    <w:p>
      <w:pPr>
        <w:jc w:val="both"/>
        <w:ind w:firstLine="494"/>
        <w:spacing w:after="0" w:line="262" w:lineRule="auto"/>
        <w:rPr>
          <w:sz w:val="20"/>
          <w:szCs w:val="20"/>
          <w:color w:val="auto"/>
        </w:rPr>
      </w:pPr>
      <w:r>
        <w:rPr>
          <w:rFonts w:ascii="Arial" w:cs="Arial" w:eastAsia="Arial" w:hAnsi="Arial"/>
          <w:sz w:val="15"/>
          <w:szCs w:val="15"/>
          <w:color w:val="auto"/>
        </w:rPr>
        <w:t>The MD&amp;C Committee should continue to retain the flexibility to design and administer competitive compensation programs that reflect market conditions. Permitting the MD&amp;C Committee to accelerate vesting of equity awards can incentivize management to maximize stockholder value, further aligning the interests of management with our stockholders. Conversely, adopting the rigid policy advanced by the proponent would frustrate the purpose of the MD&amp;C Committee and interfere with the objective of our compensation program. The Board recommends that you vote against this proposal.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Vote Required for Approval</w:t>
      </w:r>
    </w:p>
    <w:p>
      <w:pPr>
        <w:spacing w:after="0" w:line="198" w:lineRule="exact"/>
        <w:rPr>
          <w:sz w:val="20"/>
          <w:szCs w:val="20"/>
          <w:color w:val="auto"/>
        </w:rPr>
      </w:pPr>
    </w:p>
    <w:p>
      <w:pPr>
        <w:jc w:val="both"/>
        <w:ind w:right="20" w:firstLine="466"/>
        <w:spacing w:after="0" w:line="277" w:lineRule="auto"/>
        <w:rPr>
          <w:sz w:val="20"/>
          <w:szCs w:val="20"/>
          <w:color w:val="auto"/>
        </w:rPr>
      </w:pPr>
      <w:r>
        <w:rPr>
          <w:rFonts w:ascii="Arial" w:cs="Arial" w:eastAsia="Arial" w:hAnsi="Arial"/>
          <w:sz w:val="15"/>
          <w:szCs w:val="15"/>
          <w:color w:val="auto"/>
        </w:rPr>
        <w:t>If this proposal is properly presented at the meeting, approval requires the affirmative vote of a majority of the shares present at the meeting, in person or represented by proxy, and entitled to vote.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THE BOARD OF DIRECTORS RECOMMENDS THAT YOU VOTE AGAINST THIS PROPOSAL.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26757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214" w:lineRule="exact"/>
        <w:rPr>
          <w:sz w:val="20"/>
          <w:szCs w:val="20"/>
          <w:color w:val="auto"/>
        </w:rPr>
      </w:pPr>
    </w:p>
    <w:p>
      <w:pPr>
        <w:jc w:val="both"/>
        <w:ind w:firstLine="369"/>
        <w:spacing w:after="0" w:line="314" w:lineRule="auto"/>
        <w:rPr>
          <w:sz w:val="20"/>
          <w:szCs w:val="20"/>
          <w:color w:val="auto"/>
        </w:rPr>
      </w:pPr>
      <w:r>
        <w:rPr>
          <w:rFonts w:ascii="Arial" w:cs="Arial" w:eastAsia="Arial" w:hAnsi="Arial"/>
          <w:sz w:val="14"/>
          <w:szCs w:val="14"/>
          <w:color w:val="auto"/>
        </w:rPr>
        <w:t>The Company does not intend to bring any other matters before the annual meeting, 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27265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9476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76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o"/>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o"/>
      <w:numFmt w:val="bullet"/>
      <w:start w:val="1"/>
    </w:lvl>
    <w:lvl w:ilvl="1">
      <w:lvlJc w:val="left"/>
      <w:lvlText w:val="(%2)"/>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3"/>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3"/>
    </w:lvl>
  </w:abstractNum>
  <w:abstractNum w:abstractNumId="39">
    <w:nsid w:val="725A06FB"/>
    <w:multiLevelType w:val="hybridMultilevel"/>
    <w:lvl w:ilvl="0">
      <w:lvlJc w:val="left"/>
      <w:lvlText w:val="%1"/>
      <w:numFmt w:val="decimal"/>
      <w:start w:val="1"/>
    </w:lvl>
    <w:lvl w:ilvl="1">
      <w:lvlJc w:val="left"/>
      <w:lvlText w:val="(%2)"/>
      <w:numFmt w:val="lowerLetter"/>
      <w:start w:val="1"/>
    </w:lvl>
  </w:abstractNum>
  <w:abstractNum w:abstractNumId="40">
    <w:nsid w:val="2CD89A32"/>
    <w:multiLevelType w:val="hybridMultilevel"/>
    <w:lvl w:ilvl="0">
      <w:lvlJc w:val="left"/>
      <w:lvlText w:val="(%1)"/>
      <w:numFmt w:val="decimal"/>
      <w:start w:val="6"/>
    </w:lvl>
    <w:lvl w:ilvl="1">
      <w:lvlJc w:val="left"/>
      <w:lvlText w:val="%2"/>
      <w:numFmt w:val="lowerLetter"/>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2019-12-03T19:34:01Z</dcterms:created>
  <dcterms:modified xsi:type="dcterms:W3CDTF">2019-12-03T19:34:01Z</dcterms:modified>
</cp:coreProperties>
</file>