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2,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2021,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4865157. A replay of the call will be available on the Company’s website and by telephone until February 16, 2022. To access a replay telephonically, please dial (855) 859-2056 and use the replay conference ID number 4865157.</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3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2, 2022</w:t>
        </w:r>
      </w:hyperlink>
    </w:p>
    <w:p>
      <w:pPr>
        <w:spacing w:after="0" w:line="225" w:lineRule="exact"/>
        <w:rPr>
          <w:sz w:val="20"/>
          <w:szCs w:val="20"/>
          <w:color w:val="auto"/>
        </w:rPr>
      </w:pPr>
    </w:p>
    <w:p>
      <w:pPr>
        <w:ind w:left="5560" w:right="3360" w:hanging="5552"/>
        <w:spacing w:after="0" w:line="778" w:lineRule="auto"/>
        <w:tabs>
          <w:tab w:leader="none" w:pos="136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 February 2, 2022</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4"/>
              </w:rPr>
              <w:t>Executive Vice President, Corporate Development and Chief Legal</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300"/>
        <w:spacing w:after="0" w:line="255" w:lineRule="auto"/>
        <w:rPr>
          <w:sz w:val="20"/>
          <w:szCs w:val="20"/>
          <w:color w:val="auto"/>
        </w:rPr>
      </w:pPr>
      <w:r>
        <w:rPr>
          <w:rFonts w:ascii="Arial" w:cs="Arial" w:eastAsia="Arial" w:hAnsi="Arial"/>
          <w:sz w:val="40"/>
          <w:szCs w:val="40"/>
          <w:color w:val="7AB800"/>
        </w:rPr>
        <w:t>WM Announces Fourth Quarter and Full-Year 2021 Earnings</w:t>
      </w:r>
    </w:p>
    <w:p>
      <w:pPr>
        <w:spacing w:after="0" w:line="90" w:lineRule="exact"/>
        <w:rPr>
          <w:sz w:val="20"/>
          <w:szCs w:val="20"/>
          <w:color w:val="auto"/>
        </w:rPr>
      </w:pPr>
    </w:p>
    <w:p>
      <w:pPr>
        <w:jc w:val="center"/>
        <w:ind w:left="300"/>
        <w:spacing w:after="0" w:line="250" w:lineRule="auto"/>
        <w:rPr>
          <w:sz w:val="20"/>
          <w:szCs w:val="20"/>
          <w:color w:val="auto"/>
        </w:rPr>
      </w:pPr>
      <w:r>
        <w:rPr>
          <w:rFonts w:ascii="Arial" w:cs="Arial" w:eastAsia="Arial" w:hAnsi="Arial"/>
          <w:sz w:val="22"/>
          <w:szCs w:val="22"/>
          <w:color w:val="auto"/>
        </w:rPr>
        <w:t>Full-Year Results Delivered Record Revenue, Income from Operations and Net Cash Provided by Operating Activities</w:t>
      </w:r>
    </w:p>
    <w:p>
      <w:pPr>
        <w:spacing w:after="0" w:line="202" w:lineRule="exact"/>
        <w:rPr>
          <w:sz w:val="20"/>
          <w:szCs w:val="20"/>
          <w:color w:val="auto"/>
        </w:rPr>
      </w:pPr>
    </w:p>
    <w:p>
      <w:pPr>
        <w:jc w:val="center"/>
        <w:ind w:left="300"/>
        <w:spacing w:after="0" w:line="250" w:lineRule="auto"/>
        <w:rPr>
          <w:sz w:val="20"/>
          <w:szCs w:val="20"/>
          <w:color w:val="auto"/>
        </w:rPr>
      </w:pPr>
      <w:r>
        <w:rPr>
          <w:rFonts w:ascii="Arial" w:cs="Arial" w:eastAsia="Arial" w:hAnsi="Arial"/>
          <w:sz w:val="22"/>
          <w:szCs w:val="22"/>
          <w:color w:val="auto"/>
        </w:rPr>
        <w:t>Company’s Strong Performance and Cash Generation Translated into More Than $2.3 Billion Returned to Shareholders during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57584F"/>
        </w:rPr>
        <w:t>www.wm.com</w:t>
      </w:r>
    </w:p>
    <w:p>
      <w:pPr>
        <w:spacing w:after="0" w:line="96" w:lineRule="exact"/>
        <w:rPr>
          <w:sz w:val="20"/>
          <w:szCs w:val="20"/>
          <w:color w:val="auto"/>
        </w:rPr>
      </w:pPr>
    </w:p>
    <w:p>
      <w:pPr>
        <w:sectPr>
          <w:pgSz w:w="11900" w:h="16838" w:orient="portrait"/>
          <w:cols w:equalWidth="0" w:num="2">
            <w:col w:w="8760" w:space="340"/>
            <w:col w:w="2140"/>
          </w:cols>
          <w:pgMar w:left="320" w:top="319" w:right="339" w:bottom="1440" w:gutter="0" w:footer="0" w:header="0"/>
          <w:type w:val="continuous"/>
        </w:sectPr>
      </w:pPr>
    </w:p>
    <w:tbl>
      <w:tblPr>
        <w:tblLayout w:type="fixed"/>
        <w:tblInd w:w="100" w:type="dxa"/>
        <w:tblCellMar>
          <w:top w:w="0" w:type="dxa"/>
          <w:left w:w="0" w:type="dxa"/>
          <w:bottom w:w="0" w:type="dxa"/>
          <w:right w:w="0" w:type="dxa"/>
        </w:tblCellMar>
      </w:tblPr>
      <w:tr>
        <w:trPr>
          <w:trHeight w:val="211"/>
        </w:trPr>
        <w:tc>
          <w:tcPr>
            <w:tcW w:w="8920" w:type="dxa"/>
            <w:vAlign w:val="bottom"/>
            <w:gridSpan w:val="23"/>
          </w:tcPr>
          <w:p>
            <w:pPr>
              <w:spacing w:after="0"/>
              <w:rPr>
                <w:sz w:val="20"/>
                <w:szCs w:val="20"/>
                <w:color w:val="auto"/>
              </w:rPr>
            </w:pPr>
            <w:r>
              <w:rPr>
                <w:rFonts w:ascii="Arial" w:cs="Arial" w:eastAsia="Arial" w:hAnsi="Arial"/>
                <w:sz w:val="18"/>
                <w:szCs w:val="18"/>
                <w:b w:val="1"/>
                <w:bCs w:val="1"/>
                <w:color w:val="auto"/>
              </w:rPr>
              <w:t xml:space="preserve">HOUSTON — Feb. 2, 2022 — </w:t>
            </w:r>
            <w:r>
              <w:rPr>
                <w:rFonts w:ascii="Arial" w:cs="Arial" w:eastAsia="Arial" w:hAnsi="Arial"/>
                <w:sz w:val="18"/>
                <w:szCs w:val="18"/>
                <w:color w:val="auto"/>
              </w:rPr>
              <w:t>Waste Management, Inc. (NYSE: WM) today announced financial results for the</w:t>
            </w:r>
          </w:p>
        </w:tc>
        <w:tc>
          <w:tcPr>
            <w:tcW w:w="1320" w:type="dxa"/>
            <w:vAlign w:val="bottom"/>
          </w:tcPr>
          <w:p>
            <w:pPr>
              <w:ind w:left="80"/>
              <w:spacing w:after="0"/>
              <w:rPr>
                <w:sz w:val="20"/>
                <w:szCs w:val="20"/>
                <w:color w:val="auto"/>
              </w:rPr>
            </w:pPr>
            <w:r>
              <w:rPr>
                <w:rFonts w:ascii="Arial" w:cs="Arial" w:eastAsia="Arial" w:hAnsi="Arial"/>
                <w:sz w:val="16"/>
                <w:szCs w:val="16"/>
                <w:b w:val="1"/>
                <w:bCs w:val="1"/>
                <w:color w:val="auto"/>
              </w:rPr>
              <w:t>Analysts</w:t>
            </w:r>
          </w:p>
        </w:tc>
        <w:tc>
          <w:tcPr>
            <w:tcW w:w="0" w:type="dxa"/>
            <w:vAlign w:val="bottom"/>
          </w:tcPr>
          <w:p>
            <w:pPr>
              <w:spacing w:after="0"/>
              <w:rPr>
                <w:sz w:val="1"/>
                <w:szCs w:val="1"/>
                <w:color w:val="auto"/>
              </w:rPr>
            </w:pPr>
          </w:p>
        </w:tc>
      </w:tr>
      <w:tr>
        <w:trPr>
          <w:trHeight w:val="229"/>
        </w:trPr>
        <w:tc>
          <w:tcPr>
            <w:tcW w:w="3960" w:type="dxa"/>
            <w:vAlign w:val="bottom"/>
            <w:gridSpan w:val="7"/>
          </w:tcPr>
          <w:p>
            <w:pPr>
              <w:spacing w:after="0"/>
              <w:rPr>
                <w:sz w:val="20"/>
                <w:szCs w:val="20"/>
                <w:color w:val="auto"/>
              </w:rPr>
            </w:pPr>
            <w:r>
              <w:rPr>
                <w:rFonts w:ascii="Arial" w:cs="Arial" w:eastAsia="Arial" w:hAnsi="Arial"/>
                <w:sz w:val="18"/>
                <w:szCs w:val="18"/>
                <w:color w:val="auto"/>
              </w:rPr>
              <w:t>quarter and year ended December 31, 2021.</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ind w:left="80"/>
              <w:spacing w:after="0"/>
              <w:rPr>
                <w:sz w:val="20"/>
                <w:szCs w:val="20"/>
                <w:color w:val="auto"/>
              </w:rPr>
            </w:pPr>
            <w:r>
              <w:rPr>
                <w:rFonts w:ascii="Arial" w:cs="Arial" w:eastAsia="Arial" w:hAnsi="Arial"/>
                <w:sz w:val="18"/>
                <w:szCs w:val="18"/>
                <w:color w:val="57584F"/>
              </w:rPr>
              <w:t>Ed Egl</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4"/>
            <w:vMerge w:val="restart"/>
          </w:tcPr>
          <w:p>
            <w:pPr>
              <w:jc w:val="right"/>
              <w:ind w:right="420"/>
              <w:spacing w:after="0"/>
              <w:rPr>
                <w:sz w:val="20"/>
                <w:szCs w:val="20"/>
                <w:color w:val="auto"/>
              </w:rPr>
            </w:pPr>
            <w:r>
              <w:rPr>
                <w:rFonts w:ascii="Arial" w:cs="Arial" w:eastAsia="Arial" w:hAnsi="Arial"/>
                <w:sz w:val="16"/>
                <w:szCs w:val="16"/>
                <w:b w:val="1"/>
                <w:bCs w:val="1"/>
                <w:color w:val="auto"/>
                <w:w w:val="97"/>
              </w:rPr>
              <w:t>Year Ended</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ind w:left="80"/>
              <w:spacing w:after="0" w:line="202" w:lineRule="exact"/>
              <w:rPr>
                <w:sz w:val="20"/>
                <w:szCs w:val="20"/>
                <w:color w:val="auto"/>
              </w:rPr>
            </w:pPr>
            <w:r>
              <w:rPr>
                <w:rFonts w:ascii="Arial" w:cs="Arial" w:eastAsia="Arial" w:hAnsi="Arial"/>
                <w:sz w:val="18"/>
                <w:szCs w:val="18"/>
                <w:color w:val="57584F"/>
              </w:rPr>
              <w:t>713.265.1656</w:t>
            </w: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ind w:left="80"/>
              <w:spacing w:after="0" w:line="143" w:lineRule="exact"/>
              <w:rPr>
                <w:sz w:val="20"/>
                <w:szCs w:val="20"/>
                <w:color w:val="auto"/>
              </w:rPr>
            </w:pPr>
            <w:r>
              <w:rPr>
                <w:rFonts w:ascii="Arial" w:cs="Arial" w:eastAsia="Arial" w:hAnsi="Arial"/>
                <w:sz w:val="16"/>
                <w:szCs w:val="16"/>
                <w:color w:val="57584F"/>
              </w:rPr>
              <w:t>eegl@wm.com</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20" w:type="dxa"/>
            <w:vAlign w:val="bottom"/>
          </w:tcPr>
          <w:p>
            <w:pPr>
              <w:spacing w:after="0"/>
              <w:rPr>
                <w:sz w:val="15"/>
                <w:szCs w:val="15"/>
                <w:color w:val="auto"/>
              </w:rPr>
            </w:pPr>
          </w:p>
        </w:tc>
        <w:tc>
          <w:tcPr>
            <w:tcW w:w="1640" w:type="dxa"/>
            <w:vAlign w:val="bottom"/>
            <w:gridSpan w:val="6"/>
          </w:tcPr>
          <w:p>
            <w:pPr>
              <w:ind w:left="60"/>
              <w:spacing w:after="0" w:line="183" w:lineRule="exact"/>
              <w:rPr>
                <w:sz w:val="20"/>
                <w:szCs w:val="20"/>
                <w:color w:val="auto"/>
              </w:rPr>
            </w:pPr>
            <w:r>
              <w:rPr>
                <w:rFonts w:ascii="Arial" w:cs="Arial" w:eastAsia="Arial" w:hAnsi="Arial"/>
                <w:sz w:val="16"/>
                <w:szCs w:val="16"/>
                <w:b w:val="1"/>
                <w:bCs w:val="1"/>
                <w:color w:val="auto"/>
              </w:rPr>
              <w:t>December 31, 2021</w:t>
            </w:r>
          </w:p>
        </w:tc>
        <w:tc>
          <w:tcPr>
            <w:tcW w:w="1740" w:type="dxa"/>
            <w:vAlign w:val="bottom"/>
            <w:gridSpan w:val="5"/>
          </w:tcPr>
          <w:p>
            <w:pPr>
              <w:spacing w:after="0" w:line="183" w:lineRule="exact"/>
              <w:rPr>
                <w:sz w:val="20"/>
                <w:szCs w:val="20"/>
                <w:color w:val="auto"/>
              </w:rPr>
            </w:pPr>
            <w:r>
              <w:rPr>
                <w:rFonts w:ascii="Arial" w:cs="Arial" w:eastAsia="Arial" w:hAnsi="Arial"/>
                <w:sz w:val="16"/>
                <w:szCs w:val="16"/>
                <w:b w:val="1"/>
                <w:bCs w:val="1"/>
                <w:color w:val="auto"/>
              </w:rPr>
              <w:t>December 31, 2020</w:t>
            </w:r>
          </w:p>
        </w:tc>
        <w:tc>
          <w:tcPr>
            <w:tcW w:w="1660" w:type="dxa"/>
            <w:vAlign w:val="bottom"/>
            <w:gridSpan w:val="6"/>
          </w:tcPr>
          <w:p>
            <w:pPr>
              <w:jc w:val="right"/>
              <w:ind w:right="140"/>
              <w:spacing w:after="0" w:line="183" w:lineRule="exact"/>
              <w:rPr>
                <w:sz w:val="20"/>
                <w:szCs w:val="20"/>
                <w:color w:val="auto"/>
              </w:rPr>
            </w:pPr>
            <w:r>
              <w:rPr>
                <w:rFonts w:ascii="Arial" w:cs="Arial" w:eastAsia="Arial" w:hAnsi="Arial"/>
                <w:sz w:val="16"/>
                <w:szCs w:val="16"/>
                <w:b w:val="1"/>
                <w:bCs w:val="1"/>
                <w:color w:val="auto"/>
              </w:rPr>
              <w:t>December 31, 2021</w:t>
            </w:r>
          </w:p>
        </w:tc>
        <w:tc>
          <w:tcPr>
            <w:tcW w:w="1560" w:type="dxa"/>
            <w:vAlign w:val="bottom"/>
            <w:gridSpan w:val="5"/>
          </w:tcPr>
          <w:p>
            <w:pPr>
              <w:spacing w:after="0" w:line="183" w:lineRule="exact"/>
              <w:rPr>
                <w:sz w:val="20"/>
                <w:szCs w:val="20"/>
                <w:color w:val="auto"/>
              </w:rPr>
            </w:pPr>
            <w:r>
              <w:rPr>
                <w:rFonts w:ascii="Arial" w:cs="Arial" w:eastAsia="Arial" w:hAnsi="Arial"/>
                <w:sz w:val="16"/>
                <w:szCs w:val="16"/>
                <w:b w:val="1"/>
                <w:bCs w:val="1"/>
                <w:color w:val="auto"/>
              </w:rPr>
              <w:t>December 31, 2020</w:t>
            </w:r>
          </w:p>
        </w:tc>
        <w:tc>
          <w:tcPr>
            <w:tcW w:w="13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Media</w:t>
            </w: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w w:val="98"/>
              </w:rPr>
              <w:t>(in millions, except</w:t>
            </w:r>
          </w:p>
        </w:tc>
        <w:tc>
          <w:tcPr>
            <w:tcW w:w="120" w:type="dxa"/>
            <w:vAlign w:val="bottom"/>
          </w:tcPr>
          <w:p>
            <w:pPr>
              <w:spacing w:after="0"/>
              <w:rPr>
                <w:sz w:val="14"/>
                <w:szCs w:val="14"/>
                <w:color w:val="auto"/>
              </w:rPr>
            </w:pPr>
          </w:p>
        </w:tc>
        <w:tc>
          <w:tcPr>
            <w:tcW w:w="146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w w:val="96"/>
              </w:rPr>
              <w:t>per share amounts)</w:t>
            </w:r>
          </w:p>
        </w:tc>
        <w:tc>
          <w:tcPr>
            <w:tcW w:w="2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Borders>
              <w:top w:val="single" w:sz="8" w:color="auto"/>
            </w:tcBorders>
            <w:gridSpan w:val="4"/>
          </w:tcPr>
          <w:p>
            <w:pPr>
              <w:jc w:val="right"/>
              <w:spacing w:after="0" w:line="169" w:lineRule="exact"/>
              <w:rPr>
                <w:sz w:val="20"/>
                <w:szCs w:val="20"/>
                <w:color w:val="auto"/>
              </w:rPr>
            </w:pPr>
            <w:r>
              <w:rPr>
                <w:rFonts w:ascii="Arial" w:cs="Arial" w:eastAsia="Arial" w:hAnsi="Arial"/>
                <w:sz w:val="16"/>
                <w:szCs w:val="16"/>
                <w:b w:val="1"/>
                <w:bCs w:val="1"/>
                <w:color w:val="auto"/>
                <w:w w:val="99"/>
              </w:rPr>
              <w:t>(in millions, except</w:t>
            </w:r>
          </w:p>
        </w:tc>
        <w:tc>
          <w:tcPr>
            <w:tcW w:w="140" w:type="dxa"/>
            <w:vAlign w:val="bottom"/>
          </w:tcPr>
          <w:p>
            <w:pPr>
              <w:spacing w:after="0"/>
              <w:rPr>
                <w:sz w:val="14"/>
                <w:szCs w:val="14"/>
                <w:color w:val="auto"/>
              </w:rPr>
            </w:pPr>
          </w:p>
        </w:tc>
        <w:tc>
          <w:tcPr>
            <w:tcW w:w="146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6"/>
                <w:szCs w:val="16"/>
                <w:b w:val="1"/>
                <w:bCs w:val="1"/>
                <w:color w:val="auto"/>
                <w:w w:val="96"/>
              </w:rPr>
              <w:t>per share amounts)</w:t>
            </w: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auto"/>
            </w:tcBorders>
            <w:gridSpan w:val="2"/>
          </w:tcPr>
          <w:p>
            <w:pPr>
              <w:jc w:val="right"/>
              <w:ind w:right="359"/>
              <w:spacing w:after="0"/>
              <w:rPr>
                <w:sz w:val="20"/>
                <w:szCs w:val="20"/>
                <w:color w:val="auto"/>
              </w:rPr>
            </w:pPr>
            <w:r>
              <w:rPr>
                <w:rFonts w:ascii="Arial" w:cs="Arial" w:eastAsia="Arial" w:hAnsi="Arial"/>
                <w:sz w:val="16"/>
                <w:szCs w:val="16"/>
                <w:color w:val="auto"/>
              </w:rPr>
              <w:t>As</w:t>
            </w:r>
          </w:p>
        </w:tc>
        <w:tc>
          <w:tcPr>
            <w:tcW w:w="7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As</w:t>
            </w:r>
          </w:p>
        </w:tc>
        <w:tc>
          <w:tcPr>
            <w:tcW w:w="7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As</w:t>
            </w:r>
          </w:p>
        </w:tc>
        <w:tc>
          <w:tcPr>
            <w:tcW w:w="70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As</w:t>
            </w:r>
          </w:p>
        </w:tc>
        <w:tc>
          <w:tcPr>
            <w:tcW w:w="3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As</w:t>
            </w:r>
          </w:p>
        </w:tc>
        <w:tc>
          <w:tcPr>
            <w:tcW w:w="78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6"/>
                <w:szCs w:val="16"/>
                <w:color w:val="auto"/>
              </w:rPr>
              <w:t>As</w:t>
            </w:r>
          </w:p>
        </w:tc>
        <w:tc>
          <w:tcPr>
            <w:tcW w:w="8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As</w:t>
            </w:r>
          </w:p>
        </w:tc>
        <w:tc>
          <w:tcPr>
            <w:tcW w:w="64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rPr>
              <w:t>As</w:t>
            </w:r>
          </w:p>
        </w:tc>
        <w:tc>
          <w:tcPr>
            <w:tcW w:w="120" w:type="dxa"/>
            <w:vAlign w:val="bottom"/>
            <w:gridSpan w:val="2"/>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8"/>
                <w:szCs w:val="18"/>
                <w:color w:val="57584F"/>
              </w:rPr>
              <w:t>Toni Werner</w:t>
            </w:r>
          </w:p>
        </w:tc>
        <w:tc>
          <w:tcPr>
            <w:tcW w:w="0" w:type="dxa"/>
            <w:vAlign w:val="bottom"/>
          </w:tcPr>
          <w:p>
            <w:pPr>
              <w:spacing w:after="0"/>
              <w:rPr>
                <w:sz w:val="1"/>
                <w:szCs w:val="1"/>
                <w:color w:val="auto"/>
              </w:rPr>
            </w:pPr>
          </w:p>
        </w:tc>
      </w:tr>
      <w:tr>
        <w:trPr>
          <w:trHeight w:val="244"/>
        </w:trPr>
        <w:tc>
          <w:tcPr>
            <w:tcW w:w="2320" w:type="dxa"/>
            <w:vAlign w:val="bottom"/>
          </w:tcPr>
          <w:p>
            <w:pPr>
              <w:spacing w:after="0"/>
              <w:rPr>
                <w:sz w:val="21"/>
                <w:szCs w:val="21"/>
                <w:color w:val="auto"/>
              </w:rPr>
            </w:pPr>
          </w:p>
        </w:tc>
        <w:tc>
          <w:tcPr>
            <w:tcW w:w="3380" w:type="dxa"/>
            <w:vAlign w:val="bottom"/>
            <w:gridSpan w:val="11"/>
          </w:tcPr>
          <w:p>
            <w:pPr>
              <w:ind w:left="60"/>
              <w:spacing w:after="0" w:line="243" w:lineRule="exact"/>
              <w:rPr>
                <w:sz w:val="20"/>
                <w:szCs w:val="20"/>
                <w:color w:val="auto"/>
              </w:rPr>
            </w:pPr>
            <w:r>
              <w:rPr>
                <w:rFonts w:ascii="Arial" w:cs="Arial" w:eastAsia="Arial" w:hAnsi="Arial"/>
                <w:sz w:val="16"/>
                <w:szCs w:val="16"/>
                <w:color w:val="auto"/>
              </w:rPr>
              <w:t>Reported Adjusted</w:t>
            </w:r>
            <w:r>
              <w:rPr>
                <w:rFonts w:ascii="Arial" w:cs="Arial" w:eastAsia="Arial" w:hAnsi="Arial"/>
                <w:sz w:val="26"/>
                <w:szCs w:val="26"/>
                <w:color w:val="auto"/>
                <w:vertAlign w:val="superscript"/>
              </w:rPr>
              <w:t>(a)</w:t>
            </w:r>
            <w:r>
              <w:rPr>
                <w:rFonts w:ascii="Arial" w:cs="Arial" w:eastAsia="Arial" w:hAnsi="Arial"/>
                <w:sz w:val="16"/>
                <w:szCs w:val="16"/>
                <w:color w:val="auto"/>
              </w:rPr>
              <w:t xml:space="preserve"> Reported Adjusted</w:t>
            </w:r>
            <w:r>
              <w:rPr>
                <w:rFonts w:ascii="Arial" w:cs="Arial" w:eastAsia="Arial" w:hAnsi="Arial"/>
                <w:sz w:val="26"/>
                <w:szCs w:val="26"/>
                <w:color w:val="auto"/>
                <w:vertAlign w:val="superscript"/>
              </w:rPr>
              <w:t>(a)</w:t>
            </w:r>
          </w:p>
        </w:tc>
        <w:tc>
          <w:tcPr>
            <w:tcW w:w="3220" w:type="dxa"/>
            <w:vAlign w:val="bottom"/>
            <w:gridSpan w:val="11"/>
          </w:tcPr>
          <w:p>
            <w:pPr>
              <w:jc w:val="right"/>
              <w:ind w:right="60"/>
              <w:spacing w:after="0" w:line="243" w:lineRule="exact"/>
              <w:rPr>
                <w:sz w:val="20"/>
                <w:szCs w:val="20"/>
                <w:color w:val="auto"/>
              </w:rPr>
            </w:pPr>
            <w:r>
              <w:rPr>
                <w:rFonts w:ascii="Arial" w:cs="Arial" w:eastAsia="Arial" w:hAnsi="Arial"/>
                <w:sz w:val="16"/>
                <w:szCs w:val="16"/>
                <w:color w:val="auto"/>
              </w:rPr>
              <w:t>Reported Adjusted</w:t>
            </w:r>
            <w:r>
              <w:rPr>
                <w:rFonts w:ascii="Arial" w:cs="Arial" w:eastAsia="Arial" w:hAnsi="Arial"/>
                <w:sz w:val="26"/>
                <w:szCs w:val="26"/>
                <w:color w:val="auto"/>
                <w:vertAlign w:val="superscript"/>
              </w:rPr>
              <w:t>(a)</w:t>
            </w:r>
            <w:r>
              <w:rPr>
                <w:rFonts w:ascii="Arial" w:cs="Arial" w:eastAsia="Arial" w:hAnsi="Arial"/>
                <w:sz w:val="16"/>
                <w:szCs w:val="16"/>
                <w:color w:val="auto"/>
              </w:rPr>
              <w:t xml:space="preserve"> Reported Adjusted</w:t>
            </w:r>
            <w:r>
              <w:rPr>
                <w:rFonts w:ascii="Arial" w:cs="Arial" w:eastAsia="Arial" w:hAnsi="Arial"/>
                <w:sz w:val="26"/>
                <w:szCs w:val="26"/>
                <w:color w:val="auto"/>
                <w:vertAlign w:val="superscript"/>
              </w:rPr>
              <w:t>(a)</w:t>
            </w:r>
          </w:p>
        </w:tc>
        <w:tc>
          <w:tcPr>
            <w:tcW w:w="1320" w:type="dxa"/>
            <w:vAlign w:val="bottom"/>
          </w:tcPr>
          <w:p>
            <w:pPr>
              <w:ind w:left="80"/>
              <w:spacing w:after="0"/>
              <w:rPr>
                <w:sz w:val="20"/>
                <w:szCs w:val="20"/>
                <w:color w:val="auto"/>
              </w:rPr>
            </w:pPr>
            <w:r>
              <w:rPr>
                <w:rFonts w:ascii="Arial" w:cs="Arial" w:eastAsia="Arial" w:hAnsi="Arial"/>
                <w:sz w:val="18"/>
                <w:szCs w:val="18"/>
                <w:color w:val="57584F"/>
                <w:w w:val="90"/>
              </w:rPr>
              <w:t>media@wm.com</w:t>
            </w:r>
          </w:p>
        </w:tc>
        <w:tc>
          <w:tcPr>
            <w:tcW w:w="0" w:type="dxa"/>
            <w:vAlign w:val="bottom"/>
          </w:tcPr>
          <w:p>
            <w:pPr>
              <w:spacing w:after="0"/>
              <w:rPr>
                <w:sz w:val="1"/>
                <w:szCs w:val="1"/>
                <w:color w:val="auto"/>
              </w:rPr>
            </w:pPr>
          </w:p>
        </w:tc>
      </w:tr>
      <w:tr>
        <w:trPr>
          <w:trHeight w:val="352"/>
        </w:trPr>
        <w:tc>
          <w:tcPr>
            <w:tcW w:w="2320" w:type="dxa"/>
            <w:vAlign w:val="bottom"/>
          </w:tcPr>
          <w:p>
            <w:pPr>
              <w:spacing w:after="0"/>
              <w:rPr>
                <w:sz w:val="20"/>
                <w:szCs w:val="20"/>
                <w:color w:val="auto"/>
              </w:rPr>
            </w:pPr>
            <w:r>
              <w:rPr>
                <w:rFonts w:ascii="Arial" w:cs="Arial" w:eastAsia="Arial" w:hAnsi="Arial"/>
                <w:sz w:val="16"/>
                <w:szCs w:val="16"/>
                <w:color w:val="auto"/>
              </w:rPr>
              <w:t>Revenue</w:t>
            </w:r>
          </w:p>
        </w:tc>
        <w:tc>
          <w:tcPr>
            <w:tcW w:w="940" w:type="dxa"/>
            <w:vAlign w:val="bottom"/>
            <w:tcBorders>
              <w:top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$4,678</w:t>
            </w:r>
          </w:p>
        </w:tc>
        <w:tc>
          <w:tcPr>
            <w:tcW w:w="7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$4,678</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$4,067</w:t>
            </w: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$4,067</w:t>
            </w:r>
          </w:p>
        </w:tc>
        <w:tc>
          <w:tcPr>
            <w:tcW w:w="220" w:type="dxa"/>
            <w:vAlign w:val="bottom"/>
          </w:tcPr>
          <w:p>
            <w:pPr>
              <w:spacing w:after="0"/>
              <w:rPr>
                <w:sz w:val="24"/>
                <w:szCs w:val="24"/>
                <w:color w:val="auto"/>
              </w:rPr>
            </w:pPr>
          </w:p>
        </w:tc>
        <w:tc>
          <w:tcPr>
            <w:tcW w:w="88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$17,931</w:t>
            </w:r>
          </w:p>
        </w:tc>
        <w:tc>
          <w:tcPr>
            <w:tcW w:w="7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$17,931</w:t>
            </w: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$15,218</w:t>
            </w:r>
          </w:p>
        </w:tc>
        <w:tc>
          <w:tcPr>
            <w:tcW w:w="7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$15,218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940" w:type="dxa"/>
            <w:vAlign w:val="bottom"/>
            <w:gridSpan w:val="4"/>
          </w:tcPr>
          <w:p>
            <w:pPr>
              <w:jc w:val="right"/>
              <w:ind w:right="79"/>
              <w:spacing w:after="0"/>
              <w:rPr>
                <w:sz w:val="20"/>
                <w:szCs w:val="20"/>
                <w:color w:val="auto"/>
              </w:rPr>
            </w:pPr>
            <w:r>
              <w:rPr>
                <w:rFonts w:ascii="Arial" w:cs="Arial" w:eastAsia="Arial" w:hAnsi="Arial"/>
                <w:sz w:val="16"/>
                <w:szCs w:val="16"/>
                <w:color w:val="auto"/>
              </w:rPr>
              <w:t>$718</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$739</w:t>
            </w:r>
          </w:p>
        </w:tc>
        <w:tc>
          <w:tcPr>
            <w:tcW w:w="740" w:type="dxa"/>
            <w:vAlign w:val="bottom"/>
          </w:tcPr>
          <w:p>
            <w:pPr>
              <w:jc w:val="right"/>
              <w:spacing w:after="0"/>
              <w:rPr>
                <w:sz w:val="20"/>
                <w:szCs w:val="20"/>
                <w:color w:val="auto"/>
              </w:rPr>
            </w:pPr>
            <w:r>
              <w:rPr>
                <w:rFonts w:ascii="Arial" w:cs="Arial" w:eastAsia="Arial" w:hAnsi="Arial"/>
                <w:sz w:val="16"/>
                <w:szCs w:val="16"/>
                <w:color w:val="auto"/>
              </w:rPr>
              <w:t>$654</w:t>
            </w: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$706</w:t>
            </w: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$2,965</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$3,033</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$2,434</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$2,650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32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w:t>
            </w:r>
          </w:p>
        </w:tc>
        <w:tc>
          <w:tcPr>
            <w:tcW w:w="940" w:type="dxa"/>
            <w:vAlign w:val="bottom"/>
            <w:gridSpan w:val="4"/>
          </w:tcPr>
          <w:p>
            <w:pPr>
              <w:jc w:val="right"/>
              <w:ind w:right="79"/>
              <w:spacing w:after="0"/>
              <w:rPr>
                <w:sz w:val="20"/>
                <w:szCs w:val="20"/>
                <w:color w:val="auto"/>
              </w:rPr>
            </w:pPr>
            <w:r>
              <w:rPr>
                <w:rFonts w:ascii="Arial" w:cs="Arial" w:eastAsia="Arial" w:hAnsi="Arial"/>
                <w:sz w:val="16"/>
                <w:szCs w:val="16"/>
                <w:color w:val="auto"/>
              </w:rPr>
              <w:t>$1,228</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$1,249</w:t>
            </w:r>
          </w:p>
        </w:tc>
        <w:tc>
          <w:tcPr>
            <w:tcW w:w="740" w:type="dxa"/>
            <w:vAlign w:val="bottom"/>
          </w:tcPr>
          <w:p>
            <w:pPr>
              <w:jc w:val="right"/>
              <w:spacing w:after="0"/>
              <w:rPr>
                <w:sz w:val="20"/>
                <w:szCs w:val="20"/>
                <w:color w:val="auto"/>
              </w:rPr>
            </w:pPr>
            <w:r>
              <w:rPr>
                <w:rFonts w:ascii="Arial" w:cs="Arial" w:eastAsia="Arial" w:hAnsi="Arial"/>
                <w:sz w:val="16"/>
                <w:szCs w:val="16"/>
                <w:color w:val="auto"/>
              </w:rPr>
              <w:t>$1,090</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$1,142</w:t>
            </w:r>
          </w:p>
        </w:tc>
        <w:tc>
          <w:tcPr>
            <w:tcW w:w="220" w:type="dxa"/>
            <w:vAlign w:val="bottom"/>
          </w:tcPr>
          <w:p>
            <w:pPr>
              <w:spacing w:after="0"/>
              <w:rPr>
                <w:sz w:val="24"/>
                <w:szCs w:val="24"/>
                <w:color w:val="auto"/>
              </w:rPr>
            </w:pP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$4,964</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$5,032</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$4,105</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$4,321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940" w:type="dxa"/>
            <w:vAlign w:val="bottom"/>
            <w:gridSpan w:val="4"/>
          </w:tcPr>
          <w:p>
            <w:pPr>
              <w:jc w:val="right"/>
              <w:ind w:right="79"/>
              <w:spacing w:after="0"/>
              <w:rPr>
                <w:sz w:val="20"/>
                <w:szCs w:val="20"/>
                <w:color w:val="auto"/>
              </w:rPr>
            </w:pPr>
            <w:r>
              <w:rPr>
                <w:rFonts w:ascii="Arial" w:cs="Arial" w:eastAsia="Arial" w:hAnsi="Arial"/>
                <w:sz w:val="16"/>
                <w:szCs w:val="16"/>
                <w:color w:val="auto"/>
              </w:rPr>
              <w:t>26.3%</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26.7%</w:t>
            </w:r>
          </w:p>
        </w:tc>
        <w:tc>
          <w:tcPr>
            <w:tcW w:w="740" w:type="dxa"/>
            <w:vAlign w:val="bottom"/>
          </w:tcPr>
          <w:p>
            <w:pPr>
              <w:jc w:val="right"/>
              <w:spacing w:after="0"/>
              <w:rPr>
                <w:sz w:val="20"/>
                <w:szCs w:val="20"/>
                <w:color w:val="auto"/>
              </w:rPr>
            </w:pPr>
            <w:r>
              <w:rPr>
                <w:rFonts w:ascii="Arial" w:cs="Arial" w:eastAsia="Arial" w:hAnsi="Arial"/>
                <w:sz w:val="16"/>
                <w:szCs w:val="16"/>
                <w:color w:val="auto"/>
              </w:rPr>
              <w:t>26.8%</w:t>
            </w: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28.1%</w:t>
            </w: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27.7%</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28.1%</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27.0%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28.4%</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6"/>
        </w:trPr>
        <w:tc>
          <w:tcPr>
            <w:tcW w:w="232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940" w:type="dxa"/>
            <w:vAlign w:val="bottom"/>
            <w:gridSpan w:val="4"/>
          </w:tcPr>
          <w:p>
            <w:pPr>
              <w:jc w:val="right"/>
              <w:ind w:right="79"/>
              <w:spacing w:after="0"/>
              <w:rPr>
                <w:sz w:val="20"/>
                <w:szCs w:val="20"/>
                <w:color w:val="auto"/>
              </w:rPr>
            </w:pPr>
            <w:r>
              <w:rPr>
                <w:rFonts w:ascii="Arial" w:cs="Arial" w:eastAsia="Arial" w:hAnsi="Arial"/>
                <w:sz w:val="16"/>
                <w:szCs w:val="16"/>
                <w:color w:val="auto"/>
              </w:rPr>
              <w:t>$506</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$528</w:t>
            </w:r>
          </w:p>
        </w:tc>
        <w:tc>
          <w:tcPr>
            <w:tcW w:w="740" w:type="dxa"/>
            <w:vAlign w:val="bottom"/>
          </w:tcPr>
          <w:p>
            <w:pPr>
              <w:jc w:val="right"/>
              <w:spacing w:after="0"/>
              <w:rPr>
                <w:sz w:val="20"/>
                <w:szCs w:val="20"/>
                <w:color w:val="auto"/>
              </w:rPr>
            </w:pPr>
            <w:r>
              <w:rPr>
                <w:rFonts w:ascii="Arial" w:cs="Arial" w:eastAsia="Arial" w:hAnsi="Arial"/>
                <w:sz w:val="16"/>
                <w:szCs w:val="16"/>
                <w:color w:val="auto"/>
              </w:rPr>
              <w:t>$438</w:t>
            </w: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$481</w:t>
            </w: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$1,816</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$2,046</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$1,496</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$1,713</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Diluted EPS</w:t>
            </w:r>
          </w:p>
        </w:tc>
        <w:tc>
          <w:tcPr>
            <w:tcW w:w="940" w:type="dxa"/>
            <w:vAlign w:val="bottom"/>
            <w:gridSpan w:val="4"/>
          </w:tcPr>
          <w:p>
            <w:pPr>
              <w:jc w:val="right"/>
              <w:ind w:right="79"/>
              <w:spacing w:after="0"/>
              <w:rPr>
                <w:sz w:val="20"/>
                <w:szCs w:val="20"/>
                <w:color w:val="auto"/>
              </w:rPr>
            </w:pPr>
            <w:r>
              <w:rPr>
                <w:rFonts w:ascii="Arial" w:cs="Arial" w:eastAsia="Arial" w:hAnsi="Arial"/>
                <w:sz w:val="16"/>
                <w:szCs w:val="16"/>
                <w:color w:val="auto"/>
              </w:rPr>
              <w:t>$1.20</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$1.26</w:t>
            </w: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c>
          <w:tcPr>
            <w:tcW w:w="1000" w:type="dxa"/>
            <w:vAlign w:val="bottom"/>
            <w:gridSpan w:val="4"/>
          </w:tcPr>
          <w:p>
            <w:pPr>
              <w:jc w:val="right"/>
              <w:ind w:right="220"/>
              <w:spacing w:after="0"/>
              <w:rPr>
                <w:sz w:val="20"/>
                <w:szCs w:val="20"/>
                <w:color w:val="auto"/>
              </w:rPr>
            </w:pPr>
            <w:r>
              <w:rPr>
                <w:rFonts w:ascii="Arial" w:cs="Arial" w:eastAsia="Arial" w:hAnsi="Arial"/>
                <w:sz w:val="16"/>
                <w:szCs w:val="16"/>
                <w:color w:val="auto"/>
              </w:rPr>
              <w:t>$1.13</w:t>
            </w:r>
          </w:p>
        </w:tc>
        <w:tc>
          <w:tcPr>
            <w:tcW w:w="880" w:type="dxa"/>
            <w:vAlign w:val="bottom"/>
            <w:gridSpan w:val="3"/>
          </w:tcPr>
          <w:p>
            <w:pPr>
              <w:jc w:val="right"/>
              <w:ind w:right="19"/>
              <w:spacing w:after="0"/>
              <w:rPr>
                <w:sz w:val="20"/>
                <w:szCs w:val="20"/>
                <w:color w:val="auto"/>
              </w:rPr>
            </w:pPr>
            <w:r>
              <w:rPr>
                <w:rFonts w:ascii="Arial" w:cs="Arial" w:eastAsia="Arial" w:hAnsi="Arial"/>
                <w:sz w:val="16"/>
                <w:szCs w:val="16"/>
                <w:color w:val="auto"/>
              </w:rPr>
              <w:t>$4.29</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$4.84</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$3.52</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$4.03</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2240"/>
        <w:spacing w:after="0" w:line="248" w:lineRule="auto"/>
        <w:rPr>
          <w:sz w:val="20"/>
          <w:szCs w:val="20"/>
          <w:color w:val="auto"/>
        </w:rPr>
      </w:pPr>
      <w:r>
        <w:rPr>
          <w:rFonts w:ascii="Arial" w:cs="Arial" w:eastAsia="Arial" w:hAnsi="Arial"/>
          <w:sz w:val="18"/>
          <w:szCs w:val="18"/>
          <w:color w:val="auto"/>
        </w:rPr>
        <w:t>“In 2021, we delivered on each of our strategic priorities, including successfully integrating the acquisition of Advanced Disposal, driving disciplined organic revenue growth, advancing technology investments focused on customer retention and growth, and cultivating our people-first culture,” said Jim Fish, Waste Management’s President and Chief Executive Officer. Execution on each of these priorities came together to produce record growth in full-year adjusted operating EBITDA and net cash provided by operating activities.”</w:t>
      </w:r>
      <w:r>
        <w:rPr>
          <w:rFonts w:ascii="Arial" w:cs="Arial" w:eastAsia="Arial" w:hAnsi="Arial"/>
          <w:sz w:val="29"/>
          <w:szCs w:val="29"/>
          <w:color w:val="auto"/>
          <w:vertAlign w:val="superscript"/>
        </w:rPr>
        <w:t>(a)</w:t>
      </w:r>
    </w:p>
    <w:p>
      <w:pPr>
        <w:spacing w:after="0" w:line="96" w:lineRule="exact"/>
        <w:rPr>
          <w:sz w:val="20"/>
          <w:szCs w:val="20"/>
          <w:color w:val="auto"/>
        </w:rPr>
      </w:pPr>
    </w:p>
    <w:p>
      <w:pPr>
        <w:jc w:val="both"/>
        <w:ind w:right="2240"/>
        <w:spacing w:after="0" w:line="251" w:lineRule="auto"/>
        <w:rPr>
          <w:sz w:val="20"/>
          <w:szCs w:val="20"/>
          <w:color w:val="auto"/>
        </w:rPr>
      </w:pPr>
      <w:r>
        <w:rPr>
          <w:rFonts w:ascii="Arial" w:cs="Arial" w:eastAsia="Arial" w:hAnsi="Arial"/>
          <w:sz w:val="18"/>
          <w:szCs w:val="18"/>
          <w:color w:val="auto"/>
        </w:rPr>
        <w:t>Fish continued, “As we look ahead to 2022, we remain committed to continuing pricing excellence, advancing technology investments to differentiate the Company, automating our processes to reduce our cost to serve, providing the best workplace, and leveraging our sustainability platform for growth. In 2022, we expect to deliver another strong year of adjusted operating EBITDA growth of approximately 7%.”</w:t>
      </w:r>
      <w:r>
        <w:rPr>
          <w:rFonts w:ascii="Arial" w:cs="Arial" w:eastAsia="Arial" w:hAnsi="Arial"/>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HIGHLIGHTS FOR THE FOURTH QUARTER AND THE FULL YEAR 2021</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Revenue</w:t>
      </w:r>
    </w:p>
    <w:p>
      <w:pPr>
        <w:spacing w:after="0" w:line="220" w:lineRule="exact"/>
        <w:rPr>
          <w:sz w:val="20"/>
          <w:szCs w:val="20"/>
          <w:color w:val="auto"/>
        </w:rPr>
      </w:pPr>
    </w:p>
    <w:p>
      <w:pPr>
        <w:ind w:left="680" w:right="1139" w:hanging="265"/>
        <w:spacing w:after="0" w:line="182" w:lineRule="auto"/>
        <w:tabs>
          <w:tab w:leader="none" w:pos="680" w:val="left"/>
        </w:tabs>
        <w:numPr>
          <w:ilvl w:val="0"/>
          <w:numId w:val="3"/>
        </w:numPr>
        <w:rPr>
          <w:rFonts w:ascii="Arial" w:cs="Arial" w:eastAsia="Arial" w:hAnsi="Arial"/>
          <w:sz w:val="31"/>
          <w:szCs w:val="31"/>
          <w:color w:val="auto"/>
          <w:vertAlign w:val="subscript"/>
        </w:rPr>
      </w:pPr>
      <w:r>
        <w:rPr>
          <w:rFonts w:ascii="Arial" w:cs="Arial" w:eastAsia="Arial" w:hAnsi="Arial"/>
          <w:sz w:val="14"/>
          <w:szCs w:val="14"/>
          <w:color w:val="auto"/>
        </w:rPr>
        <w:t>Core price for the fourth quarter of 2021 was 5.1% compared to 3.2% in the fourth quarter of 2020. For the full year, core price was 4.8% in 2021 compared to 2.9% in 2020.</w:t>
      </w:r>
      <w:r>
        <w:rPr>
          <w:rFonts w:ascii="Arial" w:cs="Arial" w:eastAsia="Arial" w:hAnsi="Arial"/>
          <w:sz w:val="20"/>
          <w:szCs w:val="20"/>
          <w:color w:val="auto"/>
          <w:vertAlign w:val="superscript"/>
        </w:rPr>
        <w:t>(d)</w:t>
      </w:r>
    </w:p>
    <w:p>
      <w:pPr>
        <w:jc w:val="both"/>
        <w:ind w:left="680" w:right="1139" w:hanging="265"/>
        <w:spacing w:after="0" w:line="180" w:lineRule="auto"/>
        <w:tabs>
          <w:tab w:leader="none" w:pos="680" w:val="left"/>
        </w:tabs>
        <w:numPr>
          <w:ilvl w:val="0"/>
          <w:numId w:val="3"/>
        </w:numPr>
        <w:rPr>
          <w:rFonts w:ascii="Arial" w:cs="Arial" w:eastAsia="Arial" w:hAnsi="Arial"/>
          <w:sz w:val="47"/>
          <w:szCs w:val="47"/>
          <w:color w:val="auto"/>
          <w:vertAlign w:val="subscript"/>
        </w:rPr>
      </w:pPr>
      <w:r>
        <w:rPr>
          <w:rFonts w:ascii="Arial" w:cs="Arial" w:eastAsia="Arial" w:hAnsi="Arial"/>
          <w:sz w:val="17"/>
          <w:szCs w:val="17"/>
          <w:color w:val="auto"/>
        </w:rPr>
        <w:t>Collection and disposal yield was 3.7% in the fourth quarter of 2021 compared to 2.3% in the fourth quarter of 2020. For the full year, collection and disposal yield was 3.5% in 2021 compared to 2.2% in 2020.</w:t>
      </w:r>
      <w:r>
        <w:rPr>
          <w:rFonts w:ascii="Arial" w:cs="Arial" w:eastAsia="Arial" w:hAnsi="Arial"/>
          <w:sz w:val="28"/>
          <w:szCs w:val="28"/>
          <w:color w:val="auto"/>
          <w:vertAlign w:val="superscript"/>
        </w:rPr>
        <w:t>(f)</w:t>
      </w:r>
    </w:p>
    <w:p>
      <w:pPr>
        <w:spacing w:after="0" w:line="1" w:lineRule="exact"/>
        <w:rPr>
          <w:rFonts w:ascii="Arial" w:cs="Arial" w:eastAsia="Arial" w:hAnsi="Arial"/>
          <w:sz w:val="47"/>
          <w:szCs w:val="47"/>
          <w:color w:val="auto"/>
          <w:vertAlign w:val="subscript"/>
        </w:rPr>
      </w:pPr>
    </w:p>
    <w:p>
      <w:pPr>
        <w:jc w:val="both"/>
        <w:ind w:left="680" w:right="1139" w:hanging="265"/>
        <w:spacing w:after="0" w:line="181" w:lineRule="auto"/>
        <w:tabs>
          <w:tab w:leader="none" w:pos="680" w:val="left"/>
        </w:tabs>
        <w:numPr>
          <w:ilvl w:val="0"/>
          <w:numId w:val="3"/>
        </w:numPr>
        <w:rPr>
          <w:rFonts w:ascii="Arial" w:cs="Arial" w:eastAsia="Arial" w:hAnsi="Arial"/>
          <w:sz w:val="49"/>
          <w:szCs w:val="49"/>
          <w:color w:val="auto"/>
          <w:vertAlign w:val="subscript"/>
        </w:rPr>
      </w:pPr>
      <w:r>
        <w:rPr>
          <w:rFonts w:ascii="Arial" w:cs="Arial" w:eastAsia="Arial" w:hAnsi="Arial"/>
          <w:sz w:val="18"/>
          <w:szCs w:val="18"/>
          <w:color w:val="auto"/>
        </w:rPr>
        <w:t>Total Company volumes increased 2.8% in the fourth quarter of 2021, or 2.3% on a workday adjusted basis, compared to a decline of 2.6% in the fourth quarter of 2020. There was no workday adjustment in the fourth quarter of 2020. For the full year, total Company volumes increased 2.8% in 2021 compared to a decline of 4.5% in 2020, or a decline of 4.7% on a workday adjusted basis.</w:t>
      </w:r>
      <w:r>
        <w:rPr>
          <w:rFonts w:ascii="Arial" w:cs="Arial" w:eastAsia="Arial" w:hAnsi="Arial"/>
          <w:sz w:val="29"/>
          <w:szCs w:val="29"/>
          <w:color w:val="auto"/>
          <w:vertAlign w:val="superscript"/>
        </w:rPr>
        <w:t>(f)</w:t>
      </w:r>
    </w:p>
    <w:p>
      <w:pPr>
        <w:spacing w:after="0" w:line="42" w:lineRule="exact"/>
        <w:rPr>
          <w:rFonts w:ascii="Arial" w:cs="Arial" w:eastAsia="Arial" w:hAnsi="Arial"/>
          <w:sz w:val="49"/>
          <w:szCs w:val="49"/>
          <w:color w:val="auto"/>
          <w:vertAlign w:val="subscript"/>
        </w:rPr>
      </w:pPr>
    </w:p>
    <w:p>
      <w:pPr>
        <w:ind w:left="680"/>
        <w:spacing w:after="0"/>
        <w:rPr>
          <w:rFonts w:ascii="Arial" w:cs="Arial" w:eastAsia="Arial" w:hAnsi="Arial"/>
          <w:sz w:val="49"/>
          <w:szCs w:val="49"/>
          <w:color w:val="auto"/>
          <w:vertAlign w:val="subscript"/>
        </w:rPr>
      </w:pPr>
      <w:r>
        <w:rPr>
          <w:rFonts w:ascii="Arial" w:cs="Arial" w:eastAsia="Arial" w:hAnsi="Arial"/>
          <w:sz w:val="18"/>
          <w:szCs w:val="18"/>
          <w:b w:val="1"/>
          <w:bCs w:val="1"/>
          <w:u w:val="single" w:color="auto"/>
          <w:color w:val="auto"/>
        </w:rPr>
        <w:t>Cost Management</w:t>
      </w:r>
    </w:p>
    <w:p>
      <w:pPr>
        <w:spacing w:after="0" w:line="220" w:lineRule="exact"/>
        <w:rPr>
          <w:rFonts w:ascii="Arial" w:cs="Arial" w:eastAsia="Arial" w:hAnsi="Arial"/>
          <w:sz w:val="49"/>
          <w:szCs w:val="49"/>
          <w:color w:val="auto"/>
          <w:vertAlign w:val="subscript"/>
        </w:rPr>
      </w:pPr>
    </w:p>
    <w:p>
      <w:pPr>
        <w:jc w:val="both"/>
        <w:ind w:left="680" w:right="1139" w:hanging="265"/>
        <w:spacing w:after="0" w:line="203" w:lineRule="auto"/>
        <w:tabs>
          <w:tab w:leader="none" w:pos="680" w:val="left"/>
        </w:tabs>
        <w:numPr>
          <w:ilvl w:val="0"/>
          <w:numId w:val="3"/>
        </w:numPr>
        <w:rPr>
          <w:rFonts w:ascii="Arial" w:cs="Arial" w:eastAsia="Arial" w:hAnsi="Arial"/>
          <w:sz w:val="47"/>
          <w:szCs w:val="47"/>
          <w:color w:val="auto"/>
          <w:vertAlign w:val="subscript"/>
        </w:rPr>
      </w:pPr>
      <w:r>
        <w:rPr>
          <w:rFonts w:ascii="Arial" w:cs="Arial" w:eastAsia="Arial" w:hAnsi="Arial"/>
          <w:sz w:val="17"/>
          <w:szCs w:val="17"/>
          <w:color w:val="auto"/>
        </w:rPr>
        <w:t>Operating expenses as a percentage of revenue were 63.2%, or 63.0% on an adjusted basis, in the fourth quarter of 2021 compared to 61.5% in the fourth quarter of 2020.</w:t>
      </w:r>
      <w:r>
        <w:rPr>
          <w:rFonts w:ascii="Arial" w:cs="Arial" w:eastAsia="Arial" w:hAnsi="Arial"/>
          <w:sz w:val="28"/>
          <w:szCs w:val="28"/>
          <w:color w:val="auto"/>
          <w:vertAlign w:val="superscript"/>
        </w:rPr>
        <w:t>(a)</w:t>
      </w:r>
      <w:r>
        <w:rPr>
          <w:rFonts w:ascii="Arial" w:cs="Arial" w:eastAsia="Arial" w:hAnsi="Arial"/>
          <w:sz w:val="17"/>
          <w:szCs w:val="17"/>
          <w:color w:val="auto"/>
        </w:rPr>
        <w:t xml:space="preserve"> The increase in operating expense margin in the current quarter is primarily due to the impact of higher commodity prices for recyclables and higher risk management costs. While inflationary cost pressures persisted during the quarter, the margin impacts of higher costs improved from the third quarter of 2021. For the full year, operating expenses as a percentage of revenue were 62.0%, or 61.9% on an adjusted basis, in 2021 compared to 61.4% in 2020.</w:t>
      </w:r>
      <w:r>
        <w:rPr>
          <w:rFonts w:ascii="Arial" w:cs="Arial" w:eastAsia="Arial" w:hAnsi="Arial"/>
          <w:sz w:val="28"/>
          <w:szCs w:val="28"/>
          <w:color w:val="auto"/>
          <w:vertAlign w:val="superscript"/>
        </w:rPr>
        <w:t>(a)</w:t>
      </w:r>
    </w:p>
    <w:p>
      <w:pPr>
        <w:jc w:val="both"/>
        <w:ind w:left="680" w:right="1139" w:hanging="265"/>
        <w:spacing w:after="0" w:line="180" w:lineRule="auto"/>
        <w:tabs>
          <w:tab w:leader="none" w:pos="680" w:val="left"/>
        </w:tabs>
        <w:numPr>
          <w:ilvl w:val="0"/>
          <w:numId w:val="3"/>
        </w:numPr>
        <w:rPr>
          <w:rFonts w:ascii="Arial" w:cs="Arial" w:eastAsia="Arial" w:hAnsi="Arial"/>
          <w:sz w:val="49"/>
          <w:szCs w:val="49"/>
          <w:color w:val="auto"/>
          <w:vertAlign w:val="subscript"/>
        </w:rPr>
      </w:pPr>
      <w:r>
        <w:rPr>
          <w:rFonts w:ascii="Arial" w:cs="Arial" w:eastAsia="Arial" w:hAnsi="Arial"/>
          <w:sz w:val="18"/>
          <w:szCs w:val="18"/>
          <w:color w:val="auto"/>
        </w:rPr>
        <w:t>SG&amp;A expenses were 10.5% of revenue in the fourth quarter of 2021 compared to 12.5% in the fourth quarter of 2020. On an adjusted basis, SG&amp;A expenses were 10.3% of revenue in the fourth quarter of 2021 compared to 10.4% in the fourth quarter of 2020.</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For the full year, SG&amp;A expenses were 10.4% of revenue in 2021 compared to 11.4% in 2020. On an adjusted basis, SG&amp;A expenses were 10.0% of revenue in 2021 compared to 10.2% in 2020.</w:t>
      </w:r>
      <w:r>
        <w:rPr>
          <w:rFonts w:ascii="Arial" w:cs="Arial" w:eastAsia="Arial" w:hAnsi="Arial"/>
          <w:sz w:val="29"/>
          <w:szCs w:val="29"/>
          <w:color w:val="auto"/>
          <w:vertAlign w:val="superscript"/>
        </w:rPr>
        <w:t>(a)</w:t>
      </w:r>
    </w:p>
    <w:p>
      <w:pPr>
        <w:spacing w:after="0" w:line="40" w:lineRule="exact"/>
        <w:rPr>
          <w:rFonts w:ascii="Arial" w:cs="Arial" w:eastAsia="Arial" w:hAnsi="Arial"/>
          <w:sz w:val="49"/>
          <w:szCs w:val="49"/>
          <w:color w:val="auto"/>
          <w:vertAlign w:val="subscript"/>
        </w:rPr>
      </w:pPr>
    </w:p>
    <w:p>
      <w:pPr>
        <w:ind w:left="680"/>
        <w:spacing w:after="0"/>
        <w:rPr>
          <w:rFonts w:ascii="Arial" w:cs="Arial" w:eastAsia="Arial" w:hAnsi="Arial"/>
          <w:sz w:val="49"/>
          <w:szCs w:val="49"/>
          <w:color w:val="auto"/>
          <w:vertAlign w:val="subscript"/>
        </w:rPr>
      </w:pPr>
      <w:r>
        <w:rPr>
          <w:rFonts w:ascii="Arial" w:cs="Arial" w:eastAsia="Arial" w:hAnsi="Arial"/>
          <w:sz w:val="18"/>
          <w:szCs w:val="18"/>
          <w:b w:val="1"/>
          <w:bCs w:val="1"/>
          <w:u w:val="single" w:color="auto"/>
          <w:color w:val="auto"/>
        </w:rPr>
        <w:t>Profitability</w:t>
      </w:r>
    </w:p>
    <w:p>
      <w:pPr>
        <w:spacing w:after="0" w:line="220" w:lineRule="exact"/>
        <w:rPr>
          <w:rFonts w:ascii="Arial" w:cs="Arial" w:eastAsia="Arial" w:hAnsi="Arial"/>
          <w:sz w:val="49"/>
          <w:szCs w:val="49"/>
          <w:color w:val="auto"/>
          <w:vertAlign w:val="subscript"/>
        </w:rPr>
      </w:pPr>
    </w:p>
    <w:p>
      <w:pPr>
        <w:jc w:val="both"/>
        <w:ind w:left="680" w:right="1139" w:hanging="265"/>
        <w:spacing w:after="0" w:line="183" w:lineRule="auto"/>
        <w:tabs>
          <w:tab w:leader="none" w:pos="680" w:val="left"/>
        </w:tabs>
        <w:numPr>
          <w:ilvl w:val="0"/>
          <w:numId w:val="3"/>
        </w:numPr>
        <w:rPr>
          <w:rFonts w:ascii="Arial" w:cs="Arial" w:eastAsia="Arial" w:hAnsi="Arial"/>
          <w:sz w:val="47"/>
          <w:szCs w:val="47"/>
          <w:color w:val="auto"/>
          <w:vertAlign w:val="subscript"/>
        </w:rPr>
      </w:pPr>
      <w:r>
        <w:rPr>
          <w:rFonts w:ascii="Arial" w:cs="Arial" w:eastAsia="Arial" w:hAnsi="Arial"/>
          <w:sz w:val="17"/>
          <w:szCs w:val="17"/>
          <w:color w:val="auto"/>
        </w:rPr>
        <w:t>Operating EBITDA in the Company’s collection and disposal business, adjusted on the same basis as total Company operating EBITDA, was $1.39 billion, or 31.0% of revenue, for the fourth quarter of 2021, compared to $1.28 billion, or 31.6% of revenue, for the fourth quarter of 2020. Operating EBITDA in the Company’s collection and disposal business, adjusted on the same basis as total Company operating EBITDA, was $5.52 billion, or 31.6% of revenue, for the full year 2021, compared to $4.85 billion, or 31.9% of revenue, for the full year 2020.</w:t>
      </w:r>
      <w:r>
        <w:rPr>
          <w:rFonts w:ascii="Arial" w:cs="Arial" w:eastAsia="Arial" w:hAnsi="Arial"/>
          <w:sz w:val="28"/>
          <w:szCs w:val="28"/>
          <w:color w:val="auto"/>
          <w:vertAlign w:val="superscript"/>
        </w:rPr>
        <w:t>(e)</w:t>
      </w:r>
    </w:p>
    <w:p>
      <w:pPr>
        <w:spacing w:after="0" w:line="1" w:lineRule="exact"/>
        <w:rPr>
          <w:rFonts w:ascii="Arial" w:cs="Arial" w:eastAsia="Arial" w:hAnsi="Arial"/>
          <w:sz w:val="47"/>
          <w:szCs w:val="47"/>
          <w:color w:val="auto"/>
          <w:vertAlign w:val="subscript"/>
        </w:rPr>
      </w:pPr>
    </w:p>
    <w:p>
      <w:pPr>
        <w:jc w:val="both"/>
        <w:ind w:left="680" w:right="1139" w:hanging="265"/>
        <w:spacing w:after="0" w:line="183" w:lineRule="auto"/>
        <w:tabs>
          <w:tab w:leader="none" w:pos="680" w:val="left"/>
        </w:tabs>
        <w:numPr>
          <w:ilvl w:val="0"/>
          <w:numId w:val="3"/>
        </w:numPr>
        <w:rPr>
          <w:rFonts w:ascii="Arial" w:cs="Arial" w:eastAsia="Arial" w:hAnsi="Arial"/>
          <w:sz w:val="47"/>
          <w:szCs w:val="47"/>
          <w:color w:val="auto"/>
          <w:vertAlign w:val="subscript"/>
        </w:rPr>
      </w:pPr>
      <w:r>
        <w:rPr>
          <w:rFonts w:ascii="Arial" w:cs="Arial" w:eastAsia="Arial" w:hAnsi="Arial"/>
          <w:sz w:val="17"/>
          <w:szCs w:val="17"/>
          <w:color w:val="auto"/>
        </w:rPr>
        <w:t>In the fourth quarter of 2021, operating EBITDA in WM’s recycling business improved by $44 million compared to the fourth quarter of 2020. For the full year, operating EBITDA in the Company’s recycling line of business improved by $186 million compared to 2020. The improvement was driven by an increase in market prices for recycled commodities and labor savings from the Company’s investments in improved technology and equipment.</w:t>
      </w:r>
    </w:p>
    <w:p>
      <w:pPr>
        <w:spacing w:after="0" w:line="4" w:lineRule="exact"/>
        <w:rPr>
          <w:rFonts w:ascii="Arial" w:cs="Arial" w:eastAsia="Arial" w:hAnsi="Arial"/>
          <w:sz w:val="47"/>
          <w:szCs w:val="47"/>
          <w:color w:val="auto"/>
          <w:vertAlign w:val="subscript"/>
        </w:rPr>
      </w:pPr>
    </w:p>
    <w:p>
      <w:pPr>
        <w:jc w:val="both"/>
        <w:ind w:left="680" w:right="1139" w:hanging="265"/>
        <w:spacing w:after="0" w:line="187" w:lineRule="auto"/>
        <w:tabs>
          <w:tab w:leader="none" w:pos="680" w:val="left"/>
        </w:tabs>
        <w:numPr>
          <w:ilvl w:val="0"/>
          <w:numId w:val="3"/>
        </w:numPr>
        <w:rPr>
          <w:rFonts w:ascii="Arial" w:cs="Arial" w:eastAsia="Arial" w:hAnsi="Arial"/>
          <w:sz w:val="42"/>
          <w:szCs w:val="42"/>
          <w:color w:val="auto"/>
          <w:vertAlign w:val="subscript"/>
        </w:rPr>
      </w:pPr>
      <w:r>
        <w:rPr>
          <w:rFonts w:ascii="Arial" w:cs="Arial" w:eastAsia="Arial" w:hAnsi="Arial"/>
          <w:sz w:val="16"/>
          <w:szCs w:val="16"/>
          <w:color w:val="auto"/>
        </w:rPr>
        <w:t>In the fourth quarter of 2021, operating EBITDA in the Company’s renewable energy business improved by $18 million compared to the fourth quarter of 2020, primarily driven by increases in the value of renewable fuel standard credits, or RINs. For the full year, operating EBITDA in the Company’s renewable energy line of business improved by $81 million compared to 2020.</w:t>
      </w:r>
    </w:p>
    <w:p>
      <w:pPr>
        <w:spacing w:after="0" w:line="3" w:lineRule="exact"/>
        <w:rPr>
          <w:rFonts w:ascii="Arial" w:cs="Arial" w:eastAsia="Arial" w:hAnsi="Arial"/>
          <w:sz w:val="42"/>
          <w:szCs w:val="42"/>
          <w:color w:val="auto"/>
          <w:vertAlign w:val="subscript"/>
        </w:rPr>
      </w:pPr>
    </w:p>
    <w:p>
      <w:pPr>
        <w:jc w:val="both"/>
        <w:ind w:left="680" w:right="1139" w:hanging="265"/>
        <w:spacing w:after="0" w:line="180" w:lineRule="auto"/>
        <w:tabs>
          <w:tab w:leader="none" w:pos="680" w:val="left"/>
        </w:tabs>
        <w:numPr>
          <w:ilvl w:val="0"/>
          <w:numId w:val="3"/>
        </w:numPr>
        <w:rPr>
          <w:rFonts w:ascii="Arial" w:cs="Arial" w:eastAsia="Arial" w:hAnsi="Arial"/>
          <w:sz w:val="40"/>
          <w:szCs w:val="40"/>
          <w:color w:val="auto"/>
          <w:vertAlign w:val="subscript"/>
        </w:rPr>
      </w:pPr>
      <w:r>
        <w:rPr>
          <w:rFonts w:ascii="Arial" w:cs="Arial" w:eastAsia="Arial" w:hAnsi="Arial"/>
          <w:sz w:val="16"/>
          <w:szCs w:val="16"/>
          <w:color w:val="auto"/>
        </w:rPr>
        <w:t>In the fourth quarter of 2021, WM realized $36 million of operating cost and SG&amp;A synergies from the acquisition of Advanced Disposal. For the full year, the Company realized $94 million of operating and SG&amp;A cost synergies, bringing the total to over $100 million since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5" w:name="page6"/>
    <w:bookmarkEnd w:id="5"/>
    <w:p>
      <w:pPr>
        <w:ind w:left="680"/>
        <w:spacing w:after="0"/>
        <w:rPr>
          <w:sz w:val="20"/>
          <w:szCs w:val="20"/>
          <w:color w:val="auto"/>
        </w:rPr>
      </w:pPr>
      <w:r>
        <w:rPr>
          <w:rFonts w:ascii="Arial" w:cs="Arial" w:eastAsia="Arial" w:hAnsi="Arial"/>
          <w:sz w:val="18"/>
          <w:szCs w:val="18"/>
          <w:b w:val="1"/>
          <w:bCs w:val="1"/>
          <w:u w:val="single" w:color="auto"/>
          <w:color w:val="auto"/>
        </w:rPr>
        <w:t>Free Cash Flow &amp; Capital Allocation</w:t>
      </w:r>
    </w:p>
    <w:p>
      <w:pPr>
        <w:spacing w:after="0" w:line="261" w:lineRule="exact"/>
        <w:rPr>
          <w:sz w:val="20"/>
          <w:szCs w:val="20"/>
          <w:color w:val="auto"/>
        </w:rPr>
      </w:pPr>
    </w:p>
    <w:p>
      <w:pPr>
        <w:jc w:val="both"/>
        <w:ind w:left="680" w:right="1139" w:hanging="265"/>
        <w:spacing w:after="0" w:line="187" w:lineRule="auto"/>
        <w:tabs>
          <w:tab w:leader="none" w:pos="680" w:val="left"/>
        </w:tabs>
        <w:numPr>
          <w:ilvl w:val="0"/>
          <w:numId w:val="4"/>
        </w:numPr>
        <w:rPr>
          <w:rFonts w:ascii="Arial" w:cs="Arial" w:eastAsia="Arial" w:hAnsi="Arial"/>
          <w:sz w:val="42"/>
          <w:szCs w:val="42"/>
          <w:color w:val="auto"/>
          <w:vertAlign w:val="subscript"/>
        </w:rPr>
      </w:pPr>
      <w:r>
        <w:rPr>
          <w:rFonts w:ascii="Arial" w:cs="Arial" w:eastAsia="Arial" w:hAnsi="Arial"/>
          <w:sz w:val="16"/>
          <w:szCs w:val="16"/>
          <w:color w:val="auto"/>
        </w:rPr>
        <w:t>In the fourth quarter of 2021, net cash provided by operating activities was $991 million compared to $753 million in the fourth quarter of 2020. For the full year, net cash provided by operating activities was $4.34 billion in 2021 compared to $3.40 billion in 2020. The year-over-year growth was primarily driven by an increase in operating EBITDA and lower interest and cash taxes paid.</w:t>
      </w:r>
    </w:p>
    <w:p>
      <w:pPr>
        <w:spacing w:after="0" w:line="3" w:lineRule="exact"/>
        <w:rPr>
          <w:rFonts w:ascii="Arial" w:cs="Arial" w:eastAsia="Arial" w:hAnsi="Arial"/>
          <w:sz w:val="42"/>
          <w:szCs w:val="42"/>
          <w:color w:val="auto"/>
          <w:vertAlign w:val="subscript"/>
        </w:rPr>
      </w:pPr>
    </w:p>
    <w:p>
      <w:pPr>
        <w:jc w:val="both"/>
        <w:ind w:left="680" w:right="1139" w:hanging="265"/>
        <w:spacing w:after="0" w:line="187" w:lineRule="auto"/>
        <w:tabs>
          <w:tab w:leader="none" w:pos="680" w:val="left"/>
        </w:tabs>
        <w:numPr>
          <w:ilvl w:val="0"/>
          <w:numId w:val="4"/>
        </w:numPr>
        <w:rPr>
          <w:rFonts w:ascii="Arial" w:cs="Arial" w:eastAsia="Arial" w:hAnsi="Arial"/>
          <w:sz w:val="42"/>
          <w:szCs w:val="42"/>
          <w:color w:val="auto"/>
          <w:vertAlign w:val="subscript"/>
        </w:rPr>
      </w:pPr>
      <w:r>
        <w:rPr>
          <w:rFonts w:ascii="Arial" w:cs="Arial" w:eastAsia="Arial" w:hAnsi="Arial"/>
          <w:sz w:val="16"/>
          <w:szCs w:val="16"/>
          <w:color w:val="auto"/>
        </w:rPr>
        <w:t>In the fourth quarter of 2021, capital expenditures were $774 million compared to $394 million in the fourth quarter of 2020. For the full year, capital expenditures were $1.90 billion in 2021 compared to $1.63 billion in 2020 as the Company took proactive steps to accelerate growth capital spending on recycling and renewable energy projects in the fourth quarter of 2021.</w:t>
      </w:r>
    </w:p>
    <w:p>
      <w:pPr>
        <w:spacing w:after="0" w:line="3" w:lineRule="exact"/>
        <w:rPr>
          <w:rFonts w:ascii="Arial" w:cs="Arial" w:eastAsia="Arial" w:hAnsi="Arial"/>
          <w:sz w:val="42"/>
          <w:szCs w:val="42"/>
          <w:color w:val="auto"/>
          <w:vertAlign w:val="subscript"/>
        </w:rPr>
      </w:pPr>
    </w:p>
    <w:p>
      <w:pPr>
        <w:jc w:val="both"/>
        <w:ind w:left="680" w:right="1139" w:hanging="265"/>
        <w:spacing w:after="0" w:line="180" w:lineRule="auto"/>
        <w:tabs>
          <w:tab w:leader="none" w:pos="680" w:val="left"/>
        </w:tabs>
        <w:numPr>
          <w:ilvl w:val="0"/>
          <w:numId w:val="4"/>
        </w:numPr>
        <w:rPr>
          <w:rFonts w:ascii="Arial" w:cs="Arial" w:eastAsia="Arial" w:hAnsi="Arial"/>
          <w:sz w:val="43"/>
          <w:szCs w:val="43"/>
          <w:color w:val="auto"/>
          <w:vertAlign w:val="subscript"/>
        </w:rPr>
      </w:pPr>
      <w:r>
        <w:rPr>
          <w:rFonts w:ascii="Arial" w:cs="Arial" w:eastAsia="Arial" w:hAnsi="Arial"/>
          <w:sz w:val="17"/>
          <w:szCs w:val="17"/>
          <w:color w:val="auto"/>
        </w:rPr>
        <w:t>In the fourth quarter of 2021, free cash flow was $243 million compared to $1.22 billion in the fourth quarter of 2020.</w:t>
      </w:r>
      <w:r>
        <w:rPr>
          <w:rFonts w:ascii="Arial" w:cs="Arial" w:eastAsia="Arial" w:hAnsi="Arial"/>
          <w:sz w:val="26"/>
          <w:szCs w:val="26"/>
          <w:color w:val="auto"/>
          <w:vertAlign w:val="superscript"/>
        </w:rPr>
        <w:t>(a)</w:t>
      </w:r>
      <w:r>
        <w:rPr>
          <w:rFonts w:ascii="Arial" w:cs="Arial" w:eastAsia="Arial" w:hAnsi="Arial"/>
          <w:sz w:val="17"/>
          <w:szCs w:val="17"/>
          <w:color w:val="auto"/>
        </w:rPr>
        <w:t xml:space="preserve"> For the full year, free cash flow was $2.53 billion in 2021 compared to $2.66 billion in 2020.</w:t>
      </w:r>
      <w:r>
        <w:rPr>
          <w:rFonts w:ascii="Arial" w:cs="Arial" w:eastAsia="Arial" w:hAnsi="Arial"/>
          <w:sz w:val="26"/>
          <w:szCs w:val="26"/>
          <w:color w:val="auto"/>
          <w:vertAlign w:val="superscript"/>
        </w:rPr>
        <w:t>(a)</w:t>
      </w:r>
      <w:r>
        <w:rPr>
          <w:rFonts w:ascii="Arial" w:cs="Arial" w:eastAsia="Arial" w:hAnsi="Arial"/>
          <w:sz w:val="17"/>
          <w:szCs w:val="17"/>
          <w:color w:val="auto"/>
        </w:rPr>
        <w:t xml:space="preserve"> The Company’s net cash provided by operating activities less capital expenditures increased more than 37% from $1.77 billion in 2020 to $2.43 billion in 2021.</w:t>
      </w:r>
    </w:p>
    <w:p>
      <w:pPr>
        <w:spacing w:after="0" w:line="2" w:lineRule="exact"/>
        <w:rPr>
          <w:rFonts w:ascii="Arial" w:cs="Arial" w:eastAsia="Arial" w:hAnsi="Arial"/>
          <w:sz w:val="43"/>
          <w:szCs w:val="43"/>
          <w:color w:val="auto"/>
          <w:vertAlign w:val="subscript"/>
        </w:rPr>
      </w:pPr>
    </w:p>
    <w:p>
      <w:pPr>
        <w:jc w:val="both"/>
        <w:ind w:left="680" w:right="1139" w:hanging="265"/>
        <w:spacing w:after="0" w:line="180" w:lineRule="auto"/>
        <w:tabs>
          <w:tab w:leader="none" w:pos="680" w:val="left"/>
        </w:tabs>
        <w:numPr>
          <w:ilvl w:val="0"/>
          <w:numId w:val="4"/>
        </w:numPr>
        <w:rPr>
          <w:rFonts w:ascii="Arial" w:cs="Arial" w:eastAsia="Arial" w:hAnsi="Arial"/>
          <w:sz w:val="40"/>
          <w:szCs w:val="40"/>
          <w:color w:val="auto"/>
          <w:vertAlign w:val="subscript"/>
        </w:rPr>
      </w:pPr>
      <w:r>
        <w:rPr>
          <w:rFonts w:ascii="Arial" w:cs="Arial" w:eastAsia="Arial" w:hAnsi="Arial"/>
          <w:sz w:val="16"/>
          <w:szCs w:val="16"/>
          <w:color w:val="auto"/>
        </w:rPr>
        <w:t>During the fourth quarter of 2021, $590 million was returned to shareholders, including $350 million of share repurchases and $240 million of cash dividends. For the full year 2021, $2.32 billion was returned to shareholders, including $1.35 billion of share repurchases and $970 million of cash dividends.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OUTLOOK</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Revenue Growth</w:t>
      </w:r>
    </w:p>
    <w:p>
      <w:pPr>
        <w:spacing w:after="0" w:line="261" w:lineRule="exact"/>
        <w:rPr>
          <w:sz w:val="20"/>
          <w:szCs w:val="20"/>
          <w:color w:val="auto"/>
        </w:rPr>
      </w:pPr>
    </w:p>
    <w:p>
      <w:pPr>
        <w:jc w:val="both"/>
        <w:ind w:left="680" w:right="1139" w:hanging="265"/>
        <w:spacing w:after="0" w:line="208" w:lineRule="auto"/>
        <w:tabs>
          <w:tab w:leader="none" w:pos="680" w:val="left"/>
        </w:tabs>
        <w:numPr>
          <w:ilvl w:val="0"/>
          <w:numId w:val="5"/>
        </w:numPr>
        <w:rPr>
          <w:rFonts w:ascii="Arial" w:cs="Arial" w:eastAsia="Arial" w:hAnsi="Arial"/>
          <w:sz w:val="47"/>
          <w:szCs w:val="47"/>
          <w:color w:val="auto"/>
          <w:vertAlign w:val="subscript"/>
        </w:rPr>
      </w:pPr>
      <w:r>
        <w:rPr>
          <w:rFonts w:ascii="Arial" w:cs="Arial" w:eastAsia="Arial" w:hAnsi="Arial"/>
          <w:sz w:val="17"/>
          <w:szCs w:val="17"/>
          <w:color w:val="auto"/>
        </w:rPr>
        <w:t>Total Company revenue growth is expected to be 5.8% to 6.2%, which includes organic revenue growth from the collection and disposal business of approximately 6%. The Company’s disciplined pricing programs are expected to result in core price of more than 5.5%, yield approaching 4%, and volume of approximately 2%.</w:t>
      </w:r>
    </w:p>
    <w:p>
      <w:pPr>
        <w:spacing w:after="0" w:line="2" w:lineRule="exact"/>
        <w:rPr>
          <w:rFonts w:ascii="Arial" w:cs="Arial" w:eastAsia="Arial" w:hAnsi="Arial"/>
          <w:sz w:val="47"/>
          <w:szCs w:val="47"/>
          <w:color w:val="auto"/>
          <w:vertAlign w:val="subscript"/>
        </w:rPr>
      </w:pPr>
    </w:p>
    <w:p>
      <w:pPr>
        <w:ind w:left="680" w:right="1139" w:hanging="265"/>
        <w:spacing w:after="0" w:line="183" w:lineRule="auto"/>
        <w:tabs>
          <w:tab w:leader="none" w:pos="680" w:val="left"/>
        </w:tabs>
        <w:numPr>
          <w:ilvl w:val="0"/>
          <w:numId w:val="5"/>
        </w:numPr>
        <w:rPr>
          <w:rFonts w:ascii="Arial" w:cs="Arial" w:eastAsia="Arial" w:hAnsi="Arial"/>
          <w:sz w:val="32"/>
          <w:szCs w:val="32"/>
          <w:color w:val="auto"/>
          <w:vertAlign w:val="subscript"/>
        </w:rPr>
      </w:pPr>
      <w:r>
        <w:rPr>
          <w:rFonts w:ascii="Arial" w:cs="Arial" w:eastAsia="Arial" w:hAnsi="Arial"/>
          <w:sz w:val="14"/>
          <w:szCs w:val="14"/>
          <w:color w:val="auto"/>
        </w:rPr>
        <w:t>Market prices for recycling commodities are expected to average $125 per ton in 2022, an approximate increase of 10% from the average rate the Company realized in 2021.</w:t>
      </w:r>
    </w:p>
    <w:p>
      <w:pPr>
        <w:spacing w:after="0" w:line="1" w:lineRule="exact"/>
        <w:rPr>
          <w:rFonts w:ascii="Arial" w:cs="Arial" w:eastAsia="Arial" w:hAnsi="Arial"/>
          <w:sz w:val="32"/>
          <w:szCs w:val="32"/>
          <w:color w:val="auto"/>
          <w:vertAlign w:val="subscript"/>
        </w:rPr>
      </w:pPr>
    </w:p>
    <w:p>
      <w:pPr>
        <w:ind w:left="680" w:right="1139" w:hanging="265"/>
        <w:spacing w:after="0" w:line="182" w:lineRule="auto"/>
        <w:tabs>
          <w:tab w:leader="none" w:pos="680" w:val="left"/>
        </w:tabs>
        <w:numPr>
          <w:ilvl w:val="0"/>
          <w:numId w:val="5"/>
        </w:numPr>
        <w:rPr>
          <w:rFonts w:ascii="Arial" w:cs="Arial" w:eastAsia="Arial" w:hAnsi="Arial"/>
          <w:sz w:val="33"/>
          <w:szCs w:val="33"/>
          <w:color w:val="auto"/>
          <w:vertAlign w:val="subscript"/>
        </w:rPr>
      </w:pPr>
      <w:r>
        <w:rPr>
          <w:rFonts w:ascii="Arial" w:cs="Arial" w:eastAsia="Arial" w:hAnsi="Arial"/>
          <w:sz w:val="15"/>
          <w:szCs w:val="15"/>
          <w:color w:val="auto"/>
        </w:rPr>
        <w:t>The Company estimates that the value of renewable fuel standard credits in its renewable energy business will be approximately $3.00, which is similar to 2021.</w:t>
      </w:r>
    </w:p>
    <w:p>
      <w:pPr>
        <w:spacing w:after="0" w:line="166" w:lineRule="exact"/>
        <w:rPr>
          <w:rFonts w:ascii="Arial" w:cs="Arial" w:eastAsia="Arial" w:hAnsi="Arial"/>
          <w:sz w:val="33"/>
          <w:szCs w:val="33"/>
          <w:color w:val="auto"/>
          <w:vertAlign w:val="subscript"/>
        </w:rPr>
      </w:pPr>
    </w:p>
    <w:p>
      <w:pPr>
        <w:ind w:left="680"/>
        <w:spacing w:after="0"/>
        <w:rPr>
          <w:rFonts w:ascii="Arial" w:cs="Arial" w:eastAsia="Arial" w:hAnsi="Arial"/>
          <w:sz w:val="33"/>
          <w:szCs w:val="33"/>
          <w:color w:val="auto"/>
          <w:vertAlign w:val="subscript"/>
        </w:rPr>
      </w:pPr>
      <w:r>
        <w:rPr>
          <w:rFonts w:ascii="Arial" w:cs="Arial" w:eastAsia="Arial" w:hAnsi="Arial"/>
          <w:sz w:val="18"/>
          <w:szCs w:val="18"/>
          <w:b w:val="1"/>
          <w:bCs w:val="1"/>
          <w:u w:val="single" w:color="auto"/>
          <w:color w:val="auto"/>
        </w:rPr>
        <w:t>Profitability</w:t>
      </w:r>
    </w:p>
    <w:p>
      <w:pPr>
        <w:spacing w:after="0" w:line="183" w:lineRule="exact"/>
        <w:rPr>
          <w:rFonts w:ascii="Arial" w:cs="Arial" w:eastAsia="Arial" w:hAnsi="Arial"/>
          <w:sz w:val="33"/>
          <w:szCs w:val="33"/>
          <w:color w:val="auto"/>
          <w:vertAlign w:val="subscript"/>
        </w:rPr>
      </w:pPr>
    </w:p>
    <w:p>
      <w:pPr>
        <w:ind w:left="680" w:hanging="265"/>
        <w:spacing w:after="0"/>
        <w:tabs>
          <w:tab w:leader="none" w:pos="680" w:val="left"/>
        </w:tabs>
        <w:numPr>
          <w:ilvl w:val="0"/>
          <w:numId w:val="5"/>
        </w:numPr>
        <w:rPr>
          <w:rFonts w:ascii="Arial" w:cs="Arial" w:eastAsia="Arial" w:hAnsi="Arial"/>
          <w:sz w:val="25"/>
          <w:szCs w:val="25"/>
          <w:color w:val="auto"/>
        </w:rPr>
      </w:pPr>
      <w:r>
        <w:rPr>
          <w:rFonts w:ascii="Arial" w:cs="Arial" w:eastAsia="Arial" w:hAnsi="Arial"/>
          <w:sz w:val="18"/>
          <w:szCs w:val="18"/>
          <w:color w:val="auto"/>
        </w:rPr>
        <w:t>Adjusted operating EBITDA is expected to be in the range of $5.325 to $5.425 billion for the full year.</w:t>
      </w:r>
      <w:r>
        <w:rPr>
          <w:rFonts w:ascii="Arial" w:cs="Arial" w:eastAsia="Arial" w:hAnsi="Arial"/>
          <w:sz w:val="29"/>
          <w:szCs w:val="29"/>
          <w:color w:val="auto"/>
          <w:vertAlign w:val="superscript"/>
        </w:rPr>
        <w:t>(a)</w:t>
      </w:r>
    </w:p>
    <w:p>
      <w:pPr>
        <w:jc w:val="both"/>
        <w:ind w:left="680" w:right="1139" w:hanging="265"/>
        <w:spacing w:after="0" w:line="223" w:lineRule="auto"/>
        <w:tabs>
          <w:tab w:leader="none" w:pos="680" w:val="left"/>
        </w:tabs>
        <w:numPr>
          <w:ilvl w:val="0"/>
          <w:numId w:val="5"/>
        </w:numPr>
        <w:rPr>
          <w:rFonts w:ascii="Arial" w:cs="Arial" w:eastAsia="Arial" w:hAnsi="Arial"/>
          <w:sz w:val="42"/>
          <w:szCs w:val="42"/>
          <w:color w:val="auto"/>
          <w:vertAlign w:val="subscript"/>
        </w:rPr>
      </w:pPr>
      <w:r>
        <w:rPr>
          <w:rFonts w:ascii="Arial" w:cs="Arial" w:eastAsia="Arial" w:hAnsi="Arial"/>
          <w:sz w:val="16"/>
          <w:szCs w:val="16"/>
          <w:color w:val="auto"/>
        </w:rPr>
        <w:t>WM expects adjusted operating EBITDA margin to expand in the second half of 2022 as pricing activities progress in offsetting cost inflation and the Company achieves operating efficiencies through the application of technology.</w:t>
      </w:r>
    </w:p>
    <w:p>
      <w:pPr>
        <w:spacing w:after="0" w:line="168" w:lineRule="exact"/>
        <w:rPr>
          <w:rFonts w:ascii="Arial" w:cs="Arial" w:eastAsia="Arial" w:hAnsi="Arial"/>
          <w:sz w:val="42"/>
          <w:szCs w:val="42"/>
          <w:color w:val="auto"/>
          <w:vertAlign w:val="subscript"/>
        </w:rPr>
      </w:pPr>
    </w:p>
    <w:p>
      <w:pPr>
        <w:ind w:left="680"/>
        <w:spacing w:after="0"/>
        <w:rPr>
          <w:rFonts w:ascii="Arial" w:cs="Arial" w:eastAsia="Arial" w:hAnsi="Arial"/>
          <w:sz w:val="42"/>
          <w:szCs w:val="42"/>
          <w:color w:val="auto"/>
          <w:vertAlign w:val="subscript"/>
        </w:rPr>
      </w:pPr>
      <w:r>
        <w:rPr>
          <w:rFonts w:ascii="Arial" w:cs="Arial" w:eastAsia="Arial" w:hAnsi="Arial"/>
          <w:sz w:val="18"/>
          <w:szCs w:val="18"/>
          <w:b w:val="1"/>
          <w:bCs w:val="1"/>
          <w:u w:val="single" w:color="auto"/>
          <w:color w:val="auto"/>
        </w:rPr>
        <w:t>Free Cash Flow &amp; Capital Allocation</w:t>
      </w:r>
    </w:p>
    <w:p>
      <w:pPr>
        <w:spacing w:after="0" w:line="220" w:lineRule="exact"/>
        <w:rPr>
          <w:rFonts w:ascii="Arial" w:cs="Arial" w:eastAsia="Arial" w:hAnsi="Arial"/>
          <w:sz w:val="42"/>
          <w:szCs w:val="42"/>
          <w:color w:val="auto"/>
          <w:vertAlign w:val="subscript"/>
        </w:rPr>
      </w:pPr>
    </w:p>
    <w:p>
      <w:pPr>
        <w:ind w:left="680" w:right="1139" w:hanging="265"/>
        <w:spacing w:after="0" w:line="228" w:lineRule="auto"/>
        <w:tabs>
          <w:tab w:leader="none" w:pos="680" w:val="left"/>
        </w:tabs>
        <w:numPr>
          <w:ilvl w:val="0"/>
          <w:numId w:val="5"/>
        </w:numPr>
        <w:rPr>
          <w:rFonts w:ascii="Arial" w:cs="Arial" w:eastAsia="Arial" w:hAnsi="Arial"/>
          <w:sz w:val="37"/>
          <w:szCs w:val="37"/>
          <w:color w:val="auto"/>
          <w:vertAlign w:val="subscript"/>
        </w:rPr>
      </w:pPr>
      <w:r>
        <w:rPr>
          <w:rFonts w:ascii="Arial" w:cs="Arial" w:eastAsia="Arial" w:hAnsi="Arial"/>
          <w:sz w:val="15"/>
          <w:szCs w:val="15"/>
          <w:color w:val="auto"/>
        </w:rPr>
        <w:t>WM expects to spend in the range of $1.95 to $2.05 billion on capital expenditures to support its normal business activities.</w:t>
      </w:r>
    </w:p>
    <w:p>
      <w:pPr>
        <w:jc w:val="both"/>
        <w:ind w:left="680" w:right="1139" w:hanging="265"/>
        <w:spacing w:after="0" w:line="186" w:lineRule="auto"/>
        <w:tabs>
          <w:tab w:leader="none" w:pos="680" w:val="left"/>
        </w:tabs>
        <w:numPr>
          <w:ilvl w:val="0"/>
          <w:numId w:val="5"/>
        </w:numPr>
        <w:rPr>
          <w:rFonts w:ascii="Arial" w:cs="Arial" w:eastAsia="Arial" w:hAnsi="Arial"/>
          <w:sz w:val="47"/>
          <w:szCs w:val="47"/>
          <w:color w:val="auto"/>
          <w:vertAlign w:val="subscript"/>
        </w:rPr>
      </w:pPr>
      <w:r>
        <w:rPr>
          <w:rFonts w:ascii="Arial" w:cs="Arial" w:eastAsia="Arial" w:hAnsi="Arial"/>
          <w:sz w:val="17"/>
          <w:szCs w:val="17"/>
          <w:color w:val="auto"/>
        </w:rPr>
        <w:t>Additionally, the Company intends to spend an incremental $550 million for capital expenditures on high-return growth projects in the recycling and renewable energy lines of business. These investments advance the Company’s focus on increasing the renewable energy generated from its landfill network, automating recycling processing to reduce costs and improve product quality, and expanding its leadership in single-stream recycling across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00" w:right="1440" w:bottom="1440" w:gutter="0" w:footer="0" w:header="0"/>
        </w:sectPr>
      </w:pPr>
    </w:p>
    <w:bookmarkStart w:id="6" w:name="page7"/>
    <w:bookmarkEnd w:id="6"/>
    <w:p>
      <w:pPr>
        <w:jc w:val="both"/>
        <w:ind w:left="680" w:right="1139" w:hanging="265"/>
        <w:spacing w:after="0" w:line="225" w:lineRule="auto"/>
        <w:tabs>
          <w:tab w:leader="none" w:pos="680" w:val="left"/>
        </w:tabs>
        <w:numPr>
          <w:ilvl w:val="0"/>
          <w:numId w:val="6"/>
        </w:numPr>
        <w:rPr>
          <w:rFonts w:ascii="Arial" w:cs="Arial" w:eastAsia="Arial" w:hAnsi="Arial"/>
          <w:sz w:val="37"/>
          <w:szCs w:val="37"/>
          <w:color w:val="auto"/>
          <w:vertAlign w:val="subscript"/>
        </w:rPr>
      </w:pPr>
      <w:r>
        <w:rPr>
          <w:rFonts w:ascii="Arial" w:cs="Arial" w:eastAsia="Arial" w:hAnsi="Arial"/>
          <w:sz w:val="15"/>
          <w:szCs w:val="15"/>
          <w:color w:val="auto"/>
        </w:rPr>
        <w:t>Free cash flow excluding the acceleration of these targeted sustainability and automation focused capital investments is projected to be between $2.6 and $2.7 billion. Free cash flow is projected to be between $2.05 billion and $2.15 billion.</w:t>
      </w:r>
      <w:r>
        <w:rPr>
          <w:rFonts w:ascii="Arial" w:cs="Arial" w:eastAsia="Arial" w:hAnsi="Arial"/>
          <w:sz w:val="23"/>
          <w:szCs w:val="23"/>
          <w:color w:val="auto"/>
          <w:vertAlign w:val="superscript"/>
        </w:rPr>
        <w:t>(a)</w:t>
      </w:r>
    </w:p>
    <w:p>
      <w:pPr>
        <w:spacing w:after="0" w:line="1" w:lineRule="exact"/>
        <w:rPr>
          <w:rFonts w:ascii="Arial" w:cs="Arial" w:eastAsia="Arial" w:hAnsi="Arial"/>
          <w:sz w:val="37"/>
          <w:szCs w:val="37"/>
          <w:color w:val="auto"/>
          <w:vertAlign w:val="subscript"/>
        </w:rPr>
      </w:pPr>
    </w:p>
    <w:p>
      <w:pPr>
        <w:jc w:val="both"/>
        <w:ind w:left="680" w:right="1139" w:hanging="265"/>
        <w:spacing w:after="0" w:line="181" w:lineRule="auto"/>
        <w:tabs>
          <w:tab w:leader="none" w:pos="680" w:val="left"/>
        </w:tabs>
        <w:numPr>
          <w:ilvl w:val="0"/>
          <w:numId w:val="6"/>
        </w:numPr>
        <w:rPr>
          <w:rFonts w:ascii="Arial" w:cs="Arial" w:eastAsia="Arial" w:hAnsi="Arial"/>
          <w:sz w:val="41"/>
          <w:szCs w:val="41"/>
          <w:color w:val="auto"/>
          <w:vertAlign w:val="subscript"/>
        </w:rPr>
      </w:pPr>
      <w:r>
        <w:rPr>
          <w:rFonts w:ascii="Arial" w:cs="Arial" w:eastAsia="Arial" w:hAnsi="Arial"/>
          <w:sz w:val="16"/>
          <w:szCs w:val="16"/>
          <w:color w:val="auto"/>
        </w:rPr>
        <w:t>The Board of Directors has indicated its intention to increase the annual dividend by $0.30 per share to $2.60, increasing estimated annual dividends paid to shareholders to $1.08 billion. This will be the 19</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consecutive year of increases in the Company’s per share dividend. The Board of Directors must separately approve and declare each dividend.</w:t>
      </w:r>
    </w:p>
    <w:p>
      <w:pPr>
        <w:jc w:val="both"/>
        <w:ind w:left="680" w:right="1139" w:hanging="265"/>
        <w:spacing w:after="0" w:line="180" w:lineRule="auto"/>
        <w:tabs>
          <w:tab w:leader="none" w:pos="680" w:val="left"/>
        </w:tabs>
        <w:numPr>
          <w:ilvl w:val="0"/>
          <w:numId w:val="6"/>
        </w:numPr>
        <w:rPr>
          <w:rFonts w:ascii="Arial" w:cs="Arial" w:eastAsia="Arial" w:hAnsi="Arial"/>
          <w:sz w:val="40"/>
          <w:szCs w:val="40"/>
          <w:color w:val="auto"/>
          <w:vertAlign w:val="subscript"/>
        </w:rPr>
      </w:pPr>
      <w:r>
        <w:rPr>
          <w:rFonts w:ascii="Arial" w:cs="Arial" w:eastAsia="Arial" w:hAnsi="Arial"/>
          <w:sz w:val="16"/>
          <w:szCs w:val="16"/>
          <w:color w:val="auto"/>
        </w:rPr>
        <w:t>In December 2021, the Board of Directors refreshed the Company’s share repurchase authorization, allowing for the repurchase of up to $1.5 billion of the Company’s common stock, signaling confidence in the Company’s cash flow outlook and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GROWTH &amp; SUSTAINABILITY INVESTMENTS</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Renewable Energy</w:t>
      </w:r>
    </w:p>
    <w:p>
      <w:pPr>
        <w:spacing w:after="0" w:line="220" w:lineRule="exact"/>
        <w:rPr>
          <w:sz w:val="20"/>
          <w:szCs w:val="20"/>
          <w:color w:val="auto"/>
        </w:rPr>
      </w:pPr>
    </w:p>
    <w:p>
      <w:pPr>
        <w:jc w:val="both"/>
        <w:ind w:left="680" w:right="1139" w:hanging="265"/>
        <w:spacing w:after="0" w:line="181" w:lineRule="auto"/>
        <w:tabs>
          <w:tab w:leader="none" w:pos="680" w:val="left"/>
        </w:tabs>
        <w:numPr>
          <w:ilvl w:val="0"/>
          <w:numId w:val="7"/>
        </w:numPr>
        <w:rPr>
          <w:rFonts w:ascii="Arial" w:cs="Arial" w:eastAsia="Arial" w:hAnsi="Arial"/>
          <w:sz w:val="38"/>
          <w:szCs w:val="38"/>
          <w:color w:val="auto"/>
          <w:vertAlign w:val="subscript"/>
        </w:rPr>
      </w:pPr>
      <w:r>
        <w:rPr>
          <w:rFonts w:ascii="Arial" w:cs="Arial" w:eastAsia="Arial" w:hAnsi="Arial"/>
          <w:sz w:val="16"/>
          <w:szCs w:val="16"/>
          <w:color w:val="auto"/>
        </w:rPr>
        <w:t>As part of WM’s portfolio of landfill gas-to-energy projects, it operates four renewable natural gas (RNG) plants and expects two additional plants to come into service during 2022. Collectively, these facilities are expected to generate 3.6 million MMBtu in 2022.</w:t>
      </w:r>
    </w:p>
    <w:p>
      <w:pPr>
        <w:jc w:val="both"/>
        <w:ind w:left="680" w:right="1139" w:hanging="265"/>
        <w:spacing w:after="0" w:line="187" w:lineRule="auto"/>
        <w:tabs>
          <w:tab w:leader="none" w:pos="680" w:val="left"/>
        </w:tabs>
        <w:numPr>
          <w:ilvl w:val="0"/>
          <w:numId w:val="7"/>
        </w:numPr>
        <w:rPr>
          <w:rFonts w:ascii="Arial" w:cs="Arial" w:eastAsia="Arial" w:hAnsi="Arial"/>
          <w:sz w:val="42"/>
          <w:szCs w:val="42"/>
          <w:color w:val="auto"/>
          <w:vertAlign w:val="subscript"/>
        </w:rPr>
      </w:pPr>
      <w:r>
        <w:rPr>
          <w:rFonts w:ascii="Arial" w:cs="Arial" w:eastAsia="Arial" w:hAnsi="Arial"/>
          <w:sz w:val="16"/>
          <w:szCs w:val="16"/>
          <w:color w:val="auto"/>
        </w:rPr>
        <w:t>The Company plans to invest growth capital of approximately $275 million in 2022 and an incremental $550 million from 2023 to 2025 to expand its network of RNG plants. By 2026, the Company expects all of these investments to be operational, bringing the owned asset network to 21 RNG facilities that will generate a total of 24 million MMBtu per year.</w:t>
      </w:r>
    </w:p>
    <w:p>
      <w:pPr>
        <w:spacing w:after="0" w:line="3" w:lineRule="exact"/>
        <w:rPr>
          <w:rFonts w:ascii="Arial" w:cs="Arial" w:eastAsia="Arial" w:hAnsi="Arial"/>
          <w:sz w:val="42"/>
          <w:szCs w:val="42"/>
          <w:color w:val="auto"/>
          <w:vertAlign w:val="subscript"/>
        </w:rPr>
      </w:pPr>
    </w:p>
    <w:p>
      <w:pPr>
        <w:jc w:val="both"/>
        <w:ind w:left="680" w:right="1139" w:hanging="265"/>
        <w:spacing w:after="0" w:line="228" w:lineRule="auto"/>
        <w:tabs>
          <w:tab w:leader="none" w:pos="680" w:val="left"/>
        </w:tabs>
        <w:numPr>
          <w:ilvl w:val="0"/>
          <w:numId w:val="7"/>
        </w:numPr>
        <w:rPr>
          <w:rFonts w:ascii="Arial" w:cs="Arial" w:eastAsia="Arial" w:hAnsi="Arial"/>
          <w:sz w:val="42"/>
          <w:szCs w:val="42"/>
          <w:color w:val="auto"/>
          <w:vertAlign w:val="subscript"/>
        </w:rPr>
      </w:pPr>
      <w:r>
        <w:rPr>
          <w:rFonts w:ascii="Arial" w:cs="Arial" w:eastAsia="Arial" w:hAnsi="Arial"/>
          <w:sz w:val="16"/>
          <w:szCs w:val="16"/>
          <w:color w:val="auto"/>
        </w:rPr>
        <w:t>In the near term, the incremental operating cash flow growth from the Company’s new projects is expected to be more than offset by the incremental growth capital investment. In 2026, the Company expects that the incremental annual run-rate operating EBITDA of more than $400 million will flow through to free cash flow as growth.</w:t>
      </w:r>
    </w:p>
    <w:p>
      <w:pPr>
        <w:spacing w:after="0" w:line="1" w:lineRule="exact"/>
        <w:rPr>
          <w:rFonts w:ascii="Arial" w:cs="Arial" w:eastAsia="Arial" w:hAnsi="Arial"/>
          <w:sz w:val="42"/>
          <w:szCs w:val="42"/>
          <w:color w:val="auto"/>
          <w:vertAlign w:val="subscript"/>
        </w:rPr>
      </w:pPr>
    </w:p>
    <w:p>
      <w:pPr>
        <w:jc w:val="both"/>
        <w:ind w:left="680" w:right="1139" w:hanging="265"/>
        <w:spacing w:after="0" w:line="202" w:lineRule="auto"/>
        <w:tabs>
          <w:tab w:leader="none" w:pos="680" w:val="left"/>
        </w:tabs>
        <w:numPr>
          <w:ilvl w:val="0"/>
          <w:numId w:val="7"/>
        </w:numPr>
        <w:rPr>
          <w:rFonts w:ascii="Arial" w:cs="Arial" w:eastAsia="Arial" w:hAnsi="Arial"/>
          <w:sz w:val="47"/>
          <w:szCs w:val="47"/>
          <w:color w:val="auto"/>
          <w:vertAlign w:val="subscript"/>
        </w:rPr>
      </w:pPr>
      <w:r>
        <w:rPr>
          <w:rFonts w:ascii="Arial" w:cs="Arial" w:eastAsia="Arial" w:hAnsi="Arial"/>
          <w:sz w:val="17"/>
          <w:szCs w:val="17"/>
          <w:color w:val="auto"/>
        </w:rPr>
        <w:t>These capital investments are projected to have strong returns and payback periods of approximately three years based on a conservative estimate of $2.00 RINs prices and $2.50 per MMBtu natural gas prices.</w:t>
      </w:r>
    </w:p>
    <w:p>
      <w:pPr>
        <w:spacing w:after="0" w:line="249" w:lineRule="exact"/>
        <w:rPr>
          <w:rFonts w:ascii="Arial" w:cs="Arial" w:eastAsia="Arial" w:hAnsi="Arial"/>
          <w:sz w:val="47"/>
          <w:szCs w:val="47"/>
          <w:color w:val="auto"/>
          <w:vertAlign w:val="subscript"/>
        </w:rPr>
      </w:pPr>
    </w:p>
    <w:p>
      <w:pPr>
        <w:ind w:left="680"/>
        <w:spacing w:after="0"/>
        <w:rPr>
          <w:rFonts w:ascii="Arial" w:cs="Arial" w:eastAsia="Arial" w:hAnsi="Arial"/>
          <w:sz w:val="47"/>
          <w:szCs w:val="47"/>
          <w:color w:val="auto"/>
          <w:vertAlign w:val="subscript"/>
        </w:rPr>
      </w:pPr>
      <w:r>
        <w:rPr>
          <w:rFonts w:ascii="Arial" w:cs="Arial" w:eastAsia="Arial" w:hAnsi="Arial"/>
          <w:sz w:val="18"/>
          <w:szCs w:val="18"/>
          <w:b w:val="1"/>
          <w:bCs w:val="1"/>
          <w:u w:val="single" w:color="auto"/>
          <w:color w:val="auto"/>
        </w:rPr>
        <w:t>Recycling</w:t>
      </w:r>
    </w:p>
    <w:p>
      <w:pPr>
        <w:spacing w:after="0" w:line="260" w:lineRule="exact"/>
        <w:rPr>
          <w:rFonts w:ascii="Arial" w:cs="Arial" w:eastAsia="Arial" w:hAnsi="Arial"/>
          <w:sz w:val="47"/>
          <w:szCs w:val="47"/>
          <w:color w:val="auto"/>
          <w:vertAlign w:val="subscript"/>
        </w:rPr>
      </w:pPr>
    </w:p>
    <w:p>
      <w:pPr>
        <w:jc w:val="both"/>
        <w:ind w:left="680" w:right="1139" w:hanging="265"/>
        <w:spacing w:after="0" w:line="187" w:lineRule="auto"/>
        <w:tabs>
          <w:tab w:leader="none" w:pos="680" w:val="left"/>
        </w:tabs>
        <w:numPr>
          <w:ilvl w:val="0"/>
          <w:numId w:val="7"/>
        </w:numPr>
        <w:rPr>
          <w:rFonts w:ascii="Arial" w:cs="Arial" w:eastAsia="Arial" w:hAnsi="Arial"/>
          <w:sz w:val="42"/>
          <w:szCs w:val="42"/>
          <w:color w:val="auto"/>
          <w:vertAlign w:val="subscript"/>
        </w:rPr>
      </w:pPr>
      <w:r>
        <w:rPr>
          <w:rFonts w:ascii="Arial" w:cs="Arial" w:eastAsia="Arial" w:hAnsi="Arial"/>
          <w:sz w:val="16"/>
          <w:szCs w:val="16"/>
          <w:color w:val="auto"/>
        </w:rPr>
        <w:t>WM has successfully used technology to substantially automate sorting at four materials recovery facilities across our network of 49 single-stream facilities in North America. These investments have reduced the operating costs of recycling services, improved the quality of delivered product, and increased the amount of material ultimately recycled.</w:t>
      </w:r>
    </w:p>
    <w:p>
      <w:pPr>
        <w:spacing w:after="0" w:line="3" w:lineRule="exact"/>
        <w:rPr>
          <w:rFonts w:ascii="Arial" w:cs="Arial" w:eastAsia="Arial" w:hAnsi="Arial"/>
          <w:sz w:val="42"/>
          <w:szCs w:val="42"/>
          <w:color w:val="auto"/>
          <w:vertAlign w:val="subscript"/>
        </w:rPr>
      </w:pPr>
    </w:p>
    <w:p>
      <w:pPr>
        <w:jc w:val="both"/>
        <w:ind w:left="680" w:right="1139" w:hanging="265"/>
        <w:spacing w:after="0" w:line="181" w:lineRule="auto"/>
        <w:tabs>
          <w:tab w:leader="none" w:pos="680" w:val="left"/>
        </w:tabs>
        <w:numPr>
          <w:ilvl w:val="0"/>
          <w:numId w:val="7"/>
        </w:numPr>
        <w:rPr>
          <w:rFonts w:ascii="Arial" w:cs="Arial" w:eastAsia="Arial" w:hAnsi="Arial"/>
          <w:sz w:val="38"/>
          <w:szCs w:val="38"/>
          <w:color w:val="auto"/>
          <w:vertAlign w:val="subscript"/>
        </w:rPr>
      </w:pPr>
      <w:r>
        <w:rPr>
          <w:rFonts w:ascii="Arial" w:cs="Arial" w:eastAsia="Arial" w:hAnsi="Arial"/>
          <w:sz w:val="16"/>
          <w:szCs w:val="16"/>
          <w:color w:val="auto"/>
        </w:rPr>
        <w:t>The Company plans to invest growth capital of approximately $275 million in 2022 and an incremental $525 million from 2023 to 2025 to accelerate our investment in technology automation in a number of our single-stream facilities and to expand our recycling footprint including in under-served markets.</w:t>
      </w:r>
    </w:p>
    <w:p>
      <w:pPr>
        <w:jc w:val="both"/>
        <w:ind w:left="680" w:right="1139" w:hanging="265"/>
        <w:spacing w:after="0" w:line="181" w:lineRule="auto"/>
        <w:tabs>
          <w:tab w:leader="none" w:pos="680" w:val="left"/>
        </w:tabs>
        <w:numPr>
          <w:ilvl w:val="0"/>
          <w:numId w:val="7"/>
        </w:numPr>
        <w:rPr>
          <w:rFonts w:ascii="Arial" w:cs="Arial" w:eastAsia="Arial" w:hAnsi="Arial"/>
          <w:sz w:val="50"/>
          <w:szCs w:val="50"/>
          <w:color w:val="auto"/>
          <w:vertAlign w:val="subscript"/>
        </w:rPr>
      </w:pPr>
      <w:r>
        <w:rPr>
          <w:rFonts w:ascii="Arial" w:cs="Arial" w:eastAsia="Arial" w:hAnsi="Arial"/>
          <w:sz w:val="18"/>
          <w:szCs w:val="18"/>
          <w:color w:val="auto"/>
        </w:rPr>
        <w:t>These capital investments are projected to have strong returns and payback periods of approximately six years based on a blended average recycling commodity price of $125 per ton. In the near term, the incremental operating cash flow growth from the Company’s new and enhanced projects is expected to be more than offset by the incremental growth capital investment. By 2026, the Company expects the planned automation benefits and market expansion to generate incremental annual run-rate operating EBITDA of approximately $180 million, which will flow through to free cash flow as growth.</w:t>
      </w:r>
    </w:p>
    <w:p>
      <w:pPr>
        <w:jc w:val="both"/>
        <w:ind w:left="680" w:right="1139" w:hanging="265"/>
        <w:spacing w:after="0" w:line="180" w:lineRule="auto"/>
        <w:tabs>
          <w:tab w:leader="none" w:pos="680" w:val="left"/>
        </w:tabs>
        <w:numPr>
          <w:ilvl w:val="0"/>
          <w:numId w:val="7"/>
        </w:numPr>
        <w:rPr>
          <w:rFonts w:ascii="Arial" w:cs="Arial" w:eastAsia="Arial" w:hAnsi="Arial"/>
          <w:sz w:val="40"/>
          <w:szCs w:val="40"/>
          <w:color w:val="auto"/>
          <w:vertAlign w:val="subscript"/>
        </w:rPr>
      </w:pPr>
      <w:r>
        <w:rPr>
          <w:rFonts w:ascii="Arial" w:cs="Arial" w:eastAsia="Arial" w:hAnsi="Arial"/>
          <w:sz w:val="16"/>
          <w:szCs w:val="16"/>
          <w:color w:val="auto"/>
        </w:rPr>
        <w:t>Through the investments that focus on automation through accelerated technology deployments the Company expects total labor savings of approximately $60 to $70 million, which is one of the primary contributors to the expected incremental operating EBITDA growth by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382" w:right="1440" w:bottom="1440" w:gutter="0" w:footer="0" w:header="0"/>
        </w:sectPr>
      </w:pPr>
    </w:p>
    <w:bookmarkStart w:id="7" w:name="page8"/>
    <w:bookmarkEnd w:id="7"/>
    <w:p>
      <w:pPr>
        <w:jc w:val="both"/>
        <w:ind w:right="1299"/>
        <w:spacing w:after="0" w:line="236" w:lineRule="auto"/>
        <w:rPr>
          <w:sz w:val="20"/>
          <w:szCs w:val="20"/>
          <w:color w:val="auto"/>
        </w:rPr>
      </w:pPr>
      <w:r>
        <w:rPr>
          <w:rFonts w:ascii="Arial" w:cs="Arial" w:eastAsia="Arial" w:hAnsi="Arial"/>
          <w:sz w:val="18"/>
          <w:szCs w:val="18"/>
          <w:color w:val="auto"/>
        </w:rPr>
        <w:t>“We have a strong outlook for the year ahead, with expected collection and disposal revenue growth of about 6%, driven by continued execution on our disciplined pricing programs. This revenue growth is expected to drive operating leverage as we manage our costs in the face of inflationary pressure,” Fish continued. “We are pleased with the extraordinary cash generation of our business, which allows us to plan a 13% increase in our dividend rate for 2022. At the same time, we are excited about planned growth investments in our recycling and renewable energy businesses that are expected to total more than $1.5 billion through 2025. These growth investments are intended to further WM’s sustainability leadership position by increasing recycling volumes by more than 1.5 million tons and growing renewable natural gas generation by 21 million MMBtu by 2026. These investments will deliver circular solutions for our customers and drive environmental value to the communities we serve while also providing very attractive returns to our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jc w:val="both"/>
        <w:ind w:left="660" w:right="1219" w:hanging="328"/>
        <w:spacing w:after="0" w:line="25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87" w:lineRule="exact"/>
        <w:rPr>
          <w:rFonts w:ascii="Arial" w:cs="Arial" w:eastAsia="Arial" w:hAnsi="Arial"/>
          <w:sz w:val="16"/>
          <w:szCs w:val="16"/>
          <w:color w:val="auto"/>
        </w:rPr>
      </w:pPr>
    </w:p>
    <w:p>
      <w:pPr>
        <w:ind w:left="660" w:right="1219" w:hanging="328"/>
        <w:spacing w:after="0" w:line="26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Management defines operating EBITDA as GAAP income from operations before depreciation and amortization; this measure may not be comparable to similarly titled measures reported by other companies.</w:t>
      </w:r>
    </w:p>
    <w:p>
      <w:pPr>
        <w:spacing w:after="0" w:line="181" w:lineRule="exact"/>
        <w:rPr>
          <w:rFonts w:ascii="Arial" w:cs="Arial" w:eastAsia="Arial" w:hAnsi="Arial"/>
          <w:sz w:val="16"/>
          <w:szCs w:val="16"/>
          <w:color w:val="auto"/>
        </w:rPr>
      </w:pPr>
    </w:p>
    <w:p>
      <w:pPr>
        <w:ind w:left="660" w:right="1239" w:hanging="328"/>
        <w:spacing w:after="0" w:line="26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purposes of this press release, all references to "Net income" refer to the financial statement line item "Net income attributable to Waste Management, Inc."</w:t>
      </w:r>
    </w:p>
    <w:p>
      <w:pPr>
        <w:spacing w:after="0" w:line="181" w:lineRule="exact"/>
        <w:rPr>
          <w:rFonts w:ascii="Arial" w:cs="Arial" w:eastAsia="Arial" w:hAnsi="Arial"/>
          <w:sz w:val="16"/>
          <w:szCs w:val="16"/>
          <w:color w:val="auto"/>
        </w:rPr>
      </w:pPr>
    </w:p>
    <w:p>
      <w:pPr>
        <w:jc w:val="both"/>
        <w:ind w:left="660" w:right="1219" w:hanging="328"/>
        <w:spacing w:after="0" w:line="25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88" w:lineRule="exact"/>
        <w:rPr>
          <w:rFonts w:ascii="Arial" w:cs="Arial" w:eastAsia="Arial" w:hAnsi="Arial"/>
          <w:sz w:val="16"/>
          <w:szCs w:val="16"/>
          <w:color w:val="auto"/>
        </w:rPr>
      </w:pPr>
    </w:p>
    <w:p>
      <w:pPr>
        <w:ind w:left="660" w:right="1219" w:hanging="328"/>
        <w:spacing w:after="0" w:line="26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fourth quarter of 2021, the Company updated its collection and disposal operating EBITDA calculation with a more accurate allocation of costs to this line of business.</w:t>
      </w:r>
    </w:p>
    <w:p>
      <w:pPr>
        <w:spacing w:after="0" w:line="195" w:lineRule="exact"/>
        <w:rPr>
          <w:rFonts w:ascii="Arial" w:cs="Arial" w:eastAsia="Arial" w:hAnsi="Arial"/>
          <w:sz w:val="16"/>
          <w:szCs w:val="16"/>
          <w:color w:val="auto"/>
        </w:rPr>
      </w:pPr>
    </w:p>
    <w:p>
      <w:pPr>
        <w:jc w:val="both"/>
        <w:ind w:left="660" w:right="1219" w:hanging="328"/>
        <w:spacing w:after="0" w:line="25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Beginning in the fourth quarter of 2021, changes in the Company’s renewable energy revenue are reflected as components of the changes in revenue attributable to yield (included in “Fuel &amp; Other”) and volume. Prior to the fourth quarter of 2021, all changes in the Company’s renewable energy revenues were reflected as changes in collection and disposal volume.</w:t>
      </w:r>
    </w:p>
    <w:p>
      <w:pPr>
        <w:spacing w:after="0" w:line="200" w:lineRule="exact"/>
        <w:rPr>
          <w:sz w:val="20"/>
          <w:szCs w:val="20"/>
          <w:color w:val="auto"/>
        </w:rPr>
      </w:pPr>
    </w:p>
    <w:p>
      <w:pPr>
        <w:jc w:val="both"/>
        <w:ind w:right="1239"/>
        <w:spacing w:after="0"/>
        <w:rPr>
          <w:sz w:val="20"/>
          <w:szCs w:val="20"/>
          <w:color w:val="auto"/>
        </w:rPr>
      </w:pPr>
      <w:r>
        <w:rPr>
          <w:rFonts w:ascii="Arial" w:cs="Arial" w:eastAsia="Arial" w:hAnsi="Arial"/>
          <w:sz w:val="18"/>
          <w:szCs w:val="18"/>
          <w:color w:val="auto"/>
        </w:rPr>
        <w:t>The Company will host a conference call at 10 a.m. (Eastern) today to discuss the fourth quarter and full year results. Information contained within this press release will be referenced and should be considered in conjunction with the call.</w:t>
      </w:r>
    </w:p>
    <w:p>
      <w:pPr>
        <w:spacing w:after="0" w:line="203" w:lineRule="exact"/>
        <w:rPr>
          <w:sz w:val="20"/>
          <w:szCs w:val="20"/>
          <w:color w:val="auto"/>
        </w:rPr>
      </w:pPr>
    </w:p>
    <w:p>
      <w:pPr>
        <w:jc w:val="both"/>
        <w:ind w:right="1219"/>
        <w:spacing w:after="0" w:line="238" w:lineRule="auto"/>
        <w:rPr>
          <w:sz w:val="20"/>
          <w:szCs w:val="20"/>
          <w:color w:val="auto"/>
        </w:rPr>
      </w:pPr>
      <w:r>
        <w:rPr>
          <w:rFonts w:ascii="Arial" w:cs="Arial" w:eastAsia="Arial" w:hAnsi="Arial"/>
          <w:sz w:val="18"/>
          <w:szCs w:val="18"/>
          <w:color w:val="auto"/>
        </w:rPr>
        <w:t xml:space="preserve">The conference call will be webcast live from the Investors section of WM’s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4865157 when prompted by the conference call operator.</w:t>
      </w:r>
    </w:p>
    <w:p>
      <w:pPr>
        <w:spacing w:after="0" w:line="205" w:lineRule="exact"/>
        <w:rPr>
          <w:sz w:val="20"/>
          <w:szCs w:val="20"/>
          <w:color w:val="auto"/>
        </w:rPr>
      </w:pPr>
    </w:p>
    <w:p>
      <w:pPr>
        <w:jc w:val="both"/>
        <w:ind w:right="1219"/>
        <w:spacing w:after="0" w:line="238"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today through 5:00 p.m. (Eastern) on Wednesday, February 16, 2022. To access the replay telephonically, please dial (855) 859-2056, or from outside of the United States or Canada dial (404) 537-3406 and use the replay conference ID number 4865157.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ABOUT WM</w:t>
      </w:r>
    </w:p>
    <w:p>
      <w:pPr>
        <w:spacing w:after="0" w:line="26" w:lineRule="exact"/>
        <w:rPr>
          <w:sz w:val="20"/>
          <w:szCs w:val="20"/>
          <w:color w:val="auto"/>
        </w:rPr>
      </w:pPr>
    </w:p>
    <w:p>
      <w:pPr>
        <w:jc w:val="both"/>
        <w:ind w:right="1299"/>
        <w:spacing w:after="0" w:line="253" w:lineRule="auto"/>
        <w:rPr>
          <w:sz w:val="20"/>
          <w:szCs w:val="20"/>
          <w:color w:val="auto"/>
        </w:rPr>
      </w:pPr>
      <w:r>
        <w:rPr>
          <w:rFonts w:ascii="Arial" w:cs="Arial" w:eastAsia="Arial" w:hAnsi="Arial"/>
          <w:sz w:val="18"/>
          <w:szCs w:val="18"/>
          <w:color w:val="auto"/>
        </w:rPr>
        <w:t xml:space="preserve">WM, based in Houston, Texas, is the leading provider of comprehensive waste management environmental services in North America, providing services throughout the United States and Canada.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6" w:lineRule="exact"/>
        <w:rPr>
          <w:sz w:val="20"/>
          <w:szCs w:val="20"/>
          <w:color w:val="auto"/>
        </w:rPr>
      </w:pPr>
    </w:p>
    <w:p>
      <w:pPr>
        <w:jc w:val="both"/>
        <w:ind w:right="1299"/>
        <w:spacing w:after="0" w:line="304" w:lineRule="auto"/>
        <w:rPr>
          <w:sz w:val="20"/>
          <w:szCs w:val="20"/>
          <w:color w:val="auto"/>
        </w:rPr>
      </w:pPr>
      <w:r>
        <w:rPr>
          <w:rFonts w:ascii="Arial" w:cs="Arial" w:eastAsia="Arial" w:hAnsi="Arial"/>
          <w:sz w:val="14"/>
          <w:szCs w:val="14"/>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under the headings “2022 Outlook” and “Strategic Growth &amp; Sustainability Investments”, as well as all statements regarding future performance or financial results of our business; future cost structure and cost management; future capital expenditures; results and returns from investments and deployment of technologies and equipment; results from pricing programs; future market conditions and prices; future dividends and share repurchases; future cash flow; and future sustainability projects and efforts.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consummate and integrate acquisitions; failure to obtain the results anticipated from acquisitions, including continuing to realize the strategic benefits and cost synergies from our acquisition of Advanced Disposal Services, Inc.;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changes in wage and labor related regulations; significant storms and destructive climate events; public health risk and other impacts of COVID-19 or similar pandemic conditions, including related regulations, resulting in increased costs and social, labor and commercial disruption; macroeconomic pressures and market disruption resulting in labor, supply chain and transportation constraints and inflationary cost pressure; increased competition; pricing actions; commodity price fluctuations;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and human capital management system;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for additional information regarding these and other risks and uncertainties applicable to its business. The Company continues to be optimistic about volume recovery and overall economic recovery from the impacts of the COVID-19 pandemic, and the Company’s 2022 financial targets incorporate these views. However, uncertainty remains with respect to various factors that influence the pace of economic recovery, including workforce regulation and the potential for future resurgence in transmission of COVID-19 and related business closures due to virus variants or otherwise. Such conditions could have an unanticipated adverse impact on its business. The Company assumes no obligation to update any forward-looking statement, including financial estimates and forecasts, whether as a result of future events, circumstances or developments or otherwise.</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6" w:lineRule="exact"/>
        <w:rPr>
          <w:sz w:val="20"/>
          <w:szCs w:val="20"/>
          <w:color w:val="auto"/>
        </w:rPr>
      </w:pPr>
    </w:p>
    <w:p>
      <w:pPr>
        <w:jc w:val="both"/>
        <w:ind w:right="1299"/>
        <w:spacing w:after="0" w:line="287" w:lineRule="auto"/>
        <w:rPr>
          <w:sz w:val="20"/>
          <w:szCs w:val="20"/>
          <w:color w:val="auto"/>
        </w:rPr>
      </w:pPr>
      <w:r>
        <w:rPr>
          <w:rFonts w:ascii="Arial" w:cs="Arial" w:eastAsia="Arial" w:hAnsi="Arial"/>
          <w:sz w:val="15"/>
          <w:szCs w:val="15"/>
          <w:color w:val="auto"/>
        </w:rPr>
        <w:t>To supplement its financial information, the Company has presented, and/or may discuss on the conference call, adjusted earnings per diluted share, adjusted net income, adjusted income from operations, adjusted operating EBITDA, adjusted operating EBITDA margin, adjusted operating expenses, adjusted SG&amp;A expenses, and free cash flow, as well as projections of adjusted operating EBITDA and free cash flow for 2022.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9" w:name="page10"/>
    <w:bookmarkEnd w:id="9"/>
    <w:p>
      <w:pPr>
        <w:jc w:val="both"/>
        <w:ind w:right="1299"/>
        <w:spacing w:after="0" w:line="293" w:lineRule="auto"/>
        <w:rPr>
          <w:sz w:val="20"/>
          <w:szCs w:val="20"/>
          <w:color w:val="auto"/>
        </w:rPr>
      </w:pPr>
      <w:r>
        <w:rPr>
          <w:rFonts w:ascii="Arial" w:cs="Arial" w:eastAsia="Arial" w:hAnsi="Arial"/>
          <w:sz w:val="15"/>
          <w:szCs w:val="15"/>
          <w:color w:val="auto"/>
        </w:rPr>
        <w:t>In addition, the Company’s projected future operating EBITDA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62" w:lineRule="exact"/>
        <w:rPr>
          <w:sz w:val="20"/>
          <w:szCs w:val="20"/>
          <w:color w:val="auto"/>
        </w:rPr>
      </w:pPr>
    </w:p>
    <w:p>
      <w:pPr>
        <w:jc w:val="both"/>
        <w:ind w:right="1299"/>
        <w:spacing w:after="0" w:line="267" w:lineRule="auto"/>
        <w:rPr>
          <w:sz w:val="20"/>
          <w:szCs w:val="20"/>
          <w:color w:val="auto"/>
        </w:rPr>
      </w:pPr>
      <w:r>
        <w:rPr>
          <w:rFonts w:ascii="Arial" w:cs="Arial" w:eastAsia="Arial" w:hAnsi="Arial"/>
          <w:sz w:val="16"/>
          <w:szCs w:val="16"/>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3" w:lineRule="exact"/>
        <w:rPr>
          <w:sz w:val="20"/>
          <w:szCs w:val="20"/>
          <w:color w:val="auto"/>
        </w:rPr>
      </w:pPr>
    </w:p>
    <w:p>
      <w:pPr>
        <w:jc w:val="both"/>
        <w:ind w:right="1299"/>
        <w:spacing w:after="0" w:line="278" w:lineRule="auto"/>
        <w:rPr>
          <w:sz w:val="20"/>
          <w:szCs w:val="20"/>
          <w:color w:val="auto"/>
        </w:rPr>
      </w:pPr>
      <w:r>
        <w:rPr>
          <w:rFonts w:ascii="Arial" w:cs="Arial" w:eastAsia="Arial" w:hAnsi="Arial"/>
          <w:sz w:val="16"/>
          <w:szCs w:val="16"/>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9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5"/>
          </w:tcPr>
          <w:p>
            <w:pPr>
              <w:jc w:val="right"/>
              <w:ind w:right="47"/>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8"/>
                <w:szCs w:val="18"/>
                <w:b w:val="1"/>
                <w:bCs w:val="1"/>
                <w:color w:val="auto"/>
                <w:w w:val="87"/>
              </w:rPr>
              <w:t>December 31,</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4,067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8"/>
              </w:rPr>
              <w:t>2,955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8"/>
              </w:rPr>
              <w:t>2,500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11,111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1,864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(Gain) loss from divestitures, asset impairments and unusual items, net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3,960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3,413</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Loss on early extinguishment of debt, net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3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6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4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basic common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417.9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422.9</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420.4</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420.6</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425.1</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422.9</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Cash and cash equivalents Receivables, net Other</w:t>
      </w:r>
    </w:p>
    <w:p>
      <w:pPr>
        <w:spacing w:after="0" w:line="1" w:lineRule="exact"/>
        <w:rPr>
          <w:sz w:val="20"/>
          <w:szCs w:val="20"/>
          <w:color w:val="auto"/>
        </w:rPr>
      </w:pPr>
    </w:p>
    <w:p>
      <w:pPr>
        <w:ind w:right="260" w:firstLine="216"/>
        <w:spacing w:after="0" w:line="255" w:lineRule="auto"/>
        <w:rPr>
          <w:sz w:val="20"/>
          <w:szCs w:val="20"/>
          <w:color w:val="auto"/>
        </w:rPr>
      </w:pPr>
      <w:r>
        <w:rPr>
          <w:rFonts w:ascii="Arial" w:cs="Arial" w:eastAsia="Arial" w:hAnsi="Arial"/>
          <w:sz w:val="18"/>
          <w:szCs w:val="18"/>
          <w:color w:val="auto"/>
        </w:rPr>
        <w:t>Total current assets Property and equipment, net Goodwill</w:t>
      </w:r>
    </w:p>
    <w:p>
      <w:pPr>
        <w:spacing w:after="0" w:line="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Other intangible assets, net Other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00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30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820" w:type="dxa"/>
        <w:tblCellMar>
          <w:top w:w="0" w:type="dxa"/>
          <w:left w:w="0" w:type="dxa"/>
          <w:bottom w:w="0" w:type="dxa"/>
          <w:right w:w="0" w:type="dxa"/>
        </w:tblCellMar>
      </w:tblPr>
      <w:tr>
        <w:trPr>
          <w:trHeight w:val="223"/>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-1560195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-1276985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-1002665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-711200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-436880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-154305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-127635</wp:posOffset>
            </wp:positionV>
            <wp:extent cx="1705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2300" w:space="720"/>
            <w:col w:w="82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deferred revenues</w:t>
            </w:r>
          </w:p>
        </w:tc>
        <w:tc>
          <w:tcPr>
            <w:tcW w:w="24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3,374</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18"/>
                <w:szCs w:val="18"/>
                <w:color w:val="auto"/>
              </w:rPr>
            </w:pPr>
          </w:p>
        </w:tc>
      </w:tr>
      <w:tr>
        <w:trPr>
          <w:trHeight w:val="230"/>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r>
      <w:tr>
        <w:trPr>
          <w:trHeight w:val="209"/>
        </w:trPr>
        <w:tc>
          <w:tcPr>
            <w:tcW w:w="64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13,259</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5,192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5,079</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Equity:</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Waste Management, Inc. stockholders’ equity</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7,452</w:t>
            </w:r>
          </w:p>
        </w:tc>
        <w:tc>
          <w:tcPr>
            <w:tcW w:w="80" w:type="dxa"/>
            <w:vAlign w:val="bottom"/>
            <w:shd w:val="clear" w:color="auto" w:fill="CCEEFF"/>
          </w:tcPr>
          <w:p>
            <w:pPr>
              <w:spacing w:after="0"/>
              <w:rPr>
                <w:sz w:val="18"/>
                <w:szCs w:val="18"/>
                <w:color w:val="auto"/>
              </w:rPr>
            </w:pPr>
          </w:p>
        </w:tc>
      </w:tr>
      <w:tr>
        <w:trPr>
          <w:trHeight w:val="230"/>
        </w:trPr>
        <w:tc>
          <w:tcPr>
            <w:tcW w:w="642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10"/>
        </w:trPr>
        <w:tc>
          <w:tcPr>
            <w:tcW w:w="6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2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1,817</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early extinguishment of debt, net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r>
      <w:tr>
        <w:trPr>
          <w:trHeight w:val="20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(4,085)</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(1,632)</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18"/>
                <w:szCs w:val="18"/>
                <w:color w:val="auto"/>
              </w:rPr>
            </w:pP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0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New borrowings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7,948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9,420</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(9,629)</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Premiums and other paid on early extinguishment of debt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(927)</w:t>
            </w:r>
          </w:p>
        </w:tc>
      </w:tr>
      <w:tr>
        <w:trPr>
          <w:trHeight w:val="216"/>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gridSpan w:val="2"/>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11"/>
          </w:tcPr>
          <w:p>
            <w:pPr>
              <w:jc w:val="center"/>
              <w:ind w:left="254"/>
              <w:spacing w:after="0"/>
              <w:rPr>
                <w:sz w:val="20"/>
                <w:szCs w:val="20"/>
                <w:color w:val="auto"/>
              </w:rPr>
            </w:pPr>
            <w:r>
              <w:rPr>
                <w:rFonts w:ascii="Arial" w:cs="Arial" w:eastAsia="Arial" w:hAnsi="Arial"/>
                <w:sz w:val="18"/>
                <w:szCs w:val="18"/>
                <w:b w:val="1"/>
                <w:bCs w:val="1"/>
                <w:color w:val="auto"/>
              </w:rPr>
              <w:t>WASTE MANAGEMENT, INC.</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gridSpan w:val="11"/>
          </w:tcPr>
          <w:p>
            <w:pPr>
              <w:jc w:val="center"/>
              <w:ind w:left="254"/>
              <w:spacing w:after="0"/>
              <w:rPr>
                <w:sz w:val="20"/>
                <w:szCs w:val="20"/>
                <w:color w:val="auto"/>
              </w:rPr>
            </w:pPr>
            <w:r>
              <w:rPr>
                <w:rFonts w:ascii="Arial" w:cs="Arial" w:eastAsia="Arial" w:hAnsi="Arial"/>
                <w:sz w:val="18"/>
                <w:szCs w:val="18"/>
                <w:b w:val="1"/>
                <w:bCs w:val="1"/>
                <w:color w:val="auto"/>
                <w:w w:val="99"/>
              </w:rPr>
              <w:t>SUMMARY DATA SHEET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8"/>
          </w:tcPr>
          <w:p>
            <w:pPr>
              <w:jc w:val="center"/>
              <w:ind w:right="759"/>
              <w:spacing w:after="0"/>
              <w:rPr>
                <w:sz w:val="20"/>
                <w:szCs w:val="20"/>
                <w:color w:val="auto"/>
              </w:rPr>
            </w:pPr>
            <w:r>
              <w:rPr>
                <w:rFonts w:ascii="Arial" w:cs="Arial" w:eastAsia="Arial" w:hAnsi="Arial"/>
                <w:sz w:val="18"/>
                <w:szCs w:val="18"/>
                <w:b w:val="1"/>
                <w:bCs w:val="1"/>
                <w:color w:val="auto"/>
                <w:w w:val="95"/>
              </w:rPr>
              <w:t>(In Millions)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8"/>
          </w:tcPr>
          <w:p>
            <w:pPr>
              <w:jc w:val="center"/>
              <w:ind w:right="759"/>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gridSpan w:val="5"/>
          </w:tcPr>
          <w:p>
            <w:pPr>
              <w:spacing w:after="0"/>
              <w:rPr>
                <w:sz w:val="20"/>
                <w:szCs w:val="20"/>
                <w:color w:val="auto"/>
              </w:rPr>
            </w:pPr>
            <w:r>
              <w:rPr>
                <w:rFonts w:ascii="Arial" w:cs="Arial" w:eastAsia="Arial" w:hAnsi="Arial"/>
                <w:sz w:val="18"/>
                <w:szCs w:val="18"/>
                <w:b w:val="1"/>
                <w:bCs w:val="1"/>
                <w:color w:val="auto"/>
              </w:rPr>
              <w:t>Operating Revenues by Line of Business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10"/>
          </w:tcPr>
          <w:p>
            <w:pPr>
              <w:jc w:val="right"/>
              <w:ind w:right="960"/>
              <w:spacing w:after="0"/>
              <w:rPr>
                <w:sz w:val="20"/>
                <w:szCs w:val="20"/>
                <w:color w:val="auto"/>
              </w:rPr>
            </w:pPr>
            <w:r>
              <w:rPr>
                <w:rFonts w:ascii="Arial" w:cs="Arial" w:eastAsia="Arial" w:hAnsi="Arial"/>
                <w:sz w:val="18"/>
                <w:szCs w:val="18"/>
                <w:b w:val="1"/>
                <w:bCs w:val="1"/>
                <w:color w:val="auto"/>
                <w:w w:val="93"/>
              </w:rPr>
              <w:t>Years Ended</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6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10"/>
          </w:tcPr>
          <w:p>
            <w:pPr>
              <w:jc w:val="right"/>
              <w:ind w:right="9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356"/>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center"/>
              <w:ind w:left="278"/>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1,086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98"/>
              <w:spacing w:after="0"/>
              <w:rPr>
                <w:sz w:val="20"/>
                <w:szCs w:val="20"/>
                <w:color w:val="auto"/>
              </w:rPr>
            </w:pPr>
            <w:r>
              <w:rPr>
                <w:rFonts w:ascii="Arial" w:cs="Arial" w:eastAsia="Arial" w:hAnsi="Arial"/>
                <w:sz w:val="15"/>
                <w:szCs w:val="15"/>
                <w:color w:val="auto"/>
                <w:w w:val="71"/>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Other collection</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collection</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2,694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11,675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4,153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5"/>
          </w:tcPr>
          <w:p>
            <w:pPr>
              <w:jc w:val="right"/>
              <w:ind w:right="6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70"/>
        </w:trPr>
        <w:tc>
          <w:tcPr>
            <w:tcW w:w="2580" w:type="dxa"/>
            <w:vAlign w:val="bottom"/>
          </w:tcPr>
          <w:p>
            <w:pPr>
              <w:spacing w:after="0" w:line="270" w:lineRule="exact"/>
              <w:rPr>
                <w:sz w:val="20"/>
                <w:szCs w:val="20"/>
                <w:color w:val="auto"/>
              </w:rPr>
            </w:pPr>
            <w:r>
              <w:rPr>
                <w:rFonts w:ascii="Arial" w:cs="Arial" w:eastAsia="Arial" w:hAnsi="Arial"/>
                <w:sz w:val="18"/>
                <w:szCs w:val="18"/>
                <w:color w:val="auto"/>
              </w:rPr>
              <w:t>Intercompany</w:t>
            </w:r>
            <w:r>
              <w:rPr>
                <w:rFonts w:ascii="Arial" w:cs="Arial" w:eastAsia="Arial" w:hAnsi="Arial"/>
                <w:sz w:val="29"/>
                <w:szCs w:val="29"/>
                <w:color w:val="auto"/>
                <w:vertAlign w:val="superscript"/>
              </w:rPr>
              <w:t>(a)</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gridSpan w:val="5"/>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gridSpan w:val="6"/>
          </w:tcPr>
          <w:p>
            <w:pPr>
              <w:jc w:val="right"/>
              <w:ind w:right="79"/>
              <w:spacing w:after="0"/>
              <w:rPr>
                <w:sz w:val="20"/>
                <w:szCs w:val="20"/>
                <w:color w:val="auto"/>
              </w:rPr>
            </w:pPr>
            <w:r>
              <w:rPr>
                <w:rFonts w:ascii="Arial" w:cs="Arial" w:eastAsia="Arial" w:hAnsi="Arial"/>
                <w:sz w:val="18"/>
                <w:szCs w:val="18"/>
                <w:color w:val="auto"/>
              </w:rPr>
              <w:t>(3,762)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4"/>
              </w:rPr>
              <w:t>4,067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9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gridSpan w:val="13"/>
          </w:tcPr>
          <w:p>
            <w:pPr>
              <w:jc w:val="center"/>
              <w:ind w:right="919"/>
              <w:spacing w:after="0"/>
              <w:rPr>
                <w:sz w:val="20"/>
                <w:szCs w:val="20"/>
                <w:color w:val="auto"/>
              </w:rPr>
            </w:pPr>
            <w:r>
              <w:rPr>
                <w:rFonts w:ascii="Arial" w:cs="Arial" w:eastAsia="Arial" w:hAnsi="Arial"/>
                <w:sz w:val="16"/>
                <w:szCs w:val="16"/>
                <w:b w:val="1"/>
                <w:bCs w:val="1"/>
                <w:color w:val="auto"/>
                <w:w w:val="91"/>
              </w:rPr>
              <w:t>Period-to-Period Change for the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gridSpan w:val="18"/>
          </w:tcPr>
          <w:p>
            <w:pPr>
              <w:jc w:val="center"/>
              <w:ind w:right="880"/>
              <w:spacing w:after="0"/>
              <w:rPr>
                <w:sz w:val="20"/>
                <w:szCs w:val="20"/>
                <w:color w:val="auto"/>
              </w:rPr>
            </w:pPr>
            <w:r>
              <w:rPr>
                <w:rFonts w:ascii="Arial" w:cs="Arial" w:eastAsia="Arial" w:hAnsi="Arial"/>
                <w:sz w:val="18"/>
                <w:szCs w:val="18"/>
                <w:b w:val="1"/>
                <w:bCs w:val="1"/>
                <w:color w:val="auto"/>
                <w:w w:val="90"/>
              </w:rPr>
              <w:t>Period-to-Period Change for the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2"/>
              </w:rPr>
              <w:t>Three Months Ended</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6"/>
                <w:szCs w:val="16"/>
                <w:b w:val="1"/>
                <w:bCs w:val="1"/>
                <w:color w:val="auto"/>
                <w:w w:val="90"/>
              </w:rPr>
              <w:t>December 31, 2021 vs. 2020</w:t>
            </w: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13"/>
          </w:tcPr>
          <w:p>
            <w:pPr>
              <w:jc w:val="center"/>
              <w:ind w:right="20"/>
              <w:spacing w:after="0"/>
              <w:rPr>
                <w:sz w:val="20"/>
                <w:szCs w:val="20"/>
                <w:color w:val="auto"/>
              </w:rPr>
            </w:pPr>
            <w:r>
              <w:rPr>
                <w:rFonts w:ascii="Arial" w:cs="Arial" w:eastAsia="Arial" w:hAnsi="Arial"/>
                <w:sz w:val="18"/>
                <w:szCs w:val="18"/>
                <w:b w:val="1"/>
                <w:bCs w:val="1"/>
                <w:color w:val="auto"/>
                <w:w w:val="88"/>
              </w:rPr>
              <w:t>December 31, 2021 vs. 2020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As a % of</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As a % of</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As a %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As a % of</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Related</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93"/>
              </w:rPr>
              <w:t>Related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1"/>
              </w:rPr>
              <w:t>Business</w:t>
            </w:r>
            <w:r>
              <w:rPr>
                <w:rFonts w:ascii="Arial" w:cs="Arial" w:eastAsia="Arial" w:hAnsi="Arial"/>
                <w:sz w:val="26"/>
                <w:szCs w:val="26"/>
                <w:b w:val="1"/>
                <w:bCs w:val="1"/>
                <w:color w:val="auto"/>
                <w:w w:val="81"/>
                <w:vertAlign w:val="superscript"/>
              </w:rPr>
              <w:t>(b)</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center"/>
              <w:spacing w:after="0" w:line="256" w:lineRule="exact"/>
              <w:rPr>
                <w:sz w:val="20"/>
                <w:szCs w:val="20"/>
                <w:color w:val="auto"/>
              </w:rPr>
            </w:pPr>
            <w:r>
              <w:rPr>
                <w:rFonts w:ascii="Arial" w:cs="Arial" w:eastAsia="Arial" w:hAnsi="Arial"/>
                <w:sz w:val="16"/>
                <w:szCs w:val="16"/>
                <w:b w:val="1"/>
                <w:bCs w:val="1"/>
                <w:color w:val="auto"/>
                <w:w w:val="87"/>
              </w:rPr>
              <w:t>Company</w:t>
            </w:r>
            <w:r>
              <w:rPr>
                <w:rFonts w:ascii="Arial" w:cs="Arial" w:eastAsia="Arial" w:hAnsi="Arial"/>
                <w:sz w:val="26"/>
                <w:szCs w:val="26"/>
                <w:b w:val="1"/>
                <w:bCs w:val="1"/>
                <w:color w:val="auto"/>
                <w:w w:val="87"/>
                <w:vertAlign w:val="superscript"/>
              </w:rPr>
              <w:t>(c)</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4"/>
          </w:tcPr>
          <w:p>
            <w:pPr>
              <w:jc w:val="center"/>
              <w:spacing w:after="0" w:line="256" w:lineRule="exact"/>
              <w:rPr>
                <w:sz w:val="20"/>
                <w:szCs w:val="20"/>
                <w:color w:val="auto"/>
              </w:rPr>
            </w:pPr>
            <w:r>
              <w:rPr>
                <w:rFonts w:ascii="Arial" w:cs="Arial" w:eastAsia="Arial" w:hAnsi="Arial"/>
                <w:sz w:val="16"/>
                <w:szCs w:val="16"/>
                <w:b w:val="1"/>
                <w:bCs w:val="1"/>
                <w:color w:val="auto"/>
                <w:w w:val="81"/>
              </w:rPr>
              <w:t>Business</w:t>
            </w:r>
            <w:r>
              <w:rPr>
                <w:rFonts w:ascii="Arial" w:cs="Arial" w:eastAsia="Arial" w:hAnsi="Arial"/>
                <w:sz w:val="26"/>
                <w:szCs w:val="26"/>
                <w:b w:val="1"/>
                <w:bCs w:val="1"/>
                <w:color w:val="auto"/>
                <w:w w:val="81"/>
                <w:vertAlign w:val="superscript"/>
              </w:rPr>
              <w:t>(b)</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9"/>
              </w:rPr>
              <w:t>Company</w:t>
            </w:r>
            <w:r>
              <w:rPr>
                <w:rFonts w:ascii="Arial" w:cs="Arial" w:eastAsia="Arial" w:hAnsi="Arial"/>
                <w:sz w:val="26"/>
                <w:szCs w:val="26"/>
                <w:b w:val="1"/>
                <w:bCs w:val="1"/>
                <w:color w:val="auto"/>
                <w:w w:val="89"/>
                <w:vertAlign w:val="superscript"/>
              </w:rPr>
              <w:t>(c)</w:t>
            </w:r>
          </w:p>
        </w:tc>
        <w:tc>
          <w:tcPr>
            <w:tcW w:w="16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Collection and disposal</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1"/>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80" w:type="dxa"/>
            <w:vAlign w:val="bottom"/>
          </w:tcPr>
          <w:p>
            <w:pPr>
              <w:spacing w:after="0" w:line="243" w:lineRule="exact"/>
              <w:rPr>
                <w:sz w:val="20"/>
                <w:szCs w:val="20"/>
                <w:color w:val="auto"/>
              </w:rPr>
            </w:pPr>
            <w:r>
              <w:rPr>
                <w:rFonts w:ascii="Arial" w:cs="Arial" w:eastAsia="Arial" w:hAnsi="Arial"/>
                <w:sz w:val="16"/>
                <w:szCs w:val="16"/>
                <w:color w:val="auto"/>
              </w:rPr>
              <w:t>Recycling</w:t>
            </w:r>
            <w:r>
              <w:rPr>
                <w:rFonts w:ascii="Arial" w:cs="Arial" w:eastAsia="Arial" w:hAnsi="Arial"/>
                <w:sz w:val="26"/>
                <w:szCs w:val="26"/>
                <w:color w:val="auto"/>
                <w:vertAlign w:val="superscript"/>
              </w:rPr>
              <w:t>(d)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176</w:t>
            </w:r>
          </w:p>
        </w:tc>
        <w:tc>
          <w:tcPr>
            <w:tcW w:w="1240" w:type="dxa"/>
            <w:vAlign w:val="bottom"/>
            <w:gridSpan w:val="4"/>
          </w:tcPr>
          <w:p>
            <w:pPr>
              <w:jc w:val="right"/>
              <w:ind w:right="220"/>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6"/>
                <w:szCs w:val="16"/>
                <w:color w:val="auto"/>
              </w:rPr>
              <w:t>537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51.5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80" w:type="dxa"/>
            <w:vAlign w:val="bottom"/>
            <w:shd w:val="clear" w:color="auto" w:fill="CCEEFF"/>
          </w:tcPr>
          <w:p>
            <w:pPr>
              <w:spacing w:after="0" w:line="256" w:lineRule="exact"/>
              <w:rPr>
                <w:sz w:val="20"/>
                <w:szCs w:val="20"/>
                <w:color w:val="auto"/>
              </w:rPr>
            </w:pPr>
            <w:r>
              <w:rPr>
                <w:rFonts w:ascii="Arial" w:cs="Arial" w:eastAsia="Arial" w:hAnsi="Arial"/>
                <w:sz w:val="16"/>
                <w:szCs w:val="16"/>
                <w:color w:val="auto"/>
              </w:rPr>
              <w:t>Fuel surcharges and other</w:t>
            </w:r>
            <w:r>
              <w:rPr>
                <w:rFonts w:ascii="Arial" w:cs="Arial" w:eastAsia="Arial" w:hAnsi="Arial"/>
                <w:sz w:val="26"/>
                <w:szCs w:val="26"/>
                <w:color w:val="auto"/>
                <w:vertAlign w:val="superscript"/>
              </w:rPr>
              <w:t>(e)</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w:t>
            </w: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580" w:type="dxa"/>
            <w:vAlign w:val="bottom"/>
          </w:tcPr>
          <w:p>
            <w:pPr>
              <w:ind w:left="120"/>
              <w:spacing w:after="0" w:line="223" w:lineRule="exact"/>
              <w:rPr>
                <w:sz w:val="20"/>
                <w:szCs w:val="20"/>
                <w:color w:val="auto"/>
              </w:rPr>
            </w:pPr>
            <w:r>
              <w:rPr>
                <w:rFonts w:ascii="Arial" w:cs="Arial" w:eastAsia="Arial" w:hAnsi="Arial"/>
                <w:sz w:val="16"/>
                <w:szCs w:val="16"/>
                <w:color w:val="auto"/>
              </w:rPr>
              <w:t>Total average yield</w:t>
            </w:r>
            <w:r>
              <w:rPr>
                <w:rFonts w:ascii="Arial" w:cs="Arial" w:eastAsia="Arial" w:hAnsi="Arial"/>
                <w:sz w:val="25"/>
                <w:szCs w:val="25"/>
                <w:color w:val="auto"/>
                <w:vertAlign w:val="superscript"/>
              </w:rPr>
              <w:t>(f)</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160"/>
              <w:spacing w:after="0"/>
              <w:rPr>
                <w:sz w:val="20"/>
                <w:szCs w:val="20"/>
                <w:color w:val="auto"/>
              </w:rPr>
            </w:pPr>
            <w:r>
              <w:rPr>
                <w:rFonts w:ascii="Arial" w:cs="Arial" w:eastAsia="Arial" w:hAnsi="Arial"/>
                <w:sz w:val="16"/>
                <w:szCs w:val="16"/>
                <w:color w:val="auto"/>
              </w:rPr>
              <w:t>401</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w w:val="89"/>
              </w:rPr>
              <w:t>1,245</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8.2</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2580" w:type="dxa"/>
            <w:vAlign w:val="bottom"/>
            <w:shd w:val="clear" w:color="auto" w:fill="CCEEFF"/>
          </w:tcPr>
          <w:p>
            <w:pPr>
              <w:ind w:left="120"/>
              <w:spacing w:after="0" w:line="256" w:lineRule="exact"/>
              <w:rPr>
                <w:sz w:val="20"/>
                <w:szCs w:val="20"/>
                <w:color w:val="auto"/>
              </w:rPr>
            </w:pPr>
            <w:r>
              <w:rPr>
                <w:rFonts w:ascii="Arial" w:cs="Arial" w:eastAsia="Arial" w:hAnsi="Arial"/>
                <w:sz w:val="16"/>
                <w:szCs w:val="16"/>
                <w:color w:val="auto"/>
              </w:rPr>
              <w:t>Volume</w:t>
            </w:r>
            <w:r>
              <w:rPr>
                <w:rFonts w:ascii="Arial" w:cs="Arial" w:eastAsia="Arial" w:hAnsi="Arial"/>
                <w:sz w:val="26"/>
                <w:szCs w:val="26"/>
                <w:color w:val="auto"/>
                <w:vertAlign w:val="superscript"/>
              </w:rPr>
              <w:t>(e)</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112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580" w:type="dxa"/>
            <w:vAlign w:val="bottom"/>
          </w:tcPr>
          <w:p>
            <w:pPr>
              <w:ind w:left="120"/>
              <w:spacing w:after="0"/>
              <w:rPr>
                <w:sz w:val="20"/>
                <w:szCs w:val="20"/>
                <w:color w:val="auto"/>
              </w:rPr>
            </w:pPr>
            <w:r>
              <w:rPr>
                <w:rFonts w:ascii="Arial" w:cs="Arial" w:eastAsia="Arial" w:hAnsi="Arial"/>
                <w:sz w:val="16"/>
                <w:szCs w:val="16"/>
                <w:color w:val="auto"/>
              </w:rPr>
              <w:t>Internal revenue growth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513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1,680</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103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89"/>
              </w:rPr>
              <w:t>1,032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20"/>
              <w:spacing w:after="0"/>
              <w:rPr>
                <w:sz w:val="20"/>
                <w:szCs w:val="20"/>
                <w:color w:val="auto"/>
              </w:rPr>
            </w:pPr>
            <w:r>
              <w:rPr>
                <w:rFonts w:ascii="Arial" w:cs="Arial" w:eastAsia="Arial" w:hAnsi="Arial"/>
                <w:sz w:val="16"/>
                <w:szCs w:val="16"/>
                <w:color w:val="auto"/>
              </w:rPr>
              <w:t>Divestitures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6"/>
                <w:szCs w:val="16"/>
                <w:color w:val="auto"/>
              </w:rPr>
              <w:t>(12)</w:t>
            </w: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6"/>
                <w:szCs w:val="16"/>
                <w:color w:val="auto"/>
              </w:rPr>
              <w:t>(49)</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(0.3</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translation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160"/>
              <w:spacing w:after="0"/>
              <w:rPr>
                <w:sz w:val="20"/>
                <w:szCs w:val="20"/>
                <w:color w:val="auto"/>
              </w:rPr>
            </w:pPr>
            <w:r>
              <w:rPr>
                <w:rFonts w:ascii="Arial" w:cs="Arial" w:eastAsia="Arial" w:hAnsi="Arial"/>
                <w:sz w:val="16"/>
                <w:szCs w:val="16"/>
                <w:color w:val="auto"/>
              </w:rPr>
              <w:t>611</w:t>
            </w:r>
          </w:p>
        </w:tc>
        <w:tc>
          <w:tcPr>
            <w:tcW w:w="40" w:type="dxa"/>
            <w:vAlign w:val="bottom"/>
            <w:vMerge w:val="continue"/>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w w:val="89"/>
              </w:rPr>
              <w:t>2,713</w:t>
            </w:r>
          </w:p>
        </w:tc>
        <w:tc>
          <w:tcPr>
            <w:tcW w:w="840" w:type="dxa"/>
            <w:vAlign w:val="bottom"/>
          </w:tcPr>
          <w:p>
            <w:pPr>
              <w:jc w:val="right"/>
              <w:spacing w:after="0"/>
              <w:rPr>
                <w:sz w:val="20"/>
                <w:szCs w:val="20"/>
                <w:color w:val="auto"/>
              </w:rPr>
            </w:pPr>
            <w:r>
              <w:rPr>
                <w:rFonts w:ascii="Arial" w:cs="Arial" w:eastAsia="Arial" w:hAnsi="Arial"/>
                <w:sz w:val="16"/>
                <w:szCs w:val="16"/>
                <w:color w:val="auto"/>
              </w:rPr>
              <w:t>17.8</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gridSpan w:val="11"/>
          </w:tcPr>
          <w:p>
            <w:pPr>
              <w:jc w:val="center"/>
              <w:ind w:left="534"/>
              <w:spacing w:after="0"/>
              <w:rPr>
                <w:sz w:val="20"/>
                <w:szCs w:val="20"/>
                <w:color w:val="auto"/>
              </w:rPr>
            </w:pPr>
            <w:r>
              <w:rPr>
                <w:rFonts w:ascii="Arial" w:cs="Arial" w:eastAsia="Arial" w:hAnsi="Arial"/>
                <w:sz w:val="18"/>
                <w:szCs w:val="18"/>
                <w:b w:val="1"/>
                <w:bCs w:val="1"/>
                <w:color w:val="auto"/>
                <w:w w:val="90"/>
              </w:rPr>
              <w:t>Period-to-Period Change for the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15"/>
          </w:tcPr>
          <w:p>
            <w:pPr>
              <w:jc w:val="center"/>
              <w:ind w:right="420"/>
              <w:spacing w:after="0"/>
              <w:rPr>
                <w:sz w:val="20"/>
                <w:szCs w:val="20"/>
                <w:color w:val="auto"/>
              </w:rPr>
            </w:pPr>
            <w:r>
              <w:rPr>
                <w:rFonts w:ascii="Arial" w:cs="Arial" w:eastAsia="Arial" w:hAnsi="Arial"/>
                <w:sz w:val="18"/>
                <w:szCs w:val="18"/>
                <w:b w:val="1"/>
                <w:bCs w:val="1"/>
                <w:color w:val="auto"/>
                <w:w w:val="90"/>
              </w:rPr>
              <w:t>Period-to-Period Change for the</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15"/>
          </w:tcPr>
          <w:p>
            <w:pPr>
              <w:jc w:val="center"/>
              <w:ind w:right="160"/>
              <w:spacing w:after="0"/>
              <w:rPr>
                <w:sz w:val="20"/>
                <w:szCs w:val="20"/>
                <w:color w:val="auto"/>
              </w:rPr>
            </w:pPr>
            <w:r>
              <w:rPr>
                <w:rFonts w:ascii="Arial" w:cs="Arial" w:eastAsia="Arial" w:hAnsi="Arial"/>
                <w:sz w:val="18"/>
                <w:szCs w:val="18"/>
                <w:b w:val="1"/>
                <w:bCs w:val="1"/>
                <w:color w:val="auto"/>
                <w:w w:val="90"/>
              </w:rPr>
              <w:t>Three Months Ended December 31, 2021 vs. 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16"/>
          </w:tcPr>
          <w:p>
            <w:pPr>
              <w:jc w:val="center"/>
              <w:ind w:right="180"/>
              <w:spacing w:after="0"/>
              <w:rPr>
                <w:sz w:val="20"/>
                <w:szCs w:val="20"/>
                <w:color w:val="auto"/>
              </w:rPr>
            </w:pPr>
            <w:r>
              <w:rPr>
                <w:rFonts w:ascii="Arial" w:cs="Arial" w:eastAsia="Arial" w:hAnsi="Arial"/>
                <w:sz w:val="18"/>
                <w:szCs w:val="18"/>
                <w:b w:val="1"/>
                <w:bCs w:val="1"/>
                <w:color w:val="auto"/>
                <w:w w:val="89"/>
              </w:rPr>
              <w:t>Year Ended December 31, 2021 vs. 2020</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Borders>
              <w:top w:val="single" w:sz="8" w:color="auto"/>
              <w:bottom w:val="single" w:sz="8" w:color="auto"/>
            </w:tcBorders>
            <w:gridSpan w:val="11"/>
          </w:tcPr>
          <w:p>
            <w:pPr>
              <w:jc w:val="center"/>
              <w:ind w:left="574"/>
              <w:spacing w:after="0" w:line="250" w:lineRule="exact"/>
              <w:rPr>
                <w:sz w:val="20"/>
                <w:szCs w:val="20"/>
                <w:color w:val="auto"/>
              </w:rPr>
            </w:pPr>
            <w:r>
              <w:rPr>
                <w:rFonts w:ascii="Arial" w:cs="Arial" w:eastAsia="Arial" w:hAnsi="Arial"/>
                <w:sz w:val="17"/>
                <w:szCs w:val="17"/>
                <w:b w:val="1"/>
                <w:bCs w:val="1"/>
                <w:color w:val="auto"/>
                <w:w w:val="92"/>
              </w:rPr>
              <w:t>As a % of Related Business</w:t>
            </w:r>
            <w:r>
              <w:rPr>
                <w:rFonts w:ascii="Arial" w:cs="Arial" w:eastAsia="Arial" w:hAnsi="Arial"/>
                <w:sz w:val="28"/>
                <w:szCs w:val="28"/>
                <w:b w:val="1"/>
                <w:bCs w:val="1"/>
                <w:color w:val="auto"/>
                <w:w w:val="92"/>
                <w:vertAlign w:val="superscript"/>
              </w:rPr>
              <w:t>(b)</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11"/>
          </w:tcPr>
          <w:p>
            <w:pPr>
              <w:jc w:val="center"/>
              <w:ind w:right="293"/>
              <w:spacing w:after="0" w:line="250" w:lineRule="exact"/>
              <w:rPr>
                <w:sz w:val="20"/>
                <w:szCs w:val="20"/>
                <w:color w:val="auto"/>
              </w:rPr>
            </w:pPr>
            <w:r>
              <w:rPr>
                <w:rFonts w:ascii="Arial" w:cs="Arial" w:eastAsia="Arial" w:hAnsi="Arial"/>
                <w:sz w:val="17"/>
                <w:szCs w:val="17"/>
                <w:b w:val="1"/>
                <w:bCs w:val="1"/>
                <w:color w:val="auto"/>
                <w:w w:val="92"/>
              </w:rPr>
              <w:t>As a % of Related Business</w:t>
            </w:r>
            <w:r>
              <w:rPr>
                <w:rFonts w:ascii="Arial" w:cs="Arial" w:eastAsia="Arial" w:hAnsi="Arial"/>
                <w:sz w:val="28"/>
                <w:szCs w:val="28"/>
                <w:b w:val="1"/>
                <w:bCs w:val="1"/>
                <w:color w:val="auto"/>
                <w:w w:val="92"/>
                <w:vertAlign w:val="superscript"/>
              </w:rPr>
              <w:t>(b)</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Yield</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5"/>
          </w:tcPr>
          <w:p>
            <w:pPr>
              <w:jc w:val="right"/>
              <w:ind w:right="20"/>
              <w:spacing w:after="0" w:line="250" w:lineRule="exact"/>
              <w:rPr>
                <w:sz w:val="20"/>
                <w:szCs w:val="20"/>
                <w:color w:val="auto"/>
              </w:rPr>
            </w:pPr>
            <w:r>
              <w:rPr>
                <w:rFonts w:ascii="Arial" w:cs="Arial" w:eastAsia="Arial" w:hAnsi="Arial"/>
                <w:sz w:val="17"/>
                <w:szCs w:val="17"/>
                <w:b w:val="1"/>
                <w:bCs w:val="1"/>
                <w:color w:val="auto"/>
              </w:rPr>
              <w:t>Volume</w:t>
            </w:r>
            <w:r>
              <w:rPr>
                <w:rFonts w:ascii="Arial" w:cs="Arial" w:eastAsia="Arial" w:hAnsi="Arial"/>
                <w:sz w:val="28"/>
                <w:szCs w:val="28"/>
                <w:b w:val="1"/>
                <w:bCs w:val="1"/>
                <w:color w:val="auto"/>
                <w:vertAlign w:val="superscript"/>
              </w:rPr>
              <w:t>(g)</w:t>
            </w: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8"/>
                <w:szCs w:val="18"/>
                <w:b w:val="1"/>
                <w:bCs w:val="1"/>
                <w:color w:val="auto"/>
              </w:rPr>
              <w:t>Yield</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8"/>
                <w:szCs w:val="18"/>
                <w:b w:val="1"/>
                <w:bCs w:val="1"/>
                <w:color w:val="auto"/>
              </w:rPr>
              <w:t>Volume</w:t>
            </w:r>
          </w:p>
        </w:tc>
        <w:tc>
          <w:tcPr>
            <w:tcW w:w="16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20"/>
              <w:spacing w:after="0"/>
              <w:rPr>
                <w:sz w:val="20"/>
                <w:szCs w:val="20"/>
                <w:color w:val="auto"/>
              </w:rPr>
            </w:pPr>
            <w:r>
              <w:rPr>
                <w:rFonts w:ascii="Arial" w:cs="Arial" w:eastAsia="Arial" w:hAnsi="Arial"/>
                <w:sz w:val="18"/>
                <w:szCs w:val="18"/>
                <w:color w:val="auto"/>
              </w:rPr>
              <w:t>Total collection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Transfer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Total collection and disposal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3.5%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changes in our revenue attributable to our WM Renewable Energy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036"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300" w:type="dxa"/>
            <w:vAlign w:val="bottom"/>
            <w:gridSpan w:val="8"/>
          </w:tcPr>
          <w:p>
            <w:pPr>
              <w:jc w:val="center"/>
              <w:ind w:left="4510"/>
              <w:spacing w:after="0"/>
              <w:rPr>
                <w:sz w:val="20"/>
                <w:szCs w:val="20"/>
                <w:color w:val="auto"/>
              </w:rPr>
            </w:pPr>
            <w:r>
              <w:rPr>
                <w:rFonts w:ascii="Arial" w:cs="Arial" w:eastAsia="Arial" w:hAnsi="Arial"/>
                <w:sz w:val="18"/>
                <w:szCs w:val="18"/>
                <w:b w:val="1"/>
                <w:bCs w:val="1"/>
                <w:color w:val="auto"/>
              </w:rPr>
              <w:t>WASTE MANAGEMENT, INC.</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20" w:type="dxa"/>
            <w:vAlign w:val="bottom"/>
            <w:gridSpan w:val="7"/>
          </w:tcPr>
          <w:p>
            <w:pPr>
              <w:jc w:val="center"/>
              <w:ind w:left="4790"/>
              <w:spacing w:after="0"/>
              <w:rPr>
                <w:sz w:val="20"/>
                <w:szCs w:val="20"/>
                <w:color w:val="auto"/>
              </w:rPr>
            </w:pPr>
            <w:r>
              <w:rPr>
                <w:rFonts w:ascii="Arial" w:cs="Arial" w:eastAsia="Arial" w:hAnsi="Arial"/>
                <w:sz w:val="18"/>
                <w:szCs w:val="18"/>
                <w:b w:val="1"/>
                <w:bCs w:val="1"/>
                <w:color w:val="auto"/>
              </w:rPr>
              <w:t>SUMMARY DATA SHEET</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62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7"/>
              </w:rPr>
              <w:t>(In Millions)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62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9"/>
                <w:szCs w:val="29"/>
                <w:b w:val="1"/>
                <w:bCs w:val="1"/>
                <w:color w:val="auto"/>
                <w:vertAlign w:val="superscript"/>
              </w:rPr>
              <w:t>(a)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60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0"/>
              </w:rPr>
              <w:t>Year Ended</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0"/>
                <w:szCs w:val="20"/>
                <w:color w:val="auto"/>
              </w:rPr>
            </w:pPr>
          </w:p>
        </w:tc>
        <w:tc>
          <w:tcPr>
            <w:tcW w:w="256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4"/>
              </w:rPr>
              <w:t>4,338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(1,904)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divested</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120"/>
              <w:spacing w:after="0" w:line="284" w:lineRule="exact"/>
              <w:rPr>
                <w:sz w:val="20"/>
                <w:szCs w:val="20"/>
                <w:color w:val="auto"/>
              </w:rPr>
            </w:pPr>
            <w:r>
              <w:rPr>
                <w:rFonts w:ascii="Arial" w:cs="Arial" w:eastAsia="Arial" w:hAnsi="Arial"/>
                <w:sz w:val="18"/>
                <w:szCs w:val="18"/>
                <w:color w:val="auto"/>
              </w:rPr>
              <w:t>Free cash flow</w:t>
            </w:r>
            <w:r>
              <w:rPr>
                <w:rFonts w:ascii="Arial" w:cs="Arial" w:eastAsia="Arial" w:hAnsi="Arial"/>
                <w:sz w:val="29"/>
                <w:szCs w:val="29"/>
                <w:color w:val="auto"/>
                <w:vertAlign w:val="superscript"/>
              </w:rPr>
              <w:t>(b)</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2"/>
                <w:szCs w:val="22"/>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2,530</w:t>
            </w:r>
          </w:p>
        </w:tc>
        <w:tc>
          <w:tcPr>
            <w:tcW w:w="40" w:type="dxa"/>
            <w:vAlign w:val="bottom"/>
          </w:tcPr>
          <w:p>
            <w:pPr>
              <w:spacing w:after="0"/>
              <w:rPr>
                <w:sz w:val="22"/>
                <w:szCs w:val="22"/>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1600" w:type="dxa"/>
            <w:vAlign w:val="bottom"/>
            <w:gridSpan w:val="6"/>
          </w:tcPr>
          <w:p>
            <w:pPr>
              <w:ind w:left="600"/>
              <w:spacing w:after="0"/>
              <w:rPr>
                <w:sz w:val="20"/>
                <w:szCs w:val="20"/>
                <w:color w:val="auto"/>
              </w:rPr>
            </w:pPr>
            <w:r>
              <w:rPr>
                <w:rFonts w:ascii="Arial" w:cs="Arial" w:eastAsia="Arial" w:hAnsi="Arial"/>
                <w:sz w:val="18"/>
                <w:szCs w:val="18"/>
                <w:b w:val="1"/>
                <w:bCs w:val="1"/>
                <w:color w:val="auto"/>
                <w:w w:val="98"/>
              </w:rPr>
              <w:t>Year Ended</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68.5%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Acquisition Summary</w:t>
            </w:r>
            <w:r>
              <w:rPr>
                <w:rFonts w:ascii="Arial" w:cs="Arial" w:eastAsia="Arial" w:hAnsi="Arial"/>
                <w:sz w:val="29"/>
                <w:szCs w:val="29"/>
                <w:b w:val="1"/>
                <w:bCs w:val="1"/>
                <w:color w:val="auto"/>
                <w:vertAlign w:val="superscript"/>
              </w:rPr>
              <w:t>(c)</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Gross annualized revenue acquired</w:t>
            </w:r>
            <w:r>
              <w:rPr>
                <w:rFonts w:ascii="Arial" w:cs="Arial" w:eastAsia="Arial" w:hAnsi="Arial"/>
                <w:sz w:val="29"/>
                <w:szCs w:val="29"/>
                <w:color w:val="auto"/>
                <w:vertAlign w:val="superscript"/>
              </w:rPr>
              <w:t>(d)</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1,209</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consideration, net of cash acquired</w:t>
            </w:r>
            <w:r>
              <w:rPr>
                <w:rFonts w:ascii="Arial" w:cs="Arial" w:eastAsia="Arial" w:hAnsi="Arial"/>
                <w:sz w:val="29"/>
                <w:szCs w:val="29"/>
                <w:color w:val="auto"/>
                <w:vertAlign w:val="superscript"/>
              </w:rPr>
              <w:t>(d)</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Cash paid for acquisitions consummated during the period, net of cash</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400" w:type="dxa"/>
            <w:vAlign w:val="bottom"/>
            <w:shd w:val="clear" w:color="auto" w:fill="CCEEFF"/>
          </w:tcPr>
          <w:p>
            <w:pPr>
              <w:ind w:left="140"/>
              <w:spacing w:after="0" w:line="267" w:lineRule="exact"/>
              <w:rPr>
                <w:sz w:val="20"/>
                <w:szCs w:val="20"/>
                <w:color w:val="auto"/>
              </w:rPr>
            </w:pPr>
            <w:r>
              <w:rPr>
                <w:rFonts w:ascii="Arial" w:cs="Arial" w:eastAsia="Arial" w:hAnsi="Arial"/>
                <w:sz w:val="18"/>
                <w:szCs w:val="18"/>
                <w:color w:val="auto"/>
              </w:rPr>
              <w:t>acquired</w:t>
            </w:r>
            <w:r>
              <w:rPr>
                <w:rFonts w:ascii="Arial" w:cs="Arial" w:eastAsia="Arial" w:hAnsi="Arial"/>
                <w:sz w:val="29"/>
                <w:szCs w:val="29"/>
                <w:color w:val="auto"/>
                <w:vertAlign w:val="superscript"/>
              </w:rPr>
              <w:t>(d)</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4,083</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Cash paid for acquisitions including contingent consideration and 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400" w:type="dxa"/>
            <w:vAlign w:val="bottom"/>
            <w:shd w:val="clear" w:color="auto" w:fill="CCEEFF"/>
          </w:tcPr>
          <w:p>
            <w:pPr>
              <w:ind w:left="140"/>
              <w:spacing w:after="0" w:line="267" w:lineRule="exact"/>
              <w:rPr>
                <w:sz w:val="20"/>
                <w:szCs w:val="20"/>
                <w:color w:val="auto"/>
              </w:rPr>
            </w:pPr>
            <w:r>
              <w:rPr>
                <w:rFonts w:ascii="Arial" w:cs="Arial" w:eastAsia="Arial" w:hAnsi="Arial"/>
                <w:sz w:val="18"/>
                <w:szCs w:val="18"/>
                <w:color w:val="auto"/>
              </w:rPr>
              <w:t>items from prior periods, net of cash acquired</w:t>
            </w:r>
            <w:r>
              <w:rPr>
                <w:rFonts w:ascii="Arial" w:cs="Arial" w:eastAsia="Arial" w:hAnsi="Arial"/>
                <w:sz w:val="29"/>
                <w:szCs w:val="29"/>
                <w:color w:val="auto"/>
                <w:vertAlign w:val="superscript"/>
              </w:rPr>
              <w:t>(d)</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4,084</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Arial" w:cs="Arial" w:eastAsia="Arial" w:hAnsi="Arial"/>
                <w:sz w:val="18"/>
                <w:szCs w:val="18"/>
                <w:b w:val="1"/>
                <w:bCs w:val="1"/>
                <w:color w:val="auto"/>
              </w:rPr>
              <w:t>Landfill Amortization and Accretion Expenses: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60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0"/>
              </w:rPr>
              <w:t>Year Ended</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0"/>
                <w:szCs w:val="20"/>
                <w:color w:val="auto"/>
              </w:rPr>
            </w:pPr>
          </w:p>
        </w:tc>
        <w:tc>
          <w:tcPr>
            <w:tcW w:w="256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Cost basis of landfill assets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ind w:left="740"/>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18"/>
                <w:szCs w:val="18"/>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retirement costs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220"/>
              <w:spacing w:after="0" w:line="256" w:lineRule="exact"/>
              <w:rPr>
                <w:sz w:val="20"/>
                <w:szCs w:val="20"/>
                <w:color w:val="auto"/>
              </w:rPr>
            </w:pPr>
            <w:r>
              <w:rPr>
                <w:rFonts w:ascii="Arial" w:cs="Arial" w:eastAsia="Arial" w:hAnsi="Arial"/>
                <w:sz w:val="18"/>
                <w:szCs w:val="18"/>
                <w:color w:val="auto"/>
              </w:rPr>
              <w:t>Total landfill amortization expense</w:t>
            </w:r>
            <w:r>
              <w:rPr>
                <w:rFonts w:ascii="Arial" w:cs="Arial" w:eastAsia="Arial" w:hAnsi="Arial"/>
                <w:sz w:val="29"/>
                <w:szCs w:val="29"/>
                <w:color w:val="auto"/>
                <w:vertAlign w:val="superscript"/>
              </w:rPr>
              <w:t>(e)</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ind w:left="740"/>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8"/>
                <w:szCs w:val="18"/>
                <w:color w:val="auto"/>
              </w:rPr>
              <w:t>Landfill amortization and accretion expense</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color w:val="auto"/>
                <w:w w:val="79"/>
              </w:rPr>
              <w:t>842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0"/>
          <w:szCs w:val="20"/>
          <w:color w:val="auto"/>
        </w:rPr>
      </w:pPr>
    </w:p>
    <w:p>
      <w:pPr>
        <w:jc w:val="both"/>
        <w:ind w:left="34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2020 amounts include $691 million of after-tax proceeds from divestitures related to the sale of our assets and businesses to GFL Environmental pursuant to an agreement executed to address divestitures required by the U.S. Department of Justice in connection with our acquisition of Advanced Disposal.</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9"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Acquisitions consummated and funded during the current period includes a business that was immediately contributed to a joint venture. The Company will not consolidate the joint venture and, accordingly, the venture's revenues are not included in the measure of revenue acquired.</w:t>
      </w:r>
    </w:p>
    <w:p>
      <w:pPr>
        <w:ind w:left="340" w:hanging="332"/>
        <w:spacing w:after="0" w:line="26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landfill amortization was driven by landfill volume increases, our acquisition of Advanced Disposal and favorable changes in estimates, including an inflation rate adjustment, recognized in Q4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8"/>
                <w:szCs w:val="18"/>
                <w:b w:val="1"/>
                <w:bCs w:val="1"/>
                <w:color w:val="auto"/>
              </w:rPr>
              <w:t>Three Months Ended December 31, 2021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40"/>
              <w:spacing w:after="0" w:line="195" w:lineRule="exact"/>
              <w:rPr>
                <w:sz w:val="20"/>
                <w:szCs w:val="20"/>
                <w:color w:val="auto"/>
              </w:rPr>
            </w:pPr>
            <w:r>
              <w:rPr>
                <w:rFonts w:ascii="Arial" w:cs="Arial" w:eastAsia="Arial" w:hAnsi="Arial"/>
                <w:sz w:val="18"/>
                <w:szCs w:val="18"/>
                <w:b w:val="1"/>
                <w:bCs w:val="1"/>
                <w:color w:val="auto"/>
                <w:w w:val="92"/>
              </w:rPr>
              <w:t>Income from</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560"/>
              <w:spacing w:after="0" w:line="195" w:lineRule="exact"/>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6"/>
                <w:szCs w:val="16"/>
                <w:color w:val="auto"/>
              </w:rPr>
            </w:pPr>
          </w:p>
        </w:tc>
        <w:tc>
          <w:tcPr>
            <w:tcW w:w="1380" w:type="dxa"/>
            <w:vAlign w:val="bottom"/>
            <w:gridSpan w:val="2"/>
          </w:tcPr>
          <w:p>
            <w:pPr>
              <w:jc w:val="center"/>
              <w:ind w:right="460"/>
              <w:spacing w:after="0" w:line="195" w:lineRule="exact"/>
              <w:rPr>
                <w:sz w:val="20"/>
                <w:szCs w:val="20"/>
                <w:color w:val="auto"/>
              </w:rPr>
            </w:pPr>
            <w:r>
              <w:rPr>
                <w:rFonts w:ascii="Arial" w:cs="Arial" w:eastAsia="Arial" w:hAnsi="Arial"/>
                <w:sz w:val="18"/>
                <w:szCs w:val="18"/>
                <w:b w:val="1"/>
                <w:bCs w:val="1"/>
                <w:color w:val="auto"/>
                <w:w w:val="90"/>
              </w:rPr>
              <w:t>Tax</w:t>
            </w:r>
          </w:p>
        </w:tc>
        <w:tc>
          <w:tcPr>
            <w:tcW w:w="160" w:type="dxa"/>
            <w:vAlign w:val="bottom"/>
          </w:tcPr>
          <w:p>
            <w:pPr>
              <w:spacing w:after="0"/>
              <w:rPr>
                <w:sz w:val="16"/>
                <w:szCs w:val="16"/>
                <w:color w:val="auto"/>
              </w:rPr>
            </w:pPr>
          </w:p>
        </w:tc>
        <w:tc>
          <w:tcPr>
            <w:tcW w:w="1200" w:type="dxa"/>
            <w:vAlign w:val="bottom"/>
            <w:gridSpan w:val="2"/>
          </w:tcPr>
          <w:p>
            <w:pPr>
              <w:jc w:val="center"/>
              <w:ind w:right="300"/>
              <w:spacing w:after="0" w:line="195"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3"/>
                <w:szCs w:val="23"/>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Expense</w:t>
            </w:r>
          </w:p>
        </w:tc>
        <w:tc>
          <w:tcPr>
            <w:tcW w:w="160" w:type="dxa"/>
            <w:vAlign w:val="bottom"/>
          </w:tcPr>
          <w:p>
            <w:pPr>
              <w:spacing w:after="0"/>
              <w:rPr>
                <w:sz w:val="23"/>
                <w:szCs w:val="23"/>
                <w:color w:val="auto"/>
              </w:rPr>
            </w:pPr>
          </w:p>
        </w:tc>
        <w:tc>
          <w:tcPr>
            <w:tcW w:w="1200" w:type="dxa"/>
            <w:vAlign w:val="bottom"/>
            <w:gridSpan w:val="2"/>
          </w:tcPr>
          <w:p>
            <w:pPr>
              <w:jc w:val="center"/>
              <w:ind w:right="300"/>
              <w:spacing w:after="0" w:line="271" w:lineRule="exact"/>
              <w:rPr>
                <w:sz w:val="20"/>
                <w:szCs w:val="20"/>
                <w:color w:val="auto"/>
              </w:rPr>
            </w:pPr>
            <w:r>
              <w:rPr>
                <w:rFonts w:ascii="Arial" w:cs="Arial" w:eastAsia="Arial" w:hAnsi="Arial"/>
                <w:sz w:val="18"/>
                <w:szCs w:val="18"/>
                <w:b w:val="1"/>
                <w:bCs w:val="1"/>
                <w:color w:val="auto"/>
                <w:w w:val="85"/>
              </w:rPr>
              <w:t>Income</w:t>
            </w:r>
            <w:r>
              <w:rPr>
                <w:rFonts w:ascii="Arial" w:cs="Arial" w:eastAsia="Arial" w:hAnsi="Arial"/>
                <w:sz w:val="29"/>
                <w:szCs w:val="29"/>
                <w:b w:val="1"/>
                <w:bCs w:val="1"/>
                <w:color w:val="auto"/>
                <w:w w:val="85"/>
                <w:vertAlign w:val="superscript"/>
              </w:rPr>
              <w:t>(a)</w:t>
            </w:r>
          </w:p>
        </w:tc>
        <w:tc>
          <w:tcPr>
            <w:tcW w:w="8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integration-related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180"/>
              <w:spacing w:after="0" w:line="201" w:lineRule="exact"/>
              <w:rPr>
                <w:sz w:val="20"/>
                <w:szCs w:val="20"/>
                <w:color w:val="auto"/>
              </w:rPr>
            </w:pPr>
            <w:r>
              <w:rPr>
                <w:rFonts w:ascii="Arial" w:cs="Arial" w:eastAsia="Arial" w:hAnsi="Arial"/>
                <w:sz w:val="18"/>
                <w:szCs w:val="18"/>
                <w:color w:val="auto"/>
              </w:rPr>
              <w:t>Enterprise resource planning system</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40"/>
              <w:spacing w:after="0"/>
              <w:rPr>
                <w:sz w:val="20"/>
                <w:szCs w:val="20"/>
                <w:color w:val="auto"/>
              </w:rPr>
            </w:pPr>
            <w:r>
              <w:rPr>
                <w:rFonts w:ascii="Arial" w:cs="Arial" w:eastAsia="Arial" w:hAnsi="Arial"/>
                <w:sz w:val="18"/>
                <w:szCs w:val="18"/>
                <w:color w:val="auto"/>
              </w:rPr>
              <w:t>implementation-related costs</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9"/>
                <w:szCs w:val="29"/>
                <w:color w:val="auto"/>
                <w:vertAlign w:val="superscript"/>
              </w:rPr>
              <w:t>(c)</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739</w:t>
            </w:r>
          </w:p>
        </w:tc>
        <w:tc>
          <w:tcPr>
            <w:tcW w:w="1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gridSpan w:val="8"/>
            <w:vMerge w:val="restart"/>
          </w:tcPr>
          <w:p>
            <w:pPr>
              <w:jc w:val="right"/>
              <w:ind w:right="680"/>
              <w:spacing w:after="0"/>
              <w:rPr>
                <w:sz w:val="20"/>
                <w:szCs w:val="20"/>
                <w:color w:val="auto"/>
              </w:rPr>
            </w:pPr>
            <w:r>
              <w:rPr>
                <w:rFonts w:ascii="Arial" w:cs="Arial" w:eastAsia="Arial" w:hAnsi="Arial"/>
                <w:sz w:val="18"/>
                <w:szCs w:val="18"/>
                <w:b w:val="1"/>
                <w:bCs w:val="1"/>
                <w:color w:val="auto"/>
              </w:rPr>
              <w:t>Three Months Ended December 31, 2020</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40"/>
              <w:spacing w:after="0" w:line="195" w:lineRule="exact"/>
              <w:rPr>
                <w:sz w:val="20"/>
                <w:szCs w:val="20"/>
                <w:color w:val="auto"/>
              </w:rPr>
            </w:pPr>
            <w:r>
              <w:rPr>
                <w:rFonts w:ascii="Arial" w:cs="Arial" w:eastAsia="Arial" w:hAnsi="Arial"/>
                <w:sz w:val="18"/>
                <w:szCs w:val="18"/>
                <w:b w:val="1"/>
                <w:bCs w:val="1"/>
                <w:color w:val="auto"/>
                <w:w w:val="92"/>
              </w:rPr>
              <w:t>Income from</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560"/>
              <w:spacing w:after="0" w:line="195" w:lineRule="exact"/>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6"/>
                <w:szCs w:val="16"/>
                <w:color w:val="auto"/>
              </w:rPr>
            </w:pPr>
          </w:p>
        </w:tc>
        <w:tc>
          <w:tcPr>
            <w:tcW w:w="1380" w:type="dxa"/>
            <w:vAlign w:val="bottom"/>
            <w:gridSpan w:val="2"/>
          </w:tcPr>
          <w:p>
            <w:pPr>
              <w:jc w:val="center"/>
              <w:ind w:right="460"/>
              <w:spacing w:after="0" w:line="195" w:lineRule="exact"/>
              <w:rPr>
                <w:sz w:val="20"/>
                <w:szCs w:val="20"/>
                <w:color w:val="auto"/>
              </w:rPr>
            </w:pPr>
            <w:r>
              <w:rPr>
                <w:rFonts w:ascii="Arial" w:cs="Arial" w:eastAsia="Arial" w:hAnsi="Arial"/>
                <w:sz w:val="18"/>
                <w:szCs w:val="18"/>
                <w:b w:val="1"/>
                <w:bCs w:val="1"/>
                <w:color w:val="auto"/>
                <w:w w:val="90"/>
              </w:rPr>
              <w:t>Tax</w:t>
            </w:r>
          </w:p>
        </w:tc>
        <w:tc>
          <w:tcPr>
            <w:tcW w:w="160" w:type="dxa"/>
            <w:vAlign w:val="bottom"/>
          </w:tcPr>
          <w:p>
            <w:pPr>
              <w:spacing w:after="0"/>
              <w:rPr>
                <w:sz w:val="16"/>
                <w:szCs w:val="16"/>
                <w:color w:val="auto"/>
              </w:rPr>
            </w:pPr>
          </w:p>
        </w:tc>
        <w:tc>
          <w:tcPr>
            <w:tcW w:w="1200" w:type="dxa"/>
            <w:vAlign w:val="bottom"/>
            <w:gridSpan w:val="2"/>
          </w:tcPr>
          <w:p>
            <w:pPr>
              <w:jc w:val="center"/>
              <w:ind w:right="300"/>
              <w:spacing w:after="0" w:line="195"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3"/>
                <w:szCs w:val="23"/>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Expense</w:t>
            </w:r>
          </w:p>
        </w:tc>
        <w:tc>
          <w:tcPr>
            <w:tcW w:w="160" w:type="dxa"/>
            <w:vAlign w:val="bottom"/>
          </w:tcPr>
          <w:p>
            <w:pPr>
              <w:spacing w:after="0"/>
              <w:rPr>
                <w:sz w:val="23"/>
                <w:szCs w:val="23"/>
                <w:color w:val="auto"/>
              </w:rPr>
            </w:pPr>
          </w:p>
        </w:tc>
        <w:tc>
          <w:tcPr>
            <w:tcW w:w="1200" w:type="dxa"/>
            <w:vAlign w:val="bottom"/>
            <w:gridSpan w:val="2"/>
          </w:tcPr>
          <w:p>
            <w:pPr>
              <w:jc w:val="center"/>
              <w:ind w:right="300"/>
              <w:spacing w:after="0" w:line="271" w:lineRule="exact"/>
              <w:rPr>
                <w:sz w:val="20"/>
                <w:szCs w:val="20"/>
                <w:color w:val="auto"/>
              </w:rPr>
            </w:pPr>
            <w:r>
              <w:rPr>
                <w:rFonts w:ascii="Arial" w:cs="Arial" w:eastAsia="Arial" w:hAnsi="Arial"/>
                <w:sz w:val="18"/>
                <w:szCs w:val="18"/>
                <w:b w:val="1"/>
                <w:bCs w:val="1"/>
                <w:color w:val="auto"/>
                <w:w w:val="85"/>
              </w:rPr>
              <w:t>Income</w:t>
            </w:r>
            <w:r>
              <w:rPr>
                <w:rFonts w:ascii="Arial" w:cs="Arial" w:eastAsia="Arial" w:hAnsi="Arial"/>
                <w:sz w:val="29"/>
                <w:szCs w:val="29"/>
                <w:b w:val="1"/>
                <w:bCs w:val="1"/>
                <w:color w:val="auto"/>
                <w:w w:val="85"/>
                <w:vertAlign w:val="superscript"/>
              </w:rPr>
              <w:t>(a)</w:t>
            </w:r>
          </w:p>
        </w:tc>
        <w:tc>
          <w:tcPr>
            <w:tcW w:w="8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Advanced Disposal acquisition and integration-</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costs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180"/>
              <w:spacing w:after="0" w:line="256" w:lineRule="exact"/>
              <w:rPr>
                <w:sz w:val="20"/>
                <w:szCs w:val="20"/>
                <w:color w:val="auto"/>
              </w:rPr>
            </w:pPr>
            <w:r>
              <w:rPr>
                <w:rFonts w:ascii="Arial" w:cs="Arial" w:eastAsia="Arial" w:hAnsi="Arial"/>
                <w:sz w:val="18"/>
                <w:szCs w:val="18"/>
                <w:color w:val="auto"/>
              </w:rPr>
              <w:t>Gain from divestitures, net</w:t>
            </w:r>
            <w:r>
              <w:rPr>
                <w:rFonts w:ascii="Arial" w:cs="Arial" w:eastAsia="Arial" w:hAnsi="Arial"/>
                <w:sz w:val="29"/>
                <w:szCs w:val="29"/>
                <w:color w:val="auto"/>
                <w:vertAlign w:val="superscript"/>
              </w:rPr>
              <w:t>(d)</w:t>
            </w:r>
          </w:p>
        </w:tc>
        <w:tc>
          <w:tcPr>
            <w:tcW w:w="100" w:type="dxa"/>
            <w:vAlign w:val="bottom"/>
          </w:tcPr>
          <w:p>
            <w:pPr>
              <w:spacing w:after="0"/>
              <w:rPr>
                <w:sz w:val="22"/>
                <w:szCs w:val="22"/>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Enterprise resource planning system</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implementation-related costs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00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706</w:t>
            </w:r>
          </w:p>
        </w:tc>
        <w:tc>
          <w:tcPr>
            <w:tcW w:w="120" w:type="dxa"/>
            <w:vAlign w:val="bottom"/>
          </w:tcPr>
          <w:p>
            <w:pPr>
              <w:spacing w:after="0"/>
              <w:rPr>
                <w:sz w:val="24"/>
                <w:szCs w:val="24"/>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600</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340" w:type="dxa"/>
            <w:vAlign w:val="bottom"/>
          </w:tcPr>
          <w:p>
            <w:pPr>
              <w:spacing w:after="0"/>
              <w:rPr>
                <w:sz w:val="20"/>
                <w:szCs w:val="20"/>
                <w:color w:val="auto"/>
              </w:rPr>
            </w:pPr>
            <w:r>
              <w:rPr>
                <w:rFonts w:ascii="Arial" w:cs="Arial" w:eastAsia="Arial" w:hAnsi="Arial"/>
                <w:sz w:val="15"/>
                <w:szCs w:val="15"/>
                <w:b w:val="1"/>
                <w:bCs w:val="1"/>
                <w:color w:val="auto"/>
              </w:rPr>
              <w:t>(b)</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436</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fourth quarter 2021 and 2020 adjusted effective tax rates were 19.1% and 19.8%, respectively.</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(i) a charge to establish an uncertain tax position related to a captive insurance matter and (ii) a charge recorded to increase our reserve for certain legacy loss contingencies, both of which were partially offset by a gain on the sale of an equity-method investment.</w:t>
      </w:r>
    </w:p>
    <w:p>
      <w:pPr>
        <w:spacing w:after="0" w:line="14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gain from divestitures is related to the sale of our assets and businesses to GFL Environmental pursuant to an agreement executed to address divestitures required by the U.S. Department of Justice in connection with our acquisition of Advanced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8"/>
                <w:szCs w:val="18"/>
                <w:b w:val="1"/>
                <w:bCs w:val="1"/>
                <w:color w:val="auto"/>
              </w:rPr>
              <w:t>Year Ended December 31, 2021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line="195" w:lineRule="exact"/>
              <w:rPr>
                <w:sz w:val="20"/>
                <w:szCs w:val="20"/>
                <w:color w:val="auto"/>
              </w:rPr>
            </w:pPr>
            <w:r>
              <w:rPr>
                <w:rFonts w:ascii="Arial" w:cs="Arial" w:eastAsia="Arial" w:hAnsi="Arial"/>
                <w:sz w:val="18"/>
                <w:szCs w:val="18"/>
                <w:b w:val="1"/>
                <w:bCs w:val="1"/>
                <w:color w:val="auto"/>
                <w:w w:val="92"/>
              </w:rPr>
              <w:t>Income from</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560"/>
              <w:spacing w:after="0" w:line="195" w:lineRule="exact"/>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6"/>
                <w:szCs w:val="16"/>
                <w:color w:val="auto"/>
              </w:rPr>
            </w:pPr>
          </w:p>
        </w:tc>
        <w:tc>
          <w:tcPr>
            <w:tcW w:w="1380" w:type="dxa"/>
            <w:vAlign w:val="bottom"/>
            <w:gridSpan w:val="2"/>
          </w:tcPr>
          <w:p>
            <w:pPr>
              <w:jc w:val="center"/>
              <w:ind w:right="465"/>
              <w:spacing w:after="0" w:line="195" w:lineRule="exact"/>
              <w:rPr>
                <w:sz w:val="20"/>
                <w:szCs w:val="20"/>
                <w:color w:val="auto"/>
              </w:rPr>
            </w:pPr>
            <w:r>
              <w:rPr>
                <w:rFonts w:ascii="Arial" w:cs="Arial" w:eastAsia="Arial" w:hAnsi="Arial"/>
                <w:sz w:val="18"/>
                <w:szCs w:val="18"/>
                <w:b w:val="1"/>
                <w:bCs w:val="1"/>
                <w:color w:val="auto"/>
                <w:w w:val="90"/>
              </w:rPr>
              <w:t>Tax</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3"/>
                <w:szCs w:val="23"/>
                <w:color w:val="auto"/>
              </w:rPr>
            </w:pPr>
          </w:p>
        </w:tc>
        <w:tc>
          <w:tcPr>
            <w:tcW w:w="1380" w:type="dxa"/>
            <w:vAlign w:val="bottom"/>
            <w:gridSpan w:val="2"/>
          </w:tcPr>
          <w:p>
            <w:pPr>
              <w:jc w:val="center"/>
              <w:ind w:right="465"/>
              <w:spacing w:after="0"/>
              <w:rPr>
                <w:sz w:val="20"/>
                <w:szCs w:val="20"/>
                <w:color w:val="auto"/>
              </w:rPr>
            </w:pPr>
            <w:r>
              <w:rPr>
                <w:rFonts w:ascii="Arial" w:cs="Arial" w:eastAsia="Arial" w:hAnsi="Arial"/>
                <w:sz w:val="18"/>
                <w:szCs w:val="18"/>
                <w:b w:val="1"/>
                <w:bCs w:val="1"/>
                <w:color w:val="auto"/>
                <w:w w:val="86"/>
              </w:rPr>
              <w:t>Expense</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5"/>
              </w:rPr>
              <w:t>Income</w:t>
            </w:r>
            <w:r>
              <w:rPr>
                <w:rFonts w:ascii="Arial" w:cs="Arial" w:eastAsia="Arial" w:hAnsi="Arial"/>
                <w:sz w:val="29"/>
                <w:szCs w:val="29"/>
                <w:b w:val="1"/>
                <w:bCs w:val="1"/>
                <w:color w:val="auto"/>
                <w:w w:val="85"/>
                <w:vertAlign w:val="superscript"/>
              </w:rPr>
              <w:t>(a)</w:t>
            </w:r>
          </w:p>
        </w:tc>
        <w:tc>
          <w:tcPr>
            <w:tcW w:w="10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Loss and other costs associated with</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000" w:type="dxa"/>
            <w:vAlign w:val="bottom"/>
            <w:shd w:val="clear" w:color="auto" w:fill="CCEEFF"/>
          </w:tcPr>
          <w:p>
            <w:pPr>
              <w:ind w:left="340"/>
              <w:spacing w:after="0" w:line="267" w:lineRule="exact"/>
              <w:rPr>
                <w:sz w:val="20"/>
                <w:szCs w:val="20"/>
                <w:color w:val="auto"/>
              </w:rPr>
            </w:pPr>
            <w:r>
              <w:rPr>
                <w:rFonts w:ascii="Arial" w:cs="Arial" w:eastAsia="Arial" w:hAnsi="Arial"/>
                <w:sz w:val="18"/>
                <w:szCs w:val="18"/>
                <w:color w:val="auto"/>
              </w:rPr>
              <w:t>extinguishment of debt</w:t>
            </w:r>
            <w:r>
              <w:rPr>
                <w:rFonts w:ascii="Arial" w:cs="Arial" w:eastAsia="Arial" w:hAnsi="Arial"/>
                <w:sz w:val="29"/>
                <w:szCs w:val="29"/>
                <w:color w:val="auto"/>
                <w:vertAlign w:val="superscript"/>
              </w:rPr>
              <w:t>(c)</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Advanced Disposal integration-related costs</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380" w:type="dxa"/>
            <w:vAlign w:val="bottom"/>
            <w:gridSpan w:val="2"/>
          </w:tcPr>
          <w:p>
            <w:pPr>
              <w:jc w:val="right"/>
              <w:ind w:right="265"/>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Enterprise resource planning system</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implementation-related costs</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00" w:type="dxa"/>
            <w:vAlign w:val="bottom"/>
          </w:tcPr>
          <w:p>
            <w:pPr>
              <w:ind w:left="180"/>
              <w:spacing w:after="0" w:line="206" w:lineRule="exact"/>
              <w:rPr>
                <w:sz w:val="20"/>
                <w:szCs w:val="20"/>
                <w:color w:val="auto"/>
              </w:rPr>
            </w:pPr>
            <w:r>
              <w:rPr>
                <w:rFonts w:ascii="Arial" w:cs="Arial" w:eastAsia="Arial" w:hAnsi="Arial"/>
                <w:sz w:val="18"/>
                <w:szCs w:val="18"/>
                <w:color w:val="auto"/>
                <w:w w:val="99"/>
              </w:rPr>
              <w:t>(Gain) loss from divestitures, asset impairments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000" w:type="dxa"/>
            <w:vAlign w:val="bottom"/>
          </w:tcPr>
          <w:p>
            <w:pPr>
              <w:ind w:left="340"/>
              <w:spacing w:after="0" w:line="280" w:lineRule="exact"/>
              <w:rPr>
                <w:sz w:val="20"/>
                <w:szCs w:val="20"/>
                <w:color w:val="auto"/>
              </w:rPr>
            </w:pPr>
            <w:r>
              <w:rPr>
                <w:rFonts w:ascii="Arial" w:cs="Arial" w:eastAsia="Arial" w:hAnsi="Arial"/>
                <w:sz w:val="18"/>
                <w:szCs w:val="18"/>
                <w:color w:val="auto"/>
              </w:rPr>
              <w:t>and other, net</w:t>
            </w:r>
            <w:r>
              <w:rPr>
                <w:rFonts w:ascii="Arial" w:cs="Arial" w:eastAsia="Arial" w:hAnsi="Arial"/>
                <w:sz w:val="29"/>
                <w:szCs w:val="29"/>
                <w:color w:val="auto"/>
                <w:vertAlign w:val="superscript"/>
              </w:rPr>
              <w:t>(d)</w:t>
            </w:r>
          </w:p>
        </w:tc>
        <w:tc>
          <w:tcPr>
            <w:tcW w:w="10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380" w:type="dxa"/>
            <w:vAlign w:val="bottom"/>
            <w:gridSpan w:val="2"/>
          </w:tcPr>
          <w:p>
            <w:pPr>
              <w:jc w:val="right"/>
              <w:ind w:right="205"/>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00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3,033</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2,632</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340" w:type="dxa"/>
            <w:vAlign w:val="bottom"/>
          </w:tcPr>
          <w:p>
            <w:pPr>
              <w:jc w:val="right"/>
              <w:ind w:right="85"/>
              <w:spacing w:after="0"/>
              <w:rPr>
                <w:sz w:val="20"/>
                <w:szCs w:val="20"/>
                <w:color w:val="auto"/>
              </w:rPr>
            </w:pPr>
            <w:r>
              <w:rPr>
                <w:rFonts w:ascii="Arial" w:cs="Arial" w:eastAsia="Arial" w:hAnsi="Arial"/>
                <w:sz w:val="15"/>
                <w:szCs w:val="15"/>
                <w:b w:val="1"/>
                <w:bCs w:val="1"/>
                <w:color w:val="auto"/>
                <w:w w:val="83"/>
              </w:rPr>
              <w:t>(b)</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2,046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4.84</w:t>
            </w: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1,999</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gridSpan w:val="8"/>
            <w:vMerge w:val="restart"/>
          </w:tcPr>
          <w:p>
            <w:pPr>
              <w:jc w:val="right"/>
              <w:ind w:right="1040"/>
              <w:spacing w:after="0"/>
              <w:rPr>
                <w:sz w:val="20"/>
                <w:szCs w:val="20"/>
                <w:color w:val="auto"/>
              </w:rPr>
            </w:pPr>
            <w:r>
              <w:rPr>
                <w:rFonts w:ascii="Arial" w:cs="Arial" w:eastAsia="Arial" w:hAnsi="Arial"/>
                <w:sz w:val="18"/>
                <w:szCs w:val="18"/>
                <w:b w:val="1"/>
                <w:bCs w:val="1"/>
                <w:color w:val="auto"/>
              </w:rPr>
              <w:t>Year Ended December 31, 2020</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8"/>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line="195" w:lineRule="exact"/>
              <w:rPr>
                <w:sz w:val="20"/>
                <w:szCs w:val="20"/>
                <w:color w:val="auto"/>
              </w:rPr>
            </w:pPr>
            <w:r>
              <w:rPr>
                <w:rFonts w:ascii="Arial" w:cs="Arial" w:eastAsia="Arial" w:hAnsi="Arial"/>
                <w:sz w:val="18"/>
                <w:szCs w:val="18"/>
                <w:b w:val="1"/>
                <w:bCs w:val="1"/>
                <w:color w:val="auto"/>
                <w:w w:val="92"/>
              </w:rPr>
              <w:t>Income from</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560"/>
              <w:spacing w:after="0" w:line="195" w:lineRule="exact"/>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6"/>
                <w:szCs w:val="16"/>
                <w:color w:val="auto"/>
              </w:rPr>
            </w:pPr>
          </w:p>
        </w:tc>
        <w:tc>
          <w:tcPr>
            <w:tcW w:w="1380" w:type="dxa"/>
            <w:vAlign w:val="bottom"/>
            <w:gridSpan w:val="2"/>
          </w:tcPr>
          <w:p>
            <w:pPr>
              <w:jc w:val="center"/>
              <w:ind w:right="465"/>
              <w:spacing w:after="0" w:line="195" w:lineRule="exact"/>
              <w:rPr>
                <w:sz w:val="20"/>
                <w:szCs w:val="20"/>
                <w:color w:val="auto"/>
              </w:rPr>
            </w:pPr>
            <w:r>
              <w:rPr>
                <w:rFonts w:ascii="Arial" w:cs="Arial" w:eastAsia="Arial" w:hAnsi="Arial"/>
                <w:sz w:val="18"/>
                <w:szCs w:val="18"/>
                <w:b w:val="1"/>
                <w:bCs w:val="1"/>
                <w:color w:val="auto"/>
                <w:w w:val="90"/>
              </w:rPr>
              <w:t>Tax</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line="195"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3"/>
                <w:szCs w:val="23"/>
                <w:color w:val="auto"/>
              </w:rPr>
            </w:pPr>
          </w:p>
        </w:tc>
        <w:tc>
          <w:tcPr>
            <w:tcW w:w="1380" w:type="dxa"/>
            <w:vAlign w:val="bottom"/>
            <w:gridSpan w:val="2"/>
          </w:tcPr>
          <w:p>
            <w:pPr>
              <w:jc w:val="center"/>
              <w:ind w:right="465"/>
              <w:spacing w:after="0"/>
              <w:rPr>
                <w:sz w:val="20"/>
                <w:szCs w:val="20"/>
                <w:color w:val="auto"/>
              </w:rPr>
            </w:pPr>
            <w:r>
              <w:rPr>
                <w:rFonts w:ascii="Arial" w:cs="Arial" w:eastAsia="Arial" w:hAnsi="Arial"/>
                <w:sz w:val="18"/>
                <w:szCs w:val="18"/>
                <w:b w:val="1"/>
                <w:bCs w:val="1"/>
                <w:color w:val="auto"/>
                <w:w w:val="86"/>
              </w:rPr>
              <w:t>Expense</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5"/>
              </w:rPr>
              <w:t>Income</w:t>
            </w:r>
            <w:r>
              <w:rPr>
                <w:rFonts w:ascii="Arial" w:cs="Arial" w:eastAsia="Arial" w:hAnsi="Arial"/>
                <w:sz w:val="29"/>
                <w:szCs w:val="29"/>
                <w:b w:val="1"/>
                <w:bCs w:val="1"/>
                <w:color w:val="auto"/>
                <w:w w:val="85"/>
                <w:vertAlign w:val="superscript"/>
              </w:rPr>
              <w:t>(a)</w:t>
            </w:r>
          </w:p>
        </w:tc>
        <w:tc>
          <w:tcPr>
            <w:tcW w:w="10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Advanced Disposal acquisition and integration-</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costs</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380" w:type="dxa"/>
            <w:vAlign w:val="bottom"/>
            <w:gridSpan w:val="2"/>
          </w:tcPr>
          <w:p>
            <w:pPr>
              <w:jc w:val="right"/>
              <w:ind w:right="265"/>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(Gain) loss from divestitures, asset impairments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other, net</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180"/>
              <w:spacing w:after="0" w:line="201" w:lineRule="exact"/>
              <w:rPr>
                <w:sz w:val="20"/>
                <w:szCs w:val="20"/>
                <w:color w:val="auto"/>
              </w:rPr>
            </w:pPr>
            <w:r>
              <w:rPr>
                <w:rFonts w:ascii="Arial" w:cs="Arial" w:eastAsia="Arial" w:hAnsi="Arial"/>
                <w:sz w:val="18"/>
                <w:szCs w:val="18"/>
                <w:color w:val="auto"/>
              </w:rPr>
              <w:t>Enterprise resource planning system</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40"/>
              <w:spacing w:after="0"/>
              <w:rPr>
                <w:sz w:val="20"/>
                <w:szCs w:val="20"/>
                <w:color w:val="auto"/>
              </w:rPr>
            </w:pPr>
            <w:r>
              <w:rPr>
                <w:rFonts w:ascii="Arial" w:cs="Arial" w:eastAsia="Arial" w:hAnsi="Arial"/>
                <w:sz w:val="18"/>
                <w:szCs w:val="18"/>
                <w:color w:val="auto"/>
              </w:rPr>
              <w:t>implementation-related costs</w:t>
            </w:r>
          </w:p>
        </w:tc>
        <w:tc>
          <w:tcPr>
            <w:tcW w:w="1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1380" w:type="dxa"/>
            <w:vAlign w:val="bottom"/>
            <w:gridSpan w:val="2"/>
          </w:tcPr>
          <w:p>
            <w:pPr>
              <w:jc w:val="right"/>
              <w:ind w:right="265"/>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2,650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2,169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3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83"/>
              </w:rPr>
              <w:t>(b)</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Arial" w:cs="Arial" w:eastAsia="Arial" w:hAnsi="Arial"/>
                <w:sz w:val="18"/>
                <w:szCs w:val="18"/>
                <w:color w:val="auto"/>
              </w:rPr>
              <w:t>1,671</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EBITDA</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full year 2021 and 2020 adjusted effective tax rates were 22.2% and 21.0%, respectively.</w:t>
      </w:r>
    </w:p>
    <w:p>
      <w:pPr>
        <w:spacing w:after="0" w:line="183"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charges of $220 million reflected in the “loss on early extinguishment of debt” financial caption and $6 million reflected in the “interest expense, net” financial caption related to the retirement of $1.3 billion of certain high-coupon senior notes through a cash tender offer in May 2021.</w:t>
      </w:r>
    </w:p>
    <w:p>
      <w:pPr>
        <w:spacing w:after="0" w:line="123"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pre-tax gain from cumulative translation adjustments on the divestiture of certain foreign operation and gains on sale of a business and an equity-method investment partially offset by (i) reserve increases for certain legacy loss contingencies; (ii) a charge to establish an uncertain tax position related to a captive insurance matter; (iii) a change from our initial expectations of the tax effects of the Advanced Disposal acquisition and related divestitures and (iv) asset impairments in our WM Renewable Energy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9"/>
                <w:szCs w:val="19"/>
                <w:color w:val="auto"/>
              </w:rPr>
            </w:pPr>
          </w:p>
        </w:tc>
      </w:tr>
      <w:tr>
        <w:trPr>
          <w:trHeight w:val="205"/>
        </w:trPr>
        <w:tc>
          <w:tcPr>
            <w:tcW w:w="5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ind w:left="220"/>
              <w:spacing w:after="0" w:line="205" w:lineRule="exact"/>
              <w:rPr>
                <w:sz w:val="20"/>
                <w:szCs w:val="20"/>
                <w:color w:val="auto"/>
              </w:rPr>
            </w:pPr>
            <w:r>
              <w:rPr>
                <w:rFonts w:ascii="Arial" w:cs="Arial" w:eastAsia="Arial" w:hAnsi="Arial"/>
                <w:sz w:val="18"/>
                <w:szCs w:val="18"/>
                <w:b w:val="1"/>
                <w:bCs w:val="1"/>
                <w:color w:val="auto"/>
              </w:rPr>
              <w:t>As a % of</w:t>
            </w: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40"/>
              <w:spacing w:after="0" w:line="205"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7"/>
                <w:szCs w:val="17"/>
                <w:color w:val="auto"/>
              </w:rPr>
            </w:pPr>
          </w:p>
        </w:tc>
      </w:tr>
      <w:tr>
        <w:trPr>
          <w:trHeight w:val="234"/>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4,678</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4,067</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492</w:t>
            </w:r>
          </w:p>
        </w:tc>
        <w:tc>
          <w:tcPr>
            <w:tcW w:w="152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10.5%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 and integration-related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w w:val="98"/>
              </w:rPr>
              <w:t>Enterprise resource planning system implementation-related costs</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SG&amp;A expenses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10.3%</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5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rPr>
              <w:t>Years Ended</w:t>
            </w: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9"/>
                <w:szCs w:val="19"/>
                <w:color w:val="auto"/>
              </w:rPr>
            </w:pPr>
          </w:p>
        </w:tc>
      </w:tr>
      <w:tr>
        <w:trPr>
          <w:trHeight w:val="205"/>
        </w:trPr>
        <w:tc>
          <w:tcPr>
            <w:tcW w:w="5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ind w:left="220"/>
              <w:spacing w:after="0" w:line="205" w:lineRule="exact"/>
              <w:rPr>
                <w:sz w:val="20"/>
                <w:szCs w:val="20"/>
                <w:color w:val="auto"/>
              </w:rPr>
            </w:pPr>
            <w:r>
              <w:rPr>
                <w:rFonts w:ascii="Arial" w:cs="Arial" w:eastAsia="Arial" w:hAnsi="Arial"/>
                <w:sz w:val="18"/>
                <w:szCs w:val="18"/>
                <w:b w:val="1"/>
                <w:bCs w:val="1"/>
                <w:color w:val="auto"/>
              </w:rPr>
              <w:t>As a % of</w:t>
            </w: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40"/>
              <w:spacing w:after="0" w:line="205"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7"/>
                <w:szCs w:val="17"/>
                <w:color w:val="auto"/>
              </w:rPr>
            </w:pPr>
          </w:p>
        </w:tc>
      </w:tr>
      <w:tr>
        <w:trPr>
          <w:trHeight w:val="234"/>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17,931</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15,218</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1,864</w:t>
            </w:r>
          </w:p>
        </w:tc>
        <w:tc>
          <w:tcPr>
            <w:tcW w:w="152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 Disposal acquisition and integration-related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w w:val="98"/>
              </w:rPr>
              <w:t>Enterprise resource planning system implementation-related costs</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SG&amp;A expenses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55"/>
        </w:trPr>
        <w:tc>
          <w:tcPr>
            <w:tcW w:w="5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10"/>
          </w:tcPr>
          <w:p>
            <w:pPr>
              <w:jc w:val="right"/>
              <w:ind w:right="90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40"/>
              <w:spacing w:after="0" w:line="205"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5"/>
          </w:tcPr>
          <w:p>
            <w:pPr>
              <w:ind w:left="6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182"/>
        </w:trPr>
        <w:tc>
          <w:tcPr>
            <w:tcW w:w="5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w w:val="97"/>
              </w:rPr>
              <w:t>Adjusted Operating Expenses and Adjusted Operating Expenses</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Margin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4,067</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2,500</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3"/>
              </w:rPr>
              <w:t>61.5%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Advanced Disposal integration-related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Legacy loss contingency reserve adjustment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gridSpan w:val="4"/>
            <w:shd w:val="clear" w:color="auto" w:fill="CCEEFF"/>
          </w:tcPr>
          <w:p>
            <w:pPr>
              <w:jc w:val="right"/>
              <w:ind w:right="120"/>
              <w:spacing w:after="0" w:line="223" w:lineRule="exact"/>
              <w:rPr>
                <w:sz w:val="20"/>
                <w:szCs w:val="20"/>
                <w:color w:val="auto"/>
              </w:rPr>
            </w:pPr>
            <w:r>
              <w:rPr>
                <w:rFonts w:ascii="Arial" w:cs="Arial" w:eastAsia="Arial" w:hAnsi="Arial"/>
                <w:sz w:val="14"/>
                <w:szCs w:val="14"/>
                <w:b w:val="1"/>
                <w:bCs w:val="1"/>
                <w:color w:val="auto"/>
              </w:rPr>
              <w:t>63.0</w:t>
            </w:r>
            <w:r>
              <w:rPr>
                <w:rFonts w:ascii="Arial" w:cs="Arial" w:eastAsia="Arial" w:hAnsi="Arial"/>
                <w:sz w:val="25"/>
                <w:szCs w:val="25"/>
                <w:b w:val="1"/>
                <w:bCs w:val="1"/>
                <w:color w:val="auto"/>
                <w:vertAlign w:val="superscript"/>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7"/>
            <w:vMerge w:val="restart"/>
          </w:tcPr>
          <w:p>
            <w:pPr>
              <w:jc w:val="right"/>
              <w:ind w:right="1100"/>
              <w:spacing w:after="0"/>
              <w:rPr>
                <w:sz w:val="20"/>
                <w:szCs w:val="20"/>
                <w:color w:val="auto"/>
              </w:rPr>
            </w:pPr>
            <w:r>
              <w:rPr>
                <w:rFonts w:ascii="Arial" w:cs="Arial" w:eastAsia="Arial" w:hAnsi="Arial"/>
                <w:sz w:val="18"/>
                <w:szCs w:val="18"/>
                <w:b w:val="1"/>
                <w:bCs w:val="1"/>
                <w:color w:val="auto"/>
              </w:rPr>
              <w:t>Years Ended</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10"/>
          </w:tcPr>
          <w:p>
            <w:pPr>
              <w:jc w:val="right"/>
              <w:ind w:right="90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40"/>
              <w:spacing w:after="0" w:line="205" w:lineRule="exact"/>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40"/>
              <w:spacing w:after="0" w:line="205"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5"/>
          </w:tcPr>
          <w:p>
            <w:pPr>
              <w:ind w:left="6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c>
          <w:tcPr>
            <w:tcW w:w="0" w:type="dxa"/>
            <w:vAlign w:val="bottom"/>
          </w:tcPr>
          <w:p>
            <w:pPr>
              <w:spacing w:after="0"/>
              <w:rPr>
                <w:sz w:val="1"/>
                <w:szCs w:val="1"/>
                <w:color w:val="auto"/>
              </w:rPr>
            </w:pPr>
          </w:p>
        </w:tc>
      </w:tr>
      <w:tr>
        <w:trPr>
          <w:trHeight w:val="182"/>
        </w:trPr>
        <w:tc>
          <w:tcPr>
            <w:tcW w:w="5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w w:val="97"/>
              </w:rPr>
              <w:t>Adjusted Operating Expenses and Adjusted Operating Expenses</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Margin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15,218</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11,111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9,341</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3"/>
              </w:rPr>
              <w:t>61.4%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Advanced Disposal integration-related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Legacy loss contingency reserve adjustment and other,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operating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gridSpan w:val="4"/>
            <w:shd w:val="clear" w:color="auto" w:fill="CCEEFF"/>
          </w:tcPr>
          <w:p>
            <w:pPr>
              <w:jc w:val="right"/>
              <w:ind w:right="120"/>
              <w:spacing w:after="0" w:line="223" w:lineRule="exact"/>
              <w:rPr>
                <w:sz w:val="20"/>
                <w:szCs w:val="20"/>
                <w:color w:val="auto"/>
              </w:rPr>
            </w:pPr>
            <w:r>
              <w:rPr>
                <w:rFonts w:ascii="Arial" w:cs="Arial" w:eastAsia="Arial" w:hAnsi="Arial"/>
                <w:sz w:val="14"/>
                <w:szCs w:val="14"/>
                <w:b w:val="1"/>
                <w:bCs w:val="1"/>
                <w:color w:val="auto"/>
              </w:rPr>
              <w:t>61.9</w:t>
            </w:r>
            <w:r>
              <w:rPr>
                <w:rFonts w:ascii="Arial" w:cs="Arial" w:eastAsia="Arial" w:hAnsi="Arial"/>
                <w:sz w:val="25"/>
                <w:szCs w:val="25"/>
                <w:b w:val="1"/>
                <w:bCs w:val="1"/>
                <w:color w:val="auto"/>
                <w:vertAlign w:val="superscript"/>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2022 Projected Free Cash Flow Reconciliation</w:t>
            </w:r>
            <w:r>
              <w:rPr>
                <w:rFonts w:ascii="Arial" w:cs="Arial" w:eastAsia="Arial" w:hAnsi="Arial"/>
                <w:sz w:val="29"/>
                <w:szCs w:val="29"/>
                <w:b w:val="1"/>
                <w:bCs w:val="1"/>
                <w:i w:val="1"/>
                <w:iCs w:val="1"/>
                <w:color w:val="auto"/>
                <w:vertAlign w:val="superscript"/>
              </w:rPr>
              <w:t>(a)</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Scenario 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4"/>
              </w:rPr>
              <w:t>Scenario 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Capital expenditures to support the business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(1,950)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(2,050)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Proceeds from divestitures of businesses and other assets, net of cash</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divested</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 without sustainability and growth investments</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2,600</w:t>
            </w:r>
          </w:p>
        </w:tc>
        <w:tc>
          <w:tcPr>
            <w:tcW w:w="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 sustainability and growth investments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2,050</w:t>
            </w: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-1199515</wp:posOffset>
            </wp:positionV>
            <wp:extent cx="183451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34515" cy="30861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-753745</wp:posOffset>
            </wp:positionV>
            <wp:extent cx="1834515" cy="282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34515" cy="28257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-325120</wp:posOffset>
            </wp:positionV>
            <wp:extent cx="183451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reconciliation includes two scenarios that illustrate our projected free cash flow range for 2022.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Supplemental Information Provided For Illustrative Purposes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9"/>
                <w:szCs w:val="19"/>
                <w:color w:val="auto"/>
              </w:rPr>
            </w:pPr>
          </w:p>
        </w:tc>
        <w:tc>
          <w:tcPr>
            <w:tcW w:w="256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Change in</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Operating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Recycling commodity rebates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Accretion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458"/>
        </w:trPr>
        <w:tc>
          <w:tcPr>
            <w:tcW w:w="5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7"/>
              </w:rPr>
              <w:t>Years Ended</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9"/>
                <w:szCs w:val="19"/>
                <w:color w:val="auto"/>
              </w:rPr>
            </w:pPr>
          </w:p>
        </w:tc>
        <w:tc>
          <w:tcPr>
            <w:tcW w:w="256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Change in</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Operating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Recycling commodity rebates</w:t>
            </w: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Accretion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688"/>
        </w:trPr>
        <w:tc>
          <w:tcPr>
            <w:tcW w:w="5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0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2022-02-02T06:50:02Z</dcterms:created>
  <dcterms:modified xsi:type="dcterms:W3CDTF">2022-02-02T06:50:02Z</dcterms:modified>
</cp:coreProperties>
</file>