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240" w:type="dxa"/>
            <w:vAlign w:val="bottom"/>
          </w:tcPr>
          <w:p>
            <w:pPr>
              <w:jc w:val="center"/>
              <w:ind w:right="258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8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40" w:type="dxa"/>
            <w:vAlign w:val="bottom"/>
          </w:tcPr>
          <w:p>
            <w:pPr>
              <w:jc w:val="center"/>
              <w:ind w:left="102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the Annual Meeting of Waste Management, Inc. (the “Company”) held on May 10, 2012, a total of 414,117,241 shares of the Company’s common stock, out of a total of 462,671,022 shares of common stock outstanding and entitled to vote, were present in person or represented by proxies. The proposals set forth below were voted on by the Company’s stockholders at the Annual Meeting, and each of proposals 1, 2, 3 and 4 were approved by the Company’s stockholders. Both of stockholder proposal 5 and stockholder proposal 6 were not approved by the Company’s stockholders.</w:t>
      </w:r>
    </w:p>
    <w:p>
      <w:pPr>
        <w:spacing w:after="0" w:line="15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nine director nominees: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61"/>
        </w:trPr>
        <w:tc>
          <w:tcPr>
            <w:tcW w:w="5780" w:type="dxa"/>
            <w:vAlign w:val="bottom"/>
            <w:gridSpan w:val="2"/>
            <w:vMerge w:val="continue"/>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Affirmative Votes</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Negative Votes</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Abstentions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Bradbury H. Anderson</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339,215,730</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4,786,877</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349,357</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335,674,347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8,320,799</w:t>
            </w:r>
          </w:p>
        </w:tc>
        <w:tc>
          <w:tcPr>
            <w:tcW w:w="700" w:type="dxa"/>
            <w:vAlign w:val="bottom"/>
          </w:tcPr>
          <w:p>
            <w:pPr>
              <w:jc w:val="right"/>
              <w:spacing w:after="0"/>
              <w:rPr>
                <w:sz w:val="20"/>
                <w:szCs w:val="20"/>
                <w:color w:val="auto"/>
              </w:rPr>
            </w:pPr>
            <w:r>
              <w:rPr>
                <w:rFonts w:ascii="Arial" w:cs="Arial" w:eastAsia="Arial" w:hAnsi="Arial"/>
                <w:sz w:val="18"/>
                <w:szCs w:val="18"/>
                <w:color w:val="auto"/>
              </w:rPr>
              <w:t>356,818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339,090,347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4,913,589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348,028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294,102,175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49,750,409</w:t>
            </w:r>
          </w:p>
        </w:tc>
        <w:tc>
          <w:tcPr>
            <w:tcW w:w="700" w:type="dxa"/>
            <w:vAlign w:val="bottom"/>
          </w:tcPr>
          <w:p>
            <w:pPr>
              <w:jc w:val="right"/>
              <w:spacing w:after="0"/>
              <w:rPr>
                <w:sz w:val="20"/>
                <w:szCs w:val="20"/>
                <w:color w:val="auto"/>
              </w:rPr>
            </w:pPr>
            <w:r>
              <w:rPr>
                <w:rFonts w:ascii="Arial" w:cs="Arial" w:eastAsia="Arial" w:hAnsi="Arial"/>
                <w:sz w:val="18"/>
                <w:szCs w:val="18"/>
                <w:color w:val="auto"/>
              </w:rPr>
              <w:t>499,380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321,321,852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22,653,560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376,552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339,081,658</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4,885,153</w:t>
            </w:r>
          </w:p>
        </w:tc>
        <w:tc>
          <w:tcPr>
            <w:tcW w:w="700" w:type="dxa"/>
            <w:vAlign w:val="bottom"/>
          </w:tcPr>
          <w:p>
            <w:pPr>
              <w:jc w:val="right"/>
              <w:spacing w:after="0"/>
              <w:rPr>
                <w:sz w:val="20"/>
                <w:szCs w:val="20"/>
                <w:color w:val="auto"/>
              </w:rPr>
            </w:pPr>
            <w:r>
              <w:rPr>
                <w:rFonts w:ascii="Arial" w:cs="Arial" w:eastAsia="Arial" w:hAnsi="Arial"/>
                <w:sz w:val="18"/>
                <w:szCs w:val="18"/>
                <w:color w:val="auto"/>
              </w:rPr>
              <w:t>385,153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334,275,985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9,684,600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391,379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335,898,819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8,064,031</w:t>
            </w:r>
          </w:p>
        </w:tc>
        <w:tc>
          <w:tcPr>
            <w:tcW w:w="700" w:type="dxa"/>
            <w:vAlign w:val="bottom"/>
          </w:tcPr>
          <w:p>
            <w:pPr>
              <w:jc w:val="right"/>
              <w:spacing w:after="0"/>
              <w:rPr>
                <w:sz w:val="20"/>
                <w:szCs w:val="20"/>
                <w:color w:val="auto"/>
              </w:rPr>
            </w:pPr>
            <w:r>
              <w:rPr>
                <w:rFonts w:ascii="Arial" w:cs="Arial" w:eastAsia="Arial" w:hAnsi="Arial"/>
                <w:sz w:val="18"/>
                <w:szCs w:val="18"/>
                <w:color w:val="auto"/>
              </w:rPr>
              <w:t>389,114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341,396,061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2,600,450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355,453</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68,701,558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1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2012:</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0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For</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Against</w:t>
            </w:r>
          </w:p>
        </w:tc>
        <w:tc>
          <w:tcPr>
            <w:tcW w:w="2780" w:type="dxa"/>
            <w:vAlign w:val="bottom"/>
          </w:tcPr>
          <w:p>
            <w:pPr>
              <w:jc w:val="center"/>
              <w:spacing w:after="0"/>
              <w:rPr>
                <w:sz w:val="20"/>
                <w:szCs w:val="20"/>
                <w:color w:val="auto"/>
              </w:rPr>
            </w:pPr>
            <w:r>
              <w:rPr>
                <w:rFonts w:ascii="Arial" w:cs="Arial" w:eastAsia="Arial" w:hAnsi="Arial"/>
                <w:sz w:val="14"/>
                <w:szCs w:val="14"/>
                <w:color w:val="auto"/>
                <w:w w:val="87"/>
              </w:rPr>
              <w:t>Abstentions</w:t>
            </w:r>
          </w:p>
        </w:tc>
      </w:tr>
      <w:tr>
        <w:trPr>
          <w:trHeight w:val="210"/>
        </w:trPr>
        <w:tc>
          <w:tcPr>
            <w:tcW w:w="2960" w:type="dxa"/>
            <w:vAlign w:val="bottom"/>
            <w:tcBorders>
              <w:top w:val="single" w:sz="8" w:color="auto"/>
            </w:tcBorders>
            <w:shd w:val="clear" w:color="auto" w:fill="CCEEFF"/>
          </w:tcPr>
          <w:p>
            <w:pPr>
              <w:jc w:val="right"/>
              <w:ind w:right="962"/>
              <w:spacing w:after="0"/>
              <w:rPr>
                <w:sz w:val="20"/>
                <w:szCs w:val="20"/>
                <w:color w:val="auto"/>
              </w:rPr>
            </w:pPr>
            <w:r>
              <w:rPr>
                <w:rFonts w:ascii="Arial" w:cs="Arial" w:eastAsia="Arial" w:hAnsi="Arial"/>
                <w:sz w:val="18"/>
                <w:szCs w:val="18"/>
                <w:color w:val="auto"/>
              </w:rPr>
              <w:t>408,070,676</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62"/>
              <w:spacing w:after="0"/>
              <w:rPr>
                <w:sz w:val="20"/>
                <w:szCs w:val="20"/>
                <w:color w:val="auto"/>
              </w:rPr>
            </w:pPr>
            <w:r>
              <w:rPr>
                <w:rFonts w:ascii="Arial" w:cs="Arial" w:eastAsia="Arial" w:hAnsi="Arial"/>
                <w:sz w:val="18"/>
                <w:szCs w:val="18"/>
                <w:color w:val="auto"/>
              </w:rPr>
              <w:t>4,543,762</w:t>
            </w:r>
          </w:p>
        </w:tc>
        <w:tc>
          <w:tcPr>
            <w:tcW w:w="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color w:val="auto"/>
              </w:rPr>
              <w:t>439,084</w:t>
            </w:r>
          </w:p>
        </w:tc>
      </w:tr>
    </w:tbl>
    <w:p>
      <w:pPr>
        <w:spacing w:after="0" w:line="7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2012 proxy statement:</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For</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Abstentions</w:t>
            </w:r>
          </w:p>
        </w:tc>
        <w:tc>
          <w:tcPr>
            <w:tcW w:w="230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10"/>
        </w:trPr>
        <w:tc>
          <w:tcPr>
            <w:tcW w:w="232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rPr>
              <w:t>330,944,617</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rPr>
              <w:t>10,250,721</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rPr>
              <w:t>3,156,626</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68,701,558</w:t>
            </w:r>
          </w:p>
        </w:tc>
      </w:tr>
    </w:tbl>
    <w:p>
      <w:pPr>
        <w:spacing w:after="0" w:line="73" w:lineRule="exact"/>
        <w:rPr>
          <w:sz w:val="20"/>
          <w:szCs w:val="20"/>
          <w:color w:val="auto"/>
        </w:rPr>
      </w:pPr>
    </w:p>
    <w:p>
      <w:pPr>
        <w:ind w:left="900" w:right="2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the Company’s Employee Stock Purchase Plan to increase the number of shares authorized for issuance under the Plan:</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For</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Abstentions</w:t>
            </w:r>
          </w:p>
        </w:tc>
        <w:tc>
          <w:tcPr>
            <w:tcW w:w="230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10"/>
        </w:trPr>
        <w:tc>
          <w:tcPr>
            <w:tcW w:w="232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rPr>
              <w:t>339,353,603</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rPr>
              <w:t>4,432,316</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rPr>
              <w:t>566,045</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68,701,558</w:t>
            </w:r>
          </w:p>
        </w:tc>
      </w:tr>
    </w:tbl>
    <w:p>
      <w:pPr>
        <w:spacing w:after="0" w:line="73" w:lineRule="exact"/>
        <w:rPr>
          <w:sz w:val="20"/>
          <w:szCs w:val="20"/>
          <w:color w:val="auto"/>
        </w:rPr>
      </w:pPr>
    </w:p>
    <w:p>
      <w:pPr>
        <w:ind w:left="900" w:right="3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 proposal relating to a stock retention policy requiring senior executives to retain a significant percentage of stock acquired through equity pay programs until one year following termination of employment:</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For</w:t>
            </w: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Against</w:t>
            </w:r>
          </w:p>
        </w:tc>
        <w:tc>
          <w:tcPr>
            <w:tcW w:w="100" w:type="dxa"/>
            <w:vAlign w:val="bottom"/>
          </w:tcPr>
          <w:p>
            <w:pPr>
              <w:spacing w:after="0"/>
              <w:rPr>
                <w:sz w:val="15"/>
                <w:szCs w:val="15"/>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Abstentions</w:t>
            </w:r>
          </w:p>
        </w:tc>
        <w:tc>
          <w:tcPr>
            <w:tcW w:w="230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10"/>
        </w:trPr>
        <w:tc>
          <w:tcPr>
            <w:tcW w:w="232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81,103,153</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rPr>
              <w:t>262,359,192</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rPr>
              <w:t>889,619</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68,701,558</w:t>
            </w:r>
          </w:p>
        </w:tc>
      </w:tr>
      <w:tr>
        <w:trPr>
          <w:trHeight w:val="363"/>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gridSpan w:val="2"/>
          </w:tcPr>
          <w:p>
            <w:pPr>
              <w:jc w:val="right"/>
              <w:ind w:right="228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280"/>
          </w:cols>
          <w:pgMar w:left="240" w:top="274" w:right="379" w:bottom="1440" w:gutter="0" w:footer="0" w:header="0"/>
        </w:sectPr>
      </w:pPr>
    </w:p>
    <w:bookmarkStart w:id="2" w:name="page3"/>
    <w:bookmarkEnd w:id="2"/>
    <w:p>
      <w:pPr>
        <w:ind w:left="446" w:hanging="446"/>
        <w:spacing w:after="0" w:line="268"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 to amend the Company’s By-laws and other governing documents to give stockholders of the lowest percentage of the Company’s outstanding Common Stock permitted by law the power to call special stockholder meetings:</w:t>
      </w:r>
    </w:p>
    <w:p>
      <w:pPr>
        <w:spacing w:after="0" w:line="170" w:lineRule="exact"/>
        <w:rPr>
          <w:sz w:val="20"/>
          <w:szCs w:val="20"/>
          <w:color w:val="auto"/>
        </w:rPr>
      </w:pPr>
    </w:p>
    <w:tbl>
      <w:tblPr>
        <w:tblLayout w:type="fixed"/>
        <w:tblInd w:w="466" w:type="dxa"/>
        <w:tblCellMar>
          <w:top w:w="0" w:type="dxa"/>
          <w:left w:w="0" w:type="dxa"/>
          <w:bottom w:w="0" w:type="dxa"/>
          <w:right w:w="0" w:type="dxa"/>
        </w:tblCellMar>
      </w:tblPr>
      <w:tr>
        <w:trPr>
          <w:trHeight w:val="173"/>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For</w:t>
            </w: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Against</w:t>
            </w:r>
          </w:p>
        </w:tc>
        <w:tc>
          <w:tcPr>
            <w:tcW w:w="100" w:type="dxa"/>
            <w:vAlign w:val="bottom"/>
          </w:tcPr>
          <w:p>
            <w:pPr>
              <w:spacing w:after="0"/>
              <w:rPr>
                <w:sz w:val="15"/>
                <w:szCs w:val="15"/>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Abstentions</w:t>
            </w:r>
          </w:p>
        </w:tc>
        <w:tc>
          <w:tcPr>
            <w:tcW w:w="230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10"/>
        </w:trPr>
        <w:tc>
          <w:tcPr>
            <w:tcW w:w="232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15,488,145</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rPr>
              <w:t>328,040,374</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rPr>
              <w:t>823,445</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68,701,558</w:t>
            </w:r>
          </w:p>
        </w:tc>
      </w:tr>
      <w:tr>
        <w:trPr>
          <w:trHeight w:val="363"/>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gridSpan w:val="2"/>
          </w:tcPr>
          <w:p>
            <w:pPr>
              <w:jc w:val="right"/>
              <w:ind w:right="228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0286"/>
          </w:cols>
          <w:pgMar w:left="694" w:top="280" w:right="9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2380"/>
              <w:spacing w:after="0"/>
              <w:rPr>
                <w:sz w:val="20"/>
                <w:szCs w:val="20"/>
                <w:color w:val="auto"/>
              </w:rPr>
            </w:pPr>
            <w:r>
              <w:rPr>
                <w:rFonts w:ascii="Arial" w:cs="Arial" w:eastAsia="Arial" w:hAnsi="Arial"/>
                <w:sz w:val="18"/>
                <w:szCs w:val="18"/>
                <w:color w:val="auto"/>
              </w:rPr>
              <w:t>WASTE MANAGEMENT, INC.</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May 14, 2012</w:t>
            </w:r>
          </w:p>
        </w:tc>
        <w:tc>
          <w:tcPr>
            <w:tcW w:w="7880" w:type="dxa"/>
            <w:vAlign w:val="bottom"/>
            <w:gridSpan w:val="2"/>
          </w:tcPr>
          <w:p>
            <w:pPr>
              <w:ind w:left="2380"/>
              <w:spacing w:after="0"/>
              <w:rPr>
                <w:sz w:val="20"/>
                <w:szCs w:val="20"/>
                <w:color w:val="auto"/>
              </w:rPr>
            </w:pPr>
            <w:r>
              <w:rPr>
                <w:rFonts w:ascii="Arial" w:cs="Arial" w:eastAsia="Arial" w:hAnsi="Arial"/>
                <w:sz w:val="18"/>
                <w:szCs w:val="18"/>
                <w:color w:val="auto"/>
              </w:rPr>
              <w:t>By: /s/ Rick L Wittenbraker</w:t>
            </w:r>
          </w:p>
        </w:tc>
      </w:tr>
      <w:tr>
        <w:trPr>
          <w:trHeight w:val="202"/>
        </w:trPr>
        <w:tc>
          <w:tcPr>
            <w:tcW w:w="3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65"/>
        </w:trPr>
        <w:tc>
          <w:tcPr>
            <w:tcW w:w="3540" w:type="dxa"/>
            <w:vAlign w:val="bottom"/>
          </w:tcPr>
          <w:p>
            <w:pPr>
              <w:spacing w:after="0"/>
              <w:rPr>
                <w:sz w:val="24"/>
                <w:szCs w:val="24"/>
                <w:color w:val="auto"/>
              </w:rPr>
            </w:pPr>
          </w:p>
        </w:tc>
        <w:tc>
          <w:tcPr>
            <w:tcW w:w="2640" w:type="dxa"/>
            <w:vAlign w:val="bottom"/>
          </w:tcPr>
          <w:p>
            <w:pPr>
              <w:jc w:val="right"/>
              <w:ind w:right="332"/>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2019-12-09T10:05:52Z</dcterms:created>
  <dcterms:modified xsi:type="dcterms:W3CDTF">2019-12-09T10:05:52Z</dcterms:modified>
</cp:coreProperties>
</file>