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4"/>
          <w:szCs w:val="24"/>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4"/>
          <w:szCs w:val="24"/>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WASTE MANAGEMENT RETIREMENT SAVINGS PLAN</w:t>
      </w: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2220" w:type="dxa"/>
            <w:vAlign w:val="bottom"/>
          </w:tcPr>
          <w:p>
            <w:pPr>
              <w:spacing w:after="0"/>
              <w:rPr>
                <w:sz w:val="24"/>
                <w:szCs w:val="24"/>
                <w:color w:val="auto"/>
              </w:rPr>
            </w:pPr>
          </w:p>
        </w:tc>
      </w:tr>
      <w:tr>
        <w:trPr>
          <w:trHeight w:val="418"/>
        </w:trPr>
        <w:tc>
          <w:tcPr>
            <w:tcW w:w="9200" w:type="dxa"/>
            <w:vAlign w:val="bottom"/>
          </w:tcPr>
          <w:p>
            <w:pPr>
              <w:ind w:left="220"/>
              <w:spacing w:after="0"/>
              <w:rPr>
                <w:sz w:val="20"/>
                <w:szCs w:val="20"/>
                <w:color w:val="auto"/>
              </w:rPr>
            </w:pPr>
            <w:r>
              <w:rPr>
                <w:rFonts w:ascii="Arial" w:cs="Arial" w:eastAsia="Arial" w:hAnsi="Arial"/>
                <w:sz w:val="18"/>
                <w:szCs w:val="18"/>
                <w:color w:val="auto"/>
              </w:rPr>
              <w:t>Statements of Net Assets Available for Benefits as of December 31, 2008 and 2007</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Statement of Changes in Net Assets Available for Benefits for the Year Ended December 31, 2008</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30"/>
        </w:trPr>
        <w:tc>
          <w:tcPr>
            <w:tcW w:w="9200" w:type="dxa"/>
            <w:vAlign w:val="bottom"/>
          </w:tcPr>
          <w:p>
            <w:pPr>
              <w:ind w:left="220"/>
              <w:spacing w:after="0"/>
              <w:rPr>
                <w:sz w:val="20"/>
                <w:szCs w:val="20"/>
                <w:color w:val="auto"/>
              </w:rPr>
            </w:pPr>
            <w:r>
              <w:rPr>
                <w:rFonts w:ascii="Arial" w:cs="Arial" w:eastAsia="Arial" w:hAnsi="Arial"/>
                <w:sz w:val="18"/>
                <w:szCs w:val="18"/>
                <w:color w:val="auto"/>
              </w:rPr>
              <w:t>Notes to Financial Statements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Supplemental Schedule</w:t>
            </w:r>
          </w:p>
        </w:tc>
        <w:tc>
          <w:tcPr>
            <w:tcW w:w="2220" w:type="dxa"/>
            <w:vAlign w:val="bottom"/>
          </w:tcPr>
          <w:p>
            <w:pPr>
              <w:spacing w:after="0"/>
              <w:rPr>
                <w:sz w:val="24"/>
                <w:szCs w:val="24"/>
                <w:color w:val="auto"/>
              </w:rPr>
            </w:pPr>
          </w:p>
        </w:tc>
      </w:tr>
      <w:tr>
        <w:trPr>
          <w:trHeight w:val="432"/>
        </w:trPr>
        <w:tc>
          <w:tcPr>
            <w:tcW w:w="9200" w:type="dxa"/>
            <w:vAlign w:val="bottom"/>
          </w:tcPr>
          <w:p>
            <w:pPr>
              <w:ind w:left="220"/>
              <w:spacing w:after="0"/>
              <w:rPr>
                <w:sz w:val="20"/>
                <w:szCs w:val="20"/>
                <w:color w:val="auto"/>
              </w:rPr>
            </w:pPr>
            <w:r>
              <w:rPr>
                <w:rFonts w:ascii="Arial" w:cs="Arial" w:eastAsia="Arial" w:hAnsi="Arial"/>
                <w:sz w:val="18"/>
                <w:szCs w:val="18"/>
                <w:color w:val="auto"/>
              </w:rPr>
              <w:t>Schedule H, Line 4(i) — Schedule of Assets (Held At End of Year)</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632"/>
        </w:trPr>
        <w:tc>
          <w:tcPr>
            <w:tcW w:w="920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as of December 31, 2008 and 2007, and the related statement of changes in net assets available for benefits for the year ended December 31, 2008.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December 31, 2008 and 2007, and the changes in its net assets available for benefits for the year ended December 31, 2008, in conformity with US generally accepted accounting principles.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2008,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2009</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2"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interest in the Master Trust (Note 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$ 1,068,570,029</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$ 1,344,118,559</w:t>
            </w: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Participant loans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58,894,747</w:t>
            </w:r>
          </w:p>
        </w:tc>
        <w:tc>
          <w:tcPr>
            <w:tcW w:w="6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58,233,698</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1,127,464,776</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1,402,352,257</w:t>
            </w:r>
          </w:p>
        </w:tc>
      </w:tr>
      <w:tr>
        <w:trPr>
          <w:trHeight w:val="439"/>
        </w:trPr>
        <w:tc>
          <w:tcPr>
            <w:tcW w:w="8400" w:type="dxa"/>
            <w:vAlign w:val="bottom"/>
          </w:tcPr>
          <w:p>
            <w:pPr>
              <w:spacing w:after="0"/>
              <w:rPr>
                <w:sz w:val="20"/>
                <w:szCs w:val="20"/>
                <w:color w:val="auto"/>
              </w:rPr>
            </w:pPr>
            <w:r>
              <w:rPr>
                <w:rFonts w:ascii="Arial" w:cs="Arial" w:eastAsia="Arial" w:hAnsi="Arial"/>
                <w:sz w:val="18"/>
                <w:szCs w:val="18"/>
                <w:color w:val="auto"/>
              </w:rPr>
              <w:t>RECEIVABLES:</w:t>
            </w:r>
          </w:p>
        </w:tc>
        <w:tc>
          <w:tcPr>
            <w:tcW w:w="11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contributions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1,577,573</w:t>
            </w: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3,917,114</w:t>
            </w:r>
          </w:p>
        </w:tc>
        <w:tc>
          <w:tcPr>
            <w:tcW w:w="6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2,198,290</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receivables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3,917,979</w:t>
            </w:r>
          </w:p>
        </w:tc>
        <w:tc>
          <w:tcPr>
            <w:tcW w:w="6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3,775,863</w:t>
            </w:r>
          </w:p>
        </w:tc>
        <w:tc>
          <w:tcPr>
            <w:tcW w:w="100" w:type="dxa"/>
            <w:vAlign w:val="bottom"/>
            <w:shd w:val="clear" w:color="auto" w:fill="CCEEFF"/>
          </w:tcPr>
          <w:p>
            <w:pPr>
              <w:spacing w:after="0"/>
              <w:rPr>
                <w:sz w:val="18"/>
                <w:szCs w:val="18"/>
                <w:color w:val="auto"/>
              </w:rPr>
            </w:pPr>
          </w:p>
        </w:tc>
      </w:tr>
      <w:tr>
        <w:trPr>
          <w:trHeight w:val="439"/>
        </w:trPr>
        <w:tc>
          <w:tcPr>
            <w:tcW w:w="8400" w:type="dxa"/>
            <w:vAlign w:val="bottom"/>
          </w:tcPr>
          <w:p>
            <w:pPr>
              <w:spacing w:after="0"/>
              <w:rPr>
                <w:sz w:val="20"/>
                <w:szCs w:val="20"/>
                <w:color w:val="auto"/>
              </w:rPr>
            </w:pPr>
            <w:r>
              <w:rPr>
                <w:rFonts w:ascii="Arial" w:cs="Arial" w:eastAsia="Arial" w:hAnsi="Arial"/>
                <w:sz w:val="18"/>
                <w:szCs w:val="18"/>
                <w:color w:val="auto"/>
              </w:rPr>
              <w:t>Net assets reflecting investments at fair value</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1,131,382,755</w:t>
            </w:r>
          </w:p>
        </w:tc>
        <w:tc>
          <w:tcPr>
            <w:tcW w:w="6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1,406,128,120</w:t>
            </w:r>
          </w:p>
        </w:tc>
      </w:tr>
      <w:tr>
        <w:trPr>
          <w:trHeight w:val="216"/>
        </w:trPr>
        <w:tc>
          <w:tcPr>
            <w:tcW w:w="8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4,185,913</w:t>
            </w:r>
          </w:p>
        </w:tc>
        <w:tc>
          <w:tcPr>
            <w:tcW w:w="6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8,992,362</w:t>
            </w:r>
          </w:p>
        </w:tc>
        <w:tc>
          <w:tcPr>
            <w:tcW w:w="100" w:type="dxa"/>
            <w:vAlign w:val="bottom"/>
            <w:shd w:val="clear" w:color="auto" w:fill="CCEEFF"/>
          </w:tcPr>
          <w:p>
            <w:pPr>
              <w:spacing w:after="0"/>
              <w:rPr>
                <w:sz w:val="18"/>
                <w:szCs w:val="18"/>
                <w:color w:val="auto"/>
              </w:rPr>
            </w:pPr>
          </w:p>
        </w:tc>
      </w:tr>
      <w:tr>
        <w:trPr>
          <w:trHeight w:val="439"/>
        </w:trPr>
        <w:tc>
          <w:tcPr>
            <w:tcW w:w="84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14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1,135,568,668</w:t>
            </w:r>
          </w:p>
        </w:tc>
        <w:tc>
          <w:tcPr>
            <w:tcW w:w="6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1,415,120,482</w:t>
            </w:r>
          </w:p>
        </w:tc>
      </w:tr>
      <w:tr>
        <w:trPr>
          <w:trHeight w:val="20"/>
        </w:trPr>
        <w:tc>
          <w:tcPr>
            <w:tcW w:w="8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40" w:type="dxa"/>
            <w:vAlign w:val="bottom"/>
          </w:tcPr>
          <w:p>
            <w:pPr>
              <w:jc w:val="center"/>
              <w:ind w:left="117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color w:val="auto"/>
                <w:w w:val="89"/>
              </w:rPr>
              <w:t>Year Ended December 31, 2008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Rollover</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3,368,919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49,442,359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135,414,709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to the Plan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Participant loan interest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140,706,411</w:t>
            </w:r>
          </w:p>
        </w:tc>
        <w:tc>
          <w:tcPr>
            <w:tcW w:w="0" w:type="dxa"/>
            <w:vAlign w:val="bottom"/>
          </w:tcPr>
          <w:p>
            <w:pPr>
              <w:spacing w:after="0"/>
              <w:rPr>
                <w:sz w:val="1"/>
                <w:szCs w:val="1"/>
                <w:color w:val="auto"/>
              </w:rPr>
            </w:pPr>
          </w:p>
        </w:tc>
      </w:tr>
      <w:tr>
        <w:trPr>
          <w:trHeight w:val="439"/>
        </w:trPr>
        <w:tc>
          <w:tcPr>
            <w:tcW w:w="1016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loss from the Master Trust (Note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303,845,147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116,413,078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420,258,225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160" w:type="dxa"/>
            <w:vAlign w:val="bottom"/>
            <w:gridSpan w:val="2"/>
          </w:tcPr>
          <w:p>
            <w:pPr>
              <w:spacing w:after="0"/>
              <w:rPr>
                <w:sz w:val="20"/>
                <w:szCs w:val="20"/>
                <w:color w:val="auto"/>
              </w:rPr>
            </w:pPr>
            <w:r>
              <w:rPr>
                <w:rFonts w:ascii="Arial" w:cs="Arial" w:eastAsia="Arial" w:hAnsi="Arial"/>
                <w:sz w:val="18"/>
                <w:szCs w:val="18"/>
                <w:color w:val="auto"/>
              </w:rPr>
              <w:t>NET DECREASE IN NET ASSETS AVAILABLE FOR BENEFITS</w:t>
            </w:r>
          </w:p>
        </w:tc>
        <w:tc>
          <w:tcPr>
            <w:tcW w:w="1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(279,551,814)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1,415,120,482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1,135,568,668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Plan is a defined contribution plan available to all eligible employees, and their beneficiaries, of Waste Management, Inc., and subsidiaries (“Waste Management” or the “Company”). The Plan is subject to the provisions of the Employee Retirement Income Security Act of 1974, as amended (“ERISA”).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Lion Connecticut Holdings, Inc., a wholly-owned indirect subsidiary of ING America Insurance Holdings Inc. (“ING”) serves as recordkeeper.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Employees (as defined by the Plan) are eligible to participate in the Plan following completion of a 90-day period of service (as defined by the Plan).</w:t>
      </w:r>
    </w:p>
    <w:p>
      <w:pPr>
        <w:spacing w:after="0" w:line="1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w:t>
      </w:r>
    </w:p>
    <w:p>
      <w:pPr>
        <w:ind w:right="200" w:firstLine="8"/>
        <w:spacing w:after="0" w:line="295"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nonresident aliens who have no earned income from sources within the United States of America; and (f) individuals who are participants in certain other pension, retirement, profit-sharing, stock bonus, thrift or savings plans maintained by the Company other than the Waste Management Pension Plan for Collectively Bargained Employees or such other plans as may from time to time be determined by the Administrative Committee. Certain United States citizens employed by foreign affiliates of the Company may participate in the Plan under certain provisions specified by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Participants may contribute from one percent to 25 percent of their pre-tax compensation, as defined by the Plan, not to exceed certain limits as described in the plan document (“Employee Contribution”). In addition, participants that are age 50 or older were eligible to make catch-up contributions of up to $5,000 of pre-tax compensation in 2008. After-tax contributions are not permitted by the Plan. Participants may also contribute amounts representing distributions from other qualified plans (“Rollover Contribution”). The Company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(“Employer Contribution”).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Plan, through its investments in the Master Trust, currently offers participants (a) six common/collective trust funds; (b) a Company common stock fund;</w:t>
      </w:r>
    </w:p>
    <w:p>
      <w:pPr>
        <w:spacing w:after="0" w:line="46" w:lineRule="exact"/>
        <w:rPr>
          <w:sz w:val="20"/>
          <w:szCs w:val="20"/>
          <w:color w:val="auto"/>
        </w:rPr>
      </w:pPr>
    </w:p>
    <w:p>
      <w:pPr>
        <w:jc w:val="both"/>
        <w:ind w:firstLine="8"/>
        <w:spacing w:after="0" w:line="254"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self-managed account, which allows participants to select various securities sold on the New York Stock Exchange, American Stock Exchange and NASDAQ; and (d) six target retirement-date funds, which are also common/collective trust funds. Several restrictions apply, and a minimum balance is required to participate in the self-managed account. The Plan utilizes cash equivalents to temporarily hold monies pending settlement for transactions initiated by participants.</w:t>
      </w:r>
    </w:p>
    <w:p>
      <w:pPr>
        <w:spacing w:after="0" w:line="8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regarding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Participants are immediately vested in their Employee Contribution, Rollover Contribution and Employer Contribution accounts, plus earnings thereon.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the participant’s account based upon the participant’s proportionate share of the funds within the Master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 of accounts invested in Company common stock may be taken in whole shares of common stock or cash.</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Participants may also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w:t>
      </w:r>
    </w:p>
    <w:p>
      <w:pPr>
        <w:spacing w:after="0" w:line="2" w:lineRule="exact"/>
        <w:rPr>
          <w:sz w:val="20"/>
          <w:szCs w:val="20"/>
          <w:color w:val="auto"/>
        </w:rPr>
      </w:pPr>
    </w:p>
    <w:p>
      <w:pPr>
        <w:ind w:right="180" w:firstLine="8"/>
        <w:spacing w:after="0" w:line="271"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be made in equal periodic payments over the term of the loan and applied to principal using a level amortization over the repayment period.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2008, the Company elected to pay certain audit and legal fees of the Plan.</w:t>
      </w:r>
    </w:p>
    <w:p>
      <w:pPr>
        <w:spacing w:after="0" w:line="184" w:lineRule="exact"/>
        <w:rPr>
          <w:sz w:val="20"/>
          <w:szCs w:val="20"/>
          <w:color w:val="auto"/>
        </w:rPr>
      </w:pPr>
    </w:p>
    <w:p>
      <w:pPr>
        <w:ind w:right="870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8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are recorded when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cannot be calculated with a high degree of precision from available data or simply cannot be readily calculated based on generally accepted methodologies.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purpose of the Master Trust is the collective investment of the assets of participating employee benefit plans of the Company and its subsidiaries.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Corporate stocks, mutual funds and publicly-traded partnership interests held by the Master Trust are stated at fair value based on quoted market prices as of the financial statement date. The fair values of the common/collective trust funds held by the Master Trust are generally based on net asset values established by State Street (the issuer of the common/collective trust funds) based on fair values of the underlying assets. The common/collective trust funds held by the Master Trust include a Stable Value Fund that invests in fully benefit-responsive guaranteed investment contracts (“GICs”) and synthetic investment contracts (“Synthetic GICs”). In accordance with FASB Staff Position AAG INV-1 and SOP 94-4-1, </w:t>
      </w:r>
      <w:r>
        <w:rPr>
          <w:rFonts w:ascii="Arial" w:cs="Arial" w:eastAsia="Arial" w:hAnsi="Arial"/>
          <w:sz w:val="16"/>
          <w:szCs w:val="16"/>
          <w:i w:val="1"/>
          <w:iCs w:val="1"/>
          <w:color w:val="auto"/>
        </w:rPr>
        <w:t>Reporting of Fully Benefit-Responsive Investment Contracts Held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by Certain Investment Companies Subject to the AICPA Investment Company Guide and Defined-Contribution Health and Welfare and Pension Plans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“FSP”), the fully-benefit 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fully-benefit responsive investment contracts and an adjustment from fair value to contract value to arrive at Net Assets Available for Benefits. The fair value measurement of these investments is discussed further in Note 4. Short-term investments (included in amounts reported as common/collective trust funds herein) and loans to participants are stated at cost, which approximates fair value.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(continued)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the values of investment securities will occur in the near term and that such changes could materially affect the amounts reported in the Statements of Net Assets Available for Benefits and participant account balances.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Effective January 1, 2008, the Plan adopted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defines and establishes a framework for measuring fair value and expands disclosures about fair value measurements. Furthermore, SFAS No. 157 specifies a hierarchy of valuation techniques based upon whether the inputs to those valuation techniques reflect assumptions other market participants would use based upon market data obtained from independent sources (observable inputs) or reflect the Plan’s own assumptions of market participant valuation (unobservable inputs). The adoption of SFAS No. 157 did not materially impact the Plan’s financial statements. The additional disclosures required as a result of the Plan’s adoption of SFAS No. 157 are included in Note 5.</w:t>
      </w:r>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April 2009, FASB Staff Position SFAS No.157-4, </w:t>
      </w:r>
      <w:r>
        <w:rPr>
          <w:rFonts w:ascii="Arial" w:cs="Arial" w:eastAsia="Arial" w:hAnsi="Arial"/>
          <w:sz w:val="18"/>
          <w:szCs w:val="18"/>
          <w:i w:val="1"/>
          <w:iCs w:val="1"/>
          <w:color w:val="auto"/>
        </w:rPr>
        <w:t>Determining Fair Value When the Volume and Level of Activity for the Asset or Liability Have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Significantly Decreased and Identifying Transactions That Are Not Orderly </w:t>
      </w:r>
      <w:r>
        <w:rPr>
          <w:rFonts w:ascii="Arial" w:cs="Arial" w:eastAsia="Arial" w:hAnsi="Arial"/>
          <w:sz w:val="18"/>
          <w:szCs w:val="18"/>
          <w:color w:val="auto"/>
        </w:rPr>
        <w:t>(“FSP SFAS No. 157-4”) was issued. FSP SFAS No. 157-4 provides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on (i) estimating fair value when the volume and level of activity for an asset or liability have significantly decreased in relation to normal market activity for the asset or liability; and (ii) identifying circumstances that indicate a transaction is not orderly. FSP SFAS No. 157-4 also amends SFAS No. 157 to require additional disclosures related to the inputs and valuation techniques used to measure fair value, changes in inputs and valuation techniques, if any, during the reporting period and the major debt and equity security types held by the reporting entity. FSP SFAS No. 157-4 is effective for interim and annual reporting periods ending after June 15, 2009. The Company is currently evaluating the impact of the provisions of FSP SFAS No. 157-4 on the Plan’s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Plan investments are held in the Master Trust along with the Waste Management Retirement Savings Plan for Bargaining Unit Employees (the “Union Plan”). As of December 31, 2008 and 2007, the Plan’s beneficial interest in the net assets of the Master Trust was 99.65% and 99.70%, respectively.</w:t>
      </w:r>
    </w:p>
    <w:p>
      <w:pPr>
        <w:spacing w:after="0" w:line="1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Neither the Plan nor the 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9" w:name="page10"/>
    <w:bookmarkEnd w:id="9"/>
    <w:p>
      <w:pPr>
        <w:ind w:left="4100"/>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Notes to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Common/collective trust funds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949,051,449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1,217,636,268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Corporate stocks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6,542,197</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12,793,377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Waste Management, Inc. common stock</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104,384,770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100,297,031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Mutual funds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12,159,625</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17,447,414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Publicly-traded partnership interests and other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115,515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109,526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Total investments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1,072,253,556</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1,348,283,616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822,753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Cash, non-interest bearing</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20,046</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1,073,096,355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1,349,303,595</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payable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737,112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Securities purchased payable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11,530</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42,469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748,642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1,058,566</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1,072,347,713</w:t>
            </w: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1,348,245,029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4,192,195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9,000,025</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1,076,539,908</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1,357,245,054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w w:val="95"/>
              </w:rPr>
              <w:t>Respective interests in the net assets of the Master Trust by the Plan and the Union Plan are as follows:</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investments at fair value: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1,068,570,029</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1,344,118,559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3,777,684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1,072,347,713</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1,348,245,029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4,185,913</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8,992,362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4,192,195</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1,072,755,942</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1,353,110,921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3,783,966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1,076,539,908</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1,357,245,054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566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00" w:type="dxa"/>
            <w:vAlign w:val="bottom"/>
          </w:tcPr>
          <w:p>
            <w:pPr>
              <w:ind w:left="4080"/>
              <w:spacing w:after="0"/>
              <w:rPr>
                <w:sz w:val="20"/>
                <w:szCs w:val="20"/>
                <w:color w:val="auto"/>
              </w:rPr>
            </w:pPr>
            <w:r>
              <w:rPr>
                <w:rFonts w:ascii="Arial" w:cs="Arial" w:eastAsia="Arial" w:hAnsi="Arial"/>
                <w:sz w:val="18"/>
                <w:szCs w:val="18"/>
                <w:color w:val="auto"/>
              </w:rPr>
              <w:t>Waste Management Retirement Savings Plan</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500" w:type="dxa"/>
            <w:vAlign w:val="bottom"/>
          </w:tcPr>
          <w:p>
            <w:pPr>
              <w:ind w:left="4180"/>
              <w:spacing w:after="0"/>
              <w:rPr>
                <w:sz w:val="20"/>
                <w:szCs w:val="20"/>
                <w:color w:val="auto"/>
              </w:rPr>
            </w:pPr>
            <w:r>
              <w:rPr>
                <w:rFonts w:ascii="Arial" w:cs="Arial" w:eastAsia="Arial" w:hAnsi="Arial"/>
                <w:sz w:val="18"/>
                <w:szCs w:val="18"/>
                <w:color w:val="auto"/>
              </w:rPr>
              <w:t>Notes to Financial Statements (continued)</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w w:val="94"/>
              </w:rPr>
              <w:t>Income or loss from investments held in the Master Trust for the year ended December 31, 2008, was as follows:</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(depreciation) in fair value of:</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Common/collective trust funds</w:t>
            </w:r>
          </w:p>
        </w:tc>
        <w:tc>
          <w:tcPr>
            <w:tcW w:w="1720" w:type="dxa"/>
            <w:vAlign w:val="bottom"/>
            <w:gridSpan w:val="2"/>
          </w:tcPr>
          <w:p>
            <w:pPr>
              <w:jc w:val="right"/>
              <w:ind w:right="490"/>
              <w:spacing w:after="0"/>
              <w:rPr>
                <w:sz w:val="20"/>
                <w:szCs w:val="20"/>
                <w:color w:val="auto"/>
              </w:rPr>
            </w:pPr>
            <w:r>
              <w:rPr>
                <w:rFonts w:ascii="Arial" w:cs="Arial" w:eastAsia="Arial" w:hAnsi="Arial"/>
                <w:sz w:val="18"/>
                <w:szCs w:val="18"/>
                <w:color w:val="auto"/>
                <w:w w:val="88"/>
              </w:rPr>
              <w:t>$ (303,868,091)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stocks</w:t>
            </w:r>
          </w:p>
        </w:tc>
        <w:tc>
          <w:tcPr>
            <w:tcW w:w="17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(7,083,616)</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Waste Management, Inc. common stock</w:t>
            </w:r>
          </w:p>
        </w:tc>
        <w:tc>
          <w:tcPr>
            <w:tcW w:w="1720" w:type="dxa"/>
            <w:vAlign w:val="bottom"/>
            <w:gridSpan w:val="2"/>
          </w:tcPr>
          <w:p>
            <w:pPr>
              <w:jc w:val="right"/>
              <w:ind w:right="550"/>
              <w:spacing w:after="0"/>
              <w:rPr>
                <w:sz w:val="20"/>
                <w:szCs w:val="20"/>
                <w:color w:val="auto"/>
              </w:rPr>
            </w:pPr>
            <w:r>
              <w:rPr>
                <w:rFonts w:ascii="Arial" w:cs="Arial" w:eastAsia="Arial" w:hAnsi="Arial"/>
                <w:sz w:val="18"/>
                <w:szCs w:val="18"/>
                <w:color w:val="auto"/>
              </w:rPr>
              <w:t>1,859,006</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7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(6,273,777)</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Publicly-traded partnership interests and other</w:t>
            </w:r>
          </w:p>
        </w:tc>
        <w:tc>
          <w:tcPr>
            <w:tcW w:w="1720" w:type="dxa"/>
            <w:vAlign w:val="bottom"/>
            <w:gridSpan w:val="2"/>
          </w:tcPr>
          <w:p>
            <w:pPr>
              <w:jc w:val="right"/>
              <w:ind w:right="490"/>
              <w:spacing w:after="0"/>
              <w:rPr>
                <w:sz w:val="20"/>
                <w:szCs w:val="20"/>
                <w:color w:val="auto"/>
              </w:rPr>
            </w:pPr>
            <w:r>
              <w:rPr>
                <w:rFonts w:ascii="Arial" w:cs="Arial" w:eastAsia="Arial" w:hAnsi="Arial"/>
                <w:sz w:val="18"/>
                <w:szCs w:val="18"/>
                <w:color w:val="auto"/>
              </w:rPr>
              <w:t>(89,181)</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net depreciation in fair value of investments</w:t>
            </w:r>
          </w:p>
        </w:tc>
        <w:tc>
          <w:tcPr>
            <w:tcW w:w="1080" w:type="dxa"/>
            <w:vAlign w:val="bottom"/>
            <w:tcBorders>
              <w:top w:val="single" w:sz="8" w:color="auto"/>
            </w:tcBorders>
            <w:shd w:val="clear" w:color="auto" w:fill="CCEEFF"/>
          </w:tcPr>
          <w:p>
            <w:pPr>
              <w:spacing w:after="0"/>
              <w:rPr>
                <w:sz w:val="18"/>
                <w:szCs w:val="18"/>
                <w:color w:val="auto"/>
              </w:rPr>
            </w:pP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(315,455,659)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w:t>
            </w:r>
          </w:p>
        </w:tc>
        <w:tc>
          <w:tcPr>
            <w:tcW w:w="2900" w:type="dxa"/>
            <w:vAlign w:val="bottom"/>
            <w:gridSpan w:val="4"/>
          </w:tcPr>
          <w:p>
            <w:pPr>
              <w:jc w:val="right"/>
              <w:ind w:right="20"/>
              <w:spacing w:after="0"/>
              <w:rPr>
                <w:sz w:val="20"/>
                <w:szCs w:val="20"/>
                <w:color w:val="auto"/>
              </w:rPr>
            </w:pPr>
            <w:r>
              <w:rPr>
                <w:rFonts w:ascii="Arial" w:cs="Arial" w:eastAsia="Arial" w:hAnsi="Arial"/>
                <w:sz w:val="18"/>
                <w:szCs w:val="18"/>
                <w:color w:val="auto"/>
              </w:rPr>
              <w:t>9,701,095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2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Dividends — Waste Management, Inc. common stock</w:t>
            </w:r>
          </w:p>
        </w:tc>
        <w:tc>
          <w:tcPr>
            <w:tcW w:w="2900" w:type="dxa"/>
            <w:vAlign w:val="bottom"/>
            <w:gridSpan w:val="4"/>
          </w:tcPr>
          <w:p>
            <w:pPr>
              <w:jc w:val="right"/>
              <w:ind w:right="20"/>
              <w:spacing w:after="0"/>
              <w:rPr>
                <w:sz w:val="20"/>
                <w:szCs w:val="20"/>
                <w:color w:val="auto"/>
              </w:rPr>
            </w:pPr>
            <w:r>
              <w:rPr>
                <w:rFonts w:ascii="Arial" w:cs="Arial" w:eastAsia="Arial" w:hAnsi="Arial"/>
                <w:sz w:val="18"/>
                <w:szCs w:val="18"/>
                <w:color w:val="auto"/>
              </w:rPr>
              <w:t>3,292,983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130,005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Total investment loss</w:t>
            </w:r>
          </w:p>
        </w:tc>
        <w:tc>
          <w:tcPr>
            <w:tcW w:w="1720" w:type="dxa"/>
            <w:vAlign w:val="bottom"/>
            <w:gridSpan w:val="2"/>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(301,624,578)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2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3,342,902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Net investment loss</w:t>
            </w:r>
          </w:p>
        </w:tc>
        <w:tc>
          <w:tcPr>
            <w:tcW w:w="1720" w:type="dxa"/>
            <w:vAlign w:val="bottom"/>
            <w:gridSpan w:val="2"/>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(304,967,480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net investment loss from the Master Trust</w:t>
            </w:r>
          </w:p>
        </w:tc>
        <w:tc>
          <w:tcPr>
            <w:tcW w:w="2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(303,845,147)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Union Plan interest in net investment loss from the Master Trust</w:t>
            </w:r>
          </w:p>
        </w:tc>
        <w:tc>
          <w:tcPr>
            <w:tcW w:w="1720" w:type="dxa"/>
            <w:vAlign w:val="bottom"/>
            <w:gridSpan w:val="2"/>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(1,122,333)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(304,967,480)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Contracts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common/collective trust funds held by the Master Trust include a Stable Value Fund that invests in fully benefit-responsive GICs and Synthetic GICs.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disclosures provide information about the nature of these investments and how fair values of these investments are measured.</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Plan’s Stable Value Fund are measured by State Street using a discounted cash flow methodology. Under this approach, the cash flows of each individual contract are discounted at the prevailing interpolated swap rate as of the appropriate measurement date.</w:t>
      </w:r>
    </w:p>
    <w:p>
      <w:pPr>
        <w:spacing w:after="0" w:line="5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State Street measures the fair value of the Synthetic GICs included in the Plan’s Stable Value Fund as follows:</w:t>
      </w:r>
    </w:p>
    <w:p>
      <w:pPr>
        <w:spacing w:after="0" w:line="117" w:lineRule="exact"/>
        <w:rPr>
          <w:sz w:val="20"/>
          <w:szCs w:val="20"/>
          <w:color w:val="auto"/>
        </w:rPr>
      </w:pPr>
    </w:p>
    <w:p>
      <w:pPr>
        <w:ind w:left="220" w:right="240" w:hanging="212"/>
        <w:spacing w:after="0" w:line="276" w:lineRule="auto"/>
        <w:tabs>
          <w:tab w:leader="none" w:pos="22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b w:val="1"/>
          <w:bCs w:val="1"/>
          <w:color w:val="auto"/>
        </w:rPr>
      </w:pPr>
    </w:p>
    <w:p>
      <w:pPr>
        <w:ind w:left="220" w:right="120" w:hanging="212"/>
        <w:spacing w:after="0" w:line="286" w:lineRule="auto"/>
        <w:tabs>
          <w:tab w:leader="none" w:pos="22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a market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accordance with SFAS No. 157, the Plan classifies its investments into Level 1, which refers to investments measured at fair value using quoted prices from active markets for identical assets; Level 2, which refers to investments not traded on an active market but for which fair value measurements are based on readily available observable market inputs that are corroborated by market data; and Level 3, which refers to investments valued based on significant unobservable inputs that are not corroborated by market data. The Plan’s assets are classified within the fair value hierarchy based on the lowest level of inputs that is significant to the asset’s fair value measurement.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a summary of investments measured at fair value on a recurring basis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Fair Value Measurements Using</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Quoted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Prices in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Active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Markets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Master Trust Investments:</w:t>
            </w: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Common/collective trust funds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949,051,449</w:t>
            </w:r>
          </w:p>
        </w:tc>
        <w:tc>
          <w:tcPr>
            <w:tcW w:w="2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949,051,449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stocks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6,542,197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6,542,197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Waste Management, Inc. common stock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104,384,770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104,384,770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12,159,625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12,159,625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Publicly-traded partnership interests and other</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Master Trust Investments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1,072,253,556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123,202,107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949,051,449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Non-Master Trust Investments:</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loans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58,894,747</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58,894,747</w:t>
            </w: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60" w:type="dxa"/>
            <w:vAlign w:val="bottom"/>
            <w:gridSpan w:val="10"/>
          </w:tcPr>
          <w:p>
            <w:pPr>
              <w:spacing w:after="0"/>
              <w:rPr>
                <w:sz w:val="20"/>
                <w:szCs w:val="20"/>
                <w:color w:val="auto"/>
              </w:rPr>
            </w:pPr>
            <w:r>
              <w:rPr>
                <w:rFonts w:ascii="Arial" w:cs="Arial" w:eastAsia="Arial" w:hAnsi="Arial"/>
                <w:sz w:val="18"/>
                <w:szCs w:val="18"/>
                <w:color w:val="auto"/>
              </w:rPr>
              <w:t>The following is a reconciliation for assets for which Level 3 inputs were used in determining fair value: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58,233,698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Issuances, repayments and settlements, net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58,894,747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has received a determination letter from the Internal Revenue Service (“the IRS”) dated June 20, 2002,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Sponsor has indicated that it will take the necessary steps, if any, to bring the Plan’s operations into compliance with the Code.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2008 and 2007: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$ 1,135,568,668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$ 1,415,120,482</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Less: amounts pending distribution to participants</w:t>
            </w: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(512,231)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(1,163,573)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contracts</w:t>
            </w: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(4,185,913)</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(8,992,362)</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1,130,870,524</w:t>
            </w:r>
          </w:p>
        </w:tc>
        <w:tc>
          <w:tcPr>
            <w:tcW w:w="6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1,404,964,547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decrease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per the financial statements</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8"/>
              </w:rPr>
              <w:t>$ (279,551,814)</w:t>
            </w:r>
          </w:p>
        </w:tc>
      </w:tr>
      <w:tr>
        <w:trPr>
          <w:trHeight w:val="216"/>
        </w:trPr>
        <w:tc>
          <w:tcPr>
            <w:tcW w:w="10240" w:type="dxa"/>
            <w:vAlign w:val="bottom"/>
          </w:tcPr>
          <w:p>
            <w:pPr>
              <w:ind w:left="220"/>
              <w:spacing w:after="0"/>
              <w:rPr>
                <w:sz w:val="20"/>
                <w:szCs w:val="20"/>
                <w:color w:val="auto"/>
              </w:rPr>
            </w:pPr>
            <w:r>
              <w:rPr>
                <w:rFonts w:ascii="Arial" w:cs="Arial" w:eastAsia="Arial" w:hAnsi="Arial"/>
                <w:sz w:val="18"/>
                <w:szCs w:val="18"/>
                <w:color w:val="auto"/>
              </w:rPr>
              <w:t>Add: amounts pending distribution to participants at December 31, 2007</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1,163,573</w:t>
            </w:r>
          </w:p>
        </w:tc>
      </w:tr>
      <w:tr>
        <w:trPr>
          <w:trHeight w:val="216"/>
        </w:trPr>
        <w:tc>
          <w:tcPr>
            <w:tcW w:w="10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amounts pending distribution to participants at December 31, 2008</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(512,231)</w:t>
            </w:r>
          </w:p>
        </w:tc>
      </w:tr>
      <w:tr>
        <w:trPr>
          <w:trHeight w:val="216"/>
        </w:trPr>
        <w:tc>
          <w:tcPr>
            <w:tcW w:w="10240" w:type="dxa"/>
            <w:vAlign w:val="bottom"/>
          </w:tcPr>
          <w:p>
            <w:pPr>
              <w:ind w:left="220"/>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at December 31, 2007</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8,992,362</w:t>
            </w:r>
          </w:p>
        </w:tc>
      </w:tr>
      <w:tr>
        <w:trPr>
          <w:trHeight w:val="216"/>
        </w:trPr>
        <w:tc>
          <w:tcPr>
            <w:tcW w:w="10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adjustment from fair value to contract value for fully benefit- responsive investment contracts at December 31, 2008</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(4,185,913)</w:t>
            </w:r>
          </w:p>
        </w:tc>
      </w:tr>
      <w:tr>
        <w:trPr>
          <w:trHeight w:val="223"/>
        </w:trPr>
        <w:tc>
          <w:tcPr>
            <w:tcW w:w="10240" w:type="dxa"/>
            <w:vAlign w:val="bottom"/>
          </w:tcPr>
          <w:p>
            <w:pPr>
              <w:spacing w:after="0"/>
              <w:rPr>
                <w:sz w:val="20"/>
                <w:szCs w:val="20"/>
                <w:color w:val="auto"/>
              </w:rPr>
            </w:pPr>
            <w:r>
              <w:rPr>
                <w:rFonts w:ascii="Arial" w:cs="Arial" w:eastAsia="Arial" w:hAnsi="Arial"/>
                <w:sz w:val="18"/>
                <w:szCs w:val="18"/>
                <w:color w:val="auto"/>
              </w:rPr>
              <w:t>Net decrease in assets available for benefits per the Form 5500</w:t>
            </w:r>
          </w:p>
        </w:tc>
        <w:tc>
          <w:tcPr>
            <w:tcW w:w="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(274,094,023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10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Plan Termination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Waste Management Stock Fund</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2002, a lawsuit was filed against the Plan (as successor to the savings plan sponsored by Waste Management Holdings), Waste Management Holdings, and certain fiduciaries of the savings plan sponsored by Waste Management Holdings and of the Plan (“Plan Defendants”) in the United States District Court for the District of Columbia (the “D.C. Case”). After first asserting broader claims as to the Plan, the plaintiffs in the D.C. Case now purport to file their complaint against Plan Defendants on behalf of Plan participants who invested their account in Waste Management common stock. The plaintiffs in the D.C. Case allege that the prices at which the Plan purchased the stock were artificially inflated by omissions of a material nature about Waste Management Holdings’ financial condition and that the stock should not have been an investment option. The plaintiffs in the D.C. Case also allege that certain of the defendants breached a variety of ERISA requirements by, among other things, electing to participate in (a) the Illinois securities class action settlement related to a time frame ending February 24, 1998, (the “Illinois Settlement”), and (b) the Texas securities class action settlement related to a time frame ending November 9, 1999, (the “Texas Settlement”), rather than opting out of the settlements to assert distinct ERISA claims that did not apply to other members of the settlement class.</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defendants in the D.C. Case assert that most, if not all, of the plaintiffs’ causes of action have been released as a result of the Illinois Settlement, the Texas Settlement or are time-barred. The defendants filed motions to dismiss the complaints on the pleadings and in April 2009, the Court granted in part and denied in part the defendants’ motions. The Court dismissed the plaintiffs’ claims that were based on alleged accounting irregularities by Waste Management Holdings for the time period between January 1990 and February 1998. However, the Court denied defendants’ motion to dismiss plaintiffs’ claims alleging breaches of fiduciary duties against all of the defendants relating to the Plan’s participation in the Illinois Settlement and the Texas Settlement. The outcome of this lawsuit cannot be predicted with certainty, and these matters could impact the Plan’s net assets available for benefits. The Plan and the other defendants intend to defend themselves vigorously in this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Bond Fund Performance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One of the common/collective trust fund investment options available to participants of the Plan is a bond market fund. During 2007, there was a significant decline in the market value of the bond market fund, and effective October 1, 2007, State Street changed the investment strategy of the bond market fund to a passively managed strategy designed to mirror the performance of the index. A portion of the bond market fund’s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decline in market value can be attributed to changes in general market conditions for this type of investment. However, given the magnitude of the divergence of the value of the bond market fund from its established benchmark, the Plan’s Investment Committee has determined that it is also appropriate to consider whether the investments held by the bond market fund were consistent with the risk profile defined for this investment option and whether the bond market fund was managed in accordance with the Plan’s investment policy. As a result, the Plan has engaged an independent fiduciary to act on behalf of the Plan and its participants with respect to these considerations and related assessments of any potential remedies, including, but not limited to, litigation or settlement of potential litigation to recover Plan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Certain investments of the Plan are managed by State Street. State Street is the trustee of the Plan and,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Waste Management Retirement Savings Plan</w:t>
            </w:r>
          </w:p>
        </w:tc>
        <w:tc>
          <w:tcPr>
            <w:tcW w:w="28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0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Schedule H, Line 4(i) — Schedule of Assets (Held At End of Year)</w:t>
            </w:r>
          </w:p>
        </w:tc>
        <w:tc>
          <w:tcPr>
            <w:tcW w:w="28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EIN: 73-1309529</w:t>
            </w:r>
          </w:p>
        </w:tc>
        <w:tc>
          <w:tcPr>
            <w:tcW w:w="2560" w:type="dxa"/>
            <w:vAlign w:val="bottom"/>
            <w:gridSpan w:val="2"/>
          </w:tcPr>
          <w:p>
            <w:pPr>
              <w:ind w:left="200"/>
              <w:spacing w:after="0"/>
              <w:rPr>
                <w:sz w:val="20"/>
                <w:szCs w:val="20"/>
                <w:color w:val="auto"/>
              </w:rPr>
            </w:pPr>
            <w:r>
              <w:rPr>
                <w:rFonts w:ascii="Arial" w:cs="Arial" w:eastAsia="Arial" w:hAnsi="Arial"/>
                <w:sz w:val="18"/>
                <w:szCs w:val="18"/>
                <w:color w:val="auto"/>
              </w:rPr>
              <w:t>Plan: 001</w:t>
            </w:r>
          </w:p>
        </w:tc>
        <w:tc>
          <w:tcPr>
            <w:tcW w:w="284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4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December 31, 2008</w:t>
            </w:r>
          </w:p>
        </w:tc>
        <w:tc>
          <w:tcPr>
            <w:tcW w:w="28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2"/>
          </w:tcPr>
          <w:p>
            <w:pPr>
              <w:ind w:left="660"/>
              <w:spacing w:after="0"/>
              <w:rPr>
                <w:sz w:val="20"/>
                <w:szCs w:val="20"/>
                <w:color w:val="auto"/>
              </w:rPr>
            </w:pPr>
            <w:r>
              <w:rPr>
                <w:rFonts w:ascii="Arial" w:cs="Arial" w:eastAsia="Arial" w:hAnsi="Arial"/>
                <w:sz w:val="14"/>
                <w:szCs w:val="14"/>
                <w:b w:val="1"/>
                <w:bCs w:val="1"/>
                <w:color w:val="auto"/>
              </w:rPr>
              <w:t>Identity of Issue</w:t>
            </w:r>
          </w:p>
        </w:tc>
        <w:tc>
          <w:tcPr>
            <w:tcW w:w="560" w:type="dxa"/>
            <w:vAlign w:val="bottom"/>
          </w:tcPr>
          <w:p>
            <w:pPr>
              <w:spacing w:after="0"/>
              <w:rPr>
                <w:sz w:val="24"/>
                <w:szCs w:val="24"/>
                <w:color w:val="auto"/>
              </w:rPr>
            </w:pPr>
          </w:p>
        </w:tc>
        <w:tc>
          <w:tcPr>
            <w:tcW w:w="5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Description of Investment</w:t>
            </w:r>
          </w:p>
        </w:tc>
        <w:tc>
          <w:tcPr>
            <w:tcW w:w="2840" w:type="dxa"/>
            <w:vAlign w:val="bottom"/>
          </w:tcPr>
          <w:p>
            <w:pPr>
              <w:ind w:left="980"/>
              <w:spacing w:after="0"/>
              <w:rPr>
                <w:sz w:val="20"/>
                <w:szCs w:val="20"/>
                <w:color w:val="auto"/>
              </w:rPr>
            </w:pPr>
            <w:r>
              <w:rPr>
                <w:rFonts w:ascii="Arial" w:cs="Arial" w:eastAsia="Arial" w:hAnsi="Arial"/>
                <w:sz w:val="14"/>
                <w:szCs w:val="14"/>
                <w:b w:val="1"/>
                <w:bCs w:val="1"/>
                <w:color w:val="auto"/>
              </w:rPr>
              <w:t>Current Value</w:t>
            </w:r>
          </w:p>
        </w:tc>
      </w:tr>
      <w:tr>
        <w:trPr>
          <w:trHeight w:val="195"/>
        </w:trPr>
        <w:tc>
          <w:tcPr>
            <w:tcW w:w="20" w:type="dxa"/>
            <w:vAlign w:val="bottom"/>
          </w:tcPr>
          <w:p>
            <w:pPr>
              <w:spacing w:after="0"/>
              <w:rPr>
                <w:sz w:val="16"/>
                <w:szCs w:val="16"/>
                <w:color w:val="auto"/>
              </w:rPr>
            </w:pPr>
          </w:p>
        </w:tc>
        <w:tc>
          <w:tcPr>
            <w:tcW w:w="28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*Participant Loans</w:t>
            </w:r>
          </w:p>
        </w:tc>
        <w:tc>
          <w:tcPr>
            <w:tcW w:w="560" w:type="dxa"/>
            <w:vAlign w:val="bottom"/>
          </w:tcPr>
          <w:p>
            <w:pPr>
              <w:spacing w:after="0"/>
              <w:rPr>
                <w:sz w:val="16"/>
                <w:szCs w:val="16"/>
                <w:color w:val="auto"/>
              </w:rPr>
            </w:pPr>
          </w:p>
        </w:tc>
        <w:tc>
          <w:tcPr>
            <w:tcW w:w="45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Various maturity dates with interest rates ranging</w:t>
            </w:r>
          </w:p>
        </w:tc>
        <w:tc>
          <w:tcPr>
            <w:tcW w:w="580" w:type="dxa"/>
            <w:vAlign w:val="bottom"/>
          </w:tcPr>
          <w:p>
            <w:pPr>
              <w:spacing w:after="0"/>
              <w:rPr>
                <w:sz w:val="16"/>
                <w:szCs w:val="16"/>
                <w:color w:val="auto"/>
              </w:rPr>
            </w:pPr>
          </w:p>
        </w:tc>
        <w:tc>
          <w:tcPr>
            <w:tcW w:w="2840" w:type="dxa"/>
            <w:vAlign w:val="bottom"/>
            <w:tcBorders>
              <w:top w:val="single" w:sz="8" w:color="auto"/>
            </w:tcBorders>
          </w:tcPr>
          <w:p>
            <w:pPr>
              <w:ind w:left="960"/>
              <w:spacing w:after="0" w:line="195" w:lineRule="exact"/>
              <w:rPr>
                <w:sz w:val="20"/>
                <w:szCs w:val="20"/>
                <w:color w:val="auto"/>
              </w:rPr>
            </w:pPr>
            <w:r>
              <w:rPr>
                <w:rFonts w:ascii="Arial" w:cs="Arial" w:eastAsia="Arial" w:hAnsi="Arial"/>
                <w:sz w:val="18"/>
                <w:szCs w:val="18"/>
                <w:color w:val="auto"/>
              </w:rPr>
              <w:t>$58,894,747</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from 5.0% to 11.0%</w:t>
            </w:r>
          </w:p>
        </w:tc>
        <w:tc>
          <w:tcPr>
            <w:tcW w:w="284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40" w:type="dxa"/>
            <w:vAlign w:val="bottom"/>
            <w:gridSpan w:val="2"/>
          </w:tcPr>
          <w:p>
            <w:pPr>
              <w:jc w:val="center"/>
              <w:ind w:left="2430"/>
              <w:spacing w:after="0"/>
              <w:rPr>
                <w:sz w:val="20"/>
                <w:szCs w:val="20"/>
                <w:color w:val="auto"/>
              </w:rPr>
            </w:pPr>
            <w:r>
              <w:rPr>
                <w:rFonts w:ascii="Arial" w:cs="Arial" w:eastAsia="Arial" w:hAnsi="Arial"/>
                <w:sz w:val="18"/>
                <w:szCs w:val="18"/>
                <w:color w:val="auto"/>
                <w:w w:val="89"/>
              </w:rPr>
              <w:t>13</w:t>
            </w: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RETIREMENT</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SAVINGS PLAN</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24, 2009</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Krista DelSota</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Krista DelSota</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Vice President, Compensation, Benefits and Human</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Resources Information Management Waste</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Inc.</w:t>
            </w:r>
          </w:p>
        </w:tc>
        <w:tc>
          <w:tcPr>
            <w:tcW w:w="168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c>
          <w:tcPr>
            <w:tcW w:w="168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Employee Benefit Plans</w:t>
            </w:r>
          </w:p>
        </w:tc>
        <w:tc>
          <w:tcPr>
            <w:tcW w:w="1680" w:type="dxa"/>
            <w:vAlign w:val="bottom"/>
          </w:tcPr>
          <w:p>
            <w:pPr>
              <w:spacing w:after="0"/>
              <w:rPr>
                <w:sz w:val="20"/>
                <w:szCs w:val="20"/>
                <w:color w:val="auto"/>
              </w:rPr>
            </w:pPr>
          </w:p>
        </w:tc>
      </w:tr>
      <w:tr>
        <w:trPr>
          <w:trHeight w:val="405"/>
        </w:trPr>
        <w:tc>
          <w:tcPr>
            <w:tcW w:w="3400" w:type="dxa"/>
            <w:vAlign w:val="bottom"/>
          </w:tcPr>
          <w:p>
            <w:pPr>
              <w:spacing w:after="0"/>
              <w:rPr>
                <w:sz w:val="24"/>
                <w:szCs w:val="24"/>
                <w:color w:val="auto"/>
              </w:rPr>
            </w:pPr>
          </w:p>
        </w:tc>
        <w:tc>
          <w:tcPr>
            <w:tcW w:w="6340" w:type="dxa"/>
            <w:vAlign w:val="bottom"/>
            <w:gridSpan w:val="2"/>
          </w:tcPr>
          <w:p>
            <w:pPr>
              <w:jc w:val="right"/>
              <w:ind w:right="3850"/>
              <w:spacing w:after="0"/>
              <w:rPr>
                <w:sz w:val="20"/>
                <w:szCs w:val="20"/>
                <w:color w:val="auto"/>
              </w:rPr>
            </w:pPr>
            <w:r>
              <w:rPr>
                <w:rFonts w:ascii="Arial" w:cs="Arial" w:eastAsia="Arial" w:hAnsi="Arial"/>
                <w:sz w:val="18"/>
                <w:szCs w:val="18"/>
                <w:color w:val="auto"/>
              </w:rPr>
              <w:t>14</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3960" w:type="dxa"/>
            <w:vAlign w:val="bottom"/>
          </w:tcPr>
          <w:p>
            <w:pPr>
              <w:ind w:left="21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26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960" w:type="dxa"/>
            <w:vAlign w:val="bottom"/>
            <w:vMerge w:val="restart"/>
          </w:tcPr>
          <w:p>
            <w:pPr>
              <w:ind w:left="3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-8890</wp:posOffset>
            </wp:positionV>
            <wp:extent cx="6774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ind w:left="220"/>
        <w:spacing w:after="0"/>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ectPr>
          <w:pgSz w:w="11900" w:h="16838" w:orient="portrait"/>
          <w:cols w:equalWidth="0" w:num="1">
            <w:col w:w="10219"/>
          </w:cols>
          <w:pgMar w:left="240" w:top="1440"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333-153363) pertaining to the Waste Management Retirement Savings Plan of our report dated June 24, 2009, with respect to the financial statements and schedule of the Waste Management Retirement Savings Plan included in this Annual Report (Form 11-K) for the year ended December 31, 2008.</w:t>
      </w: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Letter"/>
      <w:start w:val="5"/>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2019-12-10T08:14:40Z</dcterms:created>
  <dcterms:modified xsi:type="dcterms:W3CDTF">2019-12-10T08:14:40Z</dcterms:modified>
</cp:coreProperties>
</file>