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763270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(Mark One)</w:t>
      </w:r>
    </w:p>
    <w:p>
      <w:pPr>
        <w:spacing w:after="0" w:line="185" w:lineRule="exact"/>
        <w:rPr>
          <w:sz w:val="24"/>
          <w:szCs w:val="24"/>
          <w:color w:val="auto"/>
        </w:rPr>
      </w:pPr>
    </w:p>
    <w:p>
      <w:pPr>
        <w:ind w:left="1320" w:right="459" w:hanging="622"/>
        <w:spacing w:after="0" w:line="262" w:lineRule="auto"/>
        <w:tabs>
          <w:tab w:leader="none" w:pos="1319"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59"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1320" w:right="1359" w:hanging="622"/>
        <w:spacing w:after="0" w:line="262" w:lineRule="auto"/>
        <w:tabs>
          <w:tab w:leader="none" w:pos="1319"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159" w:lineRule="exact"/>
        <w:rPr>
          <w:sz w:val="24"/>
          <w:szCs w:val="24"/>
          <w:color w:val="auto"/>
        </w:rPr>
      </w:pPr>
    </w:p>
    <w:p>
      <w:pPr>
        <w:ind w:left="1340"/>
        <w:spacing w:after="0"/>
        <w:tabs>
          <w:tab w:leader="none" w:pos="4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-5080</wp:posOffset>
            </wp:positionV>
            <wp:extent cx="1237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WASTE MANAGEMENT RETIREMENT SAVINGS PLAN</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800 Capitol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3000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811530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117475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0" w:type="dxa"/>
            <w:vAlign w:val="bottom"/>
            <w:gridSpan w:val="8"/>
          </w:tcPr>
          <w:p>
            <w:pPr>
              <w:jc w:val="center"/>
              <w:ind w:right="1420"/>
              <w:spacing w:after="0"/>
              <w:rPr>
                <w:sz w:val="20"/>
                <w:szCs w:val="20"/>
                <w:color w:val="auto"/>
              </w:rPr>
            </w:pPr>
            <w:r>
              <w:rPr>
                <w:rFonts w:ascii="Times New Roman" w:cs="Times New Roman" w:eastAsia="Times New Roman" w:hAnsi="Times New Roman"/>
                <w:sz w:val="18"/>
                <w:szCs w:val="18"/>
                <w:color w:val="auto"/>
                <w:w w:val="97"/>
              </w:rPr>
              <w:t>WASTE MANAGEMENT RETIREMENT SAVINGS PLAN</w:t>
            </w:r>
          </w:p>
        </w:tc>
        <w:tc>
          <w:tcPr>
            <w:tcW w:w="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9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color w:val="auto"/>
                <w:w w:val="99"/>
              </w:rPr>
              <w:t>INDEX TO FINANCIAL STATEMENTS AND SUPPLEMENTAL SCHEDULES</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80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53"/>
        </w:trPr>
        <w:tc>
          <w:tcPr>
            <w:tcW w:w="20" w:type="dxa"/>
            <w:vAlign w:val="bottom"/>
          </w:tcPr>
          <w:p>
            <w:pPr>
              <w:spacing w:after="0"/>
              <w:rPr>
                <w:sz w:val="24"/>
                <w:szCs w:val="24"/>
                <w:color w:val="auto"/>
              </w:rPr>
            </w:pPr>
          </w:p>
        </w:tc>
        <w:tc>
          <w:tcPr>
            <w:tcW w:w="42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388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Statements of Net Assets Available for Benefits as of December 31, 2023 and 2022</w:t>
            </w:r>
          </w:p>
        </w:tc>
        <w:tc>
          <w:tcPr>
            <w:tcW w:w="196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 for the Year Ended December 31, 2023</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to Financial Statements</w:t>
            </w:r>
          </w:p>
        </w:tc>
        <w:tc>
          <w:tcPr>
            <w:tcW w:w="4900" w:type="dxa"/>
            <w:vAlign w:val="bottom"/>
            <w:tcBorders>
              <w:top w:val="single" w:sz="8" w:color="0000EE"/>
            </w:tcBorders>
            <w:gridSpan w:val="6"/>
          </w:tcPr>
          <w:p>
            <w:pPr>
              <w:spacing w:after="0"/>
              <w:rPr>
                <w:sz w:val="17"/>
                <w:szCs w:val="17"/>
                <w:color w:val="auto"/>
              </w:rPr>
            </w:pPr>
          </w:p>
        </w:tc>
        <w:tc>
          <w:tcPr>
            <w:tcW w:w="90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53"/>
        </w:trPr>
        <w:tc>
          <w:tcPr>
            <w:tcW w:w="20" w:type="dxa"/>
            <w:vAlign w:val="bottom"/>
          </w:tcPr>
          <w:p>
            <w:pPr>
              <w:spacing w:after="0"/>
              <w:rPr>
                <w:sz w:val="24"/>
                <w:szCs w:val="24"/>
                <w:color w:val="auto"/>
              </w:rPr>
            </w:pPr>
          </w:p>
        </w:tc>
        <w:tc>
          <w:tcPr>
            <w:tcW w:w="8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Supplemental Schedules</w:t>
            </w:r>
          </w:p>
        </w:tc>
        <w:tc>
          <w:tcPr>
            <w:tcW w:w="8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Schedule H, Line 4(a) - Schedule of Delinquent Participant Contributions</w:t>
            </w:r>
          </w:p>
        </w:tc>
        <w:tc>
          <w:tcPr>
            <w:tcW w:w="266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Schedule H, Line 4(i) - Schedule of Assets (Held at End of Year)</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661"/>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19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Administrative Committee of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Waste Management Retirement Savings Plan (the Plan) as of December 31, 2023 and 2022, and the related statement of changes in net assets available for benefits for the year ended December 31, 2023, and the related notes and schedules (collectively referred to as the financial statements). In our opinion, the financial statements present fairly, in all material respects, the net assets available for benefits of the Plan as of December 31, 2023 and 2022, and the changes in net assets available for benefits for the year ended December 31, 2023, in conformity with accounting principles generally accepted in the United States of America.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Supplementary Information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supplementary information in the accompanying schedule of assets (held at end of year) as of December 31, 2023 and the schedule of delinquent participant contributions for the year ended December 31, 2023 have been subjected to audit procedures performed in conjunction with the audit of the Plan’s financial statements. The supplementary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supplementary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schedules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Plan’s auditor since 2014.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7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$ 3,599,405,991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$ 3,122,131,025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3,599,405,991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3,122,131,025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Employee contributions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2,148,576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Employer contributions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1,373,353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1,288,392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83,458,139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74,885,169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Settlements pending</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25,175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receivables</w:t>
            </w:r>
          </w:p>
        </w:tc>
        <w:tc>
          <w:tcPr>
            <w:tcW w:w="14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87,052,637</w:t>
            </w:r>
          </w:p>
        </w:tc>
        <w:tc>
          <w:tcPr>
            <w:tcW w:w="1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78,240,685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4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$ 3,686,458,628</w:t>
            </w: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$ 3,200,371,710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Waste Management Retirement Savings Plan</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Statement of Changes in Net Assets Available for Benefits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Year Ended December 31, 2023</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NET ASSETS AVAILABLE FOR BENEFITS: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203,181,166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117,947,363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Rollover</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331,080,039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appreciation in Plan investments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500,336,926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Dividends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additions</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848,830,151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DEDUCTIONS FROM NET ASSETS AVAILABLE FOR BENEFITS: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361,180,572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Administrative expenses</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1,562,661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deductions</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362,743,233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486,086,918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Beginning of year</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3,200,371,710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End of year</w:t>
            </w: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3,686,458,628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Plan is a defined contribution plan sponsored by Waste Management, Inc. (the “Company” or “WMI”), and eligible affiliates (as defined in the Plan) (collectively “Waste Management”) for the benefit of eligible employees and their beneficiaries. The Plan is subject to the provisions of the Employee Retirement Income Security Act of 1974, as amended (“ERISA”).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Administrative Committee of the Waste Management Employee Benefit Plans (the “Administrative Committee”) has been named to serve as administrator and fiduciary of the Plan. Bank of America, N.A. (“Bank of America”) serves as trustee of the Plan pursuant to a Defined Contribution Plan Trust Agreement and also serves as the Plan’s third-party recordkeeper.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Employees (as defined by the Plan) are eligible to participate in the Plan following completion of a 90-day period of service (as defined by the Plan).</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Individuals who are ineligible to participate in the Plan consist of (a) leased employees; (b) employees whose employment is governed by a collective bargaining agreement that does not provide for participation in the Plan for such individual;</w:t>
      </w:r>
    </w:p>
    <w:p>
      <w:pPr>
        <w:jc w:val="both"/>
        <w:ind w:left="60" w:right="59" w:hanging="10"/>
        <w:spacing w:after="0" w:line="253" w:lineRule="auto"/>
        <w:tabs>
          <w:tab w:leader="none" w:pos="3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providing services to the Company and who are designated as independent contractors; (d) employees performing services on a seasonal or temporary basis; (e) any individual who is not regularly employed in, or a citizen of, the United States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Participants are permitted to contribute as much as 50% of their eligible annual compensation, as defined by the Plan, and 80% of their annual incentive plan bonus, subject to annual contribution limitations established by the Internal Revenue Service (“Employee Contribution”). In addition, participants that are age 50 or older are eligible to make pre-tax catch-up contributions not to exceed certain limits described in the Plan document. After-tax contributions are permitted by the Plan. Participants may also contribute amounts representing distributions from other qualified plans (“Rollover Contributions”).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respect to each participant whose employment is not governed by a collective bargaining agreement, Waste Management matches 100% of each participant’s Employee Contribution up to 3% of the participant’s eligible annual compensation, as defined by the Plan, plus 50% of the participant’s Employee Contribution on the next 3% of the participant’s eligible annual compensation. Any such employee is automatically enrolled in the Plan at a contribution rate of 3% of eligible compensation, unless changed by the employee.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With respect to each participant whose employment relationship is covered by a collective bargaining agreement, the amount of contributions by Waste Management, if any, is provided for in the applicable collective bargaining agreement.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Nonvested Forfeitures, Unclaimed Distributions and Other</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nonvested forfeitures, unclaimed distributions and other unallocated accounts, including settlements, totaled $1,070,817 and $1,283,558, respectively. These accounts will be used to reduce future Waste Management contributions and/or to pay Plan expenses. During 2023, $547,601 from these accounts was used to fund Waste Management’s required contributions and pay Plan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Plan offers participants diversified investment options. As of December 31, 2023, the Plan offered (a) 14 common collective trust funds (including eight target retirement-date funds and a stable value fund); (b) three mutual funds; (c) a WMI common stock fund (which is an Employee Stock Ownership Plan) and (d) a self-directed brokerage account, which allows participants to select various securities sold on the New York Stock Exchange, NYSE American (formerly the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a participant invests in the WMI common stock fund, the participant can elect to receive in cash any dividends paid on the common stock in the participant’s account. If a participant does not make such an election, dividends will automatically be reinvested in the WMI common stock fund. Each participant who has invested in the WMI common stock fund has the right to vote the shares of stock in his or her account with respect to any matter that comes before the shareholders for a vote.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With respect to the self-directed brokerage account, several restrictions apply and a minimum balance is required to participate. Additionally, if a participant invests in the self-directed brokerage account, the participant has the right to vote the shares of securities held in the participant’s account.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Participants are immediately vested in their Employee Contributions, Rollover Contributions and Employer Contributions, plus earnings thereon.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WMI common stock may be taken in whole shares of common stock or cash.</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Participants may make withdrawals from their contributions, including certain earnings on those contributions, in the event of proven financial hardship of the participant.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2023 and 2022.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of a participant’s vested accounts (excluding any amounts invested in the self-directed brokerage account) immediately preceding the loan grant date. In no event shall a loan exceed $50,000, reduced by the greater of</w:t>
      </w:r>
    </w:p>
    <w:p>
      <w:pPr>
        <w:spacing w:after="0" w:line="3" w:lineRule="exact"/>
        <w:rPr>
          <w:sz w:val="20"/>
          <w:szCs w:val="20"/>
          <w:color w:val="auto"/>
        </w:rPr>
      </w:pPr>
    </w:p>
    <w:p>
      <w:pPr>
        <w:jc w:val="both"/>
        <w:ind w:left="60" w:right="59" w:hanging="10"/>
        <w:spacing w:after="0" w:line="250"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w:t>
      </w:r>
    </w:p>
    <w:p>
      <w:pPr>
        <w:spacing w:after="0" w:line="1" w:lineRule="exact"/>
        <w:rPr>
          <w:rFonts w:ascii="Times New Roman" w:cs="Times New Roman" w:eastAsia="Times New Roman" w:hAnsi="Times New Roman"/>
          <w:sz w:val="18"/>
          <w:szCs w:val="18"/>
          <w:color w:val="auto"/>
        </w:rPr>
      </w:pPr>
    </w:p>
    <w:p>
      <w:pPr>
        <w:jc w:val="both"/>
        <w:ind w:left="60" w:right="59" w:hanging="10"/>
        <w:spacing w:after="0" w:line="250" w:lineRule="auto"/>
        <w:tabs>
          <w:tab w:leader="none" w:pos="3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from a participant’s defaulting on a loan. Interest rates and repayment terms are established by the Administrative Committee. Such loans shall be repaid by payroll deduction or any other method approved by the Administrative Committee. The Administrative Committee requires that: (a) no more than one loan per year be taken by a participant;</w:t>
      </w:r>
    </w:p>
    <w:p>
      <w:pPr>
        <w:spacing w:after="0" w:line="1"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be made no less frequently than quarterly; (c) loans be repaid over a period not to exceed 54 months and</w:t>
      </w:r>
    </w:p>
    <w:p>
      <w:pPr>
        <w:spacing w:after="0" w:line="9" w:lineRule="exact"/>
        <w:rPr>
          <w:rFonts w:ascii="Times New Roman" w:cs="Times New Roman" w:eastAsia="Times New Roman" w:hAnsi="Times New Roman"/>
          <w:sz w:val="18"/>
          <w:szCs w:val="18"/>
          <w:color w:val="auto"/>
        </w:rPr>
      </w:pPr>
    </w:p>
    <w:p>
      <w:pPr>
        <w:jc w:val="both"/>
        <w:ind w:left="60" w:right="59" w:hanging="10"/>
        <w:spacing w:after="0" w:line="255" w:lineRule="auto"/>
        <w:tabs>
          <w:tab w:leader="none" w:pos="3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Administrative expenses of the Plan are generally allocated among participants. Loan administration fees and certain other expenses are charged directly to the account balance of the applicable participant. In 2023, Waste Management elected to pay certain audit and legal fees of the Plan.</w:t>
      </w:r>
    </w:p>
    <w:p>
      <w:pPr>
        <w:spacing w:after="0" w:line="172" w:lineRule="exact"/>
        <w:rPr>
          <w:sz w:val="20"/>
          <w:szCs w:val="20"/>
          <w:color w:val="auto"/>
        </w:rPr>
      </w:pPr>
    </w:p>
    <w:p>
      <w:pPr>
        <w:ind w:left="60" w:right="6279" w:hanging="10"/>
        <w:spacing w:after="0" w:line="503" w:lineRule="auto"/>
        <w:tabs>
          <w:tab w:leader="none" w:pos="2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 Basis of Accounting</w:t>
      </w: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Plan’s management to make estimates and assumptions that affect the reported amounts of net assets available for benefits as of the date of the financial statements and the changes in net assets available for benefits during the reporting period and, when applicable, disclosures of contingent assets and liabilities as of the date of the financial statements. Actual results could differ materially from the estimates and assumptions used in the preparation of the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Corporate stocks, mutual funds and publicly-traded partnership interests held by the Plan are stated at fair value based on quoted market prices as of the financial statement date. The fair values of the common collective trust funds held by the Plan are generally based on net asset values established by the issuer of the common collective trust funds based on fair values of the underlying assets. Short-term investments (included in amounts reported as common collective trust funds herein) are stated at cost, which approximates fair value.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Plan records purchases and sales of securities on a trade-date basis and dividends on the ex-dividend date. Interest income is recorded on the accrual basis.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Contributions from Plan participants and the matching contributions from the Company are recorded in the year in which the employee contributions are withheld from compensation.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Plan makes investments in securities. Investment securities are exposed to various risks, such as interest rate, macroeconomic, market and credit risks that impact the value of such securities. Risks include, but are not limited to, general economic conditions, political developments, international conflict and instability of markets and financial institutions. The impacts of any such risks cannot be predicted at this time, but it is possible that changes in values of investment securities could materially affect participant account balances and the amounts reported in the Statements of Net Assets Available for Benefits.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are made to the prior year financial information to conform to the current year presentation.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Investment in Stable Value Fund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Plan’s investment option for the stable value fund is managed by the John Hancock Stable Value Return Trust, a Collective Investment Trust offered by the John Hancock Trust Company and is included in investments at fair value in the Statement of Net Assets Available for Benefits as of December 31, 2023. The fund also invests in an uninsured separately managed account portfolio of short-term investments, the John Hancock Short Term Investment Fund (STIF) to provide daily liquidity for plan and participant level transactions.</w:t>
      </w:r>
    </w:p>
    <w:p>
      <w:pPr>
        <w:spacing w:after="0" w:line="183" w:lineRule="exact"/>
        <w:rPr>
          <w:sz w:val="20"/>
          <w:szCs w:val="20"/>
          <w:color w:val="auto"/>
        </w:rPr>
      </w:pPr>
    </w:p>
    <w:p>
      <w:pPr>
        <w:jc w:val="both"/>
        <w:ind w:left="60" w:right="59"/>
        <w:spacing w:after="0" w:line="219" w:lineRule="exact"/>
        <w:rPr>
          <w:sz w:val="20"/>
          <w:szCs w:val="20"/>
          <w:color w:val="auto"/>
        </w:rPr>
      </w:pPr>
      <w:r>
        <w:rPr>
          <w:rFonts w:ascii="Times New Roman" w:cs="Times New Roman" w:eastAsia="Times New Roman" w:hAnsi="Times New Roman"/>
          <w:sz w:val="18"/>
          <w:szCs w:val="18"/>
          <w:color w:val="auto"/>
        </w:rPr>
        <w:t>Risks arise when entering into any investment contract due to the potential inability of the issuer to meet the terms of the contract. In addition, security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investment contracts, also called stabilizing agreements or synthetic guaranteed investment contracts, have the risk of default or the lack of liquidity of the underlying portfolio assets. The credit risk of each issuer was evaluated and monitored through the portfolio manager’s credit analysis. The credit analysis included, but was not limited to, asset quality and liquidity, management quality, surplus adequacy, and profitability. John Hancock on behalf of the Plan, requires that the issuers of each contract have a minimum quality rating as of the contract effective date and that all underlying portfolio assets be rated investment grade at the time of purchase.</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purposes of the Plan’s financial reporting, fair value is defined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jc w:val="both"/>
        <w:ind w:left="30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quoted prices in active markets for identical assets and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identical or similar assets or liabilities in inactive markets, or other inputs that are observable or can be corroborated by observable market data for substantially the full term of the assets or liabilities.</w:t>
      </w:r>
    </w:p>
    <w:p>
      <w:pPr>
        <w:spacing w:after="0" w:line="65" w:lineRule="exact"/>
        <w:rPr>
          <w:sz w:val="20"/>
          <w:szCs w:val="20"/>
          <w:color w:val="auto"/>
        </w:rPr>
      </w:pPr>
    </w:p>
    <w:p>
      <w:pPr>
        <w:jc w:val="both"/>
        <w:ind w:left="30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that are generally unobservable and typically reflect the Plan’s estimate of assumptions that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would use in pricing the asset or liability. The Plan had no Level 3 assets as of December 31, 2023 or 2022.</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by level, within the fair value hierarchy, a summary of investments of the Plan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measured at fair value on a recurring basis: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Quoted Prices in Active Markets (Level 1):</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263,940,693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230,650,520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WMI common stock</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319,974,315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293,785,482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90,947,526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70,807,791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Subtotal Level 1</w:t>
            </w:r>
          </w:p>
        </w:tc>
        <w:tc>
          <w:tcPr>
            <w:tcW w:w="1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674,862,534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595,243,793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Significant Other Observable Inputs (Level 2):</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Self-directed brokerage accounts — FedFund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9,083,850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FedFund</w:t>
            </w:r>
          </w:p>
        </w:tc>
        <w:tc>
          <w:tcPr>
            <w:tcW w:w="1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1,106,888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Subtotal Level 2</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10,190,738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10,727,270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 Measured at Net Asset Value (a):</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1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2,914,352,719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2,516,159,962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Subtotal Investments Measured at Net Asset Value</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2,914,352,719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2,516,159,962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3,599,405,991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3,122,131,025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58"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Statements of Net Assets Available for Benefits. As of December 31, 2023 and 2022, there were no redemption restrictions on the investments held at net asset value other than possible advance notice requirements.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Federal Income Taxes</w:t>
      </w:r>
    </w:p>
    <w:p>
      <w:pPr>
        <w:spacing w:after="0" w:line="22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The Plan has received a determination letter from the Internal Revenue Service (“IRS”) dated April 30, 2015, stating that the Plan, as amended and restated as of January 1, 2015, was in compliance with the applicable requirements of the Internal Revenue Code (the "Code"), which were timely adopted by the Plan sponsor subsequent to receipt of the determination letter. The Plan sponsor has adopted a further amendment and restatement of the Plan and subsequent amendments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7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2023, there are no uncertain tax positions taken or expected to be taken. The Plan is subject to routine audits by taxing jurisdictions; however, there are currently no audits for any tax periods in progress. The Plan administrator believes it is no longer subject to income tax examinations for years prior to 2020.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Reconciliation of Financial Statements to Form 5500</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financial statements to the Form 5500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22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$ 3,686,458,628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3,200,371,710</w:t>
            </w: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pending distribution to participants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(1,828,820)</w:t>
            </w:r>
          </w:p>
        </w:tc>
      </w:tr>
      <w:tr>
        <w:trPr>
          <w:trHeight w:val="209"/>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$ 3,686,377,163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3,198,542,890</w:t>
            </w:r>
          </w:p>
        </w:tc>
      </w:tr>
      <w:tr>
        <w:trPr>
          <w:trHeight w:val="20"/>
        </w:trPr>
        <w:tc>
          <w:tcPr>
            <w:tcW w:w="5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net increase in net assets available for benefits per the financial statements to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Form 5500 for the year ended December 31, 2023:</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 per the financial statements</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486,086,918</w:t>
            </w: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pending distribution to participants as of December 31, 2022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1,828,820</w:t>
            </w: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pending distribution to participants as of December 31, 2023</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(81,465)</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assets available for benefits per the Form 5500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487,834,273</w:t>
            </w: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Plan Termination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to discontinue its Plan contribution at any time and to terminate the Plan subject to the provisions of ERISA.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Related-Party Transactions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Bank of America serves as the trustee and third-party recordkeeper of the Plan. Merrill Lynch, Pierce, Fenner &amp; Smith Incorporated, a Bank of America Company, provides securities brokerage services for the self-directed brokerage account. State Street Bank and Trust Company serves as the independent fiduciary for the WMI common stock fund. The Plan also holds notes receivable representing participant loans. These transactions qualify as party-in-interest transactions. Additionally, a portion of the Plan’s assets are invested in WMI common stock. As WMI is the Plan sponsor, transactions involving WMI common stock also qualify as party-in-interest transactions. The Plan sponsor believes that all of these transactions are exempt from the prohibited transactions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20" w:type="dxa"/>
            <w:vAlign w:val="bottom"/>
            <w:gridSpan w:val="8"/>
          </w:tcPr>
          <w:p>
            <w:pPr>
              <w:jc w:val="center"/>
              <w:ind w:left="1338"/>
              <w:spacing w:after="0"/>
              <w:rPr>
                <w:sz w:val="20"/>
                <w:szCs w:val="20"/>
                <w:color w:val="auto"/>
              </w:rPr>
            </w:pPr>
            <w:r>
              <w:rPr>
                <w:rFonts w:ascii="Times New Roman" w:cs="Times New Roman" w:eastAsia="Times New Roman" w:hAnsi="Times New Roman"/>
                <w:sz w:val="18"/>
                <w:szCs w:val="18"/>
                <w:color w:val="auto"/>
                <w:w w:val="99"/>
              </w:rPr>
              <w:t>Waste Management Retirement Savings Plan</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80" w:type="dxa"/>
            <w:vAlign w:val="bottom"/>
            <w:gridSpan w:val="11"/>
          </w:tcPr>
          <w:p>
            <w:pPr>
              <w:jc w:val="center"/>
              <w:ind w:right="20"/>
              <w:spacing w:after="0"/>
              <w:rPr>
                <w:sz w:val="20"/>
                <w:szCs w:val="20"/>
                <w:color w:val="auto"/>
              </w:rPr>
            </w:pPr>
            <w:r>
              <w:rPr>
                <w:rFonts w:ascii="Times New Roman" w:cs="Times New Roman" w:eastAsia="Times New Roman" w:hAnsi="Times New Roman"/>
                <w:sz w:val="18"/>
                <w:szCs w:val="18"/>
                <w:color w:val="auto"/>
              </w:rPr>
              <w:t>Schedule H, Line 4(a) - Schedule of Delinquent Participant Contributions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EIN: 73 1309529</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Plan: 001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160" w:type="dxa"/>
            <w:vAlign w:val="bottom"/>
            <w:gridSpan w:val="7"/>
          </w:tcPr>
          <w:p>
            <w:pPr>
              <w:jc w:val="center"/>
              <w:ind w:right="620"/>
              <w:spacing w:after="0"/>
              <w:rPr>
                <w:sz w:val="20"/>
                <w:szCs w:val="20"/>
                <w:color w:val="auto"/>
              </w:rPr>
            </w:pPr>
            <w:r>
              <w:rPr>
                <w:rFonts w:ascii="Times New Roman" w:cs="Times New Roman" w:eastAsia="Times New Roman" w:hAnsi="Times New Roman"/>
                <w:sz w:val="18"/>
                <w:szCs w:val="18"/>
                <w:color w:val="auto"/>
                <w:w w:val="99"/>
              </w:rPr>
              <w:t>Year Ended December 31, 2023</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Participant Contributions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Total that Constitute Nonexempt Prohibited Transactions</w:t>
            </w:r>
          </w:p>
        </w:tc>
        <w:tc>
          <w:tcPr>
            <w:tcW w:w="120" w:type="dxa"/>
            <w:vAlign w:val="bottom"/>
          </w:tcPr>
          <w:p>
            <w:pPr>
              <w:spacing w:after="0"/>
              <w:rPr>
                <w:sz w:val="24"/>
                <w:szCs w:val="24"/>
                <w:color w:val="auto"/>
              </w:rPr>
            </w:pPr>
          </w:p>
        </w:tc>
        <w:tc>
          <w:tcPr>
            <w:tcW w:w="9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 Fully</w:t>
            </w:r>
          </w:p>
        </w:tc>
        <w:tc>
          <w:tcPr>
            <w:tcW w:w="0" w:type="dxa"/>
            <w:vAlign w:val="bottom"/>
          </w:tcPr>
          <w:p>
            <w:pPr>
              <w:spacing w:after="0"/>
              <w:rPr>
                <w:sz w:val="1"/>
                <w:szCs w:val="1"/>
                <w:color w:val="auto"/>
              </w:rPr>
            </w:pPr>
          </w:p>
        </w:tc>
      </w:tr>
      <w:tr>
        <w:trPr>
          <w:trHeight w:val="117"/>
        </w:trPr>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63"/>
              <w:spacing w:after="0" w:line="118" w:lineRule="exact"/>
              <w:rPr>
                <w:sz w:val="20"/>
                <w:szCs w:val="20"/>
                <w:color w:val="auto"/>
              </w:rPr>
            </w:pPr>
            <w:r>
              <w:rPr>
                <w:rFonts w:ascii="Times New Roman" w:cs="Times New Roman" w:eastAsia="Times New Roman" w:hAnsi="Times New Roman"/>
                <w:sz w:val="13"/>
                <w:szCs w:val="13"/>
                <w:b w:val="1"/>
                <w:bCs w:val="1"/>
                <w:color w:val="auto"/>
              </w:rPr>
              <w:t>Contributions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Transferred Late to Plan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Pending</w:t>
            </w:r>
          </w:p>
        </w:tc>
        <w:tc>
          <w:tcPr>
            <w:tcW w:w="120" w:type="dxa"/>
            <w:vAlign w:val="bottom"/>
          </w:tcPr>
          <w:p>
            <w:pPr>
              <w:spacing w:after="0"/>
              <w:rPr>
                <w:sz w:val="15"/>
                <w:szCs w:val="15"/>
                <w:color w:val="auto"/>
              </w:rPr>
            </w:pPr>
          </w:p>
        </w:tc>
        <w:tc>
          <w:tcPr>
            <w:tcW w:w="9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Corrected</w:t>
            </w: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jc w:val="center"/>
              <w:ind w:right="58"/>
              <w:spacing w:after="0" w:line="143" w:lineRule="exact"/>
              <w:rPr>
                <w:sz w:val="20"/>
                <w:szCs w:val="20"/>
                <w:color w:val="auto"/>
              </w:rPr>
            </w:pPr>
            <w:r>
              <w:rPr>
                <w:rFonts w:ascii="Times New Roman" w:cs="Times New Roman" w:eastAsia="Times New Roman" w:hAnsi="Times New Roman"/>
                <w:sz w:val="14"/>
                <w:szCs w:val="14"/>
                <w:b w:val="1"/>
                <w:bCs w:val="1"/>
                <w:color w:val="auto"/>
              </w:rPr>
              <w:t>Check here if Late Participant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rPr>
              <w:t>Corrected</w:t>
            </w:r>
          </w:p>
        </w:tc>
        <w:tc>
          <w:tcPr>
            <w:tcW w:w="140" w:type="dxa"/>
            <w:vAlign w:val="bottom"/>
          </w:tcPr>
          <w:p>
            <w:pPr>
              <w:spacing w:after="0"/>
              <w:rPr>
                <w:sz w:val="12"/>
                <w:szCs w:val="12"/>
                <w:color w:val="auto"/>
              </w:rPr>
            </w:pPr>
          </w:p>
        </w:tc>
        <w:tc>
          <w:tcPr>
            <w:tcW w:w="132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rPr>
              <w:t>Correction</w:t>
            </w:r>
          </w:p>
        </w:tc>
        <w:tc>
          <w:tcPr>
            <w:tcW w:w="10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Under VFCP and</w:t>
            </w:r>
          </w:p>
        </w:tc>
        <w:tc>
          <w:tcPr>
            <w:tcW w:w="0" w:type="dxa"/>
            <w:vAlign w:val="bottom"/>
          </w:tcPr>
          <w:p>
            <w:pPr>
              <w:spacing w:after="0"/>
              <w:rPr>
                <w:sz w:val="1"/>
                <w:szCs w:val="1"/>
                <w:color w:val="auto"/>
              </w:rPr>
            </w:pPr>
          </w:p>
        </w:tc>
      </w:tr>
      <w:tr>
        <w:trPr>
          <w:trHeight w:val="202"/>
        </w:trPr>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Loan Repayments are included: </w:t>
            </w:r>
            <w:r>
              <w:rPr>
                <w:rFonts w:ascii="Wingdings" w:cs="Wingdings" w:eastAsia="Wingdings" w:hAnsi="Wingdings"/>
                <w:sz w:val="17"/>
                <w:szCs w:val="17"/>
                <w:b w:val="1"/>
                <w:bCs w:val="1"/>
                <w:color w:val="auto"/>
                <w:highlight w:val="black"/>
              </w:rPr>
              <w:t>o</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 Corrected</w:t>
            </w:r>
          </w:p>
        </w:tc>
        <w:tc>
          <w:tcPr>
            <w:tcW w:w="120" w:type="dxa"/>
            <w:vAlign w:val="bottom"/>
          </w:tcPr>
          <w:p>
            <w:pPr>
              <w:spacing w:after="0"/>
              <w:rPr>
                <w:sz w:val="17"/>
                <w:szCs w:val="17"/>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Outside VFCP</w:t>
            </w:r>
          </w:p>
        </w:tc>
        <w:tc>
          <w:tcPr>
            <w:tcW w:w="140" w:type="dxa"/>
            <w:vAlign w:val="bottom"/>
          </w:tcPr>
          <w:p>
            <w:pPr>
              <w:spacing w:after="0"/>
              <w:rPr>
                <w:sz w:val="17"/>
                <w:szCs w:val="17"/>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VFCP</w:t>
            </w:r>
          </w:p>
        </w:tc>
        <w:tc>
          <w:tcPr>
            <w:tcW w:w="120" w:type="dxa"/>
            <w:vAlign w:val="bottom"/>
          </w:tcPr>
          <w:p>
            <w:pPr>
              <w:spacing w:after="0"/>
              <w:rPr>
                <w:sz w:val="17"/>
                <w:szCs w:val="17"/>
                <w:color w:val="auto"/>
              </w:rPr>
            </w:pPr>
          </w:p>
        </w:tc>
        <w:tc>
          <w:tcPr>
            <w:tcW w:w="9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PTE 2001-51</w:t>
            </w:r>
          </w:p>
        </w:tc>
        <w:tc>
          <w:tcPr>
            <w:tcW w:w="0" w:type="dxa"/>
            <w:vAlign w:val="bottom"/>
          </w:tcPr>
          <w:p>
            <w:pPr>
              <w:spacing w:after="0"/>
              <w:rPr>
                <w:sz w:val="1"/>
                <w:szCs w:val="1"/>
                <w:color w:val="auto"/>
              </w:rPr>
            </w:pPr>
          </w:p>
        </w:tc>
      </w:tr>
      <w:tr>
        <w:trPr>
          <w:trHeight w:val="209"/>
        </w:trPr>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center"/>
              <w:ind w:left="66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220,583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center"/>
              <w:ind w:left="381"/>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220,583</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60" w:type="dxa"/>
            <w:vAlign w:val="bottom"/>
            <w:gridSpan w:val="4"/>
          </w:tcPr>
          <w:p>
            <w:pPr>
              <w:jc w:val="center"/>
              <w:ind w:right="739"/>
              <w:spacing w:after="0"/>
              <w:rPr>
                <w:sz w:val="20"/>
                <w:szCs w:val="20"/>
                <w:color w:val="auto"/>
              </w:rPr>
            </w:pPr>
            <w:r>
              <w:rPr>
                <w:rFonts w:ascii="Times New Roman" w:cs="Times New Roman" w:eastAsia="Times New Roman" w:hAnsi="Times New Roman"/>
                <w:sz w:val="18"/>
                <w:szCs w:val="18"/>
                <w:color w:val="auto"/>
                <w:w w:val="99"/>
              </w:rPr>
              <w:t>Waste Management Retirement Savings Plan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480" w:type="dxa"/>
            <w:vAlign w:val="bottom"/>
            <w:gridSpan w:val="5"/>
          </w:tcPr>
          <w:p>
            <w:pPr>
              <w:jc w:val="center"/>
              <w:ind w:left="1331"/>
              <w:spacing w:after="0"/>
              <w:rPr>
                <w:sz w:val="20"/>
                <w:szCs w:val="20"/>
                <w:color w:val="auto"/>
              </w:rPr>
            </w:pPr>
            <w:r>
              <w:rPr>
                <w:rFonts w:ascii="Times New Roman" w:cs="Times New Roman" w:eastAsia="Times New Roman" w:hAnsi="Times New Roman"/>
                <w:sz w:val="18"/>
                <w:szCs w:val="18"/>
                <w:color w:val="auto"/>
                <w:w w:val="99"/>
              </w:rPr>
              <w:t>Schedule H, Line 4(i) - Schedule of Assets (Held at End of Year)</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EIN: 73-1309529</w:t>
            </w:r>
          </w:p>
        </w:tc>
        <w:tc>
          <w:tcPr>
            <w:tcW w:w="2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 001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80" w:type="dxa"/>
            <w:vAlign w:val="bottom"/>
            <w:gridSpan w:val="2"/>
          </w:tcPr>
          <w:p>
            <w:pPr>
              <w:jc w:val="center"/>
              <w:ind w:right="1799"/>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316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Identity of Issue</w:t>
            </w:r>
          </w:p>
        </w:tc>
        <w:tc>
          <w:tcPr>
            <w:tcW w:w="14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Current Value</w:t>
            </w: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BlackRock</w:t>
            </w:r>
          </w:p>
        </w:tc>
        <w:tc>
          <w:tcPr>
            <w:tcW w:w="14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Liquidity Fund - FedFund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1,106,888</w:t>
            </w: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319,974,315</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Wilmington Trust, N.A.</w:t>
            </w:r>
          </w:p>
        </w:tc>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EAFE Equity Index Fund, Class 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194,006,843</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BlackRock Institutional Trust Company</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BlackRock Equity Index Fund J</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909,197,047</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Wilmington Trust, N.A.</w:t>
            </w:r>
          </w:p>
        </w:tc>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Lord Abbett Total Return Fund II BP</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120,682,986</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PIMCO RealPath Blend 2025 Collective Trust Funds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95,842,104</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PIMCO RealPath Blend 2030 Collective Trust Funds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382,323,338</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PIMCO RealPath Blend 2035 Collective Trust Funds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126,704,327</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PIMCO RealPath Blend 2040 Collective Trust Funds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250,149,580</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PIMCO RealPath Blend 2045 Collective Trust Funds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104,943,018</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PIMCO RealPath Blend 2050 Collective Trust Funds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107,283,453</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PIMCO RealPath Blend 2055 Collective Trust Funds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87,644,306</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PIMCO RealPath Blend 2060 Collective Trust Funds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16,947,996</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PIMCO RealPath Blend Income Collective Trust Funds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135,947,906</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Principal Global Investors Trust Company</w:t>
            </w:r>
          </w:p>
        </w:tc>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Diversified Real Asset Tier 1 CIT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3,251,831</w:t>
            </w:r>
          </w:p>
        </w:tc>
      </w:tr>
      <w:tr>
        <w:trPr>
          <w:trHeight w:val="198"/>
        </w:trPr>
        <w:tc>
          <w:tcPr>
            <w:tcW w:w="20" w:type="dxa"/>
            <w:vAlign w:val="bottom"/>
          </w:tcPr>
          <w:p>
            <w:pPr>
              <w:spacing w:after="0"/>
              <w:rPr>
                <w:sz w:val="17"/>
                <w:szCs w:val="17"/>
                <w:color w:val="auto"/>
              </w:rPr>
            </w:pPr>
          </w:p>
        </w:tc>
        <w:tc>
          <w:tcPr>
            <w:tcW w:w="31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John Hancock Trust Company Collective</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Trust</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John Hancock Stable Value Return Trust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379,427,984</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PIMCO</w:t>
            </w:r>
          </w:p>
        </w:tc>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PIMCO International Bond (US-HDG) Instl.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10,228,344</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Fidelity</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Fidelity Small Cap Index Fund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191,207,503</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Dimensional Fund Advisors</w:t>
            </w:r>
          </w:p>
        </w:tc>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DFA Emerging Markets Core Equity Portfolio</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62,504,846</w:t>
            </w:r>
          </w:p>
        </w:tc>
      </w:tr>
      <w:tr>
        <w:trPr>
          <w:trHeight w:val="198"/>
        </w:trPr>
        <w:tc>
          <w:tcPr>
            <w:tcW w:w="20" w:type="dxa"/>
            <w:vAlign w:val="bottom"/>
          </w:tcPr>
          <w:p>
            <w:pPr>
              <w:spacing w:after="0"/>
              <w:rPr>
                <w:sz w:val="17"/>
                <w:szCs w:val="17"/>
                <w:color w:val="auto"/>
              </w:rPr>
            </w:pPr>
          </w:p>
        </w:tc>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Incorporated</w:t>
            </w:r>
          </w:p>
        </w:tc>
        <w:tc>
          <w:tcPr>
            <w:tcW w:w="43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100,031,376</w:t>
            </w: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3,599,405,991</w:t>
            </w: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32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Various maturity dates with interest rates ranging from</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3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3.25% to 9.50%</w:t>
            </w: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83,458,139</w:t>
            </w: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3,682,864,130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Party-in-interest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10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100" w:type="dxa"/>
            <w:vAlign w:val="bottom"/>
            <w:gridSpan w:val="2"/>
            <w:vMerge w:val="restart"/>
          </w:tcPr>
          <w:p>
            <w:pPr>
              <w:ind w:left="3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4"/>
                <w:szCs w:val="14"/>
                <w:color w:val="auto"/>
              </w:rPr>
            </w:pPr>
          </w:p>
        </w:tc>
        <w:tc>
          <w:tcPr>
            <w:tcW w:w="8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The Plan</w:t>
      </w:r>
      <w:r>
        <w:rPr>
          <w:rFonts w:ascii="Times New Roman" w:cs="Times New Roman" w:eastAsia="Times New Roman" w:hAnsi="Times New Roman"/>
          <w:sz w:val="18"/>
          <w:szCs w:val="18"/>
          <w:color w:val="auto"/>
        </w:rPr>
        <w:t>. Pursuant to the requirements of the Securities Exchange Act of 1934, the Administrative Committee has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caused this annual report to be signed on its behalf by the undersigned hereunto duly authorized.</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6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WASTE MANAGEMENT RETIREMENT SAVINGS PLAN</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6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  /s/ Kimberly Moore</w:t>
            </w:r>
          </w:p>
        </w:tc>
      </w:tr>
      <w:tr>
        <w:trPr>
          <w:trHeight w:val="191"/>
        </w:trPr>
        <w:tc>
          <w:tcPr>
            <w:tcW w:w="2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Kimberly Moore</w:t>
            </w: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Member, Administrative Committee of the Waste</w:t>
            </w:r>
          </w:p>
        </w:tc>
      </w:tr>
      <w:tr>
        <w:trPr>
          <w:trHeight w:val="234"/>
        </w:trPr>
        <w:tc>
          <w:tcPr>
            <w:tcW w:w="2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Employee Benefit Plans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333-253683) pertaining to the Waste Management Retirement Savings Plan of our report dated June 25, 2024, with respect to the financial statements and supplemental schedules of the Waste Management Retirement Savings Plan included in this Annual Report (Form 11-K)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2024-06-25T15:58:47Z</dcterms:created>
  <dcterms:modified xsi:type="dcterms:W3CDTF">2024-06-25T15:58:47Z</dcterms:modified>
</cp:coreProperties>
</file>