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158" w:lineRule="exact"/>
        <w:rPr>
          <w:sz w:val="24"/>
          <w:szCs w:val="24"/>
          <w:color w:val="auto"/>
        </w:rPr>
      </w:pPr>
    </w:p>
    <w:p>
      <w:pPr>
        <w:ind w:left="5620"/>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460"/>
        <w:spacing w:after="0"/>
        <w:tabs>
          <w:tab w:leader="none" w:pos="34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Commission file number 1-12154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WASTE MANAGEMENT RETIREMENT SAVINGS</w:t>
      </w:r>
    </w:p>
    <w:p>
      <w:pPr>
        <w:spacing w:after="0" w:line="1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PLAN FOR BARGAINING UNIT EMPLOYEES</w:t>
      </w:r>
    </w:p>
    <w:p>
      <w:pPr>
        <w:spacing w:after="0" w:line="128"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Waste Management, Inc.</w:t>
      </w:r>
    </w:p>
    <w:p>
      <w:pPr>
        <w:spacing w:after="0" w:line="23"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1001 Fannin Street</w:t>
      </w:r>
    </w:p>
    <w:p>
      <w:pPr>
        <w:spacing w:after="0" w:line="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WASTE MANAGEMENT RETIREMENT SAVINGS PLAN</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BARGAINING UNIT EMPLOYEES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INDEX TO FINANCIAL STATEMENTS AND SUPPLEMENTAL SCHEDULE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43"/>
        </w:trPr>
        <w:tc>
          <w:tcPr>
            <w:tcW w:w="41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Audited Financial Statements</w:t>
            </w:r>
          </w:p>
        </w:tc>
        <w:tc>
          <w:tcPr>
            <w:tcW w:w="5100" w:type="dxa"/>
            <w:vAlign w:val="bottom"/>
            <w:gridSpan w:val="4"/>
          </w:tcPr>
          <w:p>
            <w:pPr>
              <w:spacing w:after="0"/>
              <w:rPr>
                <w:sz w:val="24"/>
                <w:szCs w:val="24"/>
                <w:color w:val="auto"/>
              </w:rPr>
            </w:pPr>
          </w:p>
        </w:tc>
        <w:tc>
          <w:tcPr>
            <w:tcW w:w="2100" w:type="dxa"/>
            <w:vAlign w:val="bottom"/>
          </w:tcPr>
          <w:p>
            <w:pPr>
              <w:spacing w:after="0"/>
              <w:rPr>
                <w:sz w:val="24"/>
                <w:szCs w:val="24"/>
                <w:color w:val="auto"/>
              </w:rPr>
            </w:pPr>
          </w:p>
        </w:tc>
      </w:tr>
      <w:tr>
        <w:trPr>
          <w:trHeight w:val="286"/>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December 31, 2011 and 2010</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Statement of Changes in Net Assets Available for Benefits for the Year Ended December 31, 2011</w:t>
              </w:r>
            </w:hyperlink>
          </w:p>
        </w:tc>
        <w:tc>
          <w:tcPr>
            <w:tcW w:w="192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886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43"/>
        </w:trPr>
        <w:tc>
          <w:tcPr>
            <w:tcW w:w="9220" w:type="dxa"/>
            <w:vAlign w:val="bottom"/>
            <w:gridSpan w:val="8"/>
          </w:tcPr>
          <w:p>
            <w:pPr>
              <w:spacing w:after="0"/>
              <w:rPr>
                <w:sz w:val="20"/>
                <w:szCs w:val="20"/>
                <w:color w:val="auto"/>
              </w:rPr>
            </w:pPr>
            <w:r>
              <w:rPr>
                <w:rFonts w:ascii="Arial" w:cs="Arial" w:eastAsia="Arial" w:hAnsi="Arial"/>
                <w:sz w:val="18"/>
                <w:szCs w:val="18"/>
                <w:color w:val="auto"/>
              </w:rPr>
              <w:t>Supplemental Schedule</w:t>
            </w:r>
          </w:p>
        </w:tc>
        <w:tc>
          <w:tcPr>
            <w:tcW w:w="2100" w:type="dxa"/>
            <w:vAlign w:val="bottom"/>
          </w:tcPr>
          <w:p>
            <w:pPr>
              <w:spacing w:after="0"/>
              <w:rPr>
                <w:sz w:val="24"/>
                <w:szCs w:val="24"/>
                <w:color w:val="auto"/>
              </w:rPr>
            </w:pPr>
          </w:p>
        </w:tc>
      </w:tr>
      <w:tr>
        <w:trPr>
          <w:trHeight w:val="286"/>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20" w:type="dxa"/>
            <w:vAlign w:val="bottom"/>
            <w:gridSpan w:val="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Schedule H, Line 4(i) — Schedule of Assets (Held At End of Year)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Bargaining Unit Employees</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accompanying statements of net assets available for benefits of the Waste Management Retirement Savings Plan for Bargaining Unit Employees (the Plan) as of December 31, 2011 and 2010, and the related statement of changes in net assets available for benefits for the year ended December 31, 2011. These financial statements are the responsibility of Plan management. Our responsibility is to express an opinion on these financial statements based on our audits.</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2011 and 2010, and the changes in net assets available for benefits for the year ended December 31, 2011, in conformity with accounting principles generally accepted in the United States of America.</w:t>
      </w:r>
    </w:p>
    <w:p>
      <w:pPr>
        <w:spacing w:after="0" w:line="14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supplemental schedule of assets (held at year end) as of December 31, 2011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Plan management. The supplemental schedule has been subjected to the auditing procedures applied in the audit of the basic financial statements and, in our opinion, is fairly stated in all material respects in relation to the basic financial statements taken as a whole.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13,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2011 and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Plan interest in the Master Trust (Note 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12,106,904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9,658,077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Total investments</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12,106,904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9,658,077</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Employee contributions</w:t>
            </w:r>
          </w:p>
        </w:tc>
        <w:tc>
          <w:tcPr>
            <w:tcW w:w="900" w:type="dxa"/>
            <w:vAlign w:val="bottom"/>
          </w:tcPr>
          <w:p>
            <w:pPr>
              <w:jc w:val="right"/>
              <w:spacing w:after="0"/>
              <w:rPr>
                <w:sz w:val="20"/>
                <w:szCs w:val="20"/>
                <w:color w:val="auto"/>
              </w:rPr>
            </w:pPr>
            <w:r>
              <w:rPr>
                <w:rFonts w:ascii="Arial" w:cs="Arial" w:eastAsia="Arial" w:hAnsi="Arial"/>
                <w:sz w:val="18"/>
                <w:szCs w:val="18"/>
                <w:color w:val="auto"/>
              </w:rPr>
              <w:t>33,994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43,268</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15,508</w:t>
            </w: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Notes receivable from participants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483,471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286,389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receivables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530,902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345,165</w:t>
            </w:r>
          </w:p>
        </w:tc>
        <w:tc>
          <w:tcPr>
            <w:tcW w:w="100" w:type="dxa"/>
            <w:vAlign w:val="bottom"/>
            <w:shd w:val="clear" w:color="auto" w:fill="CCEEFF"/>
          </w:tcPr>
          <w:p>
            <w:pPr>
              <w:spacing w:after="0"/>
              <w:rPr>
                <w:sz w:val="18"/>
                <w:szCs w:val="18"/>
                <w:color w:val="auto"/>
              </w:rPr>
            </w:pPr>
          </w:p>
        </w:tc>
      </w:tr>
      <w:tr>
        <w:trPr>
          <w:trHeight w:val="221"/>
        </w:trPr>
        <w:tc>
          <w:tcPr>
            <w:tcW w:w="9080" w:type="dxa"/>
            <w:vAlign w:val="bottom"/>
            <w:gridSpan w:val="2"/>
          </w:tcPr>
          <w:p>
            <w:pPr>
              <w:spacing w:after="0"/>
              <w:rPr>
                <w:sz w:val="20"/>
                <w:szCs w:val="20"/>
                <w:color w:val="auto"/>
              </w:rPr>
            </w:pPr>
            <w:r>
              <w:rPr>
                <w:rFonts w:ascii="Arial" w:cs="Arial" w:eastAsia="Arial" w:hAnsi="Arial"/>
                <w:sz w:val="18"/>
                <w:szCs w:val="18"/>
                <w:color w:val="auto"/>
              </w:rPr>
              <w:t>Net assets, reflecting investments at fair value</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12,637,806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10,003,242</w:t>
            </w:r>
          </w:p>
        </w:tc>
      </w:tr>
      <w:tr>
        <w:trPr>
          <w:trHeight w:val="110"/>
        </w:trPr>
        <w:tc>
          <w:tcPr>
            <w:tcW w:w="20" w:type="dxa"/>
            <w:vAlign w:val="bottom"/>
          </w:tcPr>
          <w:p>
            <w:pPr>
              <w:spacing w:after="0"/>
              <w:rPr>
                <w:sz w:val="9"/>
                <w:szCs w:val="9"/>
                <w:color w:val="auto"/>
              </w:rPr>
            </w:pPr>
          </w:p>
        </w:tc>
        <w:tc>
          <w:tcPr>
            <w:tcW w:w="9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(91,505)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(44,070)</w:t>
            </w: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12,546,301</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9,959,172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420" w:type="dxa"/>
            <w:vAlign w:val="bottom"/>
          </w:tcPr>
          <w:p>
            <w:pPr>
              <w:jc w:val="center"/>
              <w:ind w:left="892"/>
              <w:spacing w:after="0"/>
              <w:rPr>
                <w:sz w:val="20"/>
                <w:szCs w:val="20"/>
                <w:color w:val="auto"/>
              </w:rPr>
            </w:pPr>
            <w:r>
              <w:rPr>
                <w:rFonts w:ascii="Arial" w:cs="Arial" w:eastAsia="Arial" w:hAnsi="Arial"/>
                <w:sz w:val="18"/>
                <w:szCs w:val="18"/>
                <w:color w:val="auto"/>
                <w:w w:val="86"/>
              </w:rPr>
              <w:t>Waste Management Retirement Savings Plan</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420" w:type="dxa"/>
            <w:vAlign w:val="bottom"/>
          </w:tcPr>
          <w:p>
            <w:pPr>
              <w:jc w:val="center"/>
              <w:ind w:left="892"/>
              <w:spacing w:after="0"/>
              <w:rPr>
                <w:sz w:val="20"/>
                <w:szCs w:val="20"/>
                <w:color w:val="auto"/>
              </w:rPr>
            </w:pPr>
            <w:r>
              <w:rPr>
                <w:rFonts w:ascii="Arial" w:cs="Arial" w:eastAsia="Arial" w:hAnsi="Arial"/>
                <w:sz w:val="18"/>
                <w:szCs w:val="18"/>
                <w:color w:val="auto"/>
                <w:w w:val="89"/>
              </w:rPr>
              <w:t>For Bargaining Unit Employees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420" w:type="dxa"/>
            <w:vAlign w:val="bottom"/>
          </w:tcPr>
          <w:p>
            <w:pPr>
              <w:jc w:val="center"/>
              <w:ind w:left="892"/>
              <w:spacing w:after="0"/>
              <w:rPr>
                <w:sz w:val="20"/>
                <w:szCs w:val="20"/>
                <w:color w:val="auto"/>
              </w:rPr>
            </w:pPr>
            <w:r>
              <w:rPr>
                <w:rFonts w:ascii="Arial" w:cs="Arial" w:eastAsia="Arial" w:hAnsi="Arial"/>
                <w:sz w:val="18"/>
                <w:szCs w:val="18"/>
                <w:color w:val="auto"/>
                <w:w w:val="88"/>
              </w:rPr>
              <w:t>Statement of Changes in Net Assets Available for Benefits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420" w:type="dxa"/>
            <w:vAlign w:val="bottom"/>
          </w:tcPr>
          <w:p>
            <w:pPr>
              <w:jc w:val="center"/>
              <w:ind w:left="892"/>
              <w:spacing w:after="0"/>
              <w:rPr>
                <w:sz w:val="20"/>
                <w:szCs w:val="20"/>
                <w:color w:val="auto"/>
              </w:rPr>
            </w:pPr>
            <w:r>
              <w:rPr>
                <w:rFonts w:ascii="Arial" w:cs="Arial" w:eastAsia="Arial" w:hAnsi="Arial"/>
                <w:sz w:val="18"/>
                <w:szCs w:val="18"/>
                <w:color w:val="auto"/>
                <w:w w:val="86"/>
              </w:rPr>
              <w:t>Year Ended December 31, 2011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1,915,530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ind w:left="860"/>
              <w:spacing w:after="0"/>
              <w:rPr>
                <w:sz w:val="20"/>
                <w:szCs w:val="20"/>
                <w:color w:val="auto"/>
              </w:rPr>
            </w:pPr>
            <w:r>
              <w:rPr>
                <w:rFonts w:ascii="Arial" w:cs="Arial" w:eastAsia="Arial" w:hAnsi="Arial"/>
                <w:sz w:val="18"/>
                <w:szCs w:val="18"/>
                <w:color w:val="auto"/>
              </w:rPr>
              <w:t>Rollover</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Employer</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1,325,505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3,287,934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investment gain from the Master Trust (Note 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20" w:type="dxa"/>
            <w:vAlign w:val="bottom"/>
          </w:tcPr>
          <w:p>
            <w:pPr>
              <w:ind w:left="420"/>
              <w:spacing w:after="0"/>
              <w:rPr>
                <w:sz w:val="20"/>
                <w:szCs w:val="20"/>
                <w:color w:val="auto"/>
              </w:rPr>
            </w:pPr>
            <w:r>
              <w:rPr>
                <w:rFonts w:ascii="Arial" w:cs="Arial" w:eastAsia="Arial" w:hAnsi="Arial"/>
                <w:sz w:val="18"/>
                <w:szCs w:val="18"/>
                <w:color w:val="auto"/>
              </w:rPr>
              <w:t>Interest income on notes receivable from participants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additions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3,414,309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40" w:type="dxa"/>
            <w:vAlign w:val="bottom"/>
            <w:gridSpan w:val="2"/>
          </w:tcPr>
          <w:p>
            <w:pPr>
              <w:spacing w:after="0"/>
              <w:rPr>
                <w:sz w:val="20"/>
                <w:szCs w:val="20"/>
                <w:color w:val="auto"/>
              </w:rPr>
            </w:pPr>
            <w:r>
              <w:rPr>
                <w:rFonts w:ascii="Arial" w:cs="Arial" w:eastAsia="Arial" w:hAnsi="Arial"/>
                <w:sz w:val="18"/>
                <w:szCs w:val="18"/>
                <w:color w:val="auto"/>
              </w:rPr>
              <w:t>DEDUCTIONS FROM NET ASSETS AVAILABLE FOR BENEFITS:</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 to participants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20" w:type="dxa"/>
            <w:vAlign w:val="bottom"/>
          </w:tcPr>
          <w:p>
            <w:pPr>
              <w:ind w:left="1280"/>
              <w:spacing w:after="0"/>
              <w:rPr>
                <w:sz w:val="20"/>
                <w:szCs w:val="20"/>
                <w:color w:val="auto"/>
              </w:rPr>
            </w:pPr>
            <w:r>
              <w:rPr>
                <w:rFonts w:ascii="Arial" w:cs="Arial" w:eastAsia="Arial" w:hAnsi="Arial"/>
                <w:sz w:val="18"/>
                <w:szCs w:val="18"/>
                <w:color w:val="auto"/>
              </w:rPr>
              <w:t>Total deductions</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2,587,129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044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9,959,172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20" w:type="dxa"/>
            <w:vAlign w:val="bottom"/>
          </w:tcPr>
          <w:p>
            <w:pPr>
              <w:ind w:left="420"/>
              <w:spacing w:after="0"/>
              <w:rPr>
                <w:sz w:val="20"/>
                <w:szCs w:val="20"/>
                <w:color w:val="auto"/>
              </w:rPr>
            </w:pPr>
            <w:r>
              <w:rPr>
                <w:rFonts w:ascii="Arial" w:cs="Arial" w:eastAsia="Arial" w:hAnsi="Arial"/>
                <w:sz w:val="18"/>
                <w:szCs w:val="18"/>
                <w:color w:val="auto"/>
              </w:rPr>
              <w:t>End of year</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12,546,301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Waste Management Retirement Savings Plan</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Bargaining Unit Employees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December 31,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 of the Waste Management Retirement Savings Plan for Bargaining Unit Employees (the “Plan”) provides only general information.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Summary Plan Description and the plan document for a more complete description of the Plan’s provisions.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Inc. (the “Company” or “WM”) and subsidiaries (collectively “Waste Management”), and its affiliates (as defined in the Plan). The Plan is subject to the provisions of the Employee Retirement Income Security Act of 1974, as amended (“ERISA”).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Board of Directors of the Company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Lion Connecticut Holdings, Inc., a wholly-owned indirect subsidiary of ING America Insurance Holdings Inc. (“ING”), serves as recordkeeper.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Employees (as defined by the Plan) are eligible to participate in the Plan following completion of a 90-day period of service (as defined by the Plan) if they are covered by a collective bargaining agreement that provides for participation in the Plan.</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Individuals who are ineligible to participate in the Plan consist of (a) leased employees; (b) individuals providing services to Waste Management as independent contractors; (c) certain nonresident aliens who have no earned income from sources within the United States of America; and (d) individuals who are participants in certain other pension, retirement, profit-sharing, stock bonus, thrift or savings plans maintained by Waste Management other than the Waste Management Pension Plan for Collectively Bargained Employees or such other plans as may from time to time be determined by the Administrative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Participants may contribute from one percent to 25 percent of their pre-tax compensation, as defined by the Plan, not to exceed certain limits as described in the plan document (“Employee Contribution”). After-tax contributions are not permitted by the Plan. In addition, participants that are age 50 or older are eligible to make pre-tax catch-up contributions not to exceed certain limits described in the Plan document. Participants may also contribute amounts representing distributions from other qualified plans (“Rollover Contributions”). The Plan provides for Employer Contributions on behalf of eligible participants under the terms of certain applicable collective bargaining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 2010, the Plan, through its investments in the Master Trust, offered participants (a) five common/collective trust funds; (b) a Company common stock fund;</w:t>
      </w:r>
    </w:p>
    <w:p>
      <w:pPr>
        <w:spacing w:after="0" w:line="38" w:lineRule="exact"/>
        <w:rPr>
          <w:sz w:val="20"/>
          <w:szCs w:val="20"/>
          <w:color w:val="auto"/>
        </w:rPr>
      </w:pPr>
    </w:p>
    <w:p>
      <w:pPr>
        <w:ind w:right="60" w:firstLine="8"/>
        <w:spacing w:after="0" w:line="292"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self-managed account, which allows participants to select various securities sold on the New York Stock Exchange, American Stock Exchange and NASDAQ; (d) six target retirement-date funds, which are also common/collective trust funds; and (e) a stable value fund, which includes direct investments and investments in common/collective trust funds, managed by Galliard Capital Management (“Galliard”). As a result of investment option changes implemented during 2011, at December 31, 2011, the Plan, through its investments in the Master Trust offered participants (a) two common/collective trust funds; (b) a Company common stock fund (which is an Employee Stock Ownership Plan); (c) a self-managed account, which allows participants to select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various securities sold on the New York Stock Exchange, American Stock Exchange and NASDAQ; (d) ten target retirement-date funds, which are also common/collective trust funds; (e) a stable value fund, which includes direct investments and investments in common/collective trust funds, managed by Galliard and (f) five mutual funds. With respect to the self-managed account, several restrictions apply and a minimum balance is required to participate. The Plan utilizes cash equivalents to temporarily hold monies pending settlement for transactions initiated by participants.</w:t>
      </w:r>
    </w:p>
    <w:p>
      <w:pPr>
        <w:spacing w:after="0" w:line="1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Master Trust.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9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their accounts. Distributions are made by a single lump-sum payment or direct rollover. Distributions of accounts invested in Company common stock may be taken in whole shares of common stock or cash.</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Participants may make withdrawals from their contributions, including certain earnings on those contributions, in the event of proven financial hardship of the participant. Not more than one hardship withdrawal is permitted in any 12-month period, and the participant is not permitted to contribute to the Plan or any other plans maintained by Waste Management for six months after receiving the hardship distribution.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2011 and 2010.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percent of a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(a) repayments be made no less frequently than quarterly; (b) loans be repaid over a period not to exceed 54 months; and (c)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 directly to the account balance of the participant requesting the loan. Administrative expenses are reflected as a reduction of Master Trust investment income and are included in “Net investment gain from the Master Trust” in the accompanying Statement of Changes in Net Assets Available for Benefits. In 2011, Waste Management elected to pay certain audit and legal fees of the Plan.</w:t>
      </w:r>
    </w:p>
    <w:p>
      <w:pPr>
        <w:spacing w:after="0" w:line="218" w:lineRule="exact"/>
        <w:rPr>
          <w:sz w:val="20"/>
          <w:szCs w:val="20"/>
          <w:color w:val="auto"/>
        </w:rPr>
      </w:pPr>
    </w:p>
    <w:p>
      <w:pPr>
        <w:ind w:right="880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spacing w:after="0" w:line="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Benefits are recorded when paid to participants.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420"/>
        <w:spacing w:after="0" w:line="318" w:lineRule="auto"/>
        <w:rPr>
          <w:sz w:val="20"/>
          <w:szCs w:val="20"/>
          <w:color w:val="auto"/>
        </w:rPr>
      </w:pPr>
      <w:r>
        <w:rPr>
          <w:rFonts w:ascii="Arial" w:cs="Arial" w:eastAsia="Arial" w:hAnsi="Arial"/>
          <w:sz w:val="15"/>
          <w:szCs w:val="15"/>
          <w:color w:val="auto"/>
        </w:rPr>
        <w:t>The preparation of the financial statements, and accompanying notes and schedule, requires management to make estimates that affect accounting for, and recognition and disclosure of, plan assets and liabilities and additions and deductions to/from net assets available for benefits. These estimates must be made because certain information used is dependent on future events, cannot be calculated with a high degree of precision from available data or simply cannot be readily calculated based on generally accepted methods. In some cases, these estimates are particularly difficult to determine and management must exercise significant judgment. Actual results could differ materially from the estimates and assumptions used in the preparation of the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purpose of the Master Trust is the collective investment of the assets of participating employee benefit plans of Waste Management. The Master Trust’s assets are allocated among participating plans by assigning to each plan those transactions (primarily contributions, benefit payments and certain administrative expenses) which can be specifically identified, and by allocating among participating plans, in proportion to the fair value of the assets assigned to each plan, income and expenses resulting from the collective investment of the assets of the Master Trust.</w:t>
      </w:r>
    </w:p>
    <w:p>
      <w:pPr>
        <w:spacing w:after="0" w:line="11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Corporate stocks, mutual funds and publicly-traded partnership interests held by the Master Trust are stated at fair value based on quoted market prices as of the financial statement date. The fair values of the common/collective trust funds held by the Master Trust are generally based on net asset values established by State Street (the issuer of the common/collective trust funds) based on fair values of the underlying assets. The investment options available within the Plan include a stable value fund that invests in fully benefit-responsive guaranteed investment contracts (“GICs”) and synthetic investment contracts (“Synthetic GICs”). In accordance with authoritative guidance issued by the Financial Accounting Standards Board (“FASB”), the fully benefit-responsive investment contracts held by the Stable Value Fund are reported at fair value. However, contract value is the relevant measurement attribute for fully benefit-responsive investment contracts because contract value is the amount participants would receive if they were to initiate permitted transactions under the terms of the Plan. Accordingly, the Statements of Net Assets Available for Benefits present both the fair value of the fully benefit-responsive investment contracts and an adjustment from fair value to contract value to arrive at Net Assets Available for Benefits. The fair value measurement of these investments is discussed further in Note 5. Short-term investments (included in amounts reported as common/collective trust funds herein) are stated at cost, which approximates fair value.</w:t>
      </w:r>
    </w:p>
    <w:p>
      <w:pPr>
        <w:spacing w:after="0" w:line="12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Master Trust records purchases and sales of securities on a trade-date basis and dividends on the ex-dividend date. Interest income is recorded on the accrual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Plan investments are held in the Master Trust along with the Waste Management Retirement Savings Plan (the “Non-Union Plan”). As of December 31, 2011 and 2010, the Plan’s beneficial interest in the net assets of the Master Trust was 0.83% and 0.67%, respectively.</w:t>
      </w:r>
    </w:p>
    <w:p>
      <w:pPr>
        <w:spacing w:after="0" w:line="132"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Neither the Plan nor the Non-Union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4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w w:val="87"/>
              </w:rPr>
              <w:t>December 31, 2011</w:t>
            </w:r>
          </w:p>
        </w:tc>
        <w:tc>
          <w:tcPr>
            <w:tcW w:w="620" w:type="dxa"/>
            <w:vAlign w:val="bottom"/>
          </w:tcPr>
          <w:p>
            <w:pPr>
              <w:spacing w:after="0"/>
              <w:rPr>
                <w:sz w:val="14"/>
                <w:szCs w:val="14"/>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87"/>
              </w:rPr>
              <w:t>December 31, 2010</w:t>
            </w:r>
          </w:p>
        </w:tc>
        <w:tc>
          <w:tcPr>
            <w:tcW w:w="0" w:type="dxa"/>
            <w:vAlign w:val="bottom"/>
          </w:tcPr>
          <w:p>
            <w:pPr>
              <w:spacing w:after="0"/>
              <w:rPr>
                <w:sz w:val="1"/>
                <w:szCs w:val="1"/>
                <w:color w:val="auto"/>
              </w:rPr>
            </w:pPr>
          </w:p>
        </w:tc>
      </w:tr>
      <w:tr>
        <w:trPr>
          <w:trHeight w:val="129"/>
        </w:trPr>
        <w:tc>
          <w:tcPr>
            <w:tcW w:w="5040" w:type="dxa"/>
            <w:vAlign w:val="bottom"/>
          </w:tcPr>
          <w:p>
            <w:pPr>
              <w:spacing w:after="0"/>
              <w:rPr>
                <w:sz w:val="11"/>
                <w:szCs w:val="11"/>
                <w:color w:val="auto"/>
              </w:rPr>
            </w:pPr>
          </w:p>
        </w:tc>
        <w:tc>
          <w:tcPr>
            <w:tcW w:w="1020" w:type="dxa"/>
            <w:vAlign w:val="bottom"/>
            <w:tcBorders>
              <w:top w:val="single" w:sz="8" w:color="auto"/>
            </w:tcBorders>
            <w:gridSpan w:val="2"/>
          </w:tcPr>
          <w:p>
            <w:pPr>
              <w:jc w:val="right"/>
              <w:ind w:right="512"/>
              <w:spacing w:after="0" w:line="129" w:lineRule="exact"/>
              <w:rPr>
                <w:sz w:val="20"/>
                <w:szCs w:val="20"/>
                <w:color w:val="auto"/>
              </w:rPr>
            </w:pPr>
            <w:r>
              <w:rPr>
                <w:rFonts w:ascii="Arial" w:cs="Arial" w:eastAsia="Arial" w:hAnsi="Arial"/>
                <w:sz w:val="14"/>
                <w:szCs w:val="14"/>
                <w:b w:val="1"/>
                <w:bCs w:val="1"/>
                <w:color w:val="auto"/>
              </w:rPr>
              <w:t>Plan</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tcBorders>
              <w:top w:val="single" w:sz="8" w:color="auto"/>
            </w:tcBorders>
            <w:gridSpan w:val="2"/>
          </w:tcPr>
          <w:p>
            <w:pPr>
              <w:jc w:val="right"/>
              <w:ind w:right="772"/>
              <w:spacing w:after="0" w:line="129" w:lineRule="exact"/>
              <w:rPr>
                <w:sz w:val="20"/>
                <w:szCs w:val="20"/>
                <w:color w:val="auto"/>
              </w:rPr>
            </w:pPr>
            <w:r>
              <w:rPr>
                <w:rFonts w:ascii="Arial" w:cs="Arial" w:eastAsia="Arial" w:hAnsi="Arial"/>
                <w:sz w:val="14"/>
                <w:szCs w:val="14"/>
                <w:b w:val="1"/>
                <w:bCs w:val="1"/>
                <w:color w:val="auto"/>
              </w:rPr>
              <w:t>Plan</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w w:val="89"/>
              </w:rPr>
              <w:t>Interest %</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7"/>
              </w:rPr>
              <w:t>Master Trust</w:t>
            </w:r>
          </w:p>
        </w:tc>
        <w:tc>
          <w:tcPr>
            <w:tcW w:w="128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w w:val="89"/>
              </w:rPr>
              <w:t>Interest %</w:t>
            </w: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Master Trust</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Investments, at fair value:</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Common/collective trust funds</w:t>
            </w:r>
          </w:p>
        </w:tc>
        <w:tc>
          <w:tcPr>
            <w:tcW w:w="10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505,108,820</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959,174,765</w:t>
            </w:r>
          </w:p>
        </w:tc>
        <w:tc>
          <w:tcPr>
            <w:tcW w:w="0" w:type="dxa"/>
            <w:vAlign w:val="bottom"/>
          </w:tcPr>
          <w:p>
            <w:pPr>
              <w:spacing w:after="0"/>
              <w:rPr>
                <w:sz w:val="1"/>
                <w:szCs w:val="1"/>
                <w:color w:val="auto"/>
              </w:rPr>
            </w:pPr>
          </w:p>
        </w:tc>
      </w:tr>
      <w:tr>
        <w:trPr>
          <w:trHeight w:val="216"/>
        </w:trPr>
        <w:tc>
          <w:tcPr>
            <w:tcW w:w="5040" w:type="dxa"/>
            <w:vAlign w:val="bottom"/>
          </w:tcPr>
          <w:p>
            <w:pPr>
              <w:ind w:left="880"/>
              <w:spacing w:after="0"/>
              <w:rPr>
                <w:sz w:val="20"/>
                <w:szCs w:val="20"/>
                <w:color w:val="auto"/>
              </w:rPr>
            </w:pPr>
            <w:r>
              <w:rPr>
                <w:rFonts w:ascii="Arial" w:cs="Arial" w:eastAsia="Arial" w:hAnsi="Arial"/>
                <w:sz w:val="18"/>
                <w:szCs w:val="18"/>
                <w:color w:val="auto"/>
              </w:rPr>
              <w:t>Stable value fund</w:t>
            </w:r>
          </w:p>
        </w:tc>
        <w:tc>
          <w:tcPr>
            <w:tcW w:w="1020" w:type="dxa"/>
            <w:vAlign w:val="bottom"/>
            <w:gridSpan w:val="2"/>
          </w:tcPr>
          <w:p>
            <w:pPr>
              <w:jc w:val="right"/>
              <w:ind w:right="172"/>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363,860,603</w:t>
            </w:r>
          </w:p>
        </w:tc>
        <w:tc>
          <w:tcPr>
            <w:tcW w:w="560" w:type="dxa"/>
            <w:vAlign w:val="bottom"/>
          </w:tcPr>
          <w:p>
            <w:pPr>
              <w:spacing w:after="0"/>
              <w:rPr>
                <w:sz w:val="18"/>
                <w:szCs w:val="18"/>
                <w:color w:val="auto"/>
              </w:rPr>
            </w:pPr>
          </w:p>
        </w:tc>
        <w:tc>
          <w:tcPr>
            <w:tcW w:w="1280" w:type="dxa"/>
            <w:vAlign w:val="bottom"/>
            <w:gridSpan w:val="2"/>
          </w:tcPr>
          <w:p>
            <w:pPr>
              <w:jc w:val="right"/>
              <w:ind w:right="45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344,899,671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WM common stock</w:t>
            </w:r>
          </w:p>
        </w:tc>
        <w:tc>
          <w:tcPr>
            <w:tcW w:w="10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102,153,934</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111,844,911</w:t>
            </w:r>
          </w:p>
        </w:tc>
        <w:tc>
          <w:tcPr>
            <w:tcW w:w="0" w:type="dxa"/>
            <w:vAlign w:val="bottom"/>
          </w:tcPr>
          <w:p>
            <w:pPr>
              <w:spacing w:after="0"/>
              <w:rPr>
                <w:sz w:val="1"/>
                <w:szCs w:val="1"/>
                <w:color w:val="auto"/>
              </w:rPr>
            </w:pPr>
          </w:p>
        </w:tc>
      </w:tr>
      <w:tr>
        <w:trPr>
          <w:trHeight w:val="216"/>
        </w:trPr>
        <w:tc>
          <w:tcPr>
            <w:tcW w:w="5040" w:type="dxa"/>
            <w:vAlign w:val="bottom"/>
          </w:tcPr>
          <w:p>
            <w:pPr>
              <w:ind w:left="880"/>
              <w:spacing w:after="0"/>
              <w:rPr>
                <w:sz w:val="20"/>
                <w:szCs w:val="20"/>
                <w:color w:val="auto"/>
              </w:rPr>
            </w:pPr>
            <w:r>
              <w:rPr>
                <w:rFonts w:ascii="Arial" w:cs="Arial" w:eastAsia="Arial" w:hAnsi="Arial"/>
                <w:sz w:val="18"/>
                <w:szCs w:val="18"/>
                <w:color w:val="auto"/>
              </w:rPr>
              <w:t>Corporate stocks – other than WM common stock</w:t>
            </w:r>
          </w:p>
        </w:tc>
        <w:tc>
          <w:tcPr>
            <w:tcW w:w="10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16,796,395</w:t>
            </w:r>
          </w:p>
        </w:tc>
        <w:tc>
          <w:tcPr>
            <w:tcW w:w="560" w:type="dxa"/>
            <w:vAlign w:val="bottom"/>
          </w:tcPr>
          <w:p>
            <w:pPr>
              <w:spacing w:after="0"/>
              <w:rPr>
                <w:sz w:val="18"/>
                <w:szCs w:val="18"/>
                <w:color w:val="auto"/>
              </w:rPr>
            </w:pPr>
          </w:p>
        </w:tc>
        <w:tc>
          <w:tcPr>
            <w:tcW w:w="128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14,363,774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473,237,299</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20,124,526</w:t>
            </w:r>
          </w:p>
        </w:tc>
        <w:tc>
          <w:tcPr>
            <w:tcW w:w="0" w:type="dxa"/>
            <w:vAlign w:val="bottom"/>
          </w:tcPr>
          <w:p>
            <w:pPr>
              <w:spacing w:after="0"/>
              <w:rPr>
                <w:sz w:val="1"/>
                <w:szCs w:val="1"/>
                <w:color w:val="auto"/>
              </w:rPr>
            </w:pPr>
          </w:p>
        </w:tc>
      </w:tr>
      <w:tr>
        <w:trPr>
          <w:trHeight w:val="223"/>
        </w:trPr>
        <w:tc>
          <w:tcPr>
            <w:tcW w:w="5040" w:type="dxa"/>
            <w:vAlign w:val="bottom"/>
          </w:tcPr>
          <w:p>
            <w:pPr>
              <w:ind w:left="880"/>
              <w:spacing w:after="0"/>
              <w:rPr>
                <w:sz w:val="20"/>
                <w:szCs w:val="20"/>
                <w:color w:val="auto"/>
              </w:rPr>
            </w:pPr>
            <w:r>
              <w:rPr>
                <w:rFonts w:ascii="Arial" w:cs="Arial" w:eastAsia="Arial" w:hAnsi="Arial"/>
                <w:sz w:val="18"/>
                <w:szCs w:val="18"/>
                <w:color w:val="auto"/>
              </w:rPr>
              <w:t>Publicly-traded partnership interests and other</w:t>
            </w:r>
          </w:p>
        </w:tc>
        <w:tc>
          <w:tcPr>
            <w:tcW w:w="10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982,550</w:t>
            </w:r>
          </w:p>
        </w:tc>
        <w:tc>
          <w:tcPr>
            <w:tcW w:w="560" w:type="dxa"/>
            <w:vAlign w:val="bottom"/>
          </w:tcPr>
          <w:p>
            <w:pPr>
              <w:spacing w:after="0"/>
              <w:rPr>
                <w:sz w:val="19"/>
                <w:szCs w:val="19"/>
                <w:color w:val="auto"/>
              </w:rPr>
            </w:pPr>
          </w:p>
        </w:tc>
        <w:tc>
          <w:tcPr>
            <w:tcW w:w="128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investments</w:t>
            </w:r>
          </w:p>
        </w:tc>
        <w:tc>
          <w:tcPr>
            <w:tcW w:w="10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1,462,139,601</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1,450,832,248</w:t>
            </w:r>
          </w:p>
        </w:tc>
        <w:tc>
          <w:tcPr>
            <w:tcW w:w="0" w:type="dxa"/>
            <w:vAlign w:val="bottom"/>
          </w:tcPr>
          <w:p>
            <w:pPr>
              <w:spacing w:after="0"/>
              <w:rPr>
                <w:sz w:val="1"/>
                <w:szCs w:val="1"/>
                <w:color w:val="auto"/>
              </w:rPr>
            </w:pPr>
          </w:p>
        </w:tc>
      </w:tr>
      <w:tr>
        <w:trPr>
          <w:trHeight w:val="323"/>
        </w:trPr>
        <w:tc>
          <w:tcPr>
            <w:tcW w:w="5040" w:type="dxa"/>
            <w:vAlign w:val="bottom"/>
          </w:tcPr>
          <w:p>
            <w:pPr>
              <w:ind w:left="440"/>
              <w:spacing w:after="0"/>
              <w:rPr>
                <w:sz w:val="20"/>
                <w:szCs w:val="20"/>
                <w:color w:val="auto"/>
              </w:rPr>
            </w:pPr>
            <w:r>
              <w:rPr>
                <w:rFonts w:ascii="Arial" w:cs="Arial" w:eastAsia="Arial" w:hAnsi="Arial"/>
                <w:sz w:val="18"/>
                <w:szCs w:val="18"/>
                <w:color w:val="auto"/>
              </w:rPr>
              <w:t>Interest receivable</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224,653</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non-interest bearing</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56,349</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74,641</w:t>
            </w:r>
          </w:p>
        </w:tc>
        <w:tc>
          <w:tcPr>
            <w:tcW w:w="0" w:type="dxa"/>
            <w:vAlign w:val="bottom"/>
          </w:tcPr>
          <w:p>
            <w:pPr>
              <w:spacing w:after="0"/>
              <w:rPr>
                <w:sz w:val="1"/>
                <w:szCs w:val="1"/>
                <w:color w:val="auto"/>
              </w:rPr>
            </w:pPr>
          </w:p>
        </w:tc>
      </w:tr>
      <w:tr>
        <w:trPr>
          <w:trHeight w:val="223"/>
        </w:trPr>
        <w:tc>
          <w:tcPr>
            <w:tcW w:w="5040" w:type="dxa"/>
            <w:vAlign w:val="bottom"/>
          </w:tcPr>
          <w:p>
            <w:pPr>
              <w:ind w:left="440"/>
              <w:spacing w:after="0"/>
              <w:rPr>
                <w:sz w:val="20"/>
                <w:szCs w:val="20"/>
                <w:color w:val="auto"/>
              </w:rPr>
            </w:pPr>
            <w:r>
              <w:rPr>
                <w:rFonts w:ascii="Arial" w:cs="Arial" w:eastAsia="Arial" w:hAnsi="Arial"/>
                <w:sz w:val="18"/>
                <w:szCs w:val="18"/>
                <w:color w:val="auto"/>
              </w:rPr>
              <w:t>Securities sold receivable, net</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31,161</w:t>
            </w: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assets</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1,462,451,764</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1,450,907,171</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Liabilities:</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Administrative fees payable</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309,495</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705,257</w:t>
            </w:r>
          </w:p>
        </w:tc>
        <w:tc>
          <w:tcPr>
            <w:tcW w:w="0" w:type="dxa"/>
            <w:vAlign w:val="bottom"/>
          </w:tcPr>
          <w:p>
            <w:pPr>
              <w:spacing w:after="0"/>
              <w:rPr>
                <w:sz w:val="1"/>
                <w:szCs w:val="1"/>
                <w:color w:val="auto"/>
              </w:rPr>
            </w:pPr>
          </w:p>
        </w:tc>
      </w:tr>
      <w:tr>
        <w:trPr>
          <w:trHeight w:val="223"/>
        </w:trPr>
        <w:tc>
          <w:tcPr>
            <w:tcW w:w="5040" w:type="dxa"/>
            <w:vAlign w:val="bottom"/>
          </w:tcPr>
          <w:p>
            <w:pPr>
              <w:ind w:left="440"/>
              <w:spacing w:after="0"/>
              <w:rPr>
                <w:sz w:val="20"/>
                <w:szCs w:val="20"/>
                <w:color w:val="auto"/>
              </w:rPr>
            </w:pPr>
            <w:r>
              <w:rPr>
                <w:rFonts w:ascii="Arial" w:cs="Arial" w:eastAsia="Arial" w:hAnsi="Arial"/>
                <w:sz w:val="18"/>
                <w:szCs w:val="18"/>
                <w:color w:val="auto"/>
              </w:rPr>
              <w:t>Securities purchased payable, net</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309,495</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Net assets reflecting investments at fair value</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1,462,142,269</w:t>
            </w: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1,450,061,548</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from fair value to contract value for fully</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benefit-responsive investment contracts</w:t>
            </w: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(13,712,956)</w:t>
            </w: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(9,548,644)</w:t>
            </w:r>
          </w:p>
        </w:tc>
        <w:tc>
          <w:tcPr>
            <w:tcW w:w="0" w:type="dxa"/>
            <w:vAlign w:val="bottom"/>
          </w:tcPr>
          <w:p>
            <w:pPr>
              <w:spacing w:after="0"/>
              <w:rPr>
                <w:sz w:val="1"/>
                <w:szCs w:val="1"/>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rPr>
              <w:t>Net assets, fully benefit-responsive investment contracts at</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220"/>
              <w:spacing w:after="0"/>
              <w:rPr>
                <w:sz w:val="20"/>
                <w:szCs w:val="20"/>
                <w:color w:val="auto"/>
              </w:rPr>
            </w:pPr>
            <w:r>
              <w:rPr>
                <w:rFonts w:ascii="Arial" w:cs="Arial" w:eastAsia="Arial" w:hAnsi="Arial"/>
                <w:sz w:val="18"/>
                <w:szCs w:val="18"/>
                <w:color w:val="auto"/>
              </w:rPr>
              <w:t>contract value</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1,448,429,313</w:t>
            </w: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1,440,512,904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20" w:type="dxa"/>
            <w:vAlign w:val="bottom"/>
            <w:vMerge w:val="restart"/>
          </w:tcPr>
          <w:p>
            <w:pPr>
              <w:jc w:val="right"/>
              <w:ind w:right="276"/>
              <w:spacing w:after="0"/>
              <w:rPr>
                <w:sz w:val="20"/>
                <w:szCs w:val="20"/>
                <w:color w:val="auto"/>
              </w:rPr>
            </w:pPr>
            <w:r>
              <w:rPr>
                <w:rFonts w:ascii="Arial" w:cs="Arial" w:eastAsia="Arial" w:hAnsi="Arial"/>
                <w:sz w:val="18"/>
                <w:szCs w:val="18"/>
                <w:color w:val="auto"/>
              </w:rPr>
              <w:t>7</w:t>
            </w: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4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Respective interests in the net assets of the Master Trust by the Non-Union Plan and the Plan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359"/>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33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assets reflecting investments at fair value: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Non-Union Plan interest</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$1,450,035,365</w:t>
            </w:r>
          </w:p>
        </w:tc>
        <w:tc>
          <w:tcPr>
            <w:tcW w:w="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$1,440,403,471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Plan interest</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12,106,904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9,658,077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Total</w:t>
            </w:r>
          </w:p>
        </w:tc>
        <w:tc>
          <w:tcPr>
            <w:tcW w:w="1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1,462,142,269</w:t>
            </w:r>
          </w:p>
        </w:tc>
        <w:tc>
          <w:tcPr>
            <w:tcW w:w="8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1,450,061,548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5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8"/>
              </w:rPr>
              <w:t>Adjustment from fair value to contract value for fully benefit-responsive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contracts:</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Non-Union Plan interest</w:t>
            </w:r>
          </w:p>
        </w:tc>
        <w:tc>
          <w:tcPr>
            <w:tcW w:w="5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(13,621,451)</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(9,504,574)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Plan interest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(91,505)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(44,070)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6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8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(13,712,956)</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(9,548,644)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3"/>
              </w:rPr>
              <w:t>Net assets, fully benefit-responsive investment contracts at contract value: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Non-Union Plan interest</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$1,436,413,914</w:t>
            </w:r>
          </w:p>
        </w:tc>
        <w:tc>
          <w:tcPr>
            <w:tcW w:w="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$1,430,898,897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Plan interest</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12,015,399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9,614,007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Total</w:t>
            </w:r>
          </w:p>
        </w:tc>
        <w:tc>
          <w:tcPr>
            <w:tcW w:w="1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1,448,429,313</w:t>
            </w:r>
          </w:p>
        </w:tc>
        <w:tc>
          <w:tcPr>
            <w:tcW w:w="8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1,440,512,904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w w:val="97"/>
              </w:rPr>
              <w:t>The Master Trust’s investments that represented 5% or more of net assets are as follows:</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9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WM Common Stock</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$102,153,934</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$ 111,844,911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Stable Value Fund (at contract value)*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350,147,647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7"/>
              </w:rPr>
              <w:t>335,351,027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Vanguard Institutional Total Stock Market Index Fund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207,321,065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Vanguard Total Bond Market Index Fund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89,037,623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SmartRetirement 2020 Fund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142,119,248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JPMorgan Chase Bank SmartRetirement 2030 Fund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152,725,372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SSgA Active US Large Cap Core Fund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73,649,818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SSgA S&amp;P 500 Flagship Fund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7"/>
              </w:rPr>
              <w:t>211,740,965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SSgA International Alpha Select Fund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98,821,660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SSgA Target Retirement 2020 Fund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7"/>
              </w:rPr>
              <w:t>147,046,688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SSgA Target Retirement 2030 Fund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157,279,639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center"/>
        <w:ind w:left="5680" w:hanging="5672"/>
        <w:spacing w:after="0" w:line="440" w:lineRule="auto"/>
        <w:tabs>
          <w:tab w:leader="none" w:pos="4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the Master Trust’s investment in the Stable Value Fund was $363,860,603 and $344,899,671 at December 31, 2011 and 2010, respectively. 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60" w:type="dxa"/>
            <w:vAlign w:val="bottom"/>
            <w:gridSpan w:val="2"/>
          </w:tcPr>
          <w:p>
            <w:pPr>
              <w:spacing w:after="0"/>
              <w:rPr>
                <w:sz w:val="20"/>
                <w:szCs w:val="20"/>
                <w:color w:val="auto"/>
              </w:rPr>
            </w:pPr>
            <w:r>
              <w:rPr>
                <w:rFonts w:ascii="Arial" w:cs="Arial" w:eastAsia="Arial" w:hAnsi="Arial"/>
                <w:sz w:val="18"/>
                <w:szCs w:val="18"/>
                <w:color w:val="auto"/>
                <w:w w:val="97"/>
              </w:rPr>
              <w:t>Changes in net assets of the Master Trust for the year ended December 31, 2011, are as follows: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4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Interest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Dividends – WM common stock</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4,177,714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Dividends – other than WM common stock</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8,415,889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720" w:type="dxa"/>
            <w:vAlign w:val="bottom"/>
          </w:tcPr>
          <w:p>
            <w:pPr>
              <w:ind w:left="1300"/>
              <w:spacing w:after="0"/>
              <w:rPr>
                <w:sz w:val="20"/>
                <w:szCs w:val="20"/>
                <w:color w:val="auto"/>
              </w:rPr>
            </w:pPr>
            <w:r>
              <w:rPr>
                <w:rFonts w:ascii="Arial" w:cs="Arial" w:eastAsia="Arial" w:hAnsi="Arial"/>
                <w:sz w:val="18"/>
                <w:szCs w:val="18"/>
                <w:color w:val="auto"/>
              </w:rPr>
              <w:t>Total additions</w:t>
            </w:r>
          </w:p>
        </w:tc>
        <w:tc>
          <w:tcPr>
            <w:tcW w:w="8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14,660,210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depreciation in fair value of investments: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Common/collective trust funds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19,704,566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Stable value fund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9,642,771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WM common stock</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(11,742,627)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Corporate stocks – other than WM common stock</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(3,145,083)</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Mutual funds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(42,068,551)</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Publicly-traded partnership interests and other</w:t>
            </w:r>
          </w:p>
        </w:tc>
        <w:tc>
          <w:tcPr>
            <w:tcW w:w="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net depreciation in fair value of investments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(27,548,801)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Administrative fees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(2,732,893)</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deductions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(30,281,694)</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ind w:left="1840"/>
              <w:spacing w:after="0"/>
              <w:rPr>
                <w:sz w:val="20"/>
                <w:szCs w:val="20"/>
                <w:color w:val="auto"/>
              </w:rPr>
            </w:pPr>
            <w:r>
              <w:rPr>
                <w:rFonts w:ascii="Arial" w:cs="Arial" w:eastAsia="Arial" w:hAnsi="Arial"/>
                <w:sz w:val="18"/>
                <w:szCs w:val="18"/>
                <w:color w:val="auto"/>
              </w:rPr>
              <w:t>NET DECREASE BEFORE TRANSFERS</w:t>
            </w: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6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(15,621,484)</w:t>
            </w:r>
          </w:p>
        </w:tc>
        <w:tc>
          <w:tcPr>
            <w:tcW w:w="0" w:type="dxa"/>
            <w:vAlign w:val="bottom"/>
          </w:tcPr>
          <w:p>
            <w:pPr>
              <w:spacing w:after="0"/>
              <w:rPr>
                <w:sz w:val="1"/>
                <w:szCs w:val="1"/>
                <w:color w:val="auto"/>
              </w:rPr>
            </w:pPr>
          </w:p>
        </w:tc>
      </w:tr>
      <w:tr>
        <w:trPr>
          <w:trHeight w:val="110"/>
        </w:trPr>
        <w:tc>
          <w:tcPr>
            <w:tcW w:w="184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TRANSFERS IN*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145,217,279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560" w:type="dxa"/>
            <w:vAlign w:val="bottom"/>
            <w:gridSpan w:val="2"/>
          </w:tcPr>
          <w:p>
            <w:pPr>
              <w:ind w:left="1840"/>
              <w:spacing w:after="0"/>
              <w:rPr>
                <w:sz w:val="20"/>
                <w:szCs w:val="20"/>
                <w:color w:val="auto"/>
              </w:rPr>
            </w:pPr>
            <w:r>
              <w:rPr>
                <w:rFonts w:ascii="Arial" w:cs="Arial" w:eastAsia="Arial" w:hAnsi="Arial"/>
                <w:sz w:val="18"/>
                <w:szCs w:val="18"/>
                <w:color w:val="auto"/>
              </w:rPr>
              <w:t>TRANSFERS OUT**</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(121,679,386)</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w:t>
            </w:r>
          </w:p>
        </w:tc>
        <w:tc>
          <w:tcPr>
            <w:tcW w:w="8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560" w:type="dxa"/>
            <w:vAlign w:val="bottom"/>
            <w:gridSpan w:val="2"/>
          </w:tcPr>
          <w:p>
            <w:pPr>
              <w:ind w:left="1840"/>
              <w:spacing w:after="0"/>
              <w:rPr>
                <w:sz w:val="20"/>
                <w:szCs w:val="20"/>
                <w:color w:val="auto"/>
              </w:rPr>
            </w:pPr>
            <w:r>
              <w:rPr>
                <w:rFonts w:ascii="Arial" w:cs="Arial" w:eastAsia="Arial" w:hAnsi="Arial"/>
                <w:sz w:val="18"/>
                <w:szCs w:val="18"/>
                <w:color w:val="auto"/>
              </w:rPr>
              <w:t>NET ASSETS: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840" w:type="dxa"/>
            <w:vAlign w:val="bottom"/>
          </w:tcPr>
          <w:p>
            <w:pPr>
              <w:spacing w:after="0"/>
              <w:rPr>
                <w:sz w:val="18"/>
                <w:szCs w:val="18"/>
                <w:color w:val="auto"/>
              </w:rPr>
            </w:pPr>
          </w:p>
        </w:tc>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Beginning of year</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1,440,512,904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End of year</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1,448,429,313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Non-Union Plan interest in net investment loss from the Master Trust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(15,735,465)</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(15,621,484)</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579" w:firstLine="8"/>
        <w:spacing w:after="0" w:line="268"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contributions, rollovers, transfers and net participant note repayments/withdrawals of principal and interest. ** Includes benefit payments to participants.</w:t>
      </w:r>
    </w:p>
    <w:p>
      <w:pPr>
        <w:spacing w:after="0" w:line="11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Plan’s investments that represented 5% or more of the Plan’s net assets available for benefits as of December 31, 2011 and 2010 are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2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Borders>
              <w:top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2011</w:t>
            </w:r>
          </w:p>
        </w:tc>
        <w:tc>
          <w:tcPr>
            <w:tcW w:w="1220" w:type="dxa"/>
            <w:vAlign w:val="bottom"/>
            <w:tcBorders>
              <w:top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Stable Value Fund (at contract value)*</w:t>
            </w:r>
          </w:p>
        </w:tc>
        <w:tc>
          <w:tcPr>
            <w:tcW w:w="1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$2,336,494</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$1,547,754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Vanguard Institutional Total Stock Market Index Fund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929,378</w:t>
            </w:r>
          </w:p>
        </w:tc>
        <w:tc>
          <w:tcPr>
            <w:tcW w:w="42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Vanguard Total Bond Market Index Fund</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677,949</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JPMorgan Chase Bank SmartRetirement 2010 Fund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1,083,065</w:t>
            </w:r>
          </w:p>
        </w:tc>
        <w:tc>
          <w:tcPr>
            <w:tcW w:w="42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SmartRetirement 2020 Fund</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2,775,931</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JPMorgan Chase Bank SmartRetirement 2030 Fund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1,654,029</w:t>
            </w:r>
          </w:p>
        </w:tc>
        <w:tc>
          <w:tcPr>
            <w:tcW w:w="42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SSgA S&amp;P 500 Flagship Fund</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928,687</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SSgA Target Retirement 2010 Fund</w:t>
            </w:r>
          </w:p>
        </w:tc>
        <w:tc>
          <w:tcPr>
            <w:tcW w:w="138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989,485</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SSgA Target Retirement 2020 Fund</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2,455,499</w:t>
            </w:r>
          </w:p>
        </w:tc>
        <w:tc>
          <w:tcPr>
            <w:tcW w:w="100" w:type="dxa"/>
            <w:vAlign w:val="bottom"/>
            <w:shd w:val="clear" w:color="auto" w:fill="CCEEFF"/>
          </w:tcPr>
          <w:p>
            <w:pPr>
              <w:spacing w:after="0"/>
              <w:rPr>
                <w:sz w:val="18"/>
                <w:szCs w:val="18"/>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SSgA Target Retirement 2030 Fund</w:t>
            </w:r>
          </w:p>
        </w:tc>
        <w:tc>
          <w:tcPr>
            <w:tcW w:w="138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1,331,860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the Plan’s investment in the Stable Value Fund was $2,427,999 and $1,591,824 at December 31, 2011 and 2010,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Contracts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trust funds held by the Master Trust include a stable value fund that invests in fully benefit-responsive GICs and Synthetic GICs. The following disclosures provide information about the nature of these investments and how fair values of these investments are measured.</w:t>
      </w:r>
    </w:p>
    <w:p>
      <w:pPr>
        <w:spacing w:after="0" w:line="1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i w:val="1"/>
          <w:iCs w:val="1"/>
          <w:color w:val="auto"/>
        </w:rPr>
        <w:t xml:space="preserve">Guaranteed Investment Contracts </w:t>
      </w:r>
      <w:r>
        <w:rPr>
          <w:rFonts w:ascii="Arial" w:cs="Arial" w:eastAsia="Arial" w:hAnsi="Arial"/>
          <w:sz w:val="16"/>
          <w:szCs w:val="16"/>
          <w:color w:val="auto"/>
        </w:rPr>
        <w:t>— GICs are contracts that provide a specified rate of return for a specific period of time. The fair values of the GICs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Plan’s Stable Value Fund are measured by the investment manager using a discounted cash flow methodology at market rates.</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(a) individual assets or investments placed in a trust and (b) wrapper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that guarantee that participant transactions will be executed at contract value. The investment portfolio of a Synthetic GIC when coupled with a wrapper contract attempts to replicate the investment characteristics of traditional GICs.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Synthetic GICs included in the Plan’s stable value fund are measured as follows:</w:t>
      </w:r>
    </w:p>
    <w:p>
      <w:pPr>
        <w:spacing w:after="0" w:line="90" w:lineRule="exact"/>
        <w:rPr>
          <w:sz w:val="20"/>
          <w:szCs w:val="20"/>
          <w:color w:val="auto"/>
        </w:rPr>
      </w:pPr>
    </w:p>
    <w:p>
      <w:pPr>
        <w:ind w:left="460" w:right="20" w:hanging="452"/>
        <w:spacing w:after="0" w:line="294" w:lineRule="auto"/>
        <w:tabs>
          <w:tab w:leader="none" w:pos="46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Fair value of individual assets and investments </w:t>
      </w:r>
      <w:r>
        <w:rPr>
          <w:rFonts w:ascii="Arial" w:cs="Arial" w:eastAsia="Arial" w:hAnsi="Arial"/>
          <w:sz w:val="16"/>
          <w:szCs w:val="16"/>
          <w:color w:val="auto"/>
        </w:rPr>
        <w:t>— Individual assets and investments are valued at representative quoted market prices when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34" w:lineRule="exact"/>
        <w:rPr>
          <w:rFonts w:ascii="Arial" w:cs="Arial" w:eastAsia="Arial" w:hAnsi="Arial"/>
          <w:sz w:val="16"/>
          <w:szCs w:val="16"/>
          <w:b w:val="1"/>
          <w:bCs w:val="1"/>
          <w:color w:val="auto"/>
        </w:rPr>
      </w:pPr>
    </w:p>
    <w:p>
      <w:pPr>
        <w:ind w:left="460" w:hanging="452"/>
        <w:spacing w:after="0" w:line="306" w:lineRule="auto"/>
        <w:tabs>
          <w:tab w:leader="none" w:pos="46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Fair value of wrapper contracts </w:t>
      </w:r>
      <w:r>
        <w:rPr>
          <w:rFonts w:ascii="Arial" w:cs="Arial" w:eastAsia="Arial" w:hAnsi="Arial"/>
          <w:sz w:val="16"/>
          <w:szCs w:val="16"/>
          <w:color w:val="auto"/>
        </w:rPr>
        <w:t>— The fair value of wrapper contracts is determined using the income approach discounting methodology that incorporates</w:t>
      </w:r>
      <w:r>
        <w:rPr>
          <w:rFonts w:ascii="Arial" w:cs="Arial" w:eastAsia="Arial" w:hAnsi="Arial"/>
          <w:sz w:val="16"/>
          <w:szCs w:val="16"/>
          <w:i w:val="1"/>
          <w:iCs w:val="1"/>
          <w:color w:val="auto"/>
        </w:rPr>
        <w:t xml:space="preserve"> </w:t>
      </w:r>
      <w:r>
        <w:rPr>
          <w:rFonts w:ascii="Arial" w:cs="Arial" w:eastAsia="Arial" w:hAnsi="Arial"/>
          <w:sz w:val="16"/>
          <w:szCs w:val="16"/>
          <w:color w:val="auto"/>
        </w:rPr>
        <w:t>the difference between current market level rates for contract level wrap fees and the wrap fee being charged for the Synthetic GIC. This difference is calculated as a dollar value and discounted by the prevailing discount rate as of the appropriate measurement date.</w:t>
      </w:r>
    </w:p>
    <w:p>
      <w:pPr>
        <w:spacing w:after="0" w:line="10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interest crediting rates for the traditional GICs are agreed to in advance with the issuer. The interest crediting rates for Synthetic GICs are calculated on a quarterly basis using the contract value, market value, yield and duration of the underlying securities, but cannot be less than zero.</w:t>
      </w:r>
    </w:p>
    <w:p>
      <w:pPr>
        <w:spacing w:after="0" w:line="8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stable value fund’s average yield based on actual earnings was 1.86% and 2.28% during 2011 and 2010, respectively, and its average yield based on the interest rate credited to participants was 3.08% and 3.16% during 2011 and 2010,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There are certain events not initiated by the Plan participants that could limit the ability of the Plan to transact with the issuer at GIC or Synthetic GIC contract value. Examples of such events include, but are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Contract issuers are generally not allowed to terminate GICs and settle at an amount different from contract value unless there is a breach of contract which is not corrected within the time permitted by the contract. Synthetic GICs generally are evergreen contracts that contain termination provisions, allowing the fund or the contract issuer to terminate with notice, at any time at fair value, and providing for automatic termination of the contract if the contract value or the fair value of the underlying portfolio equals zero. The issuer is obligated to pay the excess contract value when the fair value of the underlying portfolio equals zero.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Authoritative guidance associated with fair value measurements provides a framework for measuring fair value and establishes a fair value hierarchy that prioritizes the inputs used to measure fair value, giving the highest priority to unadjusted quoted prices in active markets for identical assets or liabilities (Level 1 inputs) and the lowest priority to unobservable inputs (Level 3 inputs).</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by level, within the fair value hierarchy, a summary of investments of the Master Trust measured at fair value on a recurring basis: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5"/>
          </w:tcPr>
          <w:p>
            <w:pPr>
              <w:ind w:left="8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Quoted Prices in Active Markets (Level 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5920" w:type="dxa"/>
            <w:vAlign w:val="bottom"/>
          </w:tcPr>
          <w:p>
            <w:pPr>
              <w:ind w:left="440"/>
              <w:spacing w:after="0"/>
              <w:rPr>
                <w:sz w:val="20"/>
                <w:szCs w:val="20"/>
                <w:color w:val="auto"/>
              </w:rPr>
            </w:pPr>
            <w:r>
              <w:rPr>
                <w:rFonts w:ascii="Arial" w:cs="Arial" w:eastAsia="Arial" w:hAnsi="Arial"/>
                <w:sz w:val="18"/>
                <w:szCs w:val="18"/>
                <w:color w:val="auto"/>
              </w:rPr>
              <w:t>WM common stock</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102,153,934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111,844,911</w:t>
            </w:r>
          </w:p>
        </w:tc>
        <w:tc>
          <w:tcPr>
            <w:tcW w:w="100" w:type="dxa"/>
            <w:vAlign w:val="bottom"/>
          </w:tcPr>
          <w:p>
            <w:pPr>
              <w:spacing w:after="0"/>
              <w:rPr>
                <w:sz w:val="19"/>
                <w:szCs w:val="19"/>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stocks – other than WM common stock</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16,796,395</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14,363,774</w:t>
            </w:r>
          </w:p>
        </w:tc>
        <w:tc>
          <w:tcPr>
            <w:tcW w:w="100" w:type="dxa"/>
            <w:vAlign w:val="bottom"/>
            <w:shd w:val="clear" w:color="auto" w:fill="CCEEFF"/>
          </w:tcPr>
          <w:p>
            <w:pPr>
              <w:spacing w:after="0"/>
              <w:rPr>
                <w:sz w:val="18"/>
                <w:szCs w:val="18"/>
                <w:color w:val="auto"/>
              </w:rPr>
            </w:pPr>
          </w:p>
        </w:tc>
      </w:tr>
      <w:tr>
        <w:trPr>
          <w:trHeight w:val="222"/>
        </w:trPr>
        <w:tc>
          <w:tcPr>
            <w:tcW w:w="5920" w:type="dxa"/>
            <w:vAlign w:val="bottom"/>
          </w:tcPr>
          <w:p>
            <w:pPr>
              <w:ind w:left="440"/>
              <w:spacing w:after="0"/>
              <w:rPr>
                <w:sz w:val="20"/>
                <w:szCs w:val="20"/>
                <w:color w:val="auto"/>
              </w:rPr>
            </w:pPr>
            <w:r>
              <w:rPr>
                <w:rFonts w:ascii="Arial" w:cs="Arial" w:eastAsia="Arial" w:hAnsi="Arial"/>
                <w:sz w:val="18"/>
                <w:szCs w:val="18"/>
                <w:color w:val="auto"/>
              </w:rPr>
              <w:t>Mutual Funds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EuroPacific growth fund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47,170,865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Emerging markets fund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41,267,020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Small cap investment fund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72,278,732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Stock market index fund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207,321,065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Bond market index fund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89,037,623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Pr>
          <w:p>
            <w:pPr>
              <w:ind w:left="860"/>
              <w:spacing w:after="0"/>
              <w:rPr>
                <w:sz w:val="20"/>
                <w:szCs w:val="20"/>
                <w:color w:val="auto"/>
              </w:rPr>
            </w:pPr>
            <w:r>
              <w:rPr>
                <w:rFonts w:ascii="Arial" w:cs="Arial" w:eastAsia="Arial" w:hAnsi="Arial"/>
                <w:sz w:val="18"/>
                <w:szCs w:val="18"/>
                <w:color w:val="auto"/>
              </w:rPr>
              <w:t>Self-directed mutual funds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16,161,994</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20,124,526</w:t>
            </w:r>
          </w:p>
        </w:tc>
        <w:tc>
          <w:tcPr>
            <w:tcW w:w="100" w:type="dxa"/>
            <w:vAlign w:val="bottom"/>
          </w:tcPr>
          <w:p>
            <w:pPr>
              <w:spacing w:after="0"/>
              <w:rPr>
                <w:sz w:val="19"/>
                <w:szCs w:val="19"/>
                <w:color w:val="auto"/>
              </w:rPr>
            </w:pPr>
          </w:p>
        </w:tc>
      </w:tr>
      <w:tr>
        <w:trPr>
          <w:trHeight w:val="216"/>
        </w:trPr>
        <w:tc>
          <w:tcPr>
            <w:tcW w:w="5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473,237,299</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20,124,526</w:t>
            </w:r>
          </w:p>
        </w:tc>
        <w:tc>
          <w:tcPr>
            <w:tcW w:w="100" w:type="dxa"/>
            <w:vAlign w:val="bottom"/>
            <w:shd w:val="clear" w:color="auto" w:fill="CCEEFF"/>
          </w:tcPr>
          <w:p>
            <w:pPr>
              <w:spacing w:after="0"/>
              <w:rPr>
                <w:sz w:val="18"/>
                <w:szCs w:val="18"/>
                <w:color w:val="auto"/>
              </w:rPr>
            </w:pPr>
          </w:p>
        </w:tc>
      </w:tr>
      <w:tr>
        <w:trPr>
          <w:trHeight w:val="230"/>
        </w:trPr>
        <w:tc>
          <w:tcPr>
            <w:tcW w:w="5920" w:type="dxa"/>
            <w:vAlign w:val="bottom"/>
          </w:tcPr>
          <w:p>
            <w:pPr>
              <w:ind w:left="440"/>
              <w:spacing w:after="0"/>
              <w:rPr>
                <w:sz w:val="20"/>
                <w:szCs w:val="20"/>
                <w:color w:val="auto"/>
              </w:rPr>
            </w:pPr>
            <w:r>
              <w:rPr>
                <w:rFonts w:ascii="Arial" w:cs="Arial" w:eastAsia="Arial" w:hAnsi="Arial"/>
                <w:sz w:val="18"/>
                <w:szCs w:val="18"/>
                <w:color w:val="auto"/>
              </w:rPr>
              <w:t>Publicly–traded partnership interests and other</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982,550</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424,601</w:t>
            </w:r>
          </w:p>
        </w:tc>
        <w:tc>
          <w:tcPr>
            <w:tcW w:w="100" w:type="dxa"/>
            <w:vAlign w:val="bottom"/>
          </w:tcPr>
          <w:p>
            <w:pPr>
              <w:spacing w:after="0"/>
              <w:rPr>
                <w:sz w:val="20"/>
                <w:szCs w:val="20"/>
                <w:color w:val="auto"/>
              </w:rPr>
            </w:pPr>
          </w:p>
        </w:tc>
      </w:tr>
      <w:tr>
        <w:trPr>
          <w:trHeight w:val="216"/>
        </w:trPr>
        <w:tc>
          <w:tcPr>
            <w:tcW w:w="59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Subtotal Level 1</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593,170,178</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146,757,812</w:t>
            </w:r>
          </w:p>
        </w:tc>
        <w:tc>
          <w:tcPr>
            <w:tcW w:w="100" w:type="dxa"/>
            <w:vAlign w:val="bottom"/>
            <w:shd w:val="clear" w:color="auto" w:fill="CCEEFF"/>
          </w:tcPr>
          <w:p>
            <w:pPr>
              <w:spacing w:after="0"/>
              <w:rPr>
                <w:sz w:val="18"/>
                <w:szCs w:val="18"/>
                <w:color w:val="auto"/>
              </w:rPr>
            </w:pPr>
          </w:p>
        </w:tc>
      </w:tr>
      <w:tr>
        <w:trPr>
          <w:trHeight w:val="222"/>
        </w:trPr>
        <w:tc>
          <w:tcPr>
            <w:tcW w:w="5920" w:type="dxa"/>
            <w:vAlign w:val="bottom"/>
          </w:tcPr>
          <w:p>
            <w:pPr>
              <w:spacing w:after="0"/>
              <w:rPr>
                <w:sz w:val="20"/>
                <w:szCs w:val="20"/>
                <w:color w:val="auto"/>
              </w:rPr>
            </w:pPr>
            <w:r>
              <w:rPr>
                <w:rFonts w:ascii="Arial" w:cs="Arial" w:eastAsia="Arial" w:hAnsi="Arial"/>
                <w:sz w:val="18"/>
                <w:szCs w:val="18"/>
                <w:b w:val="1"/>
                <w:bCs w:val="1"/>
                <w:color w:val="auto"/>
              </w:rPr>
              <w:t>Significant Other Observable Inputs (Level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collective trust funds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Short-term investment fund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1,305,176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1,672,227</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income investment fund (b)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38,515,869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Growth investment fund (c)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40,815,024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Target date retirement funds (d)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424,472,751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437,602,240</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Small cap investment fund (e)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65,811,512</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Large cap investment fund (f)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73,649,818</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S&amp;P 500 investment fund (g)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211,654,748</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Bond market investment fund (h)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69,962,560</w:t>
            </w:r>
          </w:p>
        </w:tc>
        <w:tc>
          <w:tcPr>
            <w:tcW w:w="100" w:type="dxa"/>
            <w:vAlign w:val="bottom"/>
            <w:shd w:val="clear" w:color="auto" w:fill="CCEEFF"/>
          </w:tcPr>
          <w:p>
            <w:pPr>
              <w:spacing w:after="0"/>
              <w:rPr>
                <w:sz w:val="18"/>
                <w:szCs w:val="18"/>
                <w:color w:val="auto"/>
              </w:rPr>
            </w:pPr>
          </w:p>
        </w:tc>
      </w:tr>
      <w:tr>
        <w:trPr>
          <w:trHeight w:val="223"/>
        </w:trPr>
        <w:tc>
          <w:tcPr>
            <w:tcW w:w="5920" w:type="dxa"/>
            <w:vAlign w:val="bottom"/>
          </w:tcPr>
          <w:p>
            <w:pPr>
              <w:ind w:left="860"/>
              <w:spacing w:after="0"/>
              <w:rPr>
                <w:sz w:val="20"/>
                <w:szCs w:val="20"/>
                <w:color w:val="auto"/>
              </w:rPr>
            </w:pPr>
            <w:r>
              <w:rPr>
                <w:rFonts w:ascii="Arial" w:cs="Arial" w:eastAsia="Arial" w:hAnsi="Arial"/>
                <w:sz w:val="18"/>
                <w:szCs w:val="18"/>
                <w:color w:val="auto"/>
              </w:rPr>
              <w:t>International fund (i)</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98,821,660</w:t>
            </w:r>
          </w:p>
        </w:tc>
        <w:tc>
          <w:tcPr>
            <w:tcW w:w="100" w:type="dxa"/>
            <w:vAlign w:val="bottom"/>
          </w:tcPr>
          <w:p>
            <w:pPr>
              <w:spacing w:after="0"/>
              <w:rPr>
                <w:sz w:val="19"/>
                <w:szCs w:val="19"/>
                <w:color w:val="auto"/>
              </w:rPr>
            </w:pPr>
          </w:p>
        </w:tc>
      </w:tr>
      <w:tr>
        <w:trPr>
          <w:trHeight w:val="216"/>
        </w:trPr>
        <w:tc>
          <w:tcPr>
            <w:tcW w:w="5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505,108,820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959,174,765</w:t>
            </w:r>
          </w:p>
        </w:tc>
        <w:tc>
          <w:tcPr>
            <w:tcW w:w="100" w:type="dxa"/>
            <w:vAlign w:val="bottom"/>
            <w:shd w:val="clear" w:color="auto" w:fill="CCEEFF"/>
          </w:tcPr>
          <w:p>
            <w:pPr>
              <w:spacing w:after="0"/>
              <w:rPr>
                <w:sz w:val="18"/>
                <w:szCs w:val="18"/>
                <w:color w:val="auto"/>
              </w:rPr>
            </w:pPr>
          </w:p>
        </w:tc>
      </w:tr>
      <w:tr>
        <w:trPr>
          <w:trHeight w:val="223"/>
        </w:trPr>
        <w:tc>
          <w:tcPr>
            <w:tcW w:w="5920" w:type="dxa"/>
            <w:vAlign w:val="bottom"/>
          </w:tcPr>
          <w:p>
            <w:pPr>
              <w:ind w:left="440"/>
              <w:spacing w:after="0"/>
              <w:rPr>
                <w:sz w:val="20"/>
                <w:szCs w:val="20"/>
                <w:color w:val="auto"/>
              </w:rPr>
            </w:pPr>
            <w:r>
              <w:rPr>
                <w:rFonts w:ascii="Arial" w:cs="Arial" w:eastAsia="Arial" w:hAnsi="Arial"/>
                <w:sz w:val="18"/>
                <w:szCs w:val="18"/>
                <w:color w:val="auto"/>
              </w:rPr>
              <w:t>Stable value fund (j)</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363,860,603</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344,899,671</w:t>
            </w:r>
          </w:p>
        </w:tc>
        <w:tc>
          <w:tcPr>
            <w:tcW w:w="100" w:type="dxa"/>
            <w:vAlign w:val="bottom"/>
          </w:tcPr>
          <w:p>
            <w:pPr>
              <w:spacing w:after="0"/>
              <w:rPr>
                <w:sz w:val="19"/>
                <w:szCs w:val="19"/>
                <w:color w:val="auto"/>
              </w:rPr>
            </w:pPr>
          </w:p>
        </w:tc>
      </w:tr>
      <w:tr>
        <w:trPr>
          <w:trHeight w:val="216"/>
        </w:trPr>
        <w:tc>
          <w:tcPr>
            <w:tcW w:w="59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Subtotal Level 2</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868,969,423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1,304,074,436</w:t>
            </w:r>
          </w:p>
        </w:tc>
        <w:tc>
          <w:tcPr>
            <w:tcW w:w="100" w:type="dxa"/>
            <w:vAlign w:val="bottom"/>
            <w:shd w:val="clear" w:color="auto" w:fill="CCEEFF"/>
          </w:tcPr>
          <w:p>
            <w:pPr>
              <w:spacing w:after="0"/>
              <w:rPr>
                <w:sz w:val="18"/>
                <w:szCs w:val="18"/>
                <w:color w:val="auto"/>
              </w:rPr>
            </w:pPr>
          </w:p>
        </w:tc>
      </w:tr>
      <w:tr>
        <w:trPr>
          <w:trHeight w:val="222"/>
        </w:trPr>
        <w:tc>
          <w:tcPr>
            <w:tcW w:w="5920" w:type="dxa"/>
            <w:vAlign w:val="bottom"/>
          </w:tcPr>
          <w:p>
            <w:pPr>
              <w:ind w:left="1720"/>
              <w:spacing w:after="0"/>
              <w:rPr>
                <w:sz w:val="20"/>
                <w:szCs w:val="20"/>
                <w:color w:val="auto"/>
              </w:rPr>
            </w:pPr>
            <w:r>
              <w:rPr>
                <w:rFonts w:ascii="Arial" w:cs="Arial" w:eastAsia="Arial" w:hAnsi="Arial"/>
                <w:sz w:val="18"/>
                <w:szCs w:val="18"/>
                <w:color w:val="auto"/>
              </w:rPr>
              <w:t>Total Investments of the Master Trust</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1,462,139,601</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1,450,832,248</w:t>
            </w:r>
          </w:p>
        </w:tc>
        <w:tc>
          <w:tcPr>
            <w:tcW w:w="1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20" w:hanging="452"/>
        <w:spacing w:after="0" w:line="252"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category represents a common/collective trust, and the investment objective of the fund is to provide safety of principal, daily liquidity, and a competitive yield by investing in high quality money market instruments. The fund’s trust document requires fifteen days advance notice prior to redemption, and authorizes the fund’s trustee to shorten this notice period at its sole discretion. At December 31, 2011 and December 31, 2010, the trustee had waived the notice period.</w:t>
      </w:r>
    </w:p>
    <w:p>
      <w:pPr>
        <w:spacing w:after="0" w:line="1"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category represents a common/collective trust that seeks to provide substantial dividend income and long-term growth of capital through investments in the common stocks of established companies. Under normal conditions, the fund will invest at least 80% of assets in common stocks and, in particular, those that appear to be underfunded and may be temporarily out of favor but have good prospects for capital appreciation and dividend growth. The fund’s trust document requires ninety days advance notice prior to redemption, and authorizes the fund’s trustee to shorten or waive this notice period at its sole discretion. As of December 31, 2011, the trustee had waived the notice period for participants.</w:t>
      </w:r>
    </w:p>
    <w:p>
      <w:pPr>
        <w:spacing w:after="0" w:line="3" w:lineRule="exact"/>
        <w:rPr>
          <w:rFonts w:ascii="Arial" w:cs="Arial" w:eastAsia="Arial" w:hAnsi="Arial"/>
          <w:sz w:val="16"/>
          <w:szCs w:val="16"/>
          <w:color w:val="auto"/>
        </w:rPr>
      </w:pPr>
    </w:p>
    <w:p>
      <w:pPr>
        <w:ind w:left="460" w:right="14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category represents a common/collective trust that seeks to provide long-term capital growth and, secondarily, income. Under normal conditions, the fund will invest at least 80% of net assets in the common stocks of large and medium-sized blue chip growth companies. The fund’s trust document requires ninety days advance notice prior to a redemption, and authorizes the fund’s trustee to shorten or waive this notice period at its sole discretion. As of December 31, 2011, the trustee had waived the notice period for participants.</w:t>
      </w:r>
    </w:p>
    <w:p>
      <w:pPr>
        <w:spacing w:after="0" w:line="2" w:lineRule="exact"/>
        <w:rPr>
          <w:rFonts w:ascii="Arial" w:cs="Arial" w:eastAsia="Arial" w:hAnsi="Arial"/>
          <w:sz w:val="16"/>
          <w:szCs w:val="16"/>
          <w:color w:val="auto"/>
        </w:rPr>
      </w:pPr>
    </w:p>
    <w:p>
      <w:pPr>
        <w:ind w:left="460" w:hanging="452"/>
        <w:spacing w:after="0" w:line="290"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December 31, 2011, this category represents common/collective trusts, and the objective of each individual fund is to produce risk-appropriate investment returns by using the following major asset classes: stocks, bonds, real estate, and cash or cash equivalents. Diversification is primarily achieved by investing in other collective trust funds maintained by JPMorgan Chase Bank, but may also be achieved by investing in exchange traded funds, exchange traded notes, derivatives, and other securities. Except for the target date income fund, the funds are age-based funds for investors retiring approximately at or near the year identified by each fund as its target retirement date. At December 31, 2011, there were no redemption restrictions on these funds for participants but each fund requires the Plan to provide sixty days advance notice to liquidate its entire share.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spacing w:after="0" w:line="252" w:lineRule="auto"/>
        <w:rPr>
          <w:sz w:val="20"/>
          <w:szCs w:val="20"/>
          <w:color w:val="auto"/>
        </w:rPr>
      </w:pPr>
      <w:r>
        <w:rPr>
          <w:rFonts w:ascii="Arial" w:cs="Arial" w:eastAsia="Arial" w:hAnsi="Arial"/>
          <w:sz w:val="18"/>
          <w:szCs w:val="18"/>
          <w:color w:val="auto"/>
        </w:rPr>
        <w:t>At December 31, 2010, this category represents common/collective trusts, and the objective of each individual fund is to approximate as closely as practicable, before expenses, the performance of a custom benchmark index over the long term, while providing participants the ability to purchase and redeem units on an “as of” basis. Each fund attempts to achieve its investment objective by investing in other collective investment funds, managed by State Street, which have characteristics consistent with the fund’s overall investment objective. At December 31, 2010, there were no redemption restrictions on these funds.</w:t>
      </w:r>
    </w:p>
    <w:p>
      <w:pPr>
        <w:ind w:left="460" w:right="280" w:hanging="452"/>
        <w:spacing w:after="0" w:line="300"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This category represents a common/collective trust that seeks to exceed the performance of the Russell 2000</w:t>
      </w:r>
      <w:r>
        <w:rPr>
          <w:rFonts w:ascii="Arial" w:cs="Arial" w:eastAsia="Arial" w:hAnsi="Arial"/>
          <w:sz w:val="10"/>
          <w:szCs w:val="10"/>
          <w:color w:val="auto"/>
        </w:rPr>
        <w:t>®</w:t>
      </w:r>
      <w:r>
        <w:rPr>
          <w:rFonts w:ascii="Arial" w:cs="Arial" w:eastAsia="Arial" w:hAnsi="Arial"/>
          <w:sz w:val="15"/>
          <w:szCs w:val="15"/>
          <w:color w:val="auto"/>
        </w:rPr>
        <w:t xml:space="preserve"> Index over the long term, while providing participants the ability to purchase and redeem units on an “as of” basis. At December 31, 2010, there were no redemption restrictions on this fund.</w:t>
      </w:r>
    </w:p>
    <w:p>
      <w:pPr>
        <w:ind w:left="460" w:right="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category represents a common/collective trust that seeks to provide a total investment return in excess of the performance of the S&amp;P 500</w:t>
      </w:r>
      <w:r>
        <w:rPr>
          <w:rFonts w:ascii="Arial" w:cs="Arial" w:eastAsia="Arial" w:hAnsi="Arial"/>
          <w:sz w:val="11"/>
          <w:szCs w:val="11"/>
          <w:color w:val="auto"/>
        </w:rPr>
        <w:t>®</w:t>
      </w:r>
      <w:r>
        <w:rPr>
          <w:rFonts w:ascii="Arial" w:cs="Arial" w:eastAsia="Arial" w:hAnsi="Arial"/>
          <w:sz w:val="18"/>
          <w:szCs w:val="18"/>
          <w:color w:val="auto"/>
        </w:rPr>
        <w:t xml:space="preserve"> Index over the long term, while providing participants the ability to purchase and redeem units on an “as of” basis. At December 31, 2010, there were no redemption restrictions on this fund.</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category represents a common/collective trust that seeks to approximate as closely as practicable, before expenses, the performance of the S&amp;P 500</w:t>
      </w:r>
      <w:r>
        <w:rPr>
          <w:rFonts w:ascii="Arial" w:cs="Arial" w:eastAsia="Arial" w:hAnsi="Arial"/>
          <w:sz w:val="11"/>
          <w:szCs w:val="11"/>
          <w:color w:val="auto"/>
        </w:rPr>
        <w:t>®</w:t>
      </w:r>
      <w:r>
        <w:rPr>
          <w:rFonts w:ascii="Arial" w:cs="Arial" w:eastAsia="Arial" w:hAnsi="Arial"/>
          <w:sz w:val="18"/>
          <w:szCs w:val="18"/>
          <w:color w:val="auto"/>
        </w:rPr>
        <w:t xml:space="preserve"> Index over the long term, while providing participants the ability to purchase and redeem units on an “as of” basis. At December 31, 2010, there were no redemption restrictions on this fund.</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category represents a common/collective trust that seeks to approximate as closely as practicable, before expenses, the performance of the Barclays Capital U.S. Aggregate Bond Index over the long term, while providing participants the ability to purchase and redeem units on an “as of” basis. The fund attempts to achieve its investment objective by investing in other collective investment funds managed by State Street, which have characteristics consistent with the fund’s overall investment objective. At December 31, 2010, there were no redemption restrictions on this fund.</w:t>
      </w:r>
    </w:p>
    <w:p>
      <w:pPr>
        <w:spacing w:after="0" w:line="2"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category represents a common/collective trust that seeks to provide a total investment return in excess of the performance of the MSCI EAFE</w:t>
      </w:r>
      <w:r>
        <w:rPr>
          <w:rFonts w:ascii="Arial" w:cs="Arial" w:eastAsia="Arial" w:hAnsi="Arial"/>
          <w:sz w:val="11"/>
          <w:szCs w:val="11"/>
          <w:color w:val="auto"/>
        </w:rPr>
        <w:t>®</w:t>
      </w:r>
      <w:r>
        <w:rPr>
          <w:rFonts w:ascii="Arial" w:cs="Arial" w:eastAsia="Arial" w:hAnsi="Arial"/>
          <w:sz w:val="18"/>
          <w:szCs w:val="18"/>
          <w:color w:val="auto"/>
        </w:rPr>
        <w:t xml:space="preserve"> Index over the long term, while providing participants the ability to purchase and redeem units on an “as of” basis. At December 31, 2010, there were no redemption restrictions on this fund.</w:t>
      </w:r>
    </w:p>
    <w:p>
      <w:pPr>
        <w:spacing w:after="0" w:line="1" w:lineRule="exact"/>
        <w:rPr>
          <w:rFonts w:ascii="Arial" w:cs="Arial" w:eastAsia="Arial" w:hAnsi="Arial"/>
          <w:sz w:val="18"/>
          <w:szCs w:val="18"/>
          <w:color w:val="auto"/>
        </w:rPr>
      </w:pPr>
    </w:p>
    <w:p>
      <w:pPr>
        <w:ind w:left="460" w:hanging="452"/>
        <w:spacing w:after="0" w:line="288"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investment objective of this fund is to protect principal while providing a higher rate of return than shorter maturity investments, such as money market funds or certificates of deposit. To achieve this, the fund invests in instruments which are not expected to experience significant price fluctuation in most economic or interest rate environments. The fund primarily invests in investment contracts, including fully benefit-responsive GICS and Synthetic GICs. The fund also invests in the Wells Fargo Stable Return Fund G (“Wells Fargo Fund”), which has an investment objective similar to that of the fund. The fund uses its investment in the Wells Fargo Fund for daily liquidity needs. The participants in this fund have daily liquidity at contract value (except as discussed in Note 5), however, the trustee of the Wells Fargo Fund reserves the right to require a one-year redemption notice for the Plan to liquidate its entire share in that Fund. See Note 5 for additional information related to the Stable Value Fund.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Federal Income Taxes</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Plan has received a determination letter from the Internal Revenue Service (the “IRS”) dated November 30, 2001, stating that the Plan, as then designed, was then in compliance with the applicable requirements of the Internal Revenue Code (the “Code”). The Plan has been amended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On January 11, 2010, Waste Management filed an application for a renewed favorable determination letter.</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Generally accepted accounting principles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2011, there are no uncertain tax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2008.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Reconciliation of Financial Statements to Form 5500</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per the financial statements to the Form 5500 as of December 31, 2011 and 2010:</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3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 available for benefits per the financial statements</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$12,546,301</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9,959,172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w w:val="97"/>
              </w:rPr>
              <w:t>Adjustment from fair value to contract value for fully benefit-responsive</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920" w:type="dxa"/>
            <w:vAlign w:val="bottom"/>
          </w:tcPr>
          <w:p>
            <w:pPr>
              <w:ind w:left="620"/>
              <w:spacing w:after="0"/>
              <w:rPr>
                <w:sz w:val="20"/>
                <w:szCs w:val="20"/>
                <w:color w:val="auto"/>
              </w:rPr>
            </w:pPr>
            <w:r>
              <w:rPr>
                <w:rFonts w:ascii="Arial" w:cs="Arial" w:eastAsia="Arial" w:hAnsi="Arial"/>
                <w:sz w:val="18"/>
                <w:szCs w:val="18"/>
                <w:color w:val="auto"/>
              </w:rPr>
              <w:t>investment contracts</w:t>
            </w:r>
          </w:p>
        </w:tc>
        <w:tc>
          <w:tcPr>
            <w:tcW w:w="4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91,505</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12,637,806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10,003,242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net increase in net assets available for benefits per the financial statements to the Form 5500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$2,587,129</w:t>
            </w:r>
          </w:p>
        </w:tc>
        <w:tc>
          <w:tcPr>
            <w:tcW w:w="120" w:type="dxa"/>
            <w:vAlign w:val="bottom"/>
            <w:shd w:val="clear" w:color="auto" w:fill="CCEEFF"/>
          </w:tcPr>
          <w:p>
            <w:pPr>
              <w:spacing w:after="0"/>
              <w:rPr>
                <w:sz w:val="18"/>
                <w:szCs w:val="18"/>
                <w:color w:val="auto"/>
              </w:rPr>
            </w:pPr>
          </w:p>
        </w:tc>
      </w:tr>
      <w:tr>
        <w:trPr>
          <w:trHeight w:val="208"/>
        </w:trPr>
        <w:tc>
          <w:tcPr>
            <w:tcW w:w="6840" w:type="dxa"/>
            <w:vAlign w:val="bottom"/>
          </w:tcPr>
          <w:p>
            <w:pPr>
              <w:ind w:left="440"/>
              <w:spacing w:after="0"/>
              <w:rPr>
                <w:sz w:val="20"/>
                <w:szCs w:val="20"/>
                <w:color w:val="auto"/>
              </w:rPr>
            </w:pPr>
            <w:r>
              <w:rPr>
                <w:rFonts w:ascii="Arial" w:cs="Arial" w:eastAsia="Arial" w:hAnsi="Arial"/>
                <w:sz w:val="18"/>
                <w:szCs w:val="18"/>
                <w:color w:val="auto"/>
                <w:w w:val="97"/>
              </w:rPr>
              <w:t>Adjustment from fair value to contract value for fully benefit-responsive investment</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6840" w:type="dxa"/>
            <w:vAlign w:val="bottom"/>
          </w:tcPr>
          <w:p>
            <w:pPr>
              <w:ind w:left="640"/>
              <w:spacing w:after="0"/>
              <w:rPr>
                <w:sz w:val="20"/>
                <w:szCs w:val="20"/>
                <w:color w:val="auto"/>
              </w:rPr>
            </w:pPr>
            <w:r>
              <w:rPr>
                <w:rFonts w:ascii="Arial" w:cs="Arial" w:eastAsia="Arial" w:hAnsi="Arial"/>
                <w:sz w:val="18"/>
                <w:szCs w:val="18"/>
                <w:color w:val="auto"/>
              </w:rPr>
              <w:t>contracts at December 31, 2010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(44,070)</w:t>
            </w:r>
          </w:p>
        </w:tc>
      </w:tr>
      <w:tr>
        <w:trPr>
          <w:trHeight w:val="209"/>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Adjustment from fair value to contract value for fully benefit-responsive investment</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contracts at December 31, 2011</w:t>
            </w:r>
          </w:p>
        </w:tc>
        <w:tc>
          <w:tcPr>
            <w:tcW w:w="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91,505</w:t>
            </w:r>
          </w:p>
        </w:tc>
        <w:tc>
          <w:tcPr>
            <w:tcW w:w="120" w:type="dxa"/>
            <w:vAlign w:val="bottom"/>
            <w:shd w:val="clear" w:color="auto" w:fill="CCEEFF"/>
          </w:tcPr>
          <w:p>
            <w:pPr>
              <w:spacing w:after="0"/>
              <w:rPr>
                <w:sz w:val="19"/>
                <w:szCs w:val="19"/>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Net increase in assets available for benefits per the Form 5500</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2,634,564</w:t>
            </w:r>
          </w:p>
        </w:tc>
        <w:tc>
          <w:tcPr>
            <w:tcW w:w="12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Plan Termination</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Although it has not expressed any intention to do so, subject to the terms of any applicable collective bargaining agreement, the Plan sponsor, has the right to terminate the Plan subject to the provisions of ERISA.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Certain investments of the Plan are managed by State Street, which is the trustee of the Plan. The Plan also holds notes receivable representing participant loans. Therefore, these transactions qualify as party-in-interest transactions. The stable value fund is managed by Galliard, a subsidiary of Wells Fargo Bank, N.A., custodian for the fund. Therefore, these transactions qualify as party-in-interest transactions. Additionally, a portion of the Plan’s assets are invested in the Company’s common stock. Because the Company is the parent of the Plan sponsor, transactions involving the Company’s common stock qualify as party-in-interest transactions. All of these transactions are exempt from the prohibited transactions rules.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24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36-2660763 Plan: 007</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80" w:type="dxa"/>
            <w:vAlign w:val="bottom"/>
            <w:gridSpan w:val="4"/>
          </w:tcPr>
          <w:p>
            <w:pPr>
              <w:spacing w:after="0"/>
              <w:rPr>
                <w:sz w:val="20"/>
                <w:szCs w:val="20"/>
                <w:color w:val="auto"/>
              </w:rPr>
            </w:pPr>
            <w:r>
              <w:rPr>
                <w:rFonts w:ascii="Arial" w:cs="Arial" w:eastAsia="Arial" w:hAnsi="Arial"/>
                <w:sz w:val="14"/>
                <w:szCs w:val="14"/>
                <w:b w:val="1"/>
                <w:bCs w:val="1"/>
                <w:color w:val="auto"/>
              </w:rPr>
              <w:t>Identity of Issue</w:t>
            </w:r>
          </w:p>
        </w:tc>
        <w:tc>
          <w:tcPr>
            <w:tcW w:w="6980" w:type="dxa"/>
            <w:vAlign w:val="bottom"/>
          </w:tcPr>
          <w:p>
            <w:pPr>
              <w:jc w:val="right"/>
              <w:ind w:right="2659"/>
              <w:spacing w:after="0"/>
              <w:rPr>
                <w:sz w:val="20"/>
                <w:szCs w:val="20"/>
                <w:color w:val="auto"/>
              </w:rPr>
            </w:pPr>
            <w:r>
              <w:rPr>
                <w:rFonts w:ascii="Arial" w:cs="Arial" w:eastAsia="Arial" w:hAnsi="Arial"/>
                <w:sz w:val="14"/>
                <w:szCs w:val="14"/>
                <w:b w:val="1"/>
                <w:bCs w:val="1"/>
                <w:color w:val="auto"/>
              </w:rPr>
              <w:t>Description of Investment</w:t>
            </w:r>
          </w:p>
        </w:tc>
        <w:tc>
          <w:tcPr>
            <w:tcW w:w="3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Current Value</w:t>
            </w:r>
          </w:p>
        </w:tc>
      </w:tr>
      <w:tr>
        <w:trPr>
          <w:trHeight w:val="210"/>
        </w:trPr>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80" w:type="dxa"/>
            <w:vAlign w:val="bottom"/>
            <w:tcBorders>
              <w:top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w w:val="88"/>
              </w:rPr>
              <w:t>Notes receivable from participants</w:t>
            </w:r>
          </w:p>
        </w:tc>
        <w:tc>
          <w:tcPr>
            <w:tcW w:w="340" w:type="dxa"/>
            <w:vAlign w:val="bottom"/>
            <w:tcBorders>
              <w:top w:val="single" w:sz="8" w:color="CCEEFF"/>
            </w:tcBorders>
            <w:shd w:val="clear" w:color="auto" w:fill="CCEEFF"/>
          </w:tcPr>
          <w:p>
            <w:pPr>
              <w:spacing w:after="0"/>
              <w:rPr>
                <w:sz w:val="18"/>
                <w:szCs w:val="18"/>
                <w:color w:val="auto"/>
              </w:rPr>
            </w:pPr>
          </w:p>
        </w:tc>
        <w:tc>
          <w:tcPr>
            <w:tcW w:w="6980" w:type="dxa"/>
            <w:vAlign w:val="bottom"/>
            <w:tcBorders>
              <w:top w:val="single" w:sz="8" w:color="auto"/>
            </w:tcBorders>
            <w:shd w:val="clear" w:color="auto" w:fill="CCEEFF"/>
          </w:tcPr>
          <w:p>
            <w:pPr>
              <w:jc w:val="right"/>
              <w:ind w:right="1879"/>
              <w:spacing w:after="0"/>
              <w:rPr>
                <w:sz w:val="20"/>
                <w:szCs w:val="20"/>
                <w:color w:val="auto"/>
              </w:rPr>
            </w:pPr>
            <w:r>
              <w:rPr>
                <w:rFonts w:ascii="Arial" w:cs="Arial" w:eastAsia="Arial" w:hAnsi="Arial"/>
                <w:sz w:val="18"/>
                <w:szCs w:val="18"/>
                <w:color w:val="auto"/>
                <w:w w:val="88"/>
              </w:rPr>
              <w:t>Various maturity dates with interest rates ranging from 4.25% to 9.25%</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  483,471</w:t>
            </w:r>
          </w:p>
        </w:tc>
        <w:tc>
          <w:tcPr>
            <w:tcW w:w="100" w:type="dxa"/>
            <w:vAlign w:val="bottom"/>
            <w:tcBorders>
              <w:top w:val="single" w:sz="8" w:color="CCEEFF"/>
            </w:tcBorders>
            <w:shd w:val="clear" w:color="auto" w:fill="CCEEFF"/>
          </w:tcPr>
          <w:p>
            <w:pPr>
              <w:spacing w:after="0"/>
              <w:rPr>
                <w:sz w:val="18"/>
                <w:szCs w:val="18"/>
                <w:color w:val="auto"/>
              </w:rPr>
            </w:pPr>
          </w:p>
        </w:tc>
      </w:tr>
      <w:tr>
        <w:trPr>
          <w:trHeight w:val="108"/>
        </w:trPr>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20" w:type="dxa"/>
            <w:vAlign w:val="bottom"/>
            <w:gridSpan w:val="2"/>
          </w:tcPr>
          <w:p>
            <w:pPr>
              <w:spacing w:after="0"/>
              <w:rPr>
                <w:sz w:val="9"/>
                <w:szCs w:val="9"/>
                <w:color w:val="auto"/>
              </w:rPr>
            </w:pPr>
          </w:p>
        </w:tc>
        <w:tc>
          <w:tcPr>
            <w:tcW w:w="6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35"/>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gridSpan w:val="3"/>
          </w:tcPr>
          <w:p>
            <w:pPr>
              <w:ind w:left="60"/>
              <w:spacing w:after="0"/>
              <w:rPr>
                <w:sz w:val="20"/>
                <w:szCs w:val="20"/>
                <w:color w:val="auto"/>
              </w:rPr>
            </w:pPr>
            <w:r>
              <w:rPr>
                <w:rFonts w:ascii="Arial" w:cs="Arial" w:eastAsia="Arial" w:hAnsi="Arial"/>
                <w:sz w:val="18"/>
                <w:szCs w:val="18"/>
                <w:color w:val="auto"/>
              </w:rPr>
              <w:t>Party-in-interest</w:t>
            </w:r>
          </w:p>
        </w:tc>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80" w:type="dxa"/>
            <w:vAlign w:val="bottom"/>
          </w:tcPr>
          <w:p>
            <w:pPr>
              <w:jc w:val="right"/>
              <w:ind w:right="4279"/>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 on</w:t>
      </w:r>
      <w:r>
        <w:rPr>
          <w:rFonts w:ascii="Arial" w:cs="Arial" w:eastAsia="Arial" w:hAnsi="Arial"/>
          <w:sz w:val="18"/>
          <w:szCs w:val="18"/>
          <w:i w:val="1"/>
          <w:iCs w:val="1"/>
          <w:color w:val="auto"/>
        </w:rPr>
        <w:t xml:space="preserve"> </w:t>
      </w:r>
      <w:r>
        <w:rPr>
          <w:rFonts w:ascii="Arial" w:cs="Arial" w:eastAsia="Arial" w:hAnsi="Arial"/>
          <w:sz w:val="18"/>
          <w:szCs w:val="18"/>
          <w:color w:val="auto"/>
        </w:rPr>
        <w:t>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900" w:type="dxa"/>
            <w:vAlign w:val="bottom"/>
            <w:gridSpan w:val="2"/>
          </w:tcPr>
          <w:p>
            <w:pPr>
              <w:ind w:left="2400"/>
              <w:spacing w:after="0"/>
              <w:rPr>
                <w:sz w:val="20"/>
                <w:szCs w:val="20"/>
                <w:color w:val="auto"/>
              </w:rPr>
            </w:pPr>
            <w:r>
              <w:rPr>
                <w:rFonts w:ascii="Arial" w:cs="Arial" w:eastAsia="Arial" w:hAnsi="Arial"/>
                <w:sz w:val="18"/>
                <w:szCs w:val="18"/>
                <w:color w:val="auto"/>
              </w:rPr>
              <w:t>WASTE MANAGEMENT RETIREMENT SAVINGS PLAN FOR</w:t>
            </w:r>
          </w:p>
        </w:tc>
      </w:tr>
      <w:tr>
        <w:trPr>
          <w:trHeight w:val="222"/>
        </w:trPr>
        <w:tc>
          <w:tcPr>
            <w:tcW w:w="3520" w:type="dxa"/>
            <w:vAlign w:val="bottom"/>
          </w:tcPr>
          <w:p>
            <w:pPr>
              <w:spacing w:after="0"/>
              <w:rPr>
                <w:sz w:val="19"/>
                <w:szCs w:val="19"/>
                <w:color w:val="auto"/>
              </w:rPr>
            </w:pPr>
          </w:p>
        </w:tc>
        <w:tc>
          <w:tcPr>
            <w:tcW w:w="7900" w:type="dxa"/>
            <w:vAlign w:val="bottom"/>
            <w:gridSpan w:val="2"/>
          </w:tcPr>
          <w:p>
            <w:pPr>
              <w:ind w:left="2400"/>
              <w:spacing w:after="0"/>
              <w:rPr>
                <w:sz w:val="20"/>
                <w:szCs w:val="20"/>
                <w:color w:val="auto"/>
              </w:rPr>
            </w:pPr>
            <w:r>
              <w:rPr>
                <w:rFonts w:ascii="Arial" w:cs="Arial" w:eastAsia="Arial" w:hAnsi="Arial"/>
                <w:sz w:val="18"/>
                <w:szCs w:val="18"/>
                <w:color w:val="auto"/>
              </w:rPr>
              <w:t>BARGAINING UNIT EMPLOYEES</w:t>
            </w:r>
          </w:p>
        </w:tc>
      </w:tr>
      <w:tr>
        <w:trPr>
          <w:trHeight w:val="433"/>
        </w:trPr>
        <w:tc>
          <w:tcPr>
            <w:tcW w:w="3520" w:type="dxa"/>
            <w:vAlign w:val="bottom"/>
          </w:tcPr>
          <w:p>
            <w:pPr>
              <w:spacing w:after="0"/>
              <w:rPr>
                <w:sz w:val="20"/>
                <w:szCs w:val="20"/>
                <w:color w:val="auto"/>
              </w:rPr>
            </w:pPr>
            <w:r>
              <w:rPr>
                <w:rFonts w:ascii="Arial" w:cs="Arial" w:eastAsia="Arial" w:hAnsi="Arial"/>
                <w:sz w:val="18"/>
                <w:szCs w:val="18"/>
                <w:color w:val="auto"/>
              </w:rPr>
              <w:t>Date: June 13, 2012</w:t>
            </w:r>
          </w:p>
        </w:tc>
        <w:tc>
          <w:tcPr>
            <w:tcW w:w="7900" w:type="dxa"/>
            <w:vAlign w:val="bottom"/>
            <w:gridSpan w:val="2"/>
          </w:tcPr>
          <w:p>
            <w:pPr>
              <w:ind w:left="2400"/>
              <w:spacing w:after="0"/>
              <w:rPr>
                <w:sz w:val="20"/>
                <w:szCs w:val="20"/>
                <w:color w:val="auto"/>
              </w:rPr>
            </w:pPr>
            <w:r>
              <w:rPr>
                <w:rFonts w:ascii="Arial" w:cs="Arial" w:eastAsia="Arial" w:hAnsi="Arial"/>
                <w:sz w:val="18"/>
                <w:szCs w:val="18"/>
                <w:color w:val="auto"/>
              </w:rPr>
              <w:t>By: /s/ Krista DelSota</w:t>
            </w:r>
          </w:p>
        </w:tc>
      </w:tr>
      <w:tr>
        <w:trPr>
          <w:trHeight w:val="202"/>
        </w:trPr>
        <w:tc>
          <w:tcPr>
            <w:tcW w:w="35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Krista DelSota</w:t>
            </w:r>
          </w:p>
        </w:tc>
      </w:tr>
      <w:tr>
        <w:trPr>
          <w:trHeight w:val="216"/>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 Compensation, Benefits and</w:t>
            </w:r>
          </w:p>
        </w:tc>
      </w:tr>
      <w:tr>
        <w:trPr>
          <w:trHeight w:val="216"/>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Human Resources Information Management</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Waste Management, Inc.</w:t>
            </w:r>
          </w:p>
        </w:tc>
      </w:tr>
      <w:tr>
        <w:trPr>
          <w:trHeight w:val="426"/>
        </w:trPr>
        <w:tc>
          <w:tcPr>
            <w:tcW w:w="3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Member, Administrative Committee of the Waste</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Management Employee Benefit Plans</w:t>
            </w:r>
          </w:p>
        </w:tc>
      </w:tr>
      <w:tr>
        <w:trPr>
          <w:trHeight w:val="365"/>
        </w:trPr>
        <w:tc>
          <w:tcPr>
            <w:tcW w:w="3520" w:type="dxa"/>
            <w:vAlign w:val="bottom"/>
          </w:tcPr>
          <w:p>
            <w:pPr>
              <w:spacing w:after="0"/>
              <w:rPr>
                <w:sz w:val="24"/>
                <w:szCs w:val="24"/>
                <w:color w:val="auto"/>
              </w:rPr>
            </w:pPr>
          </w:p>
        </w:tc>
        <w:tc>
          <w:tcPr>
            <w:tcW w:w="2660" w:type="dxa"/>
            <w:vAlign w:val="bottom"/>
          </w:tcPr>
          <w:p>
            <w:pPr>
              <w:jc w:val="right"/>
              <w:ind w:right="292"/>
              <w:spacing w:after="0"/>
              <w:rPr>
                <w:sz w:val="20"/>
                <w:szCs w:val="20"/>
                <w:color w:val="auto"/>
              </w:rPr>
            </w:pPr>
            <w:r>
              <w:rPr>
                <w:rFonts w:ascii="Arial" w:cs="Arial" w:eastAsia="Arial" w:hAnsi="Arial"/>
                <w:sz w:val="18"/>
                <w:szCs w:val="18"/>
                <w:color w:val="auto"/>
              </w:rPr>
              <w:t>16</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40" w:type="dxa"/>
            <w:vAlign w:val="bottom"/>
          </w:tcPr>
          <w:p>
            <w:pPr>
              <w:jc w:val="center"/>
              <w:ind w:right="979"/>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10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60" w:type="dxa"/>
            <w:vAlign w:val="bottom"/>
          </w:tcPr>
          <w:p>
            <w:pPr>
              <w:spacing w:after="0"/>
              <w:rPr>
                <w:sz w:val="14"/>
                <w:szCs w:val="14"/>
                <w:color w:val="auto"/>
              </w:rPr>
            </w:pPr>
          </w:p>
        </w:tc>
        <w:tc>
          <w:tcPr>
            <w:tcW w:w="10340" w:type="dxa"/>
            <w:vAlign w:val="bottom"/>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26"/>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line="203" w:lineRule="exact"/>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56"/>
        </w:trPr>
        <w:tc>
          <w:tcPr>
            <w:tcW w:w="520" w:type="dxa"/>
            <w:vAlign w:val="bottom"/>
          </w:tcPr>
          <w:p>
            <w:pPr>
              <w:spacing w:after="0"/>
              <w:rPr>
                <w:sz w:val="24"/>
                <w:szCs w:val="24"/>
                <w:color w:val="auto"/>
              </w:rPr>
            </w:pPr>
          </w:p>
        </w:tc>
        <w:tc>
          <w:tcPr>
            <w:tcW w:w="10900" w:type="dxa"/>
            <w:vAlign w:val="bottom"/>
            <w:gridSpan w:val="2"/>
          </w:tcPr>
          <w:p>
            <w:pPr>
              <w:jc w:val="right"/>
              <w:ind w:right="553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No. 333-153363) pertaining to the Waste Management Retirement Savings Plan for Bargaining Unit Employees of our report dated June 13, 2012, with respect to the financial statements and schedule of the Waste Management Retirement Savings Plan for Bargaining Unit Employees included in this Annual Report (Form 11-K) for the year ended December 31,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13,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3"/>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2019-12-09T09:30:19Z</dcterms:created>
  <dcterms:modified xsi:type="dcterms:W3CDTF">2019-12-09T09:30:19Z</dcterms:modified>
</cp:coreProperties>
</file>