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6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_________</w:t>
      </w:r>
    </w:p>
    <w:p>
      <w:pPr>
        <w:spacing w:after="0" w:line="310"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_________</w:t>
      </w:r>
    </w:p>
    <w:p>
      <w:pPr>
        <w:spacing w:after="0" w:line="216" w:lineRule="exact"/>
        <w:rPr>
          <w:sz w:val="20"/>
          <w:szCs w:val="20"/>
          <w:color w:val="auto"/>
        </w:rPr>
      </w:pPr>
    </w:p>
    <w:p>
      <w:pPr>
        <w:jc w:val="center"/>
        <w:ind w:right="-6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6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March 2, 2004</w:t>
      </w: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740"/>
          </w:cols>
          <w:pgMar w:left="240" w:top="122" w:right="919" w:bottom="1440" w:gutter="0" w:footer="0" w:header="0"/>
        </w:sectPr>
      </w:pPr>
    </w:p>
    <w:p>
      <w:pPr>
        <w:spacing w:after="0" w:line="22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0"/>
          <w:szCs w:val="20"/>
          <w:color w:val="auto"/>
        </w:rPr>
      </w:pPr>
    </w:p>
    <w:p>
      <w:pPr>
        <w:sectPr>
          <w:pgSz w:w="11900" w:h="16838" w:orient="portrait"/>
          <w:cols w:equalWidth="0" w:num="3">
            <w:col w:w="3940" w:space="720"/>
            <w:col w:w="2740" w:space="720"/>
            <w:col w:w="2620"/>
          </w:cols>
          <w:pgMar w:left="240" w:top="122" w:right="919" w:bottom="1440" w:gutter="0" w:footer="0" w:header="0"/>
          <w:type w:val="continuous"/>
        </w:sectPr>
      </w:pPr>
    </w:p>
    <w:p>
      <w:pPr>
        <w:ind w:left="142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0740"/>
          </w:cols>
          <w:pgMar w:left="240" w:top="122" w:right="919" w:bottom="1440" w:gutter="0" w:footer="0" w:header="0"/>
          <w:type w:val="continuous"/>
        </w:sectPr>
      </w:pPr>
    </w:p>
    <w:p>
      <w:pPr>
        <w:spacing w:after="0" w:line="234"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1001 Fannin, Suite 4000 Houston, Texas</w:t>
      </w:r>
    </w:p>
    <w:p>
      <w:pPr>
        <w:spacing w:after="0" w:line="46"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77002</w:t>
      </w:r>
    </w:p>
    <w:p>
      <w:pPr>
        <w:spacing w:after="0" w:line="23"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(Zip Code)</w:t>
      </w:r>
    </w:p>
    <w:p>
      <w:pPr>
        <w:spacing w:after="0" w:line="189" w:lineRule="exact"/>
        <w:rPr>
          <w:sz w:val="20"/>
          <w:szCs w:val="20"/>
          <w:color w:val="auto"/>
        </w:rPr>
      </w:pPr>
    </w:p>
    <w:p>
      <w:pPr>
        <w:sectPr>
          <w:pgSz w:w="11900" w:h="16838" w:orient="portrait"/>
          <w:cols w:equalWidth="0" w:num="2">
            <w:col w:w="8300" w:space="720"/>
            <w:col w:w="1720"/>
          </w:cols>
          <w:pgMar w:left="240" w:top="122" w:right="919" w:bottom="1440" w:gutter="0" w:footer="0" w:header="0"/>
          <w:type w:val="continuous"/>
        </w:sectPr>
      </w:pPr>
    </w:p>
    <w:p>
      <w:pPr>
        <w:jc w:val="center"/>
        <w:ind w:right="-679"/>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6"/>
          <w:szCs w:val="16"/>
          <w:color w:val="auto"/>
        </w:rPr>
        <w:t>(713) 512-6200</w:t>
      </w: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_________</w:t>
      </w:r>
    </w:p>
    <w:p>
      <w:pPr>
        <w:spacing w:after="0" w:line="198"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22" w:right="91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Underwriting Agreement dated March 2, 2004</w:t>
      </w:r>
    </w:p>
    <w:p>
      <w:pPr>
        <w:spacing w:after="0" w:line="230" w:lineRule="auto"/>
        <w:rPr>
          <w:sz w:val="20"/>
          <w:szCs w:val="20"/>
          <w:color w:val="auto"/>
        </w:rPr>
      </w:pPr>
      <w:r>
        <w:rPr>
          <w:rFonts w:ascii="Arial" w:cs="Arial" w:eastAsia="Arial" w:hAnsi="Arial"/>
          <w:sz w:val="22"/>
          <w:szCs w:val="22"/>
          <w:u w:val="single" w:color="auto"/>
          <w:color w:val="0000EE"/>
        </w:rPr>
        <w:t>Form of Book-Entry Note</w:t>
      </w:r>
    </w:p>
    <w:p>
      <w:pPr>
        <w:spacing w:after="0" w:line="231" w:lineRule="auto"/>
        <w:rPr>
          <w:sz w:val="20"/>
          <w:szCs w:val="20"/>
          <w:color w:val="auto"/>
        </w:rPr>
      </w:pPr>
      <w:r>
        <w:rPr>
          <w:rFonts w:ascii="Arial" w:cs="Arial" w:eastAsia="Arial" w:hAnsi="Arial"/>
          <w:sz w:val="22"/>
          <w:szCs w:val="22"/>
          <w:u w:val="single" w:color="auto"/>
          <w:color w:val="0000EE"/>
        </w:rPr>
        <w:t>Officers' Certificate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Guarantee Agreement dated March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0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March 2, 2004, Waste Management, Inc. (the “Company”) entered into an underwriting agreement for the public offering of $350 million of its 5.00% Senior Notes due 2014 (the “Notes”). The Notes are to be issued under an Indenture dated as of September 10, 1997 between the Company and JPMorgan Chase Bank, as successor to The Chase Manhattan Bank, as Trustee. Closing of the issuance and sale of the Notes occurred on March 5, 2004. Further information is included in Exhibits 1, 4.1, 4.2 and 4.3.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189" w:lineRule="exact"/>
        <w:rPr>
          <w:sz w:val="20"/>
          <w:szCs w:val="20"/>
          <w:color w:val="auto"/>
        </w:rPr>
      </w:pPr>
    </w:p>
    <w:p>
      <w:pPr>
        <w:ind w:left="480" w:hanging="247"/>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800" w:right="20" w:hanging="446"/>
        <w:spacing w:after="0" w:line="264" w:lineRule="auto"/>
        <w:rPr>
          <w:rFonts w:ascii="Arial" w:cs="Arial" w:eastAsia="Arial" w:hAnsi="Arial"/>
          <w:sz w:val="18"/>
          <w:szCs w:val="18"/>
          <w:color w:val="auto"/>
        </w:rPr>
      </w:pPr>
      <w:r>
        <w:rPr>
          <w:rFonts w:ascii="Arial" w:cs="Arial" w:eastAsia="Arial" w:hAnsi="Arial"/>
          <w:sz w:val="18"/>
          <w:szCs w:val="18"/>
          <w:color w:val="auto"/>
        </w:rPr>
        <w:t>1Underwriting Agreement dated March 2, 2004, among Waste Management, Inc., Waste Management Holdings, Inc., Barclays Capital Inc., Deutsche Bank Securities Inc., J. P. Morgan Securities Inc., ABN AMRO Incorporated, BNP Paribas Securities Corp., PNC Capital Markets, Inc., Scotia Capital (USA) Inc., SunTrust Capital Markets, Inc. and Wachovia Capital Markets, LLC.</w:t>
      </w:r>
    </w:p>
    <w:p>
      <w:pPr>
        <w:spacing w:after="0" w:line="181"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Book-Entry Note representing 5.00% Senior Notes due 2014</w:t>
      </w:r>
    </w:p>
    <w:p>
      <w:pPr>
        <w:spacing w:after="0" w:line="225"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Officers’ Certificate</w:t>
      </w:r>
    </w:p>
    <w:p>
      <w:pPr>
        <w:spacing w:after="0" w:line="225" w:lineRule="exact"/>
        <w:rPr>
          <w:sz w:val="20"/>
          <w:szCs w:val="20"/>
          <w:color w:val="auto"/>
        </w:rPr>
      </w:pPr>
    </w:p>
    <w:p>
      <w:pPr>
        <w:ind w:left="800" w:right="360" w:hanging="445"/>
        <w:spacing w:after="0" w:line="277" w:lineRule="auto"/>
        <w:tabs>
          <w:tab w:leader="none" w:pos="780" w:val="left"/>
        </w:tabs>
        <w:rPr>
          <w:sz w:val="20"/>
          <w:szCs w:val="20"/>
          <w:color w:val="auto"/>
        </w:rPr>
      </w:pPr>
      <w:r>
        <w:rPr>
          <w:rFonts w:ascii="Arial" w:cs="Arial" w:eastAsia="Arial" w:hAnsi="Arial"/>
          <w:sz w:val="18"/>
          <w:szCs w:val="18"/>
          <w:color w:val="auto"/>
        </w:rPr>
        <w:t>4.3</w:t>
        <w:tab/>
        <w:t>Guarantee Agreement dated March 5, 2004 by Waste Management Holdings, Inc. in favor of the holders of Waste Management, Inc.’s 5.00% Senior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March 5, 2004</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Cherie C. Rice</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c>
          <w:tcPr>
            <w:tcW w:w="168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Vice President and Treasurer</w:t>
            </w:r>
          </w:p>
        </w:tc>
        <w:tc>
          <w:tcPr>
            <w:tcW w:w="1680" w:type="dxa"/>
            <w:vAlign w:val="bottom"/>
          </w:tcPr>
          <w:p>
            <w:pPr>
              <w:spacing w:after="0"/>
              <w:rPr>
                <w:sz w:val="20"/>
                <w:szCs w:val="20"/>
                <w:color w:val="auto"/>
              </w:rPr>
            </w:pPr>
          </w:p>
        </w:tc>
      </w:tr>
      <w:tr>
        <w:trPr>
          <w:trHeight w:val="834"/>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40"/>
        <w:spacing w:after="0"/>
        <w:tabs>
          <w:tab w:leader="none" w:pos="26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39370</wp:posOffset>
            </wp:positionV>
            <wp:extent cx="5428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22" w:lineRule="exact"/>
        <w:rPr>
          <w:sz w:val="20"/>
          <w:szCs w:val="20"/>
          <w:color w:val="auto"/>
        </w:rPr>
      </w:pPr>
    </w:p>
    <w:p>
      <w:pPr>
        <w:ind w:left="2640" w:right="299" w:hanging="1200"/>
        <w:spacing w:after="0" w:line="302" w:lineRule="auto"/>
        <w:tabs>
          <w:tab w:leader="none" w:pos="2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Underwriting Agreement dated March 2, 2004, among Waste Management, Inc., Waste Management Holdings, Inc., Barclays Capital Inc., Deutsche Bank Securities Inc., J. P. Morgan Securities Inc., ABN AMRO Incorporated, BNP Paribas Securities Corp., PNC Capital Markets, Inc., Scotia Capital (USA) Inc., SunTrust Capital Markets, Inc. and Wachovia Capital Markets, LLC.</w:t>
      </w:r>
    </w:p>
    <w:p>
      <w:pPr>
        <w:spacing w:after="0" w:line="154"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720" w:type="dxa"/>
            <w:vAlign w:val="bottom"/>
          </w:tcPr>
          <w:p>
            <w:pPr>
              <w:jc w:val="right"/>
              <w:ind w:right="410"/>
              <w:spacing w:after="0"/>
              <w:rPr>
                <w:sz w:val="20"/>
                <w:szCs w:val="20"/>
                <w:color w:val="auto"/>
              </w:rPr>
            </w:pPr>
            <w:r>
              <w:rPr>
                <w:rFonts w:ascii="Arial" w:cs="Arial" w:eastAsia="Arial" w:hAnsi="Arial"/>
                <w:sz w:val="18"/>
                <w:szCs w:val="18"/>
                <w:color w:val="auto"/>
                <w:w w:val="79"/>
              </w:rPr>
              <w:t>4.1</w:t>
            </w:r>
          </w:p>
        </w:tc>
        <w:tc>
          <w:tcPr>
            <w:tcW w:w="7420" w:type="dxa"/>
            <w:vAlign w:val="bottom"/>
          </w:tcPr>
          <w:p>
            <w:pPr>
              <w:ind w:left="480"/>
              <w:spacing w:after="0"/>
              <w:rPr>
                <w:sz w:val="20"/>
                <w:szCs w:val="20"/>
                <w:color w:val="auto"/>
              </w:rPr>
            </w:pPr>
            <w:r>
              <w:rPr>
                <w:rFonts w:ascii="Arial" w:cs="Arial" w:eastAsia="Arial" w:hAnsi="Arial"/>
                <w:sz w:val="18"/>
                <w:szCs w:val="18"/>
                <w:color w:val="auto"/>
              </w:rPr>
              <w:t>Form of Book-Entry Note representing 5.00% Senior Notes due 2014</w:t>
            </w:r>
          </w:p>
        </w:tc>
      </w:tr>
      <w:tr>
        <w:trPr>
          <w:trHeight w:val="432"/>
        </w:trPr>
        <w:tc>
          <w:tcPr>
            <w:tcW w:w="720" w:type="dxa"/>
            <w:vAlign w:val="bottom"/>
          </w:tcPr>
          <w:p>
            <w:pPr>
              <w:jc w:val="right"/>
              <w:ind w:right="410"/>
              <w:spacing w:after="0"/>
              <w:rPr>
                <w:sz w:val="20"/>
                <w:szCs w:val="20"/>
                <w:color w:val="auto"/>
              </w:rPr>
            </w:pPr>
            <w:r>
              <w:rPr>
                <w:rFonts w:ascii="Arial" w:cs="Arial" w:eastAsia="Arial" w:hAnsi="Arial"/>
                <w:sz w:val="18"/>
                <w:szCs w:val="18"/>
                <w:color w:val="auto"/>
                <w:w w:val="79"/>
              </w:rPr>
              <w:t>4.2</w:t>
            </w:r>
          </w:p>
        </w:tc>
        <w:tc>
          <w:tcPr>
            <w:tcW w:w="7420" w:type="dxa"/>
            <w:vAlign w:val="bottom"/>
          </w:tcPr>
          <w:p>
            <w:pPr>
              <w:ind w:left="480"/>
              <w:spacing w:after="0"/>
              <w:rPr>
                <w:sz w:val="20"/>
                <w:szCs w:val="20"/>
                <w:color w:val="auto"/>
              </w:rPr>
            </w:pPr>
            <w:r>
              <w:rPr>
                <w:rFonts w:ascii="Arial" w:cs="Arial" w:eastAsia="Arial" w:hAnsi="Arial"/>
                <w:sz w:val="18"/>
                <w:szCs w:val="18"/>
                <w:color w:val="auto"/>
              </w:rPr>
              <w:t>Officers’ Certificate</w:t>
            </w:r>
          </w:p>
        </w:tc>
      </w:tr>
      <w:tr>
        <w:trPr>
          <w:trHeight w:val="418"/>
        </w:trPr>
        <w:tc>
          <w:tcPr>
            <w:tcW w:w="720" w:type="dxa"/>
            <w:vAlign w:val="bottom"/>
          </w:tcPr>
          <w:p>
            <w:pPr>
              <w:jc w:val="right"/>
              <w:ind w:right="410"/>
              <w:spacing w:after="0"/>
              <w:rPr>
                <w:sz w:val="20"/>
                <w:szCs w:val="20"/>
                <w:color w:val="auto"/>
              </w:rPr>
            </w:pPr>
            <w:r>
              <w:rPr>
                <w:rFonts w:ascii="Arial" w:cs="Arial" w:eastAsia="Arial" w:hAnsi="Arial"/>
                <w:sz w:val="18"/>
                <w:szCs w:val="18"/>
                <w:color w:val="auto"/>
                <w:w w:val="79"/>
              </w:rPr>
              <w:t>4.3</w:t>
            </w:r>
          </w:p>
        </w:tc>
        <w:tc>
          <w:tcPr>
            <w:tcW w:w="7420" w:type="dxa"/>
            <w:vAlign w:val="bottom"/>
          </w:tcPr>
          <w:p>
            <w:pPr>
              <w:ind w:left="480"/>
              <w:spacing w:after="0"/>
              <w:rPr>
                <w:sz w:val="20"/>
                <w:szCs w:val="20"/>
                <w:color w:val="auto"/>
              </w:rPr>
            </w:pPr>
            <w:r>
              <w:rPr>
                <w:rFonts w:ascii="Arial" w:cs="Arial" w:eastAsia="Arial" w:hAnsi="Arial"/>
                <w:sz w:val="18"/>
                <w:szCs w:val="18"/>
                <w:color w:val="auto"/>
                <w:w w:val="90"/>
              </w:rPr>
              <w:t>Guarantee Agreement dated March 5, 2004 by Waste Management Holdings, Inc. in favor of the</w:t>
            </w:r>
          </w:p>
        </w:tc>
      </w:tr>
      <w:tr>
        <w:trPr>
          <w:trHeight w:val="230"/>
        </w:trPr>
        <w:tc>
          <w:tcPr>
            <w:tcW w:w="720" w:type="dxa"/>
            <w:vAlign w:val="bottom"/>
          </w:tcPr>
          <w:p>
            <w:pPr>
              <w:spacing w:after="0"/>
              <w:rPr>
                <w:sz w:val="20"/>
                <w:szCs w:val="20"/>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holders of Waste Management, Inc.’s 5.00% Senior Notes due 2014.</w:t>
            </w:r>
          </w:p>
        </w:tc>
      </w:tr>
    </w:tbl>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$350,000,000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 Senior Notes Due 2014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 2004</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Representatives named</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Schedule I hereto of the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Schedule II hereto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Waste Management, Inc., a corporation organized under the laws of Delaware (the “Company”), proposes to sell to the several underwriters named in Schedule II hereto (the “Underwriters”), for whom you (the “Representatives”) are acting as representatives, the principal amount of its securities identified in Schedule I hereto (the “Notes”), to be issued under an indenture (the “Indenture”) dated as of September 30, 1997, between the Company and JPMorgan Chase Bank, a New York banking corporation (as successor to The Chase Manhattan Bank and Texas Commerce Bank National Association), as trustee (the “Trustee”), and to be guaranteed on a senior unsecured basis (the “Guarantee”) by Waste Management Holdings, Inc. (“Holdings”) pursuant to a guarantee (the “Guarantee Agreement”) in favor of the holders of the Notes to be dated as of the Closing Date (as defined in Section 3 hereof). The Notes and the Guarantees are sometimes referred to herein collectively as the “Securities.” Any reference herein to the Registration Statement, the Basic Prospectus or the Final Prospectus shall be deemed to refer to and include the documents incorporated by reference therein pursuant to Item 12 of Form S-3, which were filed under the Exchange Act on or before the Effective Date of the Registration Statement or the issue date of the Basic Prospectus or the Final Prospectus, as the case may be; and any reference herein to the terms “amend,” “amendment” or “supplement” with respect to the Registration Statement, the Basic Prospectus or the Final Prospectus shall be deemed to refer to and include the filing of any document under the Exchange Act after the Effective Date of the Registration Statement or the issue date of the Basic Prospectus or the Final Prospectus, as the case may be, deemed to be incorporated therein by reference. Certain terms used herein are defined in Section 17 hereof.</w:t>
      </w:r>
    </w:p>
    <w:p>
      <w:pPr>
        <w:spacing w:after="0" w:line="147" w:lineRule="exact"/>
        <w:rPr>
          <w:sz w:val="20"/>
          <w:szCs w:val="20"/>
          <w:color w:val="auto"/>
        </w:rPr>
      </w:pPr>
    </w:p>
    <w:p>
      <w:pPr>
        <w:ind w:right="60" w:firstLine="233"/>
        <w:spacing w:after="0" w:line="277"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Representations and Warranties. Each of the Company and Holdings represents and warrants to, and agrees with, each Underwriter as set forth below in this Section 1.</w:t>
      </w:r>
    </w:p>
    <w:p>
      <w:pPr>
        <w:spacing w:after="0" w:line="143" w:lineRule="exact"/>
        <w:rPr>
          <w:rFonts w:ascii="Arial" w:cs="Arial" w:eastAsia="Arial" w:hAnsi="Arial"/>
          <w:sz w:val="18"/>
          <w:szCs w:val="18"/>
          <w:color w:val="auto"/>
        </w:rPr>
      </w:pPr>
    </w:p>
    <w:p>
      <w:pPr>
        <w:ind w:left="360" w:right="120" w:firstLine="215"/>
        <w:spacing w:after="0" w:line="277" w:lineRule="auto"/>
        <w:tabs>
          <w:tab w:leader="none" w:pos="83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meets the requirements for use of Form S-3 under the Act and has prepared and filed with the Commission a registration statement (the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60"/>
        <w:spacing w:after="0" w:line="279" w:lineRule="auto"/>
        <w:rPr>
          <w:sz w:val="20"/>
          <w:szCs w:val="20"/>
          <w:color w:val="auto"/>
        </w:rPr>
      </w:pPr>
      <w:r>
        <w:rPr>
          <w:rFonts w:ascii="Arial" w:cs="Arial" w:eastAsia="Arial" w:hAnsi="Arial"/>
          <w:sz w:val="17"/>
          <w:szCs w:val="17"/>
          <w:color w:val="auto"/>
        </w:rPr>
        <w:t>of which is set forth in Schedule I hereto) on Form S-3, including a related basic prospectus, for registration under the Act of the offering and sale of the Securities. The Registration Statement has been declared effective under the Act. The Company may have filed one or more amendments thereto each of which has previously been furnished to you. The Company will next file with the Commission a final prospectus in accordance with Rules 415 and 424(b). The Registration Statement, at the Execution Time, meets the requirements set forth in Rule 415(a)(1)(x).</w:t>
      </w:r>
    </w:p>
    <w:p>
      <w:pPr>
        <w:spacing w:after="0" w:line="144" w:lineRule="exact"/>
        <w:rPr>
          <w:sz w:val="20"/>
          <w:szCs w:val="20"/>
          <w:color w:val="auto"/>
        </w:rPr>
      </w:pPr>
    </w:p>
    <w:p>
      <w:pPr>
        <w:ind w:firstLine="215"/>
        <w:spacing w:after="0" w:line="286"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At the Execution Time,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in order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134" w:lineRule="exact"/>
        <w:rPr>
          <w:rFonts w:ascii="Arial" w:cs="Arial" w:eastAsia="Arial" w:hAnsi="Arial"/>
          <w:sz w:val="16"/>
          <w:szCs w:val="16"/>
          <w:color w:val="auto"/>
        </w:rPr>
      </w:pPr>
    </w:p>
    <w:p>
      <w:pPr>
        <w:ind w:right="40" w:firstLine="215"/>
        <w:spacing w:after="0" w:line="255"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and the Final Prospectus.</w:t>
      </w:r>
    </w:p>
    <w:p>
      <w:pPr>
        <w:spacing w:after="0" w:line="152" w:lineRule="exact"/>
        <w:rPr>
          <w:rFonts w:ascii="Arial" w:cs="Arial" w:eastAsia="Arial" w:hAnsi="Arial"/>
          <w:sz w:val="18"/>
          <w:szCs w:val="18"/>
          <w:color w:val="auto"/>
        </w:rPr>
      </w:pPr>
    </w:p>
    <w:p>
      <w:pPr>
        <w:jc w:val="both"/>
        <w:ind w:right="120" w:firstLine="215"/>
        <w:spacing w:after="0" w:line="264"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w:t>
      </w:r>
    </w:p>
    <w:p>
      <w:pPr>
        <w:spacing w:after="0" w:line="15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8" w:name="page9"/>
    <w:bookmarkEnd w:id="8"/>
    <w:p>
      <w:pPr>
        <w:ind w:right="40"/>
        <w:spacing w:after="0" w:line="279" w:lineRule="auto"/>
        <w:rPr>
          <w:sz w:val="20"/>
          <w:szCs w:val="20"/>
          <w:color w:val="auto"/>
        </w:rPr>
      </w:pPr>
      <w:r>
        <w:rPr>
          <w:rFonts w:ascii="Arial" w:cs="Arial" w:eastAsia="Arial" w:hAnsi="Arial"/>
          <w:sz w:val="17"/>
          <w:szCs w:val="17"/>
          <w:color w:val="auto"/>
        </w:rPr>
        <w:t>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and the Final Prospectus.</w:t>
      </w:r>
    </w:p>
    <w:p>
      <w:pPr>
        <w:spacing w:after="0" w:line="144" w:lineRule="exact"/>
        <w:rPr>
          <w:sz w:val="20"/>
          <w:szCs w:val="20"/>
          <w:color w:val="auto"/>
        </w:rPr>
      </w:pPr>
    </w:p>
    <w:p>
      <w:pPr>
        <w:ind w:right="40" w:firstLine="215"/>
        <w:spacing w:after="0" w:line="255" w:lineRule="auto"/>
        <w:tabs>
          <w:tab w:leader="none" w:pos="47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and the Final Prospectus.</w:t>
      </w:r>
    </w:p>
    <w:p>
      <w:pPr>
        <w:spacing w:after="0" w:line="152" w:lineRule="exact"/>
        <w:rPr>
          <w:rFonts w:ascii="Arial" w:cs="Arial" w:eastAsia="Arial" w:hAnsi="Arial"/>
          <w:sz w:val="18"/>
          <w:szCs w:val="18"/>
          <w:color w:val="auto"/>
        </w:rPr>
      </w:pPr>
    </w:p>
    <w:p>
      <w:pPr>
        <w:ind w:right="300" w:firstLine="215"/>
        <w:spacing w:after="0" w:line="293" w:lineRule="auto"/>
        <w:tabs>
          <w:tab w:leader="none" w:pos="45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“Material Adverse Effect”).</w:t>
      </w:r>
    </w:p>
    <w:p>
      <w:pPr>
        <w:spacing w:after="0" w:line="124" w:lineRule="exact"/>
        <w:rPr>
          <w:rFonts w:ascii="Arial" w:cs="Arial" w:eastAsia="Arial" w:hAnsi="Arial"/>
          <w:sz w:val="16"/>
          <w:szCs w:val="16"/>
          <w:color w:val="auto"/>
        </w:rPr>
      </w:pPr>
    </w:p>
    <w:p>
      <w:pPr>
        <w:ind w:right="40" w:firstLine="215"/>
        <w:spacing w:after="0" w:line="257"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161" w:lineRule="exact"/>
        <w:rPr>
          <w:rFonts w:ascii="Arial" w:cs="Arial" w:eastAsia="Arial" w:hAnsi="Arial"/>
          <w:sz w:val="18"/>
          <w:szCs w:val="18"/>
          <w:color w:val="auto"/>
        </w:rPr>
      </w:pPr>
    </w:p>
    <w:p>
      <w:pPr>
        <w:ind w:firstLine="215"/>
        <w:spacing w:after="0" w:line="255"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 Company’s “significant subsidiaries” (as such term is defined in Regulation S-X under the Exchange Act) is included in the list of subsidiaries on Exhibit 21.1 of the Annual Report on Form 10-K for the year ended December 31, 2003 (the “Subsidiaries”),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and the Final Prospectus; and each of the Subsidiaries is duly registered and qualified to conduct its business and is in good standing in each jurisdiction or place where the nature of its properties or the conduct of</w:t>
      </w:r>
    </w:p>
    <w:p>
      <w:pPr>
        <w:spacing w:after="0" w:line="15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9" w:name="page10"/>
    <w:bookmarkEnd w:id="9"/>
    <w:p>
      <w:pPr>
        <w:ind w:right="540"/>
        <w:spacing w:after="0" w:line="277" w:lineRule="auto"/>
        <w:rPr>
          <w:sz w:val="20"/>
          <w:szCs w:val="20"/>
          <w:color w:val="auto"/>
        </w:rPr>
      </w:pPr>
      <w:r>
        <w:rPr>
          <w:rFonts w:ascii="Arial" w:cs="Arial" w:eastAsia="Arial" w:hAnsi="Arial"/>
          <w:sz w:val="18"/>
          <w:szCs w:val="18"/>
          <w:color w:val="auto"/>
        </w:rPr>
        <w:t>its business requires such registration or qualification, except where the failure so to register or qualify does not, singly or in the aggregate, have a Material Adverse Effect.</w:t>
      </w:r>
    </w:p>
    <w:p>
      <w:pPr>
        <w:spacing w:after="0" w:line="143" w:lineRule="exact"/>
        <w:rPr>
          <w:sz w:val="20"/>
          <w:szCs w:val="20"/>
          <w:color w:val="auto"/>
        </w:rPr>
      </w:pPr>
    </w:p>
    <w:p>
      <w:pPr>
        <w:ind w:right="180" w:firstLine="215"/>
        <w:spacing w:after="0" w:line="255"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Final Prospectus, are owned by the Company, directly or indirectly, free and clear of any security interest, mortgage, pledge, claim, lien, encumbrance or adverse interest of any nature (each, a “Lien”). Except as disclosed in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152" w:lineRule="exact"/>
        <w:rPr>
          <w:rFonts w:ascii="Arial" w:cs="Arial" w:eastAsia="Arial" w:hAnsi="Arial"/>
          <w:sz w:val="18"/>
          <w:szCs w:val="18"/>
          <w:color w:val="auto"/>
        </w:rPr>
      </w:pPr>
    </w:p>
    <w:p>
      <w:pPr>
        <w:ind w:left="440" w:hanging="225"/>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Holdings.</w:t>
      </w:r>
    </w:p>
    <w:p>
      <w:pPr>
        <w:spacing w:after="0" w:line="184" w:lineRule="exact"/>
        <w:rPr>
          <w:rFonts w:ascii="Arial" w:cs="Arial" w:eastAsia="Arial" w:hAnsi="Arial"/>
          <w:sz w:val="18"/>
          <w:szCs w:val="18"/>
          <w:color w:val="auto"/>
        </w:rPr>
      </w:pPr>
    </w:p>
    <w:p>
      <w:pPr>
        <w:ind w:right="40" w:firstLine="215"/>
        <w:spacing w:after="0" w:line="288"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Except as disclosed in the Final Prospectus, there is no action, suit or proceeding before or by any court or governmental agency or body or any arbitrator pending against the Company or any of its subsidiaries that is required to be disclosed in the Registration Statement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5(e)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142" w:lineRule="exact"/>
        <w:rPr>
          <w:rFonts w:ascii="Arial" w:cs="Arial" w:eastAsia="Arial" w:hAnsi="Arial"/>
          <w:sz w:val="16"/>
          <w:szCs w:val="16"/>
          <w:color w:val="auto"/>
        </w:rPr>
      </w:pPr>
    </w:p>
    <w:p>
      <w:pPr>
        <w:ind w:firstLine="215"/>
        <w:spacing w:after="0" w:line="272"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or the Final Prospectus (or any amendment or supplement thereto), subsequent to the respective dates as of which such information is given in the Registration Statement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13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0" w:name="page11"/>
    <w:bookmarkEnd w:id="10"/>
    <w:p>
      <w:pPr>
        <w:ind w:right="80" w:firstLine="215"/>
        <w:spacing w:after="0" w:line="297" w:lineRule="auto"/>
        <w:tabs>
          <w:tab w:leader="none" w:pos="53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otherwise set forth in the Final Prospectus or such as would not have a Material Adverse Effect, each of the Company and its subsidiaries has good and marketable title to all property (real and personal) described in the Final Prospectus as being owned by it, free and clear of all Liens, except Liens for taxes not yet due and payable and Liens described in the Registration Statement or the Final Prospectus or in a document filed as an exhibit to the Registration Statement. All the property described in the Final Prospectus as being held under lease by each of the Company and its subsidiaries is held by it under valid, subsisting and enforceable leases, except as would not have a Material Adverse Effect.</w:t>
      </w:r>
    </w:p>
    <w:p>
      <w:pPr>
        <w:spacing w:after="0" w:line="131" w:lineRule="exact"/>
        <w:rPr>
          <w:rFonts w:ascii="Arial" w:cs="Arial" w:eastAsia="Arial" w:hAnsi="Arial"/>
          <w:sz w:val="16"/>
          <w:szCs w:val="16"/>
          <w:color w:val="auto"/>
        </w:rPr>
      </w:pPr>
    </w:p>
    <w:p>
      <w:pPr>
        <w:ind w:right="40" w:firstLine="215"/>
        <w:spacing w:after="0" w:line="297"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117" w:lineRule="exact"/>
        <w:rPr>
          <w:rFonts w:ascii="Arial" w:cs="Arial" w:eastAsia="Arial" w:hAnsi="Arial"/>
          <w:sz w:val="16"/>
          <w:szCs w:val="16"/>
          <w:color w:val="auto"/>
        </w:rPr>
      </w:pPr>
    </w:p>
    <w:p>
      <w:pPr>
        <w:ind w:firstLine="215"/>
        <w:spacing w:after="0" w:line="264"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Final Prospectus or other materials, if any, permitted by the Act.</w:t>
      </w:r>
    </w:p>
    <w:p>
      <w:pPr>
        <w:spacing w:after="0" w:line="140" w:lineRule="exact"/>
        <w:rPr>
          <w:rFonts w:ascii="Arial" w:cs="Arial" w:eastAsia="Arial" w:hAnsi="Arial"/>
          <w:sz w:val="18"/>
          <w:szCs w:val="18"/>
          <w:color w:val="auto"/>
        </w:rPr>
      </w:pPr>
    </w:p>
    <w:p>
      <w:pPr>
        <w:ind w:right="40" w:firstLine="215"/>
        <w:spacing w:after="0" w:line="25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161" w:lineRule="exact"/>
        <w:rPr>
          <w:rFonts w:ascii="Arial" w:cs="Arial" w:eastAsia="Arial" w:hAnsi="Arial"/>
          <w:sz w:val="18"/>
          <w:szCs w:val="18"/>
          <w:color w:val="auto"/>
        </w:rPr>
      </w:pPr>
    </w:p>
    <w:p>
      <w:pPr>
        <w:ind w:left="480" w:hanging="26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“holding company” or a “public utility,” as such terms are defined in the 1935 Act.</w:t>
      </w:r>
    </w:p>
    <w:p>
      <w:pPr>
        <w:spacing w:after="0" w:line="184" w:lineRule="exact"/>
        <w:rPr>
          <w:rFonts w:ascii="Arial" w:cs="Arial" w:eastAsia="Arial" w:hAnsi="Arial"/>
          <w:sz w:val="18"/>
          <w:szCs w:val="18"/>
          <w:color w:val="auto"/>
        </w:rPr>
      </w:pPr>
    </w:p>
    <w:p>
      <w:pPr>
        <w:ind w:firstLine="215"/>
        <w:spacing w:after="0" w:line="277" w:lineRule="auto"/>
        <w:tabs>
          <w:tab w:leader="none" w:pos="45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 in the Final Prospectus, neither will be an “investment company” as defined in the 1940 Act.</w:t>
      </w:r>
    </w:p>
    <w:p>
      <w:pPr>
        <w:spacing w:after="0" w:line="129" w:lineRule="exact"/>
        <w:rPr>
          <w:rFonts w:ascii="Arial" w:cs="Arial" w:eastAsia="Arial" w:hAnsi="Arial"/>
          <w:sz w:val="18"/>
          <w:szCs w:val="18"/>
          <w:color w:val="auto"/>
        </w:rPr>
      </w:pPr>
    </w:p>
    <w:p>
      <w:pPr>
        <w:ind w:right="280" w:firstLine="215"/>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w:t>
      </w:r>
    </w:p>
    <w:p>
      <w:pPr>
        <w:spacing w:after="0" w:line="15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11" w:name="page12"/>
    <w:bookmarkEnd w:id="11"/>
    <w:p>
      <w:pPr>
        <w:ind w:left="10"/>
        <w:spacing w:after="0"/>
        <w:rPr>
          <w:sz w:val="20"/>
          <w:szCs w:val="20"/>
          <w:color w:val="auto"/>
        </w:rPr>
      </w:pPr>
      <w:r>
        <w:rPr>
          <w:rFonts w:ascii="Arial" w:cs="Arial" w:eastAsia="Arial" w:hAnsi="Arial"/>
          <w:sz w:val="17"/>
          <w:szCs w:val="17"/>
          <w:color w:val="auto"/>
        </w:rPr>
        <w:t>connection with the purchase and distribution of the Securities by the Underwriters in the manner contemplated herein and in the Final Prospectus.</w:t>
      </w:r>
    </w:p>
    <w:p>
      <w:pPr>
        <w:spacing w:after="0" w:line="210" w:lineRule="exact"/>
        <w:rPr>
          <w:sz w:val="20"/>
          <w:szCs w:val="20"/>
          <w:color w:val="auto"/>
        </w:rPr>
      </w:pPr>
    </w:p>
    <w:p>
      <w:pPr>
        <w:ind w:left="10" w:right="80" w:firstLine="215"/>
        <w:spacing w:after="0" w:line="285" w:lineRule="auto"/>
        <w:tabs>
          <w:tab w:leader="none" w:pos="449" w:val="left"/>
        </w:tabs>
        <w:numPr>
          <w:ilvl w:val="1"/>
          <w:numId w:val="8"/>
        </w:numPr>
        <w:rPr>
          <w:rFonts w:ascii="Arial" w:cs="Arial" w:eastAsia="Arial" w:hAnsi="Arial"/>
          <w:sz w:val="16"/>
          <w:szCs w:val="16"/>
          <w:color w:val="auto"/>
        </w:rPr>
      </w:pPr>
      <w:r>
        <w:rPr>
          <w:rFonts w:ascii="Arial" w:cs="Arial" w:eastAsia="Arial" w:hAnsi="Arial"/>
          <w:sz w:val="16"/>
          <w:szCs w:val="16"/>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w:t>
      </w:r>
    </w:p>
    <w:p>
      <w:pPr>
        <w:spacing w:after="0" w:line="2" w:lineRule="exact"/>
        <w:rPr>
          <w:rFonts w:ascii="Arial" w:cs="Arial" w:eastAsia="Arial" w:hAnsi="Arial"/>
          <w:sz w:val="16"/>
          <w:szCs w:val="16"/>
          <w:color w:val="auto"/>
        </w:rPr>
      </w:pPr>
    </w:p>
    <w:p>
      <w:pPr>
        <w:ind w:left="10" w:right="260" w:hanging="10"/>
        <w:spacing w:after="0" w:line="255"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149" w:lineRule="exact"/>
        <w:rPr>
          <w:rFonts w:ascii="Arial" w:cs="Arial" w:eastAsia="Arial" w:hAnsi="Arial"/>
          <w:sz w:val="18"/>
          <w:szCs w:val="18"/>
          <w:color w:val="auto"/>
        </w:rPr>
      </w:pPr>
    </w:p>
    <w:p>
      <w:pPr>
        <w:ind w:left="10" w:right="120" w:firstLine="215"/>
        <w:spacing w:after="0" w:line="302" w:lineRule="auto"/>
        <w:tabs>
          <w:tab w:leader="none" w:pos="489"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consolidated historical financial statements and schedules of the Company and its consolidated subsidiaries included in the Final Prospectus and the Registration Statement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applied on a consistent basis throughout the periods involved (except as otherwise noted therein).</w:t>
      </w:r>
    </w:p>
    <w:p>
      <w:pPr>
        <w:spacing w:after="0" w:line="113" w:lineRule="exact"/>
        <w:rPr>
          <w:rFonts w:ascii="Arial" w:cs="Arial" w:eastAsia="Arial" w:hAnsi="Arial"/>
          <w:sz w:val="16"/>
          <w:szCs w:val="16"/>
          <w:color w:val="auto"/>
        </w:rPr>
      </w:pPr>
    </w:p>
    <w:p>
      <w:pPr>
        <w:ind w:left="10" w:firstLine="215"/>
        <w:spacing w:after="0" w:line="259" w:lineRule="auto"/>
        <w:tabs>
          <w:tab w:leader="none" w:pos="489" w:val="left"/>
        </w:tabs>
        <w:numPr>
          <w:ilvl w:val="1"/>
          <w:numId w:val="9"/>
        </w:numPr>
        <w:rPr>
          <w:rFonts w:ascii="Arial" w:cs="Arial" w:eastAsia="Arial" w:hAnsi="Arial"/>
          <w:sz w:val="18"/>
          <w:szCs w:val="18"/>
          <w:color w:val="auto"/>
        </w:rPr>
      </w:pPr>
      <w:r>
        <w:rPr>
          <w:rFonts w:ascii="Arial" w:cs="Arial" w:eastAsia="Arial" w:hAnsi="Arial"/>
          <w:sz w:val="18"/>
          <w:szCs w:val="18"/>
          <w:color w:val="auto"/>
        </w:rPr>
        <w:t>Arthur Andersen LLP, who certified certain financial statements of the Company and its consolidated subsidiaries and delivered their report with respect to the audited consolidated financial statements and schedules included in the Final Prospectus, at the time they certified such financial statements and delivered their report, were independent public accountants with respect to the Company within the meaning of the Act and the applicable published rules and regulations thereunder.</w:t>
      </w:r>
    </w:p>
    <w:p>
      <w:pPr>
        <w:spacing w:after="0" w:line="159" w:lineRule="exact"/>
        <w:rPr>
          <w:rFonts w:ascii="Arial" w:cs="Arial" w:eastAsia="Arial" w:hAnsi="Arial"/>
          <w:sz w:val="18"/>
          <w:szCs w:val="18"/>
          <w:color w:val="auto"/>
        </w:rPr>
      </w:pPr>
    </w:p>
    <w:p>
      <w:pPr>
        <w:ind w:left="10" w:right="200" w:firstLine="215"/>
        <w:spacing w:after="0" w:line="259" w:lineRule="auto"/>
        <w:tabs>
          <w:tab w:leader="none" w:pos="529"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There were no material weaknesses in the Company’s system of internal controls over accounting and financial reporting for the year ended December 31, 2001, other than those material weaknesses that were subsequently (1) improved to control deficiency status, (2) classified as a business improvement opportunity, or (3) otherwise resolved, in each case such that they no longer constituted an internal control issue with respect to the applicable period.</w:t>
      </w:r>
    </w:p>
    <w:p>
      <w:pPr>
        <w:spacing w:after="0" w:line="146" w:lineRule="exact"/>
        <w:rPr>
          <w:rFonts w:ascii="Arial" w:cs="Arial" w:eastAsia="Arial" w:hAnsi="Arial"/>
          <w:sz w:val="18"/>
          <w:szCs w:val="18"/>
          <w:color w:val="auto"/>
        </w:rPr>
      </w:pPr>
    </w:p>
    <w:p>
      <w:pPr>
        <w:ind w:left="10" w:firstLine="215"/>
        <w:spacing w:after="0" w:line="286" w:lineRule="auto"/>
        <w:tabs>
          <w:tab w:leader="none" w:pos="489" w:val="left"/>
        </w:tabs>
        <w:numPr>
          <w:ilvl w:val="1"/>
          <w:numId w:val="9"/>
        </w:numPr>
        <w:rPr>
          <w:rFonts w:ascii="Arial" w:cs="Arial" w:eastAsia="Arial" w:hAnsi="Arial"/>
          <w:sz w:val="17"/>
          <w:szCs w:val="17"/>
          <w:color w:val="auto"/>
        </w:rPr>
      </w:pPr>
      <w:r>
        <w:rPr>
          <w:rFonts w:ascii="Arial" w:cs="Arial" w:eastAsia="Arial" w:hAnsi="Arial"/>
          <w:sz w:val="17"/>
          <w:szCs w:val="17"/>
          <w:color w:val="auto"/>
        </w:rPr>
        <w:t>Ernst &amp; Young LLP, who has certified certain financial statements of the Company and its consolidated subsidiaries and delivered their report with respect to the audited consolidated financial statements and schedules included in the Final Prospectus, are independent public accountants with respect to the Company within the meaning of the Act and the applicable published rules and regulations thereunder.</w:t>
      </w:r>
    </w:p>
    <w:p>
      <w:pPr>
        <w:spacing w:after="0" w:line="125" w:lineRule="exact"/>
        <w:rPr>
          <w:rFonts w:ascii="Arial" w:cs="Arial" w:eastAsia="Arial" w:hAnsi="Arial"/>
          <w:sz w:val="17"/>
          <w:szCs w:val="17"/>
          <w:color w:val="auto"/>
        </w:rPr>
      </w:pPr>
    </w:p>
    <w:p>
      <w:pPr>
        <w:ind w:left="10" w:firstLine="215"/>
        <w:spacing w:after="0" w:line="277" w:lineRule="auto"/>
        <w:tabs>
          <w:tab w:leader="none" w:pos="489"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of the Company and Holdings has filed all foreign, federal, state and local tax returns that are required to be filed or has requested extensions thereof (except</w:t>
      </w:r>
    </w:p>
    <w:p>
      <w:pPr>
        <w:spacing w:after="0" w:line="143" w:lineRule="exact"/>
        <w:rPr>
          <w:sz w:val="20"/>
          <w:szCs w:val="20"/>
          <w:color w:val="auto"/>
        </w:rPr>
      </w:pPr>
    </w:p>
    <w:p>
      <w:pPr>
        <w:jc w:val="center"/>
        <w:ind w:right="31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0"/>
          </w:cols>
          <w:pgMar w:left="590" w:top="935" w:right="259" w:bottom="1440" w:gutter="0" w:footer="0" w:header="0"/>
        </w:sectPr>
      </w:pPr>
    </w:p>
    <w:bookmarkStart w:id="12" w:name="page13"/>
    <w:bookmarkEnd w:id="12"/>
    <w:p>
      <w:pPr>
        <w:ind w:right="20"/>
        <w:spacing w:after="0" w:line="257" w:lineRule="auto"/>
        <w:rPr>
          <w:sz w:val="20"/>
          <w:szCs w:val="20"/>
          <w:color w:val="auto"/>
        </w:rPr>
      </w:pPr>
      <w:r>
        <w:rPr>
          <w:rFonts w:ascii="Arial" w:cs="Arial" w:eastAsia="Arial" w:hAnsi="Arial"/>
          <w:sz w:val="18"/>
          <w:szCs w:val="18"/>
          <w:color w:val="auto"/>
        </w:rPr>
        <w:t>in any case in which the failure so to file would not have a Material Adverse Effect, and except as set forth or incorporated by reference in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Final Prospectus (exclusive of any amendment or supplement thereto).</w:t>
      </w:r>
    </w:p>
    <w:p>
      <w:pPr>
        <w:spacing w:after="0" w:line="161" w:lineRule="exact"/>
        <w:rPr>
          <w:sz w:val="20"/>
          <w:szCs w:val="20"/>
          <w:color w:val="auto"/>
        </w:rPr>
      </w:pPr>
    </w:p>
    <w:p>
      <w:pPr>
        <w:ind w:right="60" w:firstLine="215"/>
        <w:spacing w:after="0" w:line="259" w:lineRule="auto"/>
        <w:tabs>
          <w:tab w:leader="none" w:pos="4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could have a Material Adverse Effect, except as set forth or incorporated by reference in the Final Prospectus (exclusive of any amendment or supplement thereto).</w:t>
      </w:r>
    </w:p>
    <w:p>
      <w:pPr>
        <w:spacing w:after="0" w:line="146" w:lineRule="exact"/>
        <w:rPr>
          <w:sz w:val="20"/>
          <w:szCs w:val="20"/>
          <w:color w:val="auto"/>
        </w:rPr>
      </w:pPr>
    </w:p>
    <w:p>
      <w:pPr>
        <w:ind w:firstLine="215"/>
        <w:spacing w:after="0" w:line="288" w:lineRule="auto"/>
        <w:tabs>
          <w:tab w:leader="none" w:pos="5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there are no claims by the Company or any of its Subsidiaries under any such policy or instrument as to which any insurance company is denying liability or defending under a reservation of rights clause; and neither the Company nor any such Subsidiary has been refused any insurance coverage sought or applied for, except in each case as set forth or incorporated by reference in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Final Prospectus (exclusive of any amendment or supplement thereto).</w:t>
      </w:r>
    </w:p>
    <w:p>
      <w:pPr>
        <w:spacing w:after="0" w:line="128" w:lineRule="exact"/>
        <w:rPr>
          <w:rFonts w:ascii="Arial" w:cs="Arial" w:eastAsia="Arial" w:hAnsi="Arial"/>
          <w:sz w:val="16"/>
          <w:szCs w:val="16"/>
          <w:color w:val="auto"/>
        </w:rPr>
      </w:pPr>
    </w:p>
    <w:p>
      <w:pPr>
        <w:jc w:val="both"/>
        <w:ind w:right="160" w:firstLine="215"/>
        <w:spacing w:after="0" w:line="259" w:lineRule="auto"/>
        <w:tabs>
          <w:tab w:leader="none" w:pos="5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Final Prospectus (exclusive of any amendment or supplement thereto).</w:t>
      </w:r>
    </w:p>
    <w:p>
      <w:pPr>
        <w:spacing w:after="0" w:line="159" w:lineRule="exact"/>
        <w:rPr>
          <w:rFonts w:ascii="Arial" w:cs="Arial" w:eastAsia="Arial" w:hAnsi="Arial"/>
          <w:sz w:val="18"/>
          <w:szCs w:val="18"/>
          <w:color w:val="auto"/>
        </w:rPr>
      </w:pPr>
    </w:p>
    <w:p>
      <w:pPr>
        <w:ind w:right="100" w:firstLine="215"/>
        <w:spacing w:after="0" w:line="259" w:lineRule="auto"/>
        <w:tabs>
          <w:tab w:leader="none" w:pos="5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the Company and its subsidiaries possess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 which, singly or in the aggregate, if the subject of an unfavorable</w:t>
      </w:r>
    </w:p>
    <w:p>
      <w:pPr>
        <w:spacing w:after="0" w:line="14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35" w:right="239" w:bottom="1440" w:gutter="0" w:footer="0" w:header="0"/>
        </w:sectPr>
      </w:pPr>
    </w:p>
    <w:bookmarkStart w:id="13" w:name="page14"/>
    <w:bookmarkEnd w:id="13"/>
    <w:p>
      <w:pPr>
        <w:ind w:left="10" w:right="180"/>
        <w:spacing w:after="0" w:line="277" w:lineRule="auto"/>
        <w:rPr>
          <w:sz w:val="20"/>
          <w:szCs w:val="20"/>
          <w:color w:val="auto"/>
        </w:rPr>
      </w:pPr>
      <w:r>
        <w:rPr>
          <w:rFonts w:ascii="Arial" w:cs="Arial" w:eastAsia="Arial" w:hAnsi="Arial"/>
          <w:sz w:val="18"/>
          <w:szCs w:val="18"/>
          <w:color w:val="auto"/>
        </w:rPr>
        <w:t>decision, ruling or finding, would have a Material Adverse Effect, except as set forth or incorporated by reference in the Final Prospectus (exclusive of any amendment or supplement thereto).</w:t>
      </w:r>
    </w:p>
    <w:p>
      <w:pPr>
        <w:spacing w:after="0" w:line="143" w:lineRule="exact"/>
        <w:rPr>
          <w:sz w:val="20"/>
          <w:szCs w:val="20"/>
          <w:color w:val="auto"/>
        </w:rPr>
      </w:pPr>
    </w:p>
    <w:p>
      <w:pPr>
        <w:ind w:left="570" w:hanging="345"/>
        <w:spacing w:after="0"/>
        <w:tabs>
          <w:tab w:leader="none" w:pos="57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 that</w:t>
      </w:r>
    </w:p>
    <w:p>
      <w:pPr>
        <w:spacing w:after="0" w:line="34" w:lineRule="exact"/>
        <w:rPr>
          <w:rFonts w:ascii="Arial" w:cs="Arial" w:eastAsia="Arial" w:hAnsi="Arial"/>
          <w:sz w:val="17"/>
          <w:szCs w:val="17"/>
          <w:color w:val="auto"/>
        </w:rPr>
      </w:pPr>
    </w:p>
    <w:p>
      <w:pPr>
        <w:ind w:left="10" w:right="40" w:hanging="10"/>
        <w:spacing w:after="0" w:line="273" w:lineRule="auto"/>
        <w:tabs>
          <w:tab w:leader="none" w:pos="2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36" w:lineRule="exact"/>
        <w:rPr>
          <w:rFonts w:ascii="Arial" w:cs="Arial" w:eastAsia="Arial" w:hAnsi="Arial"/>
          <w:sz w:val="17"/>
          <w:szCs w:val="17"/>
          <w:color w:val="auto"/>
        </w:rPr>
      </w:pPr>
    </w:p>
    <w:p>
      <w:pPr>
        <w:jc w:val="both"/>
        <w:ind w:left="10" w:right="180" w:firstLine="215"/>
        <w:spacing w:after="0" w:line="264" w:lineRule="auto"/>
        <w:tabs>
          <w:tab w:leader="none" w:pos="5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140" w:lineRule="exact"/>
        <w:rPr>
          <w:rFonts w:ascii="Arial" w:cs="Arial" w:eastAsia="Arial" w:hAnsi="Arial"/>
          <w:sz w:val="18"/>
          <w:szCs w:val="18"/>
          <w:color w:val="auto"/>
        </w:rPr>
      </w:pPr>
    </w:p>
    <w:p>
      <w:pPr>
        <w:ind w:left="10" w:firstLine="215"/>
        <w:spacing w:after="0" w:line="270" w:lineRule="auto"/>
        <w:tabs>
          <w:tab w:leader="none" w:pos="516"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(“Environmental Laws”), (ii) have received and are in compliance with all permits, licenses or other approvals required of them under applicable Environmental Laws to conduct their respective businesses and (iii) have not received notice of any actual or potential liability for the investigation or remediation of any disposal or release of hazardous or toxic substances or wastes, pollutants or contaminants, except where such non-compliance with Environmental Laws, failure to receive required permits, licenses or other approvals, or liability would not, individually or in the aggregate, have a Material Adverse Effect, except as set forth or incorporated by reference in the Final Prospectus (exclusive of any amendment or supplement thereto). The environmental reserves described or incorporated by reference in the Final Prospectus reflect in accordance with generally accepted accounting principles the known liabilities and obligations of the Company and its subsidiaries under Environmental Laws.</w:t>
      </w:r>
    </w:p>
    <w:p>
      <w:pPr>
        <w:spacing w:after="0" w:line="154" w:lineRule="exact"/>
        <w:rPr>
          <w:rFonts w:ascii="Arial" w:cs="Arial" w:eastAsia="Arial" w:hAnsi="Arial"/>
          <w:sz w:val="17"/>
          <w:szCs w:val="17"/>
          <w:color w:val="auto"/>
        </w:rPr>
      </w:pPr>
    </w:p>
    <w:p>
      <w:pPr>
        <w:ind w:left="10" w:right="40" w:firstLine="215"/>
        <w:spacing w:after="0" w:line="273" w:lineRule="auto"/>
        <w:tabs>
          <w:tab w:leader="none" w:pos="579"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Final Prospectus (exclusive of any amendment or supplement thereto).</w:t>
      </w:r>
    </w:p>
    <w:p>
      <w:pPr>
        <w:spacing w:after="0" w:line="138" w:lineRule="exact"/>
        <w:rPr>
          <w:sz w:val="20"/>
          <w:szCs w:val="20"/>
          <w:color w:val="auto"/>
        </w:rPr>
      </w:pPr>
    </w:p>
    <w:p>
      <w:pPr>
        <w:jc w:val="center"/>
        <w:ind w:right="31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0"/>
          </w:cols>
          <w:pgMar w:left="590" w:top="935" w:right="259" w:bottom="1440" w:gutter="0" w:footer="0" w:header="0"/>
        </w:sectPr>
      </w:pPr>
    </w:p>
    <w:bookmarkStart w:id="14" w:name="page15"/>
    <w:bookmarkEnd w:id="14"/>
    <w:p>
      <w:pPr>
        <w:ind w:firstLine="215"/>
        <w:spacing w:after="0" w:line="255" w:lineRule="auto"/>
        <w:tabs>
          <w:tab w:leader="none" w:pos="5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has fulfilled its obligations, if any, under the minimum funding standards of Section 302 of the United States Employee Retirement Income Security Act of 1974 (“ERISA”) and the regulations and published interpretations thereunder with respect to each “plan” (as defined in Section 3(3) of ERISA and such regulations and published interpretations) in which employees of the Company and its subsidiaries are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162" w:lineRule="exact"/>
        <w:rPr>
          <w:rFonts w:ascii="Arial" w:cs="Arial" w:eastAsia="Arial" w:hAnsi="Arial"/>
          <w:sz w:val="18"/>
          <w:szCs w:val="18"/>
          <w:color w:val="auto"/>
        </w:rPr>
      </w:pPr>
    </w:p>
    <w:p>
      <w:pPr>
        <w:ind w:left="480" w:hanging="265"/>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holders of securities of the Company or Holdings have rights to the registration of such securities under the Registration Statement.</w:t>
      </w:r>
    </w:p>
    <w:p>
      <w:pPr>
        <w:spacing w:after="0" w:line="196" w:lineRule="exact"/>
        <w:rPr>
          <w:rFonts w:ascii="Arial" w:cs="Arial" w:eastAsia="Arial" w:hAnsi="Arial"/>
          <w:sz w:val="17"/>
          <w:szCs w:val="17"/>
          <w:color w:val="auto"/>
        </w:rPr>
      </w:pPr>
    </w:p>
    <w:p>
      <w:pPr>
        <w:jc w:val="both"/>
        <w:ind w:right="80" w:firstLine="215"/>
        <w:spacing w:after="0" w:line="264" w:lineRule="auto"/>
        <w:tabs>
          <w:tab w:leader="none" w:pos="4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or any related rules and regulations promulgated by the Commission, and the statements contained in any such certification are true and correct in all material respects.</w:t>
      </w:r>
    </w:p>
    <w:p>
      <w:pPr>
        <w:spacing w:after="0" w:line="140" w:lineRule="exact"/>
        <w:rPr>
          <w:rFonts w:ascii="Arial" w:cs="Arial" w:eastAsia="Arial" w:hAnsi="Arial"/>
          <w:sz w:val="18"/>
          <w:szCs w:val="18"/>
          <w:color w:val="auto"/>
        </w:rPr>
      </w:pPr>
    </w:p>
    <w:p>
      <w:pPr>
        <w:ind w:right="20" w:firstLine="215"/>
        <w:spacing w:after="0" w:line="293" w:lineRule="auto"/>
        <w:tabs>
          <w:tab w:leader="none" w:pos="5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13a-14 under the Exchange Act), which (i) were designed to ensure that material information relating to the Company, including its consolidated subsidiaries, was made known to the principal executive officer and the principal financial officer of the Company by others within those entities, particularly during the period in which the Annual Report on Form 10-K for the year ended December 31, 2003 was being prepared; (ii) have been evaluated for effectiveness as of the end of the periods covered by the Company’s Annual Report on Form 10-K for the year ended December 31, 2003; and (iii) are effective to ensure that the Company is able to collect, process and disclose the information required to be disclosed in reports filed with the Commission within required time periods.</w:t>
      </w:r>
    </w:p>
    <w:p>
      <w:pPr>
        <w:spacing w:after="0" w:line="137" w:lineRule="exact"/>
        <w:rPr>
          <w:rFonts w:ascii="Arial" w:cs="Arial" w:eastAsia="Arial" w:hAnsi="Arial"/>
          <w:sz w:val="16"/>
          <w:szCs w:val="16"/>
          <w:color w:val="auto"/>
        </w:rPr>
      </w:pPr>
    </w:p>
    <w:p>
      <w:pPr>
        <w:ind w:right="80" w:firstLine="215"/>
        <w:spacing w:after="0" w:line="276" w:lineRule="auto"/>
        <w:tabs>
          <w:tab w:leader="none" w:pos="49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the evaluation of its disclosure controls and procedures as of the end of the period covered by the Annual Report on Form10-K for the year ended December 31, 2003, and other than as has been disclosed to the Company’s auditors and the audit committee of the board of directors of the Company,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132" w:lineRule="exact"/>
        <w:rPr>
          <w:rFonts w:ascii="Arial" w:cs="Arial" w:eastAsia="Arial" w:hAnsi="Arial"/>
          <w:sz w:val="17"/>
          <w:szCs w:val="17"/>
          <w:color w:val="auto"/>
        </w:rPr>
      </w:pPr>
    </w:p>
    <w:p>
      <w:pPr>
        <w:ind w:right="480" w:firstLine="215"/>
        <w:spacing w:after="0" w:line="277" w:lineRule="auto"/>
        <w:tabs>
          <w:tab w:leader="none" w:pos="6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Since December 31, 2003, there have been no significant changes in internal controls or in other factors that could significantly affect the Company’s internal controls over financial reporting.</w:t>
      </w:r>
    </w:p>
    <w:p>
      <w:pPr>
        <w:spacing w:after="0" w:line="13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35" w:right="279" w:bottom="1440" w:gutter="0" w:footer="0" w:header="0"/>
        </w:sectPr>
      </w:pPr>
    </w:p>
    <w:bookmarkStart w:id="15" w:name="page16"/>
    <w:bookmarkEnd w:id="15"/>
    <w:p>
      <w:pPr>
        <w:ind w:left="360" w:right="180" w:firstLine="215"/>
        <w:spacing w:after="0" w:line="277"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143" w:lineRule="exact"/>
        <w:rPr>
          <w:sz w:val="20"/>
          <w:szCs w:val="20"/>
          <w:color w:val="auto"/>
        </w:rPr>
      </w:pPr>
    </w:p>
    <w:p>
      <w:pPr>
        <w:jc w:val="both"/>
        <w:ind w:right="80" w:firstLine="215"/>
        <w:spacing w:after="0" w:line="264"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41" w:lineRule="exact"/>
        <w:rPr>
          <w:sz w:val="20"/>
          <w:szCs w:val="20"/>
          <w:color w:val="auto"/>
        </w:rPr>
      </w:pPr>
    </w:p>
    <w:p>
      <w:pPr>
        <w:jc w:val="both"/>
        <w:ind w:right="160" w:firstLine="233"/>
        <w:spacing w:after="0" w:line="286" w:lineRule="auto"/>
        <w:tabs>
          <w:tab w:leader="none" w:pos="405"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Purchase and Sale. Subject to the terms and conditions and in reliance upon the representations and warranties herein set forth, the Company agrees to sell to each Underwriter, and each Underwriter agrees, severally and not jointly, to purchase from the Company, at the purchase price set forth in Schedule I hereto, the principal amount of the Securities set forth opposite such Underwriter’s name in Schedule II hereto.</w:t>
      </w:r>
    </w:p>
    <w:p>
      <w:pPr>
        <w:spacing w:after="0" w:line="125" w:lineRule="exact"/>
        <w:rPr>
          <w:rFonts w:ascii="Arial" w:cs="Arial" w:eastAsia="Arial" w:hAnsi="Arial"/>
          <w:sz w:val="17"/>
          <w:szCs w:val="17"/>
          <w:color w:val="auto"/>
        </w:rPr>
      </w:pPr>
    </w:p>
    <w:p>
      <w:pPr>
        <w:ind w:right="120" w:firstLine="233"/>
        <w:spacing w:after="0" w:line="272" w:lineRule="auto"/>
        <w:tabs>
          <w:tab w:leader="none" w:pos="40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Delivery and Payment.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9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50" w:lineRule="exact"/>
        <w:rPr>
          <w:rFonts w:ascii="Arial" w:cs="Arial" w:eastAsia="Arial" w:hAnsi="Arial"/>
          <w:sz w:val="17"/>
          <w:szCs w:val="17"/>
          <w:color w:val="auto"/>
        </w:rPr>
      </w:pPr>
    </w:p>
    <w:p>
      <w:pPr>
        <w:ind w:right="380" w:firstLine="233"/>
        <w:spacing w:after="0" w:line="277"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Offering by Underwriters. It is understood that the several Underwriters propose to offer the Securities for sale to the public as set forth in the Final Prospectus.</w:t>
      </w:r>
    </w:p>
    <w:p>
      <w:pPr>
        <w:spacing w:after="0" w:line="129" w:lineRule="exact"/>
        <w:rPr>
          <w:rFonts w:ascii="Arial" w:cs="Arial" w:eastAsia="Arial" w:hAnsi="Arial"/>
          <w:sz w:val="18"/>
          <w:szCs w:val="18"/>
          <w:color w:val="auto"/>
        </w:rPr>
      </w:pPr>
    </w:p>
    <w:p>
      <w:pPr>
        <w:ind w:left="400" w:hanging="167"/>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Agreements. The Company agrees with the several Underwriters that:</w:t>
      </w:r>
    </w:p>
    <w:p>
      <w:pPr>
        <w:spacing w:after="0" w:line="184" w:lineRule="exact"/>
        <w:rPr>
          <w:rFonts w:ascii="Arial" w:cs="Arial" w:eastAsia="Arial" w:hAnsi="Arial"/>
          <w:sz w:val="18"/>
          <w:szCs w:val="18"/>
          <w:color w:val="auto"/>
        </w:rPr>
      </w:pPr>
    </w:p>
    <w:p>
      <w:pPr>
        <w:ind w:left="360" w:firstLine="215"/>
        <w:spacing w:after="0" w:line="270" w:lineRule="auto"/>
        <w:tabs>
          <w:tab w:leader="none" w:pos="830" w:val="left"/>
        </w:tabs>
        <w:numPr>
          <w:ilvl w:val="1"/>
          <w:numId w:val="16"/>
        </w:numPr>
        <w:rPr>
          <w:rFonts w:ascii="Arial" w:cs="Arial" w:eastAsia="Arial" w:hAnsi="Arial"/>
          <w:sz w:val="17"/>
          <w:szCs w:val="17"/>
          <w:color w:val="auto"/>
        </w:rPr>
      </w:pPr>
      <w:r>
        <w:rPr>
          <w:rFonts w:ascii="Arial" w:cs="Arial" w:eastAsia="Arial" w:hAnsi="Arial"/>
          <w:sz w:val="17"/>
          <w:szCs w:val="17"/>
          <w:color w:val="auto"/>
        </w:rPr>
        <w:t>Prior to the termination of the offering of the Securities, the Company will not file any amendment to the Registration Statement or supplement (including the Final Prospectus) to the Basic Prospectus or any Rule 462(b) Registration Statement unless the Company has furnished you a copy for your review prior to filing and will not file any such proposed amendment or supplement to which you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 The Company will promptly advise the Representatives (1) when the Final Prospectus, and any supplement thereto, shall have been filed with the Commission pursuant to Rule 424(b) or when any Rule 462(b) Registration Statement shall have been filed with the Commission, (2) when, prior to termination of the offering of the Securities, any amendment to the Registration Statement shall have been filed or become effective, (3) of any request by the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left="10"/>
        <w:spacing w:after="0" w:line="255" w:lineRule="auto"/>
        <w:rPr>
          <w:sz w:val="20"/>
          <w:szCs w:val="20"/>
          <w:color w:val="auto"/>
        </w:rPr>
      </w:pPr>
      <w:r>
        <w:rPr>
          <w:rFonts w:ascii="Arial" w:cs="Arial" w:eastAsia="Arial" w:hAnsi="Arial"/>
          <w:sz w:val="18"/>
          <w:szCs w:val="18"/>
          <w:color w:val="auto"/>
        </w:rPr>
        <w:t>Commission or its staff for any amendment to the Registration Statement, or any Rule 462(b) Registration Statement, or for any supplement to the Final Prospectus or for any additional information, (4) of the issuance by the Commission of any stop order suspending the effectiveness of the Registration Statement or the institution or threatening of any proceeding for that purpose and (5)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suspension of any such qualification and, if issued, to obtain as soon as possible the withdrawal thereof.</w:t>
      </w:r>
    </w:p>
    <w:p>
      <w:pPr>
        <w:spacing w:after="0" w:line="166" w:lineRule="exact"/>
        <w:rPr>
          <w:sz w:val="20"/>
          <w:szCs w:val="20"/>
          <w:color w:val="auto"/>
        </w:rPr>
      </w:pPr>
    </w:p>
    <w:p>
      <w:pPr>
        <w:ind w:left="10" w:right="20" w:firstLine="215"/>
        <w:spacing w:after="0" w:line="286" w:lineRule="auto"/>
        <w:tabs>
          <w:tab w:leader="none" w:pos="489"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Securities is required to be delivered under the Act,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or supplement the Final Prospectus to comply with the Act or the Exchange Act or the respective rules thereunder, the Company promptly will</w:t>
      </w:r>
    </w:p>
    <w:p>
      <w:pPr>
        <w:spacing w:after="0" w:line="1" w:lineRule="exact"/>
        <w:rPr>
          <w:rFonts w:ascii="Arial" w:cs="Arial" w:eastAsia="Arial" w:hAnsi="Arial"/>
          <w:sz w:val="16"/>
          <w:szCs w:val="16"/>
          <w:color w:val="auto"/>
        </w:rPr>
      </w:pPr>
    </w:p>
    <w:p>
      <w:pPr>
        <w:ind w:left="10" w:right="20" w:hanging="10"/>
        <w:spacing w:after="0" w:line="255" w:lineRule="auto"/>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notify the Representatives of such event, (2) prepare and file with the Commission, subject to the second sentence of paragraph (a) of this Section 5, an amendment or supplement which will correct such statement or omission or effect such compliance and (3) supply any supplemented Final Prospectus to you in such quantities as you may reasonably request.</w:t>
      </w:r>
    </w:p>
    <w:p>
      <w:pPr>
        <w:spacing w:after="0" w:line="149" w:lineRule="exact"/>
        <w:rPr>
          <w:rFonts w:ascii="Arial" w:cs="Arial" w:eastAsia="Arial" w:hAnsi="Arial"/>
          <w:sz w:val="18"/>
          <w:szCs w:val="18"/>
          <w:color w:val="auto"/>
        </w:rPr>
      </w:pPr>
    </w:p>
    <w:p>
      <w:pPr>
        <w:ind w:left="10" w:right="440" w:firstLine="215"/>
        <w:spacing w:after="0" w:line="342" w:lineRule="auto"/>
        <w:tabs>
          <w:tab w:leader="none" w:pos="479" w:val="left"/>
        </w:tabs>
        <w:numPr>
          <w:ilvl w:val="1"/>
          <w:numId w:val="18"/>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83" w:lineRule="exact"/>
        <w:rPr>
          <w:rFonts w:ascii="Arial" w:cs="Arial" w:eastAsia="Arial" w:hAnsi="Arial"/>
          <w:sz w:val="16"/>
          <w:szCs w:val="16"/>
          <w:color w:val="auto"/>
        </w:rPr>
      </w:pPr>
    </w:p>
    <w:p>
      <w:pPr>
        <w:ind w:left="10" w:firstLine="215"/>
        <w:spacing w:after="0" w:line="302" w:lineRule="auto"/>
        <w:tabs>
          <w:tab w:leader="none" w:pos="489"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or conformed copies of the Registration Statement (including exhibits thereto) and to each other Underwriter a copy of the Registration Statement (without exhibits thereto) and, so long as delivery of a prospectus by an Underwriter or dealer may be required by the Act, as many copies of the Final Prospectus and any supplement thereto as the Representatives may reasonably request. The Company will pay the expenses of printing or other production of all documents relating to the offering.</w:t>
      </w:r>
    </w:p>
    <w:p>
      <w:pPr>
        <w:spacing w:after="0" w:line="127" w:lineRule="exact"/>
        <w:rPr>
          <w:rFonts w:ascii="Arial" w:cs="Arial" w:eastAsia="Arial" w:hAnsi="Arial"/>
          <w:sz w:val="16"/>
          <w:szCs w:val="16"/>
          <w:color w:val="auto"/>
        </w:rPr>
      </w:pPr>
    </w:p>
    <w:p>
      <w:pPr>
        <w:ind w:left="10" w:firstLine="215"/>
        <w:spacing w:after="0" w:line="276" w:lineRule="auto"/>
        <w:tabs>
          <w:tab w:leader="none" w:pos="479"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National Association of Securities Dealers, Inc., in connection with its review of the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132" w:lineRule="exact"/>
        <w:rPr>
          <w:sz w:val="20"/>
          <w:szCs w:val="20"/>
          <w:color w:val="auto"/>
        </w:rPr>
      </w:pPr>
    </w:p>
    <w:p>
      <w:pPr>
        <w:jc w:val="center"/>
        <w:ind w:right="33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0"/>
          </w:cols>
          <w:pgMar w:left="590" w:top="935" w:right="239" w:bottom="1440" w:gutter="0" w:footer="0" w:header="0"/>
        </w:sectPr>
      </w:pPr>
    </w:p>
    <w:bookmarkStart w:id="17" w:name="page18"/>
    <w:bookmarkEnd w:id="17"/>
    <w:p>
      <w:pPr>
        <w:ind w:left="360" w:right="60" w:firstLine="215"/>
        <w:spacing w:after="0" w:line="254" w:lineRule="auto"/>
        <w:tabs>
          <w:tab w:leader="none" w:pos="8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will not, without the prior written consent of Barclays Capital Inc., Deutsche Bank Securities Inc. and J.P. Morgan Securities Inc.,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the Business Day set forth on Schedule I hereto.</w:t>
      </w:r>
    </w:p>
    <w:p>
      <w:pPr>
        <w:spacing w:after="0" w:line="165" w:lineRule="exact"/>
        <w:rPr>
          <w:rFonts w:ascii="Arial" w:cs="Arial" w:eastAsia="Arial" w:hAnsi="Arial"/>
          <w:sz w:val="18"/>
          <w:szCs w:val="18"/>
          <w:color w:val="auto"/>
        </w:rPr>
      </w:pPr>
    </w:p>
    <w:p>
      <w:pPr>
        <w:ind w:left="360" w:firstLine="215"/>
        <w:spacing w:after="0" w:line="264" w:lineRule="auto"/>
        <w:tabs>
          <w:tab w:leader="none" w:pos="8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40" w:lineRule="exact"/>
        <w:rPr>
          <w:rFonts w:ascii="Arial" w:cs="Arial" w:eastAsia="Arial" w:hAnsi="Arial"/>
          <w:sz w:val="18"/>
          <w:szCs w:val="18"/>
          <w:color w:val="auto"/>
        </w:rPr>
      </w:pPr>
    </w:p>
    <w:p>
      <w:pPr>
        <w:jc w:val="both"/>
        <w:ind w:right="100" w:firstLine="233"/>
        <w:spacing w:after="0" w:line="259"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to the Obligations of the Underwriters. The obligations of the Underwriters to purchase the Securities shall be subject to the accuracy of the representations and warranties on the part of the Company and Holdings contained herein as of the Execution Time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146" w:lineRule="exact"/>
        <w:rPr>
          <w:rFonts w:ascii="Arial" w:cs="Arial" w:eastAsia="Arial" w:hAnsi="Arial"/>
          <w:sz w:val="18"/>
          <w:szCs w:val="18"/>
          <w:color w:val="auto"/>
        </w:rPr>
      </w:pPr>
    </w:p>
    <w:p>
      <w:pPr>
        <w:ind w:left="360" w:firstLine="215"/>
        <w:spacing w:after="0" w:line="286" w:lineRule="auto"/>
        <w:tabs>
          <w:tab w:leader="none" w:pos="830" w:val="left"/>
        </w:tabs>
        <w:numPr>
          <w:ilvl w:val="1"/>
          <w:numId w:val="20"/>
        </w:numPr>
        <w:rPr>
          <w:rFonts w:ascii="Arial" w:cs="Arial" w:eastAsia="Arial" w:hAnsi="Arial"/>
          <w:sz w:val="17"/>
          <w:szCs w:val="17"/>
          <w:color w:val="auto"/>
        </w:rPr>
      </w:pPr>
      <w:r>
        <w:rPr>
          <w:rFonts w:ascii="Arial" w:cs="Arial" w:eastAsia="Arial" w:hAnsi="Arial"/>
          <w:sz w:val="17"/>
          <w:szCs w:val="17"/>
          <w:color w:val="auto"/>
        </w:rPr>
        <w:t>If the filing of the Final Prospectus, or any supplement thereto, is required pursuant to Rule 424(b), the Final Prospectus, and any such supplement, will be filed in the manner and within the time period required by Rule 424(b); and no stop order suspending the effectiveness of the Registration Statement shall have been issued and no proceedings for that purpose shall have been instituted or threatened.</w:t>
      </w:r>
    </w:p>
    <w:p>
      <w:pPr>
        <w:spacing w:after="0" w:line="138" w:lineRule="exact"/>
        <w:rPr>
          <w:rFonts w:ascii="Arial" w:cs="Arial" w:eastAsia="Arial" w:hAnsi="Arial"/>
          <w:sz w:val="17"/>
          <w:szCs w:val="17"/>
          <w:color w:val="auto"/>
        </w:rPr>
      </w:pPr>
    </w:p>
    <w:p>
      <w:pPr>
        <w:ind w:left="360" w:right="1140" w:firstLine="215"/>
        <w:spacing w:after="0" w:line="308" w:lineRule="auto"/>
        <w:tabs>
          <w:tab w:leader="none" w:pos="8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106" w:lineRule="exact"/>
        <w:rPr>
          <w:rFonts w:ascii="Arial" w:cs="Arial" w:eastAsia="Arial" w:hAnsi="Arial"/>
          <w:sz w:val="17"/>
          <w:szCs w:val="17"/>
          <w:color w:val="auto"/>
        </w:rPr>
      </w:pPr>
    </w:p>
    <w:p>
      <w:pPr>
        <w:ind w:left="700" w:firstLine="218"/>
        <w:spacing w:after="0" w:line="264" w:lineRule="auto"/>
        <w:tabs>
          <w:tab w:leader="none" w:pos="11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Final Prospectus and to execute and deliver and perform its obligations under this Agreement;</w:t>
      </w:r>
    </w:p>
    <w:p>
      <w:pPr>
        <w:spacing w:after="0" w:line="140" w:lineRule="exact"/>
        <w:rPr>
          <w:rFonts w:ascii="Arial" w:cs="Arial" w:eastAsia="Arial" w:hAnsi="Arial"/>
          <w:sz w:val="18"/>
          <w:szCs w:val="18"/>
          <w:color w:val="auto"/>
        </w:rPr>
      </w:pPr>
    </w:p>
    <w:p>
      <w:pPr>
        <w:ind w:left="1180" w:hanging="262"/>
        <w:spacing w:after="0"/>
        <w:tabs>
          <w:tab w:leader="none" w:pos="11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left="-218" w:firstLine="218"/>
        <w:spacing w:after="0" w:line="276" w:lineRule="auto"/>
        <w:tabs>
          <w:tab w:leader="none" w:pos="32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as the enforcement thereof may be limited by bankruptcy, insolvency, fraudulent transfer, reorganization, moratorium or similar laws affecting enforcement of creditors’ rights and remedies generally and except as enforcement thereof is subject to general principles of equity (regardless of whether enforcement is considered in a proceeding in equity or at law);</w:t>
      </w:r>
    </w:p>
    <w:p>
      <w:pPr>
        <w:spacing w:after="0" w:line="145" w:lineRule="exact"/>
        <w:rPr>
          <w:rFonts w:ascii="Arial" w:cs="Arial" w:eastAsia="Arial" w:hAnsi="Arial"/>
          <w:sz w:val="17"/>
          <w:szCs w:val="17"/>
          <w:color w:val="auto"/>
        </w:rPr>
      </w:pPr>
    </w:p>
    <w:p>
      <w:pPr>
        <w:ind w:left="-218" w:firstLine="218"/>
        <w:spacing w:after="0" w:line="272" w:lineRule="auto"/>
        <w:tabs>
          <w:tab w:leader="none" w:pos="31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global certificate representing the Notes is in a form authorized by the Indenture, the Notes have been duly authorized by the Company and, assuming the global certificate representing the Notes has been authenticated by the Trustee in the manner provided for in the Indenture and delivered against payment of the consideration therefor specified in this Agreement, the Notes constitute valid and binding obligations of the Company, enforceable against the Company in accordance with their terms, except as the enforcement thereof may be limited by bankruptcy, insolvency, fraudulent transfer, reorganization, moratorium or similar laws affecting enforcement of creditors’ rights and remedies generally and except as enforcement thereof is subject to general principles of equity (regardless of whether enforcement is considered in a proceeding in equity or at law), and each registered holder thereof is entitled to the benefits of the Indenture;</w:t>
      </w:r>
    </w:p>
    <w:p>
      <w:pPr>
        <w:spacing w:after="0" w:line="137" w:lineRule="exact"/>
        <w:rPr>
          <w:rFonts w:ascii="Arial" w:cs="Arial" w:eastAsia="Arial" w:hAnsi="Arial"/>
          <w:sz w:val="17"/>
          <w:szCs w:val="17"/>
          <w:color w:val="auto"/>
        </w:rPr>
      </w:pPr>
    </w:p>
    <w:p>
      <w:pPr>
        <w:ind w:left="-218" w:right="120" w:firstLine="218"/>
        <w:spacing w:after="0" w:line="302" w:lineRule="auto"/>
        <w:tabs>
          <w:tab w:leader="none" w:pos="26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Guarantee Agreement has been duly authorized, executed and delivered by Holdings and constitutes a valid and binding agreement of Holdings, enforceable against Holdings in accordance with its terms, except as the enforcement thereof may be limited by bankruptcy, insolvency, fraudulent transfer, reorganization, moratorium or similar laws affecting enforcement of creditors’ rights and remedies generally except as enforcement thereof is subject to general principles of equity (regardless of whether enforcement is considered in a proceeding in equity or at law);</w:t>
      </w:r>
    </w:p>
    <w:p>
      <w:pPr>
        <w:spacing w:after="0" w:line="113" w:lineRule="exact"/>
        <w:rPr>
          <w:rFonts w:ascii="Arial" w:cs="Arial" w:eastAsia="Arial" w:hAnsi="Arial"/>
          <w:sz w:val="16"/>
          <w:szCs w:val="16"/>
          <w:color w:val="auto"/>
        </w:rPr>
      </w:pPr>
    </w:p>
    <w:p>
      <w:pPr>
        <w:ind w:left="302" w:hanging="302"/>
        <w:spacing w:after="0"/>
        <w:tabs>
          <w:tab w:leader="none" w:pos="3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198" w:lineRule="exact"/>
        <w:rPr>
          <w:rFonts w:ascii="Arial" w:cs="Arial" w:eastAsia="Arial" w:hAnsi="Arial"/>
          <w:sz w:val="18"/>
          <w:szCs w:val="18"/>
          <w:color w:val="auto"/>
        </w:rPr>
      </w:pPr>
    </w:p>
    <w:p>
      <w:pPr>
        <w:ind w:left="-218" w:right="640" w:firstLine="218"/>
        <w:spacing w:after="0" w:line="277" w:lineRule="auto"/>
        <w:tabs>
          <w:tab w:leader="none" w:pos="3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Final Prospectus;</w:t>
      </w:r>
    </w:p>
    <w:p>
      <w:pPr>
        <w:spacing w:after="0" w:line="129" w:lineRule="exact"/>
        <w:rPr>
          <w:rFonts w:ascii="Arial" w:cs="Arial" w:eastAsia="Arial" w:hAnsi="Arial"/>
          <w:sz w:val="18"/>
          <w:szCs w:val="18"/>
          <w:color w:val="auto"/>
        </w:rPr>
      </w:pPr>
    </w:p>
    <w:p>
      <w:pPr>
        <w:ind w:left="-218" w:right="140" w:firstLine="218"/>
        <w:spacing w:after="0" w:line="259" w:lineRule="auto"/>
        <w:tabs>
          <w:tab w:leader="none" w:pos="4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Registration Statement has been declared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46" w:lineRule="exact"/>
        <w:rPr>
          <w:sz w:val="20"/>
          <w:szCs w:val="20"/>
          <w:color w:val="auto"/>
        </w:rPr>
      </w:pPr>
    </w:p>
    <w:p>
      <w:pPr>
        <w:ind w:left="4642"/>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2"/>
          </w:cols>
          <w:pgMar w:left="1158" w:top="935" w:right="259" w:bottom="1440" w:gutter="0" w:footer="0" w:header="0"/>
        </w:sectPr>
      </w:pPr>
    </w:p>
    <w:bookmarkStart w:id="19" w:name="page20"/>
    <w:bookmarkEnd w:id="19"/>
    <w:p>
      <w:pPr>
        <w:ind w:left="340" w:right="140" w:firstLine="218"/>
        <w:spacing w:after="0" w:line="286" w:lineRule="auto"/>
        <w:tabs>
          <w:tab w:leader="none" w:pos="87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138" w:lineRule="exact"/>
        <w:rPr>
          <w:rFonts w:ascii="Arial" w:cs="Arial" w:eastAsia="Arial" w:hAnsi="Arial"/>
          <w:sz w:val="17"/>
          <w:szCs w:val="17"/>
          <w:color w:val="auto"/>
        </w:rPr>
      </w:pPr>
    </w:p>
    <w:p>
      <w:pPr>
        <w:ind w:left="340" w:firstLine="218"/>
        <w:spacing w:after="0" w:line="293"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execution and delivery of the Underwriting Agreement, the consummation of the transactions contemplated in the Underwriting Agreement and compliance with the terms of the Underwriting Agreement and the Indenture do not and will not conflict with or result in a breach of any of the terms or provisions of, or constitute a default under, the charter or by-laws of the Company, Holdings or Wheelabrator Technologies Inc., or any indenture, mortgage or other agreement or instrument to which the Company or its subsidiaries is a party or by which they or any of their property is bound which is filed as an exhibit to the Registration Statement or to any of the documents incorporated by reference in the Final Prospectus, or any existing applicable laws, rule, regulation (excluding any state securities or state or federal anti-fraud law, rule or regulation);</w:t>
      </w:r>
    </w:p>
    <w:p>
      <w:pPr>
        <w:spacing w:after="0" w:line="124" w:lineRule="exact"/>
        <w:rPr>
          <w:rFonts w:ascii="Arial" w:cs="Arial" w:eastAsia="Arial" w:hAnsi="Arial"/>
          <w:sz w:val="16"/>
          <w:szCs w:val="16"/>
          <w:color w:val="auto"/>
        </w:rPr>
      </w:pPr>
    </w:p>
    <w:p>
      <w:pPr>
        <w:ind w:left="340" w:right="340" w:firstLine="218"/>
        <w:spacing w:after="0" w:line="277" w:lineRule="auto"/>
        <w:tabs>
          <w:tab w:leader="none" w:pos="8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 and</w:t>
      </w:r>
    </w:p>
    <w:p>
      <w:pPr>
        <w:spacing w:after="0" w:line="129" w:lineRule="exact"/>
        <w:rPr>
          <w:rFonts w:ascii="Arial" w:cs="Arial" w:eastAsia="Arial" w:hAnsi="Arial"/>
          <w:sz w:val="18"/>
          <w:szCs w:val="18"/>
          <w:color w:val="auto"/>
        </w:rPr>
      </w:pPr>
    </w:p>
    <w:p>
      <w:pPr>
        <w:ind w:left="920" w:hanging="362"/>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the Company nor any subsidiary is a “holding company” or a “public utility,” as such terms are defined in the 1935 Act.</w:t>
      </w:r>
    </w:p>
    <w:p>
      <w:pPr>
        <w:spacing w:after="0" w:line="198"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Such counsel shall state that the Registration Statement and the Final Prospectus, excluding the documents incorporated by reference therein and the financial statements and related schedules and other financial data included therein or omitted therefrom and the Trustee’s Statement of Eligibility on Form T-1 (the “Form T-1”), as to which such counsel need not express a view, as of the dates they became effective or issue dates, as the case may be, appear on their face to be appropriately responsive in all material respects with the requirements of the Act.</w:t>
      </w:r>
    </w:p>
    <w:p>
      <w:pPr>
        <w:spacing w:after="0" w:line="131"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addition, such counsel shall state that they have participated in conferences with officers and other representatives of the Company, counsel employed by the Company, representatives of the independent public accountants of the Company, representatives of the Underwriters and counsel to the Underwriters at which the contents of the Registration Statement and the Final Prospectus were discussed and, although such counsel did not independently verify such information and is not passing upon and does not assume any responsibility for the accuracy, completeness or fairness of the statements contained in the Registration Statement and the Final Prospectus (other than as set forth in paragraph (vii) above), on the basis of the foregoing, no facts have come to such counsel’s attention that led such counsel to believe that the Registration Statement (other than the financial statements, the notes thereto and the auditors’ reports thereon and the related schedules and the other financial and accounting data included or incorporated by</w:t>
      </w:r>
    </w:p>
    <w:p>
      <w:pPr>
        <w:spacing w:after="0" w:line="15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20" w:name="page21"/>
    <w:bookmarkEnd w:id="20"/>
    <w:p>
      <w:pPr>
        <w:ind w:left="10"/>
        <w:spacing w:after="0" w:line="293" w:lineRule="auto"/>
        <w:rPr>
          <w:sz w:val="20"/>
          <w:szCs w:val="20"/>
          <w:color w:val="auto"/>
        </w:rPr>
      </w:pPr>
      <w:r>
        <w:rPr>
          <w:rFonts w:ascii="Arial" w:cs="Arial" w:eastAsia="Arial" w:hAnsi="Arial"/>
          <w:sz w:val="16"/>
          <w:szCs w:val="16"/>
          <w:color w:val="auto"/>
        </w:rPr>
        <w:t>reference therein, or omitted therefrom, and the exhibits thereto, as to which such counsel need not comment) as of the Effective Date and the Closing Date contained an untrue statement of a material fact or omitted to state a material fact required to be stated therein or necessary in order to make the statements therein not misleading, or that the Final Prospectus (other than the financial statements, the notes thereto and the auditors’ reports thereon and the other financial and accounting data included or incorporated by reference therein, or omitted therefrom, as to which such counsel need not comment) as of its issue date or the Closing Date contained or contains an untrue statement of a material fact or omitted or omits to state a material fact necessary in order to make the statements therein, in the light of the circumstances under which they were made, not misleading.</w:t>
      </w:r>
    </w:p>
    <w:p>
      <w:pPr>
        <w:spacing w:after="0" w:line="138" w:lineRule="exact"/>
        <w:rPr>
          <w:sz w:val="20"/>
          <w:szCs w:val="20"/>
          <w:color w:val="auto"/>
        </w:rPr>
      </w:pPr>
    </w:p>
    <w:p>
      <w:pPr>
        <w:ind w:left="10" w:right="100" w:firstLine="225"/>
        <w:spacing w:after="0" w:line="288" w:lineRule="auto"/>
        <w:rPr>
          <w:sz w:val="20"/>
          <w:szCs w:val="20"/>
          <w:color w:val="auto"/>
        </w:rPr>
      </w:pPr>
      <w:r>
        <w:rPr>
          <w:rFonts w:ascii="Arial" w:cs="Arial" w:eastAsia="Arial" w:hAnsi="Arial"/>
          <w:sz w:val="16"/>
          <w:szCs w:val="16"/>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w:t>
      </w:r>
    </w:p>
    <w:p>
      <w:pPr>
        <w:ind w:left="250" w:hanging="250"/>
        <w:spacing w:after="0"/>
        <w:tabs>
          <w:tab w:leader="none" w:pos="2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 any supplements thereto at the Closing Date.</w:t>
      </w:r>
    </w:p>
    <w:p>
      <w:pPr>
        <w:spacing w:after="0" w:line="170" w:lineRule="exact"/>
        <w:rPr>
          <w:rFonts w:ascii="Arial" w:cs="Arial" w:eastAsia="Arial" w:hAnsi="Arial"/>
          <w:sz w:val="18"/>
          <w:szCs w:val="18"/>
          <w:color w:val="auto"/>
        </w:rPr>
      </w:pPr>
    </w:p>
    <w:p>
      <w:pPr>
        <w:ind w:left="10" w:right="460" w:firstLine="215"/>
        <w:spacing w:after="0" w:line="277" w:lineRule="auto"/>
        <w:tabs>
          <w:tab w:leader="none" w:pos="479" w:val="left"/>
        </w:tabs>
        <w:numPr>
          <w:ilvl w:val="1"/>
          <w:numId w:val="23"/>
        </w:numPr>
        <w:rPr>
          <w:rFonts w:ascii="Arial" w:cs="Arial" w:eastAsia="Arial" w:hAnsi="Arial"/>
          <w:sz w:val="18"/>
          <w:szCs w:val="18"/>
          <w:color w:val="auto"/>
        </w:rPr>
      </w:pPr>
      <w:r>
        <w:rPr>
          <w:rFonts w:ascii="Arial" w:cs="Arial" w:eastAsia="Arial" w:hAnsi="Arial"/>
          <w:sz w:val="18"/>
          <w:szCs w:val="18"/>
          <w:color w:val="auto"/>
        </w:rPr>
        <w:t>Rick L. Wittenbraker, Senior Vice President, General Counsel and Assistant Corporate Secretary of the Company, shall have furnished to the Representatives his opinion, dated the Closing Date and addressed to the Representatives, to the effect that:</w:t>
      </w:r>
    </w:p>
    <w:p>
      <w:pPr>
        <w:spacing w:after="0" w:line="129" w:lineRule="exact"/>
        <w:rPr>
          <w:rFonts w:ascii="Arial" w:cs="Arial" w:eastAsia="Arial" w:hAnsi="Arial"/>
          <w:sz w:val="18"/>
          <w:szCs w:val="18"/>
          <w:color w:val="auto"/>
        </w:rPr>
      </w:pPr>
    </w:p>
    <w:p>
      <w:pPr>
        <w:ind w:left="350" w:right="20" w:firstLine="218"/>
        <w:spacing w:after="0" w:line="272" w:lineRule="auto"/>
        <w:tabs>
          <w:tab w:leader="none" w:pos="789" w:val="left"/>
        </w:tabs>
        <w:numPr>
          <w:ilvl w:val="2"/>
          <w:numId w:val="23"/>
        </w:numPr>
        <w:rPr>
          <w:rFonts w:ascii="Arial" w:cs="Arial" w:eastAsia="Arial" w:hAnsi="Arial"/>
          <w:sz w:val="17"/>
          <w:szCs w:val="17"/>
          <w:color w:val="auto"/>
        </w:rPr>
      </w:pPr>
      <w:r>
        <w:rPr>
          <w:rFonts w:ascii="Arial" w:cs="Arial" w:eastAsia="Arial" w:hAnsi="Arial"/>
          <w:sz w:val="17"/>
          <w:szCs w:val="17"/>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Final Prospectus, except as would not have a Material Adverse Effect; except as otherwise disclosed in the Registration Statement or set forth in the opinion,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was issued in violation of the preemptive or similar rights of any security holder thereof;</w:t>
      </w:r>
    </w:p>
    <w:p>
      <w:pPr>
        <w:spacing w:after="0" w:line="150" w:lineRule="exact"/>
        <w:rPr>
          <w:rFonts w:ascii="Arial" w:cs="Arial" w:eastAsia="Arial" w:hAnsi="Arial"/>
          <w:sz w:val="17"/>
          <w:szCs w:val="17"/>
          <w:color w:val="auto"/>
        </w:rPr>
      </w:pPr>
    </w:p>
    <w:p>
      <w:pPr>
        <w:ind w:left="350" w:firstLine="218"/>
        <w:spacing w:after="0" w:line="257" w:lineRule="auto"/>
        <w:tabs>
          <w:tab w:leader="none" w:pos="839"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documents incorporated by reference in the Final Prospectus (other than the financial statements, related schedules and other financial data included therein or omitted therefrom, as to which he need express no opinion, and except to the extent that any statement therein is modified or superseded in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147" w:lineRule="exact"/>
        <w:rPr>
          <w:rFonts w:ascii="Arial" w:cs="Arial" w:eastAsia="Arial" w:hAnsi="Arial"/>
          <w:sz w:val="18"/>
          <w:szCs w:val="18"/>
          <w:color w:val="auto"/>
        </w:rPr>
      </w:pPr>
    </w:p>
    <w:p>
      <w:pPr>
        <w:ind w:left="5210" w:right="60" w:hanging="4642"/>
        <w:spacing w:after="0" w:line="481" w:lineRule="auto"/>
        <w:tabs>
          <w:tab w:leader="none" w:pos="878" w:val="left"/>
        </w:tabs>
        <w:numPr>
          <w:ilvl w:val="2"/>
          <w:numId w:val="23"/>
        </w:numPr>
        <w:rPr>
          <w:rFonts w:ascii="Arial" w:cs="Arial" w:eastAsia="Arial" w:hAnsi="Arial"/>
          <w:sz w:val="18"/>
          <w:szCs w:val="18"/>
          <w:color w:val="auto"/>
        </w:rPr>
      </w:pPr>
      <w:r>
        <w:rPr>
          <w:rFonts w:ascii="Arial" w:cs="Arial" w:eastAsia="Arial" w:hAnsi="Arial"/>
          <w:sz w:val="18"/>
          <w:szCs w:val="18"/>
          <w:color w:val="auto"/>
        </w:rPr>
        <w:t>except as set forth in the Final Prospectus (or incorporated by reference therein), such counsel does not know of any action, suit, proceeding,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0"/>
          </w:cols>
          <w:pgMar w:left="590" w:top="935" w:right="239" w:bottom="1440" w:gutter="0" w:footer="0" w:header="0"/>
        </w:sectPr>
      </w:pPr>
    </w:p>
    <w:bookmarkStart w:id="21" w:name="page22"/>
    <w:bookmarkEnd w:id="21"/>
    <w:p>
      <w:pPr>
        <w:ind w:left="340"/>
        <w:spacing w:after="0" w:line="264" w:lineRule="auto"/>
        <w:rPr>
          <w:sz w:val="20"/>
          <w:szCs w:val="20"/>
          <w:color w:val="auto"/>
        </w:rPr>
      </w:pPr>
      <w:r>
        <w:rPr>
          <w:rFonts w:ascii="Arial" w:cs="Arial" w:eastAsia="Arial" w:hAnsi="Arial"/>
          <w:sz w:val="18"/>
          <w:szCs w:val="18"/>
          <w:color w:val="auto"/>
        </w:rPr>
        <w:t>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154" w:lineRule="exact"/>
        <w:rPr>
          <w:sz w:val="20"/>
          <w:szCs w:val="20"/>
          <w:color w:val="auto"/>
        </w:rPr>
      </w:pPr>
    </w:p>
    <w:p>
      <w:pPr>
        <w:ind w:left="340" w:right="260" w:firstLine="218"/>
        <w:spacing w:after="0" w:line="259" w:lineRule="auto"/>
        <w:tabs>
          <w:tab w:leader="none" w:pos="8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such counsel does not know of any statutes or regulations or any pending or threatened legal or governmental proceedings required to be described in the Final Prospectus which are not described as required, nor of any material contracts or documents of a character required to be described in the Registration Statement or Final Prospectus or to be filed or incorporated as exhibits to the Registration Statement which are not described and filed or incorporated as required;</w:t>
      </w:r>
    </w:p>
    <w:p>
      <w:pPr>
        <w:spacing w:after="0" w:line="146" w:lineRule="exact"/>
        <w:rPr>
          <w:rFonts w:ascii="Arial" w:cs="Arial" w:eastAsia="Arial" w:hAnsi="Arial"/>
          <w:sz w:val="18"/>
          <w:szCs w:val="18"/>
          <w:color w:val="auto"/>
        </w:rPr>
      </w:pPr>
    </w:p>
    <w:p>
      <w:pPr>
        <w:ind w:left="340" w:right="260" w:firstLine="218"/>
        <w:spacing w:after="0" w:line="277"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129" w:lineRule="exact"/>
        <w:rPr>
          <w:rFonts w:ascii="Arial" w:cs="Arial" w:eastAsia="Arial" w:hAnsi="Arial"/>
          <w:sz w:val="18"/>
          <w:szCs w:val="18"/>
          <w:color w:val="auto"/>
        </w:rPr>
      </w:pPr>
    </w:p>
    <w:p>
      <w:pPr>
        <w:ind w:left="340" w:right="20" w:firstLine="218"/>
        <w:spacing w:after="0" w:line="290" w:lineRule="auto"/>
        <w:tabs>
          <w:tab w:leader="none" w:pos="87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execution and delivery of the Underwriting Agreement, the Notes, the Guarantee Agreement, and the execution and performance of the Indenture (the “Operative Agreements”),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139" w:lineRule="exact"/>
        <w:rPr>
          <w:rFonts w:ascii="Arial" w:cs="Arial" w:eastAsia="Arial" w:hAnsi="Arial"/>
          <w:sz w:val="16"/>
          <w:szCs w:val="16"/>
          <w:color w:val="auto"/>
        </w:rPr>
      </w:pPr>
    </w:p>
    <w:p>
      <w:pPr>
        <w:ind w:firstLine="215"/>
        <w:spacing w:after="0" w:line="302" w:lineRule="auto"/>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13" w:lineRule="exact"/>
        <w:rPr>
          <w:rFonts w:ascii="Arial" w:cs="Arial" w:eastAsia="Arial" w:hAnsi="Arial"/>
          <w:sz w:val="16"/>
          <w:szCs w:val="16"/>
          <w:color w:val="auto"/>
        </w:rPr>
      </w:pPr>
    </w:p>
    <w:p>
      <w:pPr>
        <w:ind w:right="100" w:firstLine="215"/>
        <w:spacing w:after="0" w:line="286" w:lineRule="auto"/>
        <w:tabs>
          <w:tab w:leader="none" w:pos="47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w:t>
      </w:r>
    </w:p>
    <w:p>
      <w:pPr>
        <w:spacing w:after="0" w:line="1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600" w:top="93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Statement, the Final Prospectus, any supplements to the Final Prospectus and this Agreement and that:</w:t>
      </w:r>
    </w:p>
    <w:p>
      <w:pPr>
        <w:spacing w:after="0" w:line="198" w:lineRule="exact"/>
        <w:rPr>
          <w:sz w:val="20"/>
          <w:szCs w:val="20"/>
          <w:color w:val="auto"/>
        </w:rPr>
      </w:pPr>
    </w:p>
    <w:p>
      <w:pPr>
        <w:ind w:left="340" w:right="180" w:firstLine="218"/>
        <w:spacing w:after="0" w:line="277"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129" w:lineRule="exact"/>
        <w:rPr>
          <w:rFonts w:ascii="Arial" w:cs="Arial" w:eastAsia="Arial" w:hAnsi="Arial"/>
          <w:sz w:val="18"/>
          <w:szCs w:val="18"/>
          <w:color w:val="auto"/>
        </w:rPr>
      </w:pPr>
    </w:p>
    <w:p>
      <w:pPr>
        <w:jc w:val="both"/>
        <w:ind w:left="340" w:right="480" w:firstLine="218"/>
        <w:spacing w:after="0" w:line="264" w:lineRule="auto"/>
        <w:tabs>
          <w:tab w:leader="none" w:pos="8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40" w:lineRule="exact"/>
        <w:rPr>
          <w:rFonts w:ascii="Arial" w:cs="Arial" w:eastAsia="Arial" w:hAnsi="Arial"/>
          <w:sz w:val="18"/>
          <w:szCs w:val="18"/>
          <w:color w:val="auto"/>
        </w:rPr>
      </w:pPr>
    </w:p>
    <w:p>
      <w:pPr>
        <w:ind w:left="340" w:right="360" w:firstLine="218"/>
        <w:spacing w:after="0" w:line="277" w:lineRule="auto"/>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143" w:lineRule="exact"/>
        <w:rPr>
          <w:rFonts w:ascii="Arial" w:cs="Arial" w:eastAsia="Arial" w:hAnsi="Arial"/>
          <w:sz w:val="18"/>
          <w:szCs w:val="18"/>
          <w:color w:val="auto"/>
        </w:rPr>
      </w:pPr>
    </w:p>
    <w:p>
      <w:pPr>
        <w:ind w:left="340" w:firstLine="218"/>
        <w:spacing w:after="0" w:line="279" w:lineRule="auto"/>
        <w:tabs>
          <w:tab w:leader="none" w:pos="870" w:val="left"/>
        </w:tabs>
        <w:numPr>
          <w:ilvl w:val="1"/>
          <w:numId w:val="26"/>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or incorporated by reference in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Final Prospectus (exclusive of any amendment or supplement thereto).</w:t>
      </w:r>
    </w:p>
    <w:p>
      <w:pPr>
        <w:spacing w:after="0" w:line="130" w:lineRule="exact"/>
        <w:rPr>
          <w:rFonts w:ascii="Arial" w:cs="Arial" w:eastAsia="Arial" w:hAnsi="Arial"/>
          <w:sz w:val="17"/>
          <w:szCs w:val="17"/>
          <w:color w:val="auto"/>
        </w:rPr>
      </w:pPr>
    </w:p>
    <w:p>
      <w:pPr>
        <w:ind w:right="20" w:firstLine="215"/>
        <w:spacing w:after="0" w:line="257" w:lineRule="auto"/>
        <w:tabs>
          <w:tab w:leader="none" w:pos="4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Representatives, at the Execution Time and at the Closing Date, letters (which may refer to letters previously delivered to one or more of the Representatives), dated respectively as of the Execution Time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except as provided in Schedule I hereto, that:</w:t>
      </w:r>
    </w:p>
    <w:p>
      <w:pPr>
        <w:spacing w:after="0" w:line="147" w:lineRule="exact"/>
        <w:rPr>
          <w:rFonts w:ascii="Arial" w:cs="Arial" w:eastAsia="Arial" w:hAnsi="Arial"/>
          <w:sz w:val="18"/>
          <w:szCs w:val="18"/>
          <w:color w:val="auto"/>
        </w:rPr>
      </w:pPr>
    </w:p>
    <w:p>
      <w:pPr>
        <w:ind w:left="340" w:right="80" w:firstLine="218"/>
        <w:spacing w:after="0" w:line="286" w:lineRule="auto"/>
        <w:tabs>
          <w:tab w:leader="none" w:pos="7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in their opinion the audited financial statements and financial statement schedules included or incorporated by reference in the Registration Statement and the Final Prospectus and reported on by them comply as to form in all material respects with the applicable accounting requirements of the Act and the Exchange Act and the related rules and regulations adopted by the Commission;</w:t>
      </w:r>
    </w:p>
    <w:p>
      <w:pPr>
        <w:spacing w:after="0" w:line="138" w:lineRule="exact"/>
        <w:rPr>
          <w:rFonts w:ascii="Arial" w:cs="Arial" w:eastAsia="Arial" w:hAnsi="Arial"/>
          <w:sz w:val="17"/>
          <w:szCs w:val="17"/>
          <w:color w:val="auto"/>
        </w:rPr>
      </w:pPr>
    </w:p>
    <w:p>
      <w:pPr>
        <w:ind w:left="340" w:right="360" w:firstLine="218"/>
        <w:spacing w:after="0" w:line="264" w:lineRule="auto"/>
        <w:tabs>
          <w:tab w:leader="none" w:pos="83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information included or incorporated by reference in the Registration Statement and Final Prospectus in response to Regulation S-K, Item 301 (Selected Financial Data) and Item 503(d) (Ratio of Earnings to Fixed Charges) is in conformity with the applicable disclosure requirements of Regulation S-K; and</w:t>
      </w:r>
    </w:p>
    <w:p>
      <w:pPr>
        <w:spacing w:after="0" w:line="14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00" w:top="935" w:right="299" w:bottom="1440" w:gutter="0" w:footer="0" w:header="0"/>
        </w:sectPr>
      </w:pPr>
    </w:p>
    <w:bookmarkStart w:id="23" w:name="page24"/>
    <w:bookmarkEnd w:id="23"/>
    <w:p>
      <w:pPr>
        <w:ind w:left="700" w:right="80" w:firstLine="218"/>
        <w:spacing w:after="0" w:line="272" w:lineRule="auto"/>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and the Final Prospectus and in Exhibit 12 to the Registration Statement, the information included or incorporated by reference in Items 1, 2, 6, 7 and 11 of the Company’s Annual Report on Form 10-K for the year ended December 31, 2003, incorporated by reference in the Registration Statement and the Final Prospectus, and the information included in the “Management’s Discussion and Analysis of Financial Condition and Results of Operations” agrees with the accounting records of the Company and its consolidated subsidiaries, excluding any questions of legal interpretation.</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References to the Final Prospectus in this paragraph (f) of this Section 6 include any supplement thereto at the date of the letter.</w:t>
      </w:r>
    </w:p>
    <w:p>
      <w:pPr>
        <w:spacing w:after="0" w:line="185" w:lineRule="exact"/>
        <w:rPr>
          <w:sz w:val="20"/>
          <w:szCs w:val="20"/>
          <w:color w:val="auto"/>
        </w:rPr>
      </w:pPr>
    </w:p>
    <w:p>
      <w:pPr>
        <w:ind w:left="360" w:right="100" w:firstLine="215"/>
        <w:spacing w:after="0" w:line="290" w:lineRule="auto"/>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Registration Statement (exclusive of any amendment thereof) and the Final Prospectus (exclusive of any amendment or supplement thereto), there shall not have been (i) any change or decrease specified in the letter or letters referred to in paragraph (f)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Final Prospectus (exclusive of any amendment or supplement thereto).</w:t>
      </w:r>
    </w:p>
    <w:p>
      <w:pPr>
        <w:spacing w:after="0" w:line="125" w:lineRule="exact"/>
        <w:rPr>
          <w:rFonts w:ascii="Arial" w:cs="Arial" w:eastAsia="Arial" w:hAnsi="Arial"/>
          <w:sz w:val="16"/>
          <w:szCs w:val="16"/>
          <w:color w:val="auto"/>
        </w:rPr>
      </w:pPr>
    </w:p>
    <w:p>
      <w:pPr>
        <w:ind w:left="360" w:right="60" w:firstLine="215"/>
        <w:spacing w:after="0" w:line="286" w:lineRule="auto"/>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Subsequent to the Execution Time,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138" w:lineRule="exact"/>
        <w:rPr>
          <w:rFonts w:ascii="Arial" w:cs="Arial" w:eastAsia="Arial" w:hAnsi="Arial"/>
          <w:sz w:val="17"/>
          <w:szCs w:val="17"/>
          <w:color w:val="auto"/>
        </w:rPr>
      </w:pPr>
    </w:p>
    <w:p>
      <w:pPr>
        <w:ind w:left="360" w:right="620" w:firstLine="215"/>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130"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If any of the conditions specified in this Section 6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right="220"/>
        <w:spacing w:after="0" w:line="277" w:lineRule="auto"/>
        <w:rPr>
          <w:sz w:val="20"/>
          <w:szCs w:val="20"/>
          <w:color w:val="auto"/>
        </w:rPr>
      </w:pPr>
      <w:r>
        <w:rPr>
          <w:rFonts w:ascii="Arial" w:cs="Arial" w:eastAsia="Arial" w:hAnsi="Arial"/>
          <w:sz w:val="18"/>
          <w:szCs w:val="18"/>
          <w:color w:val="auto"/>
        </w:rPr>
        <w:t>at, or at any time prior to, the Closing Date by the Representatives. Notice of such cancellation shall be given to the Company in writing or by telephone or facsimile confirmed in writing.</w:t>
      </w:r>
    </w:p>
    <w:p>
      <w:pPr>
        <w:spacing w:after="0" w:line="143"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Baker Botts L.L.P., counsel for the Company, at One Shell Plaza, 910 Louisiana Street, Houston, Texas 77002, on the Closing Date.</w:t>
      </w:r>
    </w:p>
    <w:p>
      <w:pPr>
        <w:spacing w:after="0" w:line="130" w:lineRule="exact"/>
        <w:rPr>
          <w:sz w:val="20"/>
          <w:szCs w:val="20"/>
          <w:color w:val="auto"/>
        </w:rPr>
      </w:pPr>
    </w:p>
    <w:p>
      <w:pPr>
        <w:ind w:firstLine="233"/>
        <w:spacing w:after="0" w:line="293" w:lineRule="auto"/>
        <w:tabs>
          <w:tab w:leader="none" w:pos="4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Reimbursement of Underwriters’ Expenses. If the sale of the Securities provided for herein is not consummated because any condition to the obligations of the Underwriters set forth in Section 6 hereof is not satisfied, because of any termination pursuant to Section 10 hereof (other than as a result of the occurrence of the circumstances in Section 10(ii) hereof) or because of any refusal, inability or failure on the part of the Company to perform any agreement herein or comply with any provision hereof other than by reason of a default by any of the Underwriters, the Company will reimburse the Underwriters severally through Barclays Capital Inc., Deutsche Bank Securities Inc. and J.P. Morgan Securities Inc. on demand for all out-of-pocket expenses (including reasonable fees and disbursements of counsel) that shall have been incurred by them in connection with the proposed purchase and sale of the Securities.</w:t>
      </w:r>
    </w:p>
    <w:p>
      <w:pPr>
        <w:spacing w:after="0" w:line="124" w:lineRule="exact"/>
        <w:rPr>
          <w:rFonts w:ascii="Arial" w:cs="Arial" w:eastAsia="Arial" w:hAnsi="Arial"/>
          <w:sz w:val="16"/>
          <w:szCs w:val="16"/>
          <w:color w:val="auto"/>
        </w:rPr>
      </w:pPr>
    </w:p>
    <w:p>
      <w:pPr>
        <w:ind w:firstLine="233"/>
        <w:spacing w:after="0" w:line="268" w:lineRule="auto"/>
        <w:tabs>
          <w:tab w:leader="none" w:pos="4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Indemnification and Contribution. (a) Each of the Company and Holdings, jointly and severally,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amendment thereof, or in the Basic Prospectus or the Final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160" w:lineRule="exact"/>
        <w:rPr>
          <w:rFonts w:ascii="Arial" w:cs="Arial" w:eastAsia="Arial" w:hAnsi="Arial"/>
          <w:sz w:val="17"/>
          <w:szCs w:val="17"/>
          <w:color w:val="auto"/>
        </w:rPr>
      </w:pPr>
    </w:p>
    <w:p>
      <w:pPr>
        <w:ind w:right="180" w:firstLine="458"/>
        <w:spacing w:after="0" w:line="257" w:lineRule="auto"/>
        <w:tabs>
          <w:tab w:leader="none" w:pos="7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but only with reference to written information relating to such Underwriter furnished to the Company by or on behalf of such Underwriter through the Representatives specifically for inclusion in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spacing w:after="0" w:line="255" w:lineRule="auto"/>
        <w:rPr>
          <w:sz w:val="20"/>
          <w:szCs w:val="20"/>
          <w:color w:val="auto"/>
        </w:rPr>
      </w:pPr>
      <w:r>
        <w:rPr>
          <w:rFonts w:ascii="Arial" w:cs="Arial" w:eastAsia="Arial" w:hAnsi="Arial"/>
          <w:sz w:val="18"/>
          <w:szCs w:val="18"/>
          <w:color w:val="auto"/>
        </w:rPr>
        <w:t>documents referred to in the foregoing indemnity. This indemnity agreement will be in addition to any liability which any Underwriter may otherwise have. Each of the Company and Holdings acknowledges that the statements set forth in the last paragraph of the cover page regarding delivery of the Securities and, under the heading “Underwriting”, (i) the list of Underwriters and their respective participation in the sale of the Securities, (ii) the sentences related to concessions and reallowances, (iii) the paragraph related to stabilization, syndicate covering transactions and penalty bids and (iv) the paragraph relating to internet distribution of the Securities in the Final Prospectus constitute the only information furnished in writing by or on behalf of the several Underwriters for inclusion in the Final Prospectus.</w:t>
      </w:r>
    </w:p>
    <w:p>
      <w:pPr>
        <w:spacing w:after="0" w:line="166" w:lineRule="exact"/>
        <w:rPr>
          <w:sz w:val="20"/>
          <w:szCs w:val="20"/>
          <w:color w:val="auto"/>
        </w:rPr>
      </w:pPr>
    </w:p>
    <w:p>
      <w:pPr>
        <w:ind w:right="20" w:firstLine="458"/>
        <w:spacing w:after="0" w:line="285" w:lineRule="auto"/>
        <w:tabs>
          <w:tab w:leader="none" w:pos="695" w:val="left"/>
        </w:tabs>
        <w:numPr>
          <w:ilvl w:val="1"/>
          <w:numId w:val="31"/>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w:t>
      </w:r>
    </w:p>
    <w:p>
      <w:pPr>
        <w:spacing w:after="0" w:line="2" w:lineRule="exact"/>
        <w:rPr>
          <w:rFonts w:ascii="Arial" w:cs="Arial" w:eastAsia="Arial" w:hAnsi="Arial"/>
          <w:sz w:val="16"/>
          <w:szCs w:val="16"/>
          <w:color w:val="auto"/>
        </w:rPr>
      </w:pPr>
    </w:p>
    <w:p>
      <w:pPr>
        <w:ind w:firstLine="8"/>
        <w:spacing w:after="0" w:line="266" w:lineRule="auto"/>
        <w:tabs>
          <w:tab w:leader="none" w:pos="2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counsel shall be reasonably satisfactory to the indemnified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8 to any indemnified party regarding any settlement or compromise or consent to the entry of any judgment with respect to any pending or threatened claim, action, suit or proceeding in respect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ind w:right="60"/>
        <w:spacing w:after="0" w:line="308" w:lineRule="auto"/>
        <w:rPr>
          <w:sz w:val="20"/>
          <w:szCs w:val="20"/>
          <w:color w:val="auto"/>
        </w:rPr>
      </w:pPr>
      <w:r>
        <w:rPr>
          <w:rFonts w:ascii="Arial" w:cs="Arial" w:eastAsia="Arial" w:hAnsi="Arial"/>
          <w:sz w:val="17"/>
          <w:szCs w:val="17"/>
          <w:color w:val="auto"/>
        </w:rPr>
        <w:t>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20" w:lineRule="exact"/>
        <w:rPr>
          <w:sz w:val="20"/>
          <w:szCs w:val="20"/>
          <w:color w:val="auto"/>
        </w:rPr>
      </w:pPr>
    </w:p>
    <w:p>
      <w:pPr>
        <w:ind w:firstLine="458"/>
        <w:spacing w:after="0" w:line="284"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In the event that the indemnity provided in paragraph (a) or (b) of this Section 8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“Losses”)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8,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left="-20" w:firstLine="233"/>
        <w:spacing w:after="0" w:line="287" w:lineRule="auto"/>
        <w:tabs>
          <w:tab w:leader="none" w:pos="3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Default by an Underwriter.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9, the Closing Date shall be 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41" w:lineRule="exact"/>
        <w:rPr>
          <w:rFonts w:ascii="Arial" w:cs="Arial" w:eastAsia="Arial" w:hAnsi="Arial"/>
          <w:sz w:val="16"/>
          <w:szCs w:val="16"/>
          <w:color w:val="auto"/>
        </w:rPr>
      </w:pPr>
    </w:p>
    <w:p>
      <w:pPr>
        <w:ind w:left="-20" w:right="80" w:firstLine="233"/>
        <w:spacing w:after="0" w:line="253" w:lineRule="auto"/>
        <w:tabs>
          <w:tab w:leader="none" w:pos="4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the Final Prospectus (exclusive of any amendment or supplement thereto).</w:t>
      </w:r>
    </w:p>
    <w:p>
      <w:pPr>
        <w:spacing w:after="0" w:line="156" w:lineRule="exact"/>
        <w:rPr>
          <w:rFonts w:ascii="Arial" w:cs="Arial" w:eastAsia="Arial" w:hAnsi="Arial"/>
          <w:sz w:val="18"/>
          <w:szCs w:val="18"/>
          <w:color w:val="auto"/>
        </w:rPr>
      </w:pPr>
    </w:p>
    <w:p>
      <w:pPr>
        <w:ind w:left="-20" w:firstLine="233"/>
        <w:spacing w:after="0" w:line="257" w:lineRule="auto"/>
        <w:tabs>
          <w:tab w:leader="none" w:pos="4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Representations and Indemnities to Survive.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8 hereof, and will survive delivery of and payment for the Securities. The provisions of Sections 7 and 8 hereof shall survive the termination or cancellation of this Agreement.</w:t>
      </w:r>
    </w:p>
    <w:p>
      <w:pPr>
        <w:spacing w:after="0" w:line="147" w:lineRule="exact"/>
        <w:rPr>
          <w:rFonts w:ascii="Arial" w:cs="Arial" w:eastAsia="Arial" w:hAnsi="Arial"/>
          <w:sz w:val="18"/>
          <w:szCs w:val="18"/>
          <w:color w:val="auto"/>
        </w:rPr>
      </w:pPr>
    </w:p>
    <w:p>
      <w:pPr>
        <w:ind w:left="-20" w:right="40" w:firstLine="233"/>
        <w:spacing w:after="0" w:line="277" w:lineRule="auto"/>
        <w:tabs>
          <w:tab w:leader="none" w:pos="4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Notices. All communications hereunder will be in writing and effective only on receipt, and, if sent to the Representatives, will be mailed, delivered or telefaxed to: (1) Barclays Capital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Inc., 200 Park Avenue, New York, NY 10166, Attn: Transaction Management (fax no.: 212-412-7606) with a copy to General Counsel’s Office (fax. no.: 212-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412-1494) and (2) Deutsche Bank Securities Inc., 60 Wall Street, New York, New York 10005, Attn: Debt Capital Markets (fax: 212-797 -4564) and (3) J.P.</w:t>
      </w:r>
    </w:p>
    <w:p>
      <w:pPr>
        <w:spacing w:after="0" w:line="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Morgan Securities Inc., 270 Park Avenue, 8th Floor, New York, NY 10017 Attn: Syndicate desk (fax no.: 212-834-6525); or, if sent to the Company or Holdings, will be mailed, delivered or telefaxed to the Waste Management, Inc. General Counsel (fax no.: 713-209-9710) and confirmed to it at 1001 Fannin, Suite 4000, attention of the Legal Department.</w:t>
      </w:r>
    </w:p>
    <w:p>
      <w:pPr>
        <w:spacing w:after="0" w:line="163" w:lineRule="exact"/>
        <w:rPr>
          <w:sz w:val="20"/>
          <w:szCs w:val="20"/>
          <w:color w:val="auto"/>
        </w:rPr>
      </w:pPr>
    </w:p>
    <w:p>
      <w:pPr>
        <w:ind w:right="660" w:firstLine="233"/>
        <w:spacing w:after="0" w:line="342" w:lineRule="auto"/>
        <w:tabs>
          <w:tab w:leader="none" w:pos="4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Successors.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83" w:lineRule="exact"/>
        <w:rPr>
          <w:rFonts w:ascii="Arial" w:cs="Arial" w:eastAsia="Arial" w:hAnsi="Arial"/>
          <w:sz w:val="16"/>
          <w:szCs w:val="16"/>
          <w:color w:val="auto"/>
        </w:rPr>
      </w:pPr>
    </w:p>
    <w:p>
      <w:pPr>
        <w:ind w:firstLine="233"/>
        <w:spacing w:after="0" w:line="277" w:lineRule="auto"/>
        <w:tabs>
          <w:tab w:leader="none" w:pos="4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Applicable Law. This Agreement will be governed by and construed in accordance with the laws of the State of New York applicable to contracts made and to be performed within the State of New York.</w:t>
      </w:r>
    </w:p>
    <w:p>
      <w:pPr>
        <w:spacing w:after="0" w:line="129" w:lineRule="exact"/>
        <w:rPr>
          <w:rFonts w:ascii="Arial" w:cs="Arial" w:eastAsia="Arial" w:hAnsi="Arial"/>
          <w:sz w:val="18"/>
          <w:szCs w:val="18"/>
          <w:color w:val="auto"/>
        </w:rPr>
      </w:pPr>
    </w:p>
    <w:p>
      <w:pPr>
        <w:ind w:right="320" w:firstLine="233"/>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Counterparts. This Agreement may be signed in one or more counterparts, each of which shall constitute an original and all of which together shall constitute one and the same agreement.</w:t>
      </w:r>
    </w:p>
    <w:p>
      <w:pPr>
        <w:spacing w:after="0" w:line="143" w:lineRule="exact"/>
        <w:rPr>
          <w:rFonts w:ascii="Arial" w:cs="Arial" w:eastAsia="Arial" w:hAnsi="Arial"/>
          <w:sz w:val="18"/>
          <w:szCs w:val="18"/>
          <w:color w:val="auto"/>
        </w:rPr>
      </w:pPr>
    </w:p>
    <w:p>
      <w:pPr>
        <w:ind w:left="500" w:hanging="267"/>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Headings. The section headings used herein are for convenience only and shall not affect the construction hereof.</w:t>
      </w:r>
    </w:p>
    <w:p>
      <w:pPr>
        <w:spacing w:after="0" w:line="184" w:lineRule="exact"/>
        <w:rPr>
          <w:rFonts w:ascii="Arial" w:cs="Arial" w:eastAsia="Arial" w:hAnsi="Arial"/>
          <w:sz w:val="18"/>
          <w:szCs w:val="18"/>
          <w:color w:val="auto"/>
        </w:rPr>
      </w:pPr>
    </w:p>
    <w:p>
      <w:pPr>
        <w:ind w:left="500" w:hanging="267"/>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Definitions. The terms that follow, when used in this Agreement, shall have the meanings indicated.</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198" w:lineRule="exact"/>
        <w:rPr>
          <w:sz w:val="20"/>
          <w:szCs w:val="20"/>
          <w:color w:val="auto"/>
        </w:rPr>
      </w:pPr>
    </w:p>
    <w:p>
      <w:pPr>
        <w:ind w:left="360" w:right="580" w:firstLine="225"/>
        <w:spacing w:after="0" w:line="277" w:lineRule="auto"/>
        <w:rPr>
          <w:sz w:val="20"/>
          <w:szCs w:val="20"/>
          <w:color w:val="auto"/>
        </w:rPr>
      </w:pPr>
      <w:r>
        <w:rPr>
          <w:rFonts w:ascii="Arial" w:cs="Arial" w:eastAsia="Arial" w:hAnsi="Arial"/>
          <w:sz w:val="18"/>
          <w:szCs w:val="18"/>
          <w:color w:val="auto"/>
        </w:rPr>
        <w:t>“Basic Prospectus” shall mean the prospectus referred to in paragraph 1(a) above contained in the Registration Statement at the Effective Date including any Preliminary Final Prospectus.</w:t>
      </w:r>
    </w:p>
    <w:p>
      <w:pPr>
        <w:spacing w:after="0" w:line="130" w:lineRule="exact"/>
        <w:rPr>
          <w:sz w:val="20"/>
          <w:szCs w:val="20"/>
          <w:color w:val="auto"/>
        </w:rPr>
      </w:pPr>
    </w:p>
    <w:p>
      <w:pPr>
        <w:ind w:left="360" w:right="180" w:firstLine="225"/>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198" w:lineRule="exact"/>
        <w:rPr>
          <w:sz w:val="20"/>
          <w:szCs w:val="20"/>
          <w:color w:val="auto"/>
        </w:rPr>
      </w:pPr>
    </w:p>
    <w:p>
      <w:pPr>
        <w:ind w:left="360" w:right="200" w:firstLine="225"/>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 effective.</w:t>
      </w:r>
    </w:p>
    <w:p>
      <w:pPr>
        <w:spacing w:after="0" w:line="130" w:lineRule="exact"/>
        <w:rPr>
          <w:sz w:val="20"/>
          <w:szCs w:val="20"/>
          <w:color w:val="auto"/>
        </w:rPr>
      </w:pPr>
    </w:p>
    <w:p>
      <w:pPr>
        <w:ind w:left="360" w:right="680" w:firstLine="225"/>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ind w:left="500"/>
        <w:spacing w:after="0"/>
        <w:rPr>
          <w:sz w:val="20"/>
          <w:szCs w:val="20"/>
          <w:color w:val="auto"/>
        </w:rPr>
      </w:pPr>
      <w:r>
        <w:rPr>
          <w:rFonts w:ascii="Arial" w:cs="Arial" w:eastAsia="Arial" w:hAnsi="Arial"/>
          <w:sz w:val="18"/>
          <w:szCs w:val="18"/>
          <w:color w:val="auto"/>
        </w:rPr>
        <w:t>“Execution Time” shall mean the date and time that this Agreement is executed and delivered by the parties hereto.</w:t>
      </w:r>
    </w:p>
    <w:p>
      <w:pPr>
        <w:spacing w:after="0" w:line="198" w:lineRule="exact"/>
        <w:rPr>
          <w:sz w:val="20"/>
          <w:szCs w:val="20"/>
          <w:color w:val="auto"/>
        </w:rPr>
      </w:pPr>
    </w:p>
    <w:p>
      <w:pPr>
        <w:ind w:left="280" w:right="320" w:firstLine="225"/>
        <w:spacing w:after="0" w:line="277"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Execution Time, together with the Basic Prospectus.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“1935 Act” shall mean the Public Utility Holding Company Act of 1935, as amended.</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“1940 Act” shall mean the Investment Company Act of 1940, as amended.</w:t>
      </w:r>
    </w:p>
    <w:p>
      <w:pPr>
        <w:spacing w:after="0" w:line="198" w:lineRule="exact"/>
        <w:rPr>
          <w:sz w:val="20"/>
          <w:szCs w:val="20"/>
          <w:color w:val="auto"/>
        </w:rPr>
      </w:pPr>
    </w:p>
    <w:p>
      <w:pPr>
        <w:ind w:left="280" w:firstLine="225"/>
        <w:spacing w:after="0" w:line="257"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as amended at the Execution Time (or, if not effective at the Execution Time,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430A Information deemed to be included therein at the Effective Date as provided by Rule 430A.</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“Rule 415,” “Rule 424,” “Rule 430A” and “Rule 462” refer to such rules under the Act.</w:t>
      </w:r>
    </w:p>
    <w:p>
      <w:pPr>
        <w:spacing w:after="0" w:line="185" w:lineRule="exact"/>
        <w:rPr>
          <w:sz w:val="20"/>
          <w:szCs w:val="20"/>
          <w:color w:val="auto"/>
        </w:rPr>
      </w:pPr>
    </w:p>
    <w:p>
      <w:pPr>
        <w:ind w:left="280" w:right="20" w:firstLine="225"/>
        <w:spacing w:after="0" w:line="277"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43" w:lineRule="exact"/>
        <w:rPr>
          <w:sz w:val="20"/>
          <w:szCs w:val="20"/>
          <w:color w:val="auto"/>
        </w:rPr>
      </w:pPr>
    </w:p>
    <w:p>
      <w:pPr>
        <w:ind w:left="280" w:right="220" w:firstLine="225"/>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30" w:lineRule="exact"/>
        <w:rPr>
          <w:sz w:val="20"/>
          <w:szCs w:val="20"/>
          <w:color w:val="auto"/>
        </w:rPr>
      </w:pPr>
    </w:p>
    <w:p>
      <w:pPr>
        <w:ind w:left="280" w:right="640" w:firstLine="225"/>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130" w:lineRule="exact"/>
        <w:rPr>
          <w:sz w:val="20"/>
          <w:szCs w:val="20"/>
          <w:color w:val="auto"/>
        </w:rPr>
      </w:pPr>
    </w:p>
    <w:p>
      <w:pPr>
        <w:ind w:left="-80" w:right="400" w:firstLine="233"/>
        <w:spacing w:after="0" w:line="312" w:lineRule="auto"/>
        <w:tabs>
          <w:tab w:leader="none" w:pos="4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Consent to Representation.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30" w:name="page31"/>
    <w:bookmarkEnd w:id="30"/>
    <w:p>
      <w:pPr>
        <w:ind w:right="380" w:firstLine="225"/>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foregoing Agreement is hereby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confirmed and accepted as of the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in Schedule I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DEUTSCHE BANK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510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Cherie C. Rice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-130810</wp:posOffset>
            </wp:positionV>
            <wp:extent cx="27616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Vice President &amp;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WASTE MANAGEMENT HOLDINGS,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Amanda K. Maki</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-130810</wp:posOffset>
            </wp:positionV>
            <wp:extent cx="2761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Assistant Secretary</w:t>
      </w:r>
    </w:p>
    <w:p>
      <w:pPr>
        <w:spacing w:after="0" w:line="2077" w:lineRule="exact"/>
        <w:rPr>
          <w:sz w:val="20"/>
          <w:szCs w:val="20"/>
          <w:color w:val="auto"/>
        </w:rPr>
      </w:pPr>
    </w:p>
    <w:p>
      <w:pPr>
        <w:sectPr>
          <w:pgSz w:w="11900" w:h="16838" w:orient="portrait"/>
          <w:cols w:equalWidth="0" w:num="2">
            <w:col w:w="4400" w:space="720"/>
            <w:col w:w="6300"/>
          </w:cols>
          <w:pgMar w:left="240" w:top="935" w:right="239" w:bottom="1440" w:gutter="0" w:footer="0" w:header="0"/>
          <w:type w:val="continuous"/>
        </w:sectPr>
      </w:pPr>
    </w:p>
    <w:p>
      <w:pPr>
        <w:spacing w:after="0" w:line="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BARCLAYS CAPITAL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Feinstein</w:t>
      </w:r>
    </w:p>
    <w:p>
      <w:pPr>
        <w:spacing w:after="0" w:line="23"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Stephen Feinstein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1346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w w:val="93"/>
              </w:rPr>
              <w:t>By /s/ Raymond Scott Flieger</w:t>
            </w:r>
          </w:p>
        </w:tc>
        <w:tc>
          <w:tcPr>
            <w:tcW w:w="4240" w:type="dxa"/>
            <w:vAlign w:val="bottom"/>
          </w:tcPr>
          <w:p>
            <w:pPr>
              <w:ind w:left="3880"/>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ind w:left="140"/>
              <w:spacing w:after="0"/>
              <w:rPr>
                <w:sz w:val="20"/>
                <w:szCs w:val="20"/>
                <w:color w:val="auto"/>
              </w:rPr>
            </w:pPr>
            <w:r>
              <w:rPr>
                <w:rFonts w:ascii="Arial" w:cs="Arial" w:eastAsia="Arial" w:hAnsi="Arial"/>
                <w:sz w:val="18"/>
                <w:szCs w:val="18"/>
                <w:color w:val="auto"/>
              </w:rPr>
              <w:t>/s/ Matthew J. Siracuse</w:t>
            </w:r>
          </w:p>
        </w:tc>
      </w:tr>
      <w:tr>
        <w:trPr>
          <w:trHeight w:val="20"/>
        </w:trPr>
        <w:tc>
          <w:tcPr>
            <w:tcW w:w="3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r>
      <w:tr>
        <w:trPr>
          <w:trHeight w:val="195"/>
        </w:trPr>
        <w:tc>
          <w:tcPr>
            <w:tcW w:w="2200" w:type="dxa"/>
            <w:vAlign w:val="bottom"/>
            <w:gridSpan w:val="2"/>
          </w:tcPr>
          <w:p>
            <w:pPr>
              <w:spacing w:after="0" w:line="195" w:lineRule="exact"/>
              <w:rPr>
                <w:sz w:val="20"/>
                <w:szCs w:val="20"/>
                <w:color w:val="auto"/>
              </w:rPr>
            </w:pPr>
            <w:r>
              <w:rPr>
                <w:rFonts w:ascii="Arial" w:cs="Arial" w:eastAsia="Arial" w:hAnsi="Arial"/>
                <w:sz w:val="18"/>
                <w:szCs w:val="18"/>
                <w:color w:val="auto"/>
              </w:rPr>
              <w:t>Name: Scott Flieger</w:t>
            </w:r>
          </w:p>
        </w:tc>
        <w:tc>
          <w:tcPr>
            <w:tcW w:w="9220" w:type="dxa"/>
            <w:vAlign w:val="bottom"/>
            <w:gridSpan w:val="3"/>
          </w:tcPr>
          <w:p>
            <w:pPr>
              <w:ind w:left="3880"/>
              <w:spacing w:after="0" w:line="195" w:lineRule="exact"/>
              <w:rPr>
                <w:sz w:val="20"/>
                <w:szCs w:val="20"/>
                <w:color w:val="auto"/>
              </w:rPr>
            </w:pPr>
            <w:r>
              <w:rPr>
                <w:rFonts w:ascii="Arial" w:cs="Arial" w:eastAsia="Arial" w:hAnsi="Arial"/>
                <w:sz w:val="18"/>
                <w:szCs w:val="18"/>
                <w:color w:val="auto"/>
              </w:rPr>
              <w:t>Name: Matthew J. Siracuse</w:t>
            </w: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c>
          <w:tcPr>
            <w:tcW w:w="9220" w:type="dxa"/>
            <w:vAlign w:val="bottom"/>
            <w:gridSpan w:val="3"/>
          </w:tcPr>
          <w:p>
            <w:pPr>
              <w:ind w:left="3880"/>
              <w:spacing w:after="0"/>
              <w:rPr>
                <w:sz w:val="20"/>
                <w:szCs w:val="20"/>
                <w:color w:val="auto"/>
              </w:rPr>
            </w:pPr>
            <w:r>
              <w:rPr>
                <w:rFonts w:ascii="Arial" w:cs="Arial" w:eastAsia="Arial" w:hAnsi="Arial"/>
                <w:sz w:val="18"/>
                <w:szCs w:val="18"/>
                <w:color w:val="auto"/>
              </w:rPr>
              <w:t>Title: Director/Debt Syndicate</w:t>
            </w:r>
          </w:p>
        </w:tc>
      </w:tr>
      <w:tr>
        <w:trPr>
          <w:trHeight w:val="405"/>
        </w:trPr>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40" w:type="dxa"/>
            <w:vAlign w:val="bottom"/>
          </w:tcPr>
          <w:p>
            <w:pPr>
              <w:jc w:val="right"/>
              <w:ind w:right="49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26"/>
        </w:trPr>
        <w:tc>
          <w:tcPr>
            <w:tcW w:w="32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BY:  J.P. MORGAN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Carl Mehldau</w:t>
      </w:r>
    </w:p>
    <w:p>
      <w:pPr>
        <w:spacing w:after="0" w:line="23"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Carl Mehldau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11493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any, named in Schedule II to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70"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8"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SCHEDULE I</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Underwriting Agreement dated: March 2,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333-97697</w:t>
      </w:r>
    </w:p>
    <w:p>
      <w:pPr>
        <w:sectPr>
          <w:pgSz w:w="11900" w:h="16838" w:orient="portrait"/>
          <w:cols w:equalWidth="0" w:num="1">
            <w:col w:w="11400"/>
          </w:cols>
          <w:pgMar w:left="240" w:top="931" w:right="2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84" w:lineRule="exact"/>
        <w:rPr>
          <w:sz w:val="20"/>
          <w:szCs w:val="20"/>
          <w:color w:val="auto"/>
        </w:rPr>
      </w:pPr>
    </w:p>
    <w:p>
      <w:pPr>
        <w:sectPr>
          <w:pgSz w:w="11900" w:h="16838" w:orient="portrait"/>
          <w:cols w:equalWidth="0" w:num="2">
            <w:col w:w="1480" w:space="720"/>
            <w:col w:w="9200"/>
          </w:cols>
          <w:pgMar w:left="240" w:top="931" w:right="259" w:bottom="1440" w:gutter="0" w:footer="0" w:header="0"/>
          <w:type w:val="continuous"/>
        </w:sectPr>
      </w:pPr>
    </w:p>
    <w:p>
      <w:pPr>
        <w:spacing w:after="0"/>
        <w:rPr>
          <w:sz w:val="20"/>
          <w:szCs w:val="20"/>
          <w:color w:val="auto"/>
        </w:rPr>
      </w:pPr>
      <w:r>
        <w:rPr>
          <w:rFonts w:ascii="Arial" w:cs="Arial" w:eastAsia="Arial" w:hAnsi="Arial"/>
          <w:sz w:val="18"/>
          <w:szCs w:val="18"/>
          <w:color w:val="auto"/>
        </w:rPr>
        <w:t>Title, Purchase Price and Description of Securities: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5.00% Senior Notes Due 2014</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amount: $350,000,000</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Purchase price (include accrued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or amortization, if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from March 5, 2004): 98.974%</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Sinking fund provisions: None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Redemption provisions: Make Whole Call + 15 bp</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provisions: As provided in the Indenture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Closing Date, Time and Location: March 5, 2004 at 9:00 a.m. CST at the offices of Baker Botts L.L.P., One Shell Plaza, 910 Louisiana Street, Houston, Texas 77002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Type of Offering: Non-delayed</w:t>
      </w:r>
    </w:p>
    <w:p>
      <w:pPr>
        <w:spacing w:after="0" w:line="198" w:lineRule="exact"/>
        <w:rPr>
          <w:sz w:val="20"/>
          <w:szCs w:val="20"/>
          <w:color w:val="auto"/>
        </w:rPr>
      </w:pPr>
    </w:p>
    <w:p>
      <w:pPr>
        <w:ind w:left="240" w:right="300" w:hanging="223"/>
        <w:spacing w:after="0" w:line="277" w:lineRule="auto"/>
        <w:rPr>
          <w:sz w:val="20"/>
          <w:szCs w:val="20"/>
          <w:color w:val="auto"/>
        </w:rPr>
      </w:pPr>
      <w:r>
        <w:rPr>
          <w:rFonts w:ascii="Arial" w:cs="Arial" w:eastAsia="Arial" w:hAnsi="Arial"/>
          <w:sz w:val="18"/>
          <w:szCs w:val="18"/>
          <w:color w:val="auto"/>
        </w:rPr>
        <w:t>Date referred to in Section 5(f) after which the Company may offer or sell debt securities issued or guaranteed by the Company without the consent of the Representative(s): April 2, 2004</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Modification of items to be covered by the letter from Ernst &amp; Young LLP delivered pursuant to Section 6(f) at the Execution Time: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type w:val="continuous"/>
        </w:sectPr>
      </w:pPr>
    </w:p>
    <w:bookmarkStart w:id="33" w:name="page34"/>
    <w:bookmarkEnd w:id="33"/>
    <w:tbl>
      <w:tblPr>
        <w:tblLayout w:type="fixed"/>
        <w:tblInd w:w="13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140" w:type="dxa"/>
            <w:vAlign w:val="bottom"/>
            <w:gridSpan w:val="3"/>
          </w:tcPr>
          <w:p>
            <w:pPr>
              <w:ind w:left="80"/>
              <w:spacing w:after="0"/>
              <w:rPr>
                <w:sz w:val="20"/>
                <w:szCs w:val="20"/>
                <w:color w:val="auto"/>
              </w:rPr>
            </w:pPr>
            <w:r>
              <w:rPr>
                <w:rFonts w:ascii="Arial" w:cs="Arial" w:eastAsia="Arial" w:hAnsi="Arial"/>
                <w:sz w:val="18"/>
                <w:szCs w:val="18"/>
                <w:b w:val="1"/>
                <w:bCs w:val="1"/>
                <w:color w:val="auto"/>
              </w:rPr>
              <w:t>SCHEDULE II</w:t>
            </w: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3"/>
          </w:tcPr>
          <w:p>
            <w:pPr>
              <w:ind w:left="62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of Securities</w:t>
            </w:r>
          </w:p>
        </w:tc>
        <w:tc>
          <w:tcPr>
            <w:tcW w:w="0" w:type="dxa"/>
            <w:vAlign w:val="bottom"/>
          </w:tcPr>
          <w:p>
            <w:pPr>
              <w:spacing w:after="0"/>
              <w:rPr>
                <w:sz w:val="1"/>
                <w:szCs w:val="1"/>
                <w:color w:val="auto"/>
              </w:rPr>
            </w:pPr>
          </w:p>
        </w:tc>
      </w:tr>
      <w:tr>
        <w:trPr>
          <w:trHeight w:val="186"/>
        </w:trPr>
        <w:tc>
          <w:tcPr>
            <w:tcW w:w="2460" w:type="dxa"/>
            <w:vAlign w:val="bottom"/>
            <w:gridSpan w:val="2"/>
            <w:vMerge w:val="continue"/>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4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4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Barclays Capital Inc.</w:t>
            </w:r>
          </w:p>
        </w:tc>
        <w:tc>
          <w:tcPr>
            <w:tcW w:w="2140" w:type="dxa"/>
            <w:vAlign w:val="bottom"/>
            <w:gridSpan w:val="3"/>
            <w:shd w:val="clear" w:color="auto" w:fill="EEEEEE"/>
          </w:tcPr>
          <w:p>
            <w:pPr>
              <w:ind w:left="20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93,333,000</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2140" w:type="dxa"/>
            <w:vAlign w:val="bottom"/>
            <w:gridSpan w:val="3"/>
          </w:tcPr>
          <w:p>
            <w:pPr>
              <w:ind w:left="20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93,333,000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J.P. Morgan Securities Inc.</w:t>
            </w:r>
          </w:p>
        </w:tc>
        <w:tc>
          <w:tcPr>
            <w:tcW w:w="2140" w:type="dxa"/>
            <w:vAlign w:val="bottom"/>
            <w:gridSpan w:val="3"/>
            <w:shd w:val="clear" w:color="auto" w:fill="EEEEEE"/>
          </w:tcPr>
          <w:p>
            <w:pPr>
              <w:ind w:left="20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93,333,000</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ABN AMRO Incorporated</w:t>
            </w:r>
          </w:p>
        </w:tc>
        <w:tc>
          <w:tcPr>
            <w:tcW w:w="2140" w:type="dxa"/>
            <w:vAlign w:val="bottom"/>
            <w:gridSpan w:val="3"/>
          </w:tcPr>
          <w:p>
            <w:pPr>
              <w:ind w:left="20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11,667,000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BNP Paribas Securities Corp.</w:t>
            </w:r>
          </w:p>
        </w:tc>
        <w:tc>
          <w:tcPr>
            <w:tcW w:w="2140" w:type="dxa"/>
            <w:vAlign w:val="bottom"/>
            <w:gridSpan w:val="3"/>
            <w:shd w:val="clear" w:color="auto" w:fill="EEEEEE"/>
          </w:tcPr>
          <w:p>
            <w:pPr>
              <w:ind w:left="20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11,667,000</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PNC Capital Markets, Inc.</w:t>
            </w:r>
          </w:p>
        </w:tc>
        <w:tc>
          <w:tcPr>
            <w:tcW w:w="2140" w:type="dxa"/>
            <w:vAlign w:val="bottom"/>
            <w:gridSpan w:val="3"/>
          </w:tcPr>
          <w:p>
            <w:pPr>
              <w:ind w:left="20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11,667,000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Scotia Capital (USA) Inc.</w:t>
            </w:r>
          </w:p>
        </w:tc>
        <w:tc>
          <w:tcPr>
            <w:tcW w:w="2140" w:type="dxa"/>
            <w:vAlign w:val="bottom"/>
            <w:gridSpan w:val="3"/>
            <w:shd w:val="clear" w:color="auto" w:fill="EEEEEE"/>
          </w:tcPr>
          <w:p>
            <w:pPr>
              <w:ind w:left="20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11,667,000</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9"/>
              </w:rPr>
              <w:t>SunTrust Capital Markets, Inc.</w:t>
            </w:r>
          </w:p>
        </w:tc>
        <w:tc>
          <w:tcPr>
            <w:tcW w:w="2140" w:type="dxa"/>
            <w:vAlign w:val="bottom"/>
            <w:gridSpan w:val="3"/>
          </w:tcPr>
          <w:p>
            <w:pPr>
              <w:ind w:left="20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11,667,000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w w:val="94"/>
              </w:rPr>
              <w:t>Wachovia Capital Markets, LLC.</w:t>
            </w:r>
          </w:p>
        </w:tc>
        <w:tc>
          <w:tcPr>
            <w:tcW w:w="2140" w:type="dxa"/>
            <w:vAlign w:val="bottom"/>
            <w:gridSpan w:val="3"/>
            <w:shd w:val="clear" w:color="auto" w:fill="EEEEEE"/>
          </w:tcPr>
          <w:p>
            <w:pPr>
              <w:ind w:left="20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11,666,000</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TOTAL</w:t>
            </w:r>
          </w:p>
        </w:tc>
        <w:tc>
          <w:tcPr>
            <w:tcW w:w="2140" w:type="dxa"/>
            <w:vAlign w:val="bottom"/>
            <w:gridSpan w:val="3"/>
          </w:tcPr>
          <w:p>
            <w:pPr>
              <w:ind w:left="20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350,000,000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31"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4.1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BOOK-ENTRY SECURITY</w:t>
      </w:r>
    </w:p>
    <w:p>
      <w:pPr>
        <w:spacing w:after="0" w:line="185" w:lineRule="exact"/>
        <w:rPr>
          <w:sz w:val="20"/>
          <w:szCs w:val="20"/>
          <w:color w:val="auto"/>
        </w:rPr>
      </w:pPr>
    </w:p>
    <w:p>
      <w:pPr>
        <w:ind w:right="260" w:firstLine="222"/>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3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932" w:right="239"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RGN-1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9420" w:space="720"/>
            <w:col w:w="1280"/>
          </w:cols>
          <w:pgMar w:left="240" w:top="932" w:right="239" w:bottom="1440" w:gutter="0" w:footer="0" w:header="0"/>
          <w:type w:val="continuous"/>
        </w:sectPr>
      </w:pPr>
    </w:p>
    <w:p>
      <w:pPr>
        <w:spacing w:after="0" w:line="37"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U.S. $350,000,000</w:t>
      </w:r>
    </w:p>
    <w:p>
      <w:pPr>
        <w:spacing w:after="0" w:line="211" w:lineRule="exact"/>
        <w:rPr>
          <w:sz w:val="20"/>
          <w:szCs w:val="20"/>
          <w:color w:val="auto"/>
        </w:rPr>
      </w:pPr>
    </w:p>
    <w:p>
      <w:pPr>
        <w:sectPr>
          <w:pgSz w:w="11900" w:h="16838" w:orient="portrait"/>
          <w:cols w:equalWidth="0" w:num="2">
            <w:col w:w="9340" w:space="720"/>
            <w:col w:w="1360"/>
          </w:cols>
          <w:pgMar w:left="240" w:top="932" w:right="239" w:bottom="1440" w:gutter="0" w:footer="0" w:header="0"/>
          <w:type w:val="continuous"/>
        </w:sectPr>
      </w:pP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5.00% SENIOR NOTES DUE 2014</w:t>
      </w:r>
    </w:p>
    <w:p>
      <w:pPr>
        <w:spacing w:after="0" w:line="208"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CUSIP 94106LAR0</w:t>
      </w:r>
    </w:p>
    <w:p>
      <w:pPr>
        <w:sectPr>
          <w:pgSz w:w="11900" w:h="16838" w:orient="portrait"/>
          <w:cols w:equalWidth="0" w:num="1">
            <w:col w:w="11420"/>
          </w:cols>
          <w:pgMar w:left="240" w:top="932" w:right="239" w:bottom="1440" w:gutter="0" w:footer="0" w:header="0"/>
          <w:type w:val="continuous"/>
        </w:sectPr>
      </w:pPr>
    </w:p>
    <w:p>
      <w:pPr>
        <w:spacing w:after="0" w:line="208"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Three Hundred Fifty Million ($350,000,000) U.S. dollars, or such lesser principal sum as is shown on the attached Schedule of Exchanges of Definitive Security, on March 15, 2014 in such coin or currency of the United States of America as at the time of payment shall be legal tender for the payment of public and private debts, and to pay interest at an annual rate of 5.00% payable on March 15 and September 15 of each year, to the person in whose name this Security is registered at the close of business on the record date for such interest, which shall be the preceding March 1 or September 1, respectively, payable commencing September 15, 2004, with interest consisting of interest accrued from March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type w:val="continuous"/>
        </w:sectPr>
      </w:pPr>
    </w:p>
    <w:bookmarkStart w:id="35" w:name="page36"/>
    <w:bookmarkEnd w:id="35"/>
    <w:p>
      <w:pPr>
        <w:ind w:right="280" w:firstLine="225"/>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43"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3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$350,000,000 in principal amount designated as the 5.00% Senior Notes due 2014 of the Company and is governed by the Indenture dated as of September 10, 1997, duly executed and delivered by the Company, formerly known as USA Waste Services, Inc., to JPMorgan Chase Bank as trustee (the “Trustee”), as successor to The Chase Manhattan Bank, and successor to Texas Commerce Bank National Association,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53"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54" w:lineRule="exact"/>
        <w:rPr>
          <w:sz w:val="20"/>
          <w:szCs w:val="20"/>
          <w:color w:val="auto"/>
        </w:rPr>
      </w:pPr>
    </w:p>
    <w:p>
      <w:pPr>
        <w:jc w:val="center"/>
        <w:ind w:left="400" w:right="60"/>
        <w:spacing w:after="0" w:line="481"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6" w:name="page37"/>
    <w:bookmarkEnd w:id="36"/>
    <w:p>
      <w:pPr>
        <w:ind w:right="20" w:firstLine="222"/>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Dated: March 5, 2004</w:t>
            </w: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WASTE MANAGEMENT, INC.,</w:t>
            </w:r>
          </w:p>
        </w:tc>
      </w:tr>
      <w:tr>
        <w:trPr>
          <w:trHeight w:val="230"/>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a Delaware corporation</w:t>
            </w:r>
          </w:p>
        </w:tc>
      </w:tr>
      <w:tr>
        <w:trPr>
          <w:trHeight w:val="432"/>
        </w:trPr>
        <w:tc>
          <w:tcPr>
            <w:tcW w:w="3480" w:type="dxa"/>
            <w:vAlign w:val="bottom"/>
          </w:tcPr>
          <w:p>
            <w:pPr>
              <w:spacing w:after="0"/>
              <w:rPr>
                <w:sz w:val="24"/>
                <w:szCs w:val="24"/>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w:t>
            </w: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r>
      <w:tr>
        <w:trPr>
          <w:trHeight w:val="230"/>
        </w:trPr>
        <w:tc>
          <w:tcPr>
            <w:tcW w:w="3480" w:type="dxa"/>
            <w:vAlign w:val="bottom"/>
          </w:tcPr>
          <w:p>
            <w:pPr>
              <w:spacing w:after="0"/>
              <w:rPr>
                <w:sz w:val="20"/>
                <w:szCs w:val="20"/>
                <w:color w:val="auto"/>
              </w:rPr>
            </w:pPr>
          </w:p>
        </w:tc>
        <w:tc>
          <w:tcPr>
            <w:tcW w:w="6260" w:type="dxa"/>
            <w:vAlign w:val="bottom"/>
            <w:gridSpan w:val="2"/>
          </w:tcPr>
          <w:p>
            <w:pPr>
              <w:ind w:left="2220"/>
              <w:spacing w:after="0"/>
              <w:rPr>
                <w:sz w:val="20"/>
                <w:szCs w:val="20"/>
                <w:color w:val="auto"/>
              </w:rPr>
            </w:pPr>
            <w:r>
              <w:rPr>
                <w:rFonts w:ascii="Arial" w:cs="Arial" w:eastAsia="Arial" w:hAnsi="Arial"/>
                <w:sz w:val="18"/>
                <w:szCs w:val="18"/>
                <w:color w:val="auto"/>
              </w:rPr>
              <w:t>Vice President and Treasurer</w:t>
            </w:r>
          </w:p>
        </w:tc>
      </w:tr>
      <w:tr>
        <w:trPr>
          <w:trHeight w:val="648"/>
        </w:trPr>
        <w:tc>
          <w:tcPr>
            <w:tcW w:w="3480" w:type="dxa"/>
            <w:vAlign w:val="bottom"/>
          </w:tcPr>
          <w:p>
            <w:pPr>
              <w:spacing w:after="0"/>
              <w:rPr>
                <w:sz w:val="24"/>
                <w:szCs w:val="24"/>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Attest:</w:t>
            </w:r>
          </w:p>
        </w:tc>
      </w:tr>
      <w:tr>
        <w:trPr>
          <w:trHeight w:val="432"/>
        </w:trPr>
        <w:tc>
          <w:tcPr>
            <w:tcW w:w="3480" w:type="dxa"/>
            <w:vAlign w:val="bottom"/>
          </w:tcPr>
          <w:p>
            <w:pPr>
              <w:spacing w:after="0"/>
              <w:rPr>
                <w:sz w:val="24"/>
                <w:szCs w:val="24"/>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w:t>
            </w: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J. Smith</w:t>
            </w:r>
          </w:p>
        </w:tc>
      </w:tr>
      <w:tr>
        <w:trPr>
          <w:trHeight w:val="230"/>
        </w:trPr>
        <w:tc>
          <w:tcPr>
            <w:tcW w:w="3480" w:type="dxa"/>
            <w:vAlign w:val="bottom"/>
          </w:tcPr>
          <w:p>
            <w:pPr>
              <w:spacing w:after="0"/>
              <w:rPr>
                <w:sz w:val="20"/>
                <w:szCs w:val="20"/>
                <w:color w:val="auto"/>
              </w:rPr>
            </w:pPr>
          </w:p>
        </w:tc>
        <w:tc>
          <w:tcPr>
            <w:tcW w:w="6260" w:type="dxa"/>
            <w:vAlign w:val="bottom"/>
            <w:gridSpan w:val="2"/>
          </w:tcPr>
          <w:p>
            <w:pPr>
              <w:ind w:left="2220"/>
              <w:spacing w:after="0"/>
              <w:rPr>
                <w:sz w:val="20"/>
                <w:szCs w:val="20"/>
                <w:color w:val="auto"/>
              </w:rPr>
            </w:pPr>
            <w:r>
              <w:rPr>
                <w:rFonts w:ascii="Arial" w:cs="Arial" w:eastAsia="Arial" w:hAnsi="Arial"/>
                <w:sz w:val="18"/>
                <w:szCs w:val="18"/>
                <w:color w:val="auto"/>
              </w:rPr>
              <w:t>Corporate Secretary</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Date of Authentication: March 5, 2004</w:t>
            </w:r>
          </w:p>
        </w:tc>
        <w:tc>
          <w:tcPr>
            <w:tcW w:w="5660" w:type="dxa"/>
            <w:vAlign w:val="bottom"/>
            <w:gridSpan w:val="2"/>
          </w:tcPr>
          <w:p>
            <w:pPr>
              <w:ind w:left="1280"/>
              <w:spacing w:after="0"/>
              <w:rPr>
                <w:sz w:val="20"/>
                <w:szCs w:val="20"/>
                <w:color w:val="auto"/>
              </w:rPr>
            </w:pPr>
            <w:r>
              <w:rPr>
                <w:rFonts w:ascii="Arial" w:cs="Arial" w:eastAsia="Arial" w:hAnsi="Arial"/>
                <w:sz w:val="18"/>
                <w:szCs w:val="18"/>
                <w:color w:val="auto"/>
              </w:rPr>
              <w:t>JPMORGAN CHASE BANK,</w:t>
            </w:r>
          </w:p>
        </w:tc>
        <w:tc>
          <w:tcPr>
            <w:tcW w:w="168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5660" w:type="dxa"/>
            <w:vAlign w:val="bottom"/>
            <w:gridSpan w:val="2"/>
          </w:tcPr>
          <w:p>
            <w:pPr>
              <w:ind w:left="1280"/>
              <w:spacing w:after="0"/>
              <w:rPr>
                <w:sz w:val="20"/>
                <w:szCs w:val="20"/>
                <w:color w:val="auto"/>
              </w:rPr>
            </w:pPr>
            <w:r>
              <w:rPr>
                <w:rFonts w:ascii="Arial" w:cs="Arial" w:eastAsia="Arial" w:hAnsi="Arial"/>
                <w:sz w:val="18"/>
                <w:szCs w:val="18"/>
                <w:color w:val="auto"/>
              </w:rPr>
              <w:t>as Trustee</w:t>
            </w:r>
          </w:p>
        </w:tc>
        <w:tc>
          <w:tcPr>
            <w:tcW w:w="1680" w:type="dxa"/>
            <w:vAlign w:val="bottom"/>
          </w:tcPr>
          <w:p>
            <w:pPr>
              <w:spacing w:after="0"/>
              <w:rPr>
                <w:sz w:val="20"/>
                <w:szCs w:val="20"/>
                <w:color w:val="auto"/>
              </w:rPr>
            </w:pPr>
          </w:p>
        </w:tc>
      </w:tr>
      <w:tr>
        <w:trPr>
          <w:trHeight w:val="432"/>
        </w:trPr>
        <w:tc>
          <w:tcPr>
            <w:tcW w:w="4080" w:type="dxa"/>
            <w:vAlign w:val="bottom"/>
          </w:tcPr>
          <w:p>
            <w:pPr>
              <w:spacing w:after="0"/>
              <w:rPr>
                <w:sz w:val="24"/>
                <w:szCs w:val="24"/>
                <w:color w:val="auto"/>
              </w:rPr>
            </w:pPr>
          </w:p>
        </w:tc>
        <w:tc>
          <w:tcPr>
            <w:tcW w:w="5660" w:type="dxa"/>
            <w:vAlign w:val="bottom"/>
            <w:gridSpan w:val="2"/>
          </w:tcPr>
          <w:p>
            <w:pPr>
              <w:ind w:left="1280"/>
              <w:spacing w:after="0"/>
              <w:rPr>
                <w:sz w:val="20"/>
                <w:szCs w:val="20"/>
                <w:color w:val="auto"/>
              </w:rPr>
            </w:pPr>
            <w:r>
              <w:rPr>
                <w:rFonts w:ascii="Arial" w:cs="Arial" w:eastAsia="Arial" w:hAnsi="Arial"/>
                <w:sz w:val="18"/>
                <w:szCs w:val="18"/>
                <w:color w:val="auto"/>
              </w:rPr>
              <w:t>By:</w:t>
            </w:r>
          </w:p>
        </w:tc>
        <w:tc>
          <w:tcPr>
            <w:tcW w:w="1680" w:type="dxa"/>
            <w:vAlign w:val="bottom"/>
          </w:tcPr>
          <w:p>
            <w:pPr>
              <w:spacing w:after="0"/>
              <w:rPr>
                <w:sz w:val="24"/>
                <w:szCs w:val="24"/>
                <w:color w:val="auto"/>
              </w:rPr>
            </w:pPr>
          </w:p>
        </w:tc>
      </w:tr>
      <w:tr>
        <w:trPr>
          <w:trHeight w:val="195"/>
        </w:trPr>
        <w:tc>
          <w:tcPr>
            <w:tcW w:w="4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Cary W. Gilliam</w:t>
            </w:r>
          </w:p>
        </w:tc>
        <w:tc>
          <w:tcPr>
            <w:tcW w:w="1680" w:type="dxa"/>
            <w:vAlign w:val="bottom"/>
          </w:tcPr>
          <w:p>
            <w:pPr>
              <w:spacing w:after="0"/>
              <w:rPr>
                <w:sz w:val="16"/>
                <w:szCs w:val="16"/>
                <w:color w:val="auto"/>
              </w:rPr>
            </w:pPr>
          </w:p>
        </w:tc>
      </w:tr>
      <w:tr>
        <w:trPr>
          <w:trHeight w:val="230"/>
        </w:trPr>
        <w:tc>
          <w:tcPr>
            <w:tcW w:w="4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 and Trust Officer</w:t>
            </w:r>
          </w:p>
        </w:tc>
        <w:tc>
          <w:tcPr>
            <w:tcW w:w="1680" w:type="dxa"/>
            <w:vAlign w:val="bottom"/>
          </w:tcPr>
          <w:p>
            <w:pPr>
              <w:spacing w:after="0"/>
              <w:rPr>
                <w:sz w:val="20"/>
                <w:szCs w:val="20"/>
                <w:color w:val="auto"/>
              </w:rPr>
            </w:pPr>
          </w:p>
        </w:tc>
      </w:tr>
      <w:tr>
        <w:trPr>
          <w:trHeight w:val="621"/>
        </w:trPr>
        <w:tc>
          <w:tcPr>
            <w:tcW w:w="4080" w:type="dxa"/>
            <w:vAlign w:val="bottom"/>
          </w:tcPr>
          <w:p>
            <w:pPr>
              <w:spacing w:after="0"/>
              <w:rPr>
                <w:sz w:val="24"/>
                <w:szCs w:val="24"/>
                <w:color w:val="auto"/>
              </w:rPr>
            </w:pPr>
          </w:p>
        </w:tc>
        <w:tc>
          <w:tcPr>
            <w:tcW w:w="566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40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INC.</w:t>
      </w:r>
    </w:p>
    <w:p>
      <w:pPr>
        <w:spacing w:after="0" w:line="1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5.00% SENIOR NOTES DUE 2014</w:t>
      </w:r>
    </w:p>
    <w:p>
      <w:pPr>
        <w:spacing w:after="0" w:line="185"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5.00% Senior Notes due 2014 of the Company, in initial aggregate principal amount of $350,000,000 (the “Securities”).</w:t>
      </w:r>
    </w:p>
    <w:p>
      <w:pPr>
        <w:spacing w:after="0" w:line="162"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promises to pay interest on the principal amount of this Security at the rate of 5.00% per annum.</w:t>
      </w:r>
    </w:p>
    <w:p>
      <w:pPr>
        <w:spacing w:after="0" w:line="185"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The Company will pay interest semi-annually on March 15 and September 15 of each year (each an “Interest Payment Date”), commencing September 15, 2004. Interest on the Securities will accrue from the most recent date to which interest has been paid or, if no interest has been paid on the Securities, from March 5, 2004.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5.00% per annum, in each case to the extent lawful.</w:t>
      </w:r>
    </w:p>
    <w:p>
      <w:pPr>
        <w:spacing w:after="0" w:line="13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w:t>
      </w:r>
    </w:p>
    <w:p>
      <w:pPr>
        <w:spacing w:after="0" w:line="185"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right="40"/>
        <w:spacing w:after="0" w:line="257" w:lineRule="auto"/>
        <w:rPr>
          <w:sz w:val="20"/>
          <w:szCs w:val="20"/>
          <w:color w:val="auto"/>
        </w:rPr>
      </w:pPr>
      <w:r>
        <w:rPr>
          <w:rFonts w:ascii="Arial" w:cs="Arial" w:eastAsia="Arial" w:hAnsi="Arial"/>
          <w:sz w:val="18"/>
          <w:szCs w:val="18"/>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Trustee located at 4 New York Plaza Ground Floor Window, New York, New York, 10004 or at the option of the Company, payment of interest may be made by check mailed to the Holders on the Regular Record Date or on the Special Record Date at their addresses set forth in the Security Register of Holders.</w:t>
      </w:r>
    </w:p>
    <w:p>
      <w:pPr>
        <w:spacing w:after="0" w:line="161"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w:t>
      </w:r>
    </w:p>
    <w:p>
      <w:pPr>
        <w:spacing w:after="0" w:line="185"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Initially, JPMorgan Chase Bank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4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is one of a duly authorized issue of Debt Securities of the Company issued and to be issued in one or more series under the Indenture.</w:t>
      </w:r>
    </w:p>
    <w:p>
      <w:pPr>
        <w:spacing w:after="0" w:line="196"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July 18, 2002 and January 30, 2004 (the “Resolutions”). The Securities are subject to all such terms, and Holders of Securities are referred to the Indenture, all indentures supplemental thereto, said Act and said Resolutions and Officers’ Certificate for a statement of them. The Securities of this series are general unsecured obligations of the Company limited with an initial aggregate principal amount of $350,000,000.</w:t>
      </w:r>
    </w:p>
    <w:p>
      <w:pPr>
        <w:spacing w:after="0" w:line="124"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w:t>
      </w:r>
    </w:p>
    <w:p>
      <w:pPr>
        <w:spacing w:after="0" w:line="198"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15 basis points; plus, in either case, accrued interest to the Redemption Date.</w:t>
      </w:r>
    </w:p>
    <w:p>
      <w:pPr>
        <w:spacing w:after="0" w:line="132"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Make-Whole Price and the place(s) that payment will be made upon presentation and surrender of Securities to be redeemed. Unless the Company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ind w:right="100"/>
        <w:spacing w:after="0" w:line="264" w:lineRule="auto"/>
        <w:rPr>
          <w:sz w:val="20"/>
          <w:szCs w:val="20"/>
          <w:color w:val="auto"/>
        </w:rPr>
      </w:pPr>
      <w:r>
        <w:rPr>
          <w:rFonts w:ascii="Arial" w:cs="Arial" w:eastAsia="Arial" w:hAnsi="Arial"/>
          <w:sz w:val="18"/>
          <w:szCs w:val="18"/>
          <w:color w:val="auto"/>
        </w:rPr>
        <w:t>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85"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06"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15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“Independent Investment Banker” means any of Barclays Capital Inc., Deutsche Bank Securities Inc. or J.P. Morgan Securities Inc.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14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“Comparable Treasury Price” means, with respect to any Redemption Date, (i) the bid price for the Comparable Treasury Issue (expressed as a percentage of its principal amount) at 4:00 p.m. on the third Business Day preceding such Redemption Date, as set forth on “Telerate Page 500” (or such other page as may replace Telerate Page 500), or (ii) if such page (or any successor page) is not displayed or does not contain such bid prices at such time (a) the average of the Reference Treasury Dealer Quotations obtained by the Trustee for such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153"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“Reference Treasury Dealer” means (i) each of Barclays Capital Inc., Deutsche Bank Securities Inc. and J.P. Morgan Securities Inc., or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20"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Treasury Dealer at 5:00 p.m., New York City time, on the third Business Day preceding such Redemption Date.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Securities may be redeemed in part in multiplies of $1,000 only.</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198"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r>
        <w:rPr>
          <w:rFonts w:ascii="Arial" w:cs="Arial" w:eastAsia="Arial" w:hAnsi="Arial"/>
          <w:sz w:val="18"/>
          <w:szCs w:val="18"/>
          <w:color w:val="auto"/>
        </w:rPr>
        <w:t>.</w:t>
      </w:r>
    </w:p>
    <w:p>
      <w:pPr>
        <w:spacing w:after="0" w:line="185" w:lineRule="exact"/>
        <w:rPr>
          <w:sz w:val="20"/>
          <w:szCs w:val="20"/>
          <w:color w:val="auto"/>
        </w:rPr>
      </w:pPr>
    </w:p>
    <w:p>
      <w:pPr>
        <w:ind w:right="360" w:firstLine="222"/>
        <w:spacing w:after="0" w:line="286" w:lineRule="auto"/>
        <w:rPr>
          <w:sz w:val="20"/>
          <w:szCs w:val="20"/>
          <w:color w:val="auto"/>
        </w:rPr>
      </w:pPr>
      <w:r>
        <w:rPr>
          <w:rFonts w:ascii="Arial" w:cs="Arial" w:eastAsia="Arial" w:hAnsi="Arial"/>
          <w:sz w:val="17"/>
          <w:szCs w:val="17"/>
          <w:color w:val="auto"/>
        </w:rPr>
        <w:t>The Securities are issued in registered form, without coupons, in denominations of $1,000 and integral multiples of $1,000.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25"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Person Deemed Owners</w:t>
      </w:r>
      <w:r>
        <w:rPr>
          <w:rFonts w:ascii="Arial" w:cs="Arial" w:eastAsia="Arial" w:hAnsi="Arial"/>
          <w:sz w:val="18"/>
          <w:szCs w:val="18"/>
          <w:color w:val="auto"/>
        </w:rPr>
        <w:t>.</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185"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r>
        <w:rPr>
          <w:rFonts w:ascii="Arial" w:cs="Arial" w:eastAsia="Arial" w:hAnsi="Arial"/>
          <w:sz w:val="18"/>
          <w:szCs w:val="18"/>
          <w:color w:val="auto"/>
        </w:rPr>
        <w:t>.</w:t>
      </w:r>
    </w:p>
    <w:p>
      <w:pPr>
        <w:spacing w:after="0" w:line="1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62"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w:t>
      </w:r>
    </w:p>
    <w:p>
      <w:pPr>
        <w:spacing w:after="0" w:line="185"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ind w:right="80" w:firstLine="8"/>
        <w:spacing w:after="0" w:line="290" w:lineRule="auto"/>
        <w:tabs>
          <w:tab w:leader="none" w:pos="28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39"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185"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The Trustee under the Indenture, in its individual or any other capacity, may make loans to, accept deposits from, and perform services for the Company or its Affiliates or any subsidiary of the Company’s Affiliates, and may otherwise deal with the Company or its Affiliates as if it were not the Trustee.</w:t>
      </w:r>
    </w:p>
    <w:p>
      <w:pPr>
        <w:spacing w:after="0" w:line="83"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196"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r>
        <w:rPr>
          <w:rFonts w:ascii="Arial" w:cs="Arial" w:eastAsia="Arial" w:hAnsi="Arial"/>
          <w:sz w:val="18"/>
          <w:szCs w:val="18"/>
          <w:color w:val="auto"/>
        </w:rPr>
        <w:t>.</w:t>
      </w:r>
    </w:p>
    <w:p>
      <w:pPr>
        <w:spacing w:after="0" w:line="185"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54"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w:t>
      </w:r>
    </w:p>
    <w:p>
      <w:pPr>
        <w:spacing w:after="0" w:line="185"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41"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Absolute Obligation</w:t>
      </w:r>
      <w:r>
        <w:rPr>
          <w:rFonts w:ascii="Arial" w:cs="Arial" w:eastAsia="Arial" w:hAnsi="Arial"/>
          <w:sz w:val="18"/>
          <w:szCs w:val="18"/>
          <w:color w:val="auto"/>
        </w:rPr>
        <w:t>.</w:t>
      </w:r>
    </w:p>
    <w:p>
      <w:pPr>
        <w:spacing w:after="0" w:line="198"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No Recourse</w:t>
      </w:r>
      <w:r>
        <w:rPr>
          <w:rFonts w:ascii="Arial" w:cs="Arial" w:eastAsia="Arial" w:hAnsi="Arial"/>
          <w:sz w:val="18"/>
          <w:szCs w:val="18"/>
          <w:color w:val="auto"/>
        </w:rPr>
        <w:t>.</w:t>
      </w:r>
    </w:p>
    <w:p>
      <w:pPr>
        <w:spacing w:after="0" w:line="198"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32"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3" w:name="page44"/>
    <w:bookmarkEnd w:id="43"/>
    <w:p>
      <w:pPr>
        <w:ind w:left="3420"/>
        <w:spacing w:after="0"/>
        <w:rPr>
          <w:sz w:val="20"/>
          <w:szCs w:val="20"/>
          <w:color w:val="auto"/>
        </w:rPr>
      </w:pPr>
      <w:r>
        <w:rPr>
          <w:rFonts w:ascii="Arial" w:cs="Arial" w:eastAsia="Arial" w:hAnsi="Arial"/>
          <w:sz w:val="18"/>
          <w:szCs w:val="18"/>
          <w:color w:val="auto"/>
        </w:rPr>
        <w:t>SCHEDULE OF EXCHANGES OF DEFINITIVE SECURITY</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5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5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Amount</w:t>
            </w:r>
          </w:p>
        </w:tc>
        <w:tc>
          <w:tcPr>
            <w:tcW w:w="56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decrease in</w:t>
            </w: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 in</w:t>
            </w:r>
          </w:p>
        </w:tc>
        <w:tc>
          <w:tcPr>
            <w:tcW w:w="5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this Book-Entry</w:t>
            </w:r>
          </w:p>
        </w:tc>
        <w:tc>
          <w:tcPr>
            <w:tcW w:w="5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5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Date of Exchange</w:t>
            </w:r>
          </w:p>
        </w:tc>
        <w:tc>
          <w:tcPr>
            <w:tcW w:w="5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5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such decrease</w:t>
            </w: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86"/>
        </w:trPr>
        <w:tc>
          <w:tcPr>
            <w:tcW w:w="23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5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56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(or increase)</w:t>
            </w:r>
          </w:p>
        </w:tc>
        <w:tc>
          <w:tcPr>
            <w:tcW w:w="5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r>
        <w:trPr>
          <w:trHeight w:val="53"/>
        </w:trPr>
        <w:tc>
          <w:tcPr>
            <w:tcW w:w="230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174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3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4.2</w:t>
      </w:r>
    </w:p>
    <w:p>
      <w:pPr>
        <w:spacing w:after="0" w:line="19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WASTE MANAGEMENT, INC.</w:t>
      </w:r>
    </w:p>
    <w:p>
      <w:pPr>
        <w:spacing w:after="0" w:line="18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the Vice President and Treasurer, and the Corporate Secretary of Waste Management, Inc. (the “Company”), hereby certify that:</w:t>
      </w:r>
    </w:p>
    <w:p>
      <w:pPr>
        <w:spacing w:after="0" w:line="210" w:lineRule="exact"/>
        <w:rPr>
          <w:sz w:val="20"/>
          <w:szCs w:val="20"/>
          <w:color w:val="auto"/>
        </w:rPr>
      </w:pPr>
    </w:p>
    <w:p>
      <w:pPr>
        <w:jc w:val="both"/>
        <w:ind w:left="140" w:right="300" w:firstLine="215"/>
        <w:spacing w:after="0" w:line="302" w:lineRule="auto"/>
        <w:tabs>
          <w:tab w:leader="none" w:pos="54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Certificate is delivered to JPMorgan Chase Bank, as successor to Texas Commerce Bank National Association and successor to The Chase Manhattan Bank, as trustee (the “Trustee”), pursuant to Sections 102 and 301 of the Indenture dated as of September 10, 1997 between the Company, formerly known as USA Waste Services, Inc., and the Trustee in connection with the Company Order dated March 5, 2004 (the “Order”) for the authentication and delivery by the Trustee of $350,000,000 aggregate principal amount of 5.00% Notes due 2014 (“Notes”).</w:t>
      </w:r>
    </w:p>
    <w:p>
      <w:pPr>
        <w:spacing w:after="0" w:line="113" w:lineRule="exact"/>
        <w:rPr>
          <w:rFonts w:ascii="Arial" w:cs="Arial" w:eastAsia="Arial" w:hAnsi="Arial"/>
          <w:sz w:val="16"/>
          <w:szCs w:val="16"/>
          <w:color w:val="auto"/>
        </w:rPr>
      </w:pPr>
    </w:p>
    <w:p>
      <w:pPr>
        <w:ind w:left="540" w:hanging="185"/>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84" w:lineRule="exact"/>
        <w:rPr>
          <w:rFonts w:ascii="Arial" w:cs="Arial" w:eastAsia="Arial" w:hAnsi="Arial"/>
          <w:sz w:val="18"/>
          <w:szCs w:val="18"/>
          <w:color w:val="auto"/>
        </w:rPr>
      </w:pPr>
    </w:p>
    <w:p>
      <w:pPr>
        <w:ind w:left="140" w:right="20" w:firstLine="215"/>
        <w:spacing w:after="0" w:line="342" w:lineRule="auto"/>
        <w:tabs>
          <w:tab w:leader="none" w:pos="54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96" w:lineRule="exact"/>
        <w:rPr>
          <w:rFonts w:ascii="Arial" w:cs="Arial" w:eastAsia="Arial" w:hAnsi="Arial"/>
          <w:sz w:val="16"/>
          <w:szCs w:val="16"/>
          <w:color w:val="auto"/>
        </w:rPr>
      </w:pPr>
    </w:p>
    <w:p>
      <w:pPr>
        <w:ind w:left="540" w:hanging="185"/>
        <w:spacing w:after="0"/>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examined the covenants, conditions and provisions of the Indenture relating thereto.</w:t>
      </w:r>
    </w:p>
    <w:p>
      <w:pPr>
        <w:spacing w:after="0" w:line="207" w:lineRule="exact"/>
        <w:rPr>
          <w:rFonts w:ascii="Arial" w:cs="Arial" w:eastAsia="Arial" w:hAnsi="Arial"/>
          <w:sz w:val="16"/>
          <w:szCs w:val="16"/>
          <w:color w:val="auto"/>
        </w:rPr>
      </w:pPr>
    </w:p>
    <w:p>
      <w:pPr>
        <w:ind w:left="140" w:right="20" w:firstLine="215"/>
        <w:spacing w:after="0" w:line="308" w:lineRule="auto"/>
        <w:tabs>
          <w:tab w:leader="none" w:pos="545"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106" w:lineRule="exact"/>
        <w:rPr>
          <w:rFonts w:ascii="Arial" w:cs="Arial" w:eastAsia="Arial" w:hAnsi="Arial"/>
          <w:sz w:val="17"/>
          <w:szCs w:val="17"/>
          <w:color w:val="auto"/>
        </w:rPr>
      </w:pPr>
    </w:p>
    <w:p>
      <w:pPr>
        <w:ind w:left="140" w:right="160" w:firstLine="215"/>
        <w:spacing w:after="0" w:line="308" w:lineRule="auto"/>
        <w:tabs>
          <w:tab w:leader="none" w:pos="54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conditions precedent provided in the Indenture to the authentication by the Trustee of $350,000,000 aggregate principal amount of Notes have been complied with, and such Debt Securities may be delivered in accordance with the Order as provided in the Indenture.</w:t>
      </w:r>
    </w:p>
    <w:p>
      <w:pPr>
        <w:spacing w:after="0" w:line="119" w:lineRule="exact"/>
        <w:rPr>
          <w:rFonts w:ascii="Arial" w:cs="Arial" w:eastAsia="Arial" w:hAnsi="Arial"/>
          <w:sz w:val="17"/>
          <w:szCs w:val="17"/>
          <w:color w:val="auto"/>
        </w:rPr>
      </w:pPr>
    </w:p>
    <w:p>
      <w:pPr>
        <w:ind w:left="140" w:right="340" w:firstLine="215"/>
        <w:spacing w:after="0" w:line="264" w:lineRule="auto"/>
        <w:tabs>
          <w:tab w:leader="none" w:pos="5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of the Notes (including the Form of Note) as set forth in Annex A to this Officers’ Certificate have been approved by officers of the Company as duly authorized by resolutions of the Board of Directors of the Company as of July 18, 2002 and January 30, 2004 and such resolutions, copies of which are attached hereto as Annex B, are in full force and effect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370840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1"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IN WITNESS WHEREOF, the undersigned has hereunto executed this Certificate as of March 5, 2004.</w:t>
      </w: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Cherie C. Rice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-130810</wp:posOffset>
            </wp:positionV>
            <wp:extent cx="268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Linda J. Smith</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-130810</wp:posOffset>
            </wp:positionV>
            <wp:extent cx="2684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535305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i w:val="1"/>
          <w:iCs w:val="1"/>
          <w:color w:val="auto"/>
        </w:rPr>
        <w:t>Annex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18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Pursuant to authority granted by the Board of Directors of the Company on July 18, 2002 and January 30, 2004, the Company has approved the establishment, issuance, execution and delivery of a new series of Securities (as defined in the Indenture) to be issued under the Indenture dated as of September 10, 1997 (the “Indenture”), between the Company, formerly known as USA Waste Services, Inc., and JPMorgan Chase Bank, as successor to The Chase Manhattan Bank, and successor to Texas Commerce Bank, National Association, as trustee (the “Trustee”), the terms of which are set forth below. Capitalized terms used but not defined herein are used herein as defined in the Indenture.</w:t>
      </w:r>
    </w:p>
    <w:p>
      <w:pPr>
        <w:spacing w:after="0" w:line="173" w:lineRule="exact"/>
        <w:rPr>
          <w:sz w:val="20"/>
          <w:szCs w:val="20"/>
          <w:color w:val="auto"/>
        </w:rPr>
      </w:pPr>
    </w:p>
    <w:p>
      <w:pPr>
        <w:ind w:left="800" w:hanging="454"/>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the series of Securities shall be “5.00% Senior Notes due 2014” (the “Notes”).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ind w:left="800" w:right="120" w:hanging="454"/>
        <w:spacing w:after="0" w:line="302" w:lineRule="auto"/>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$350,000,000 (except for Notes authenticated and delivered upon registration of transfer of, or in exchange for, or in lieu of, other Notes pursuant to Section 304, 305, 306, 907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4" w:lineRule="exact"/>
        <w:rPr>
          <w:rFonts w:ascii="Arial" w:cs="Arial" w:eastAsia="Arial" w:hAnsi="Arial"/>
          <w:sz w:val="16"/>
          <w:szCs w:val="16"/>
          <w:color w:val="auto"/>
        </w:rPr>
      </w:pPr>
    </w:p>
    <w:p>
      <w:pPr>
        <w:ind w:left="800" w:hanging="454"/>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March 15, 2014.</w:t>
      </w:r>
    </w:p>
    <w:p>
      <w:pPr>
        <w:spacing w:after="0" w:line="225" w:lineRule="exact"/>
        <w:rPr>
          <w:rFonts w:ascii="Arial" w:cs="Arial" w:eastAsia="Arial" w:hAnsi="Arial"/>
          <w:sz w:val="18"/>
          <w:szCs w:val="18"/>
          <w:color w:val="auto"/>
        </w:rPr>
      </w:pPr>
    </w:p>
    <w:p>
      <w:pPr>
        <w:ind w:left="800" w:right="100" w:hanging="454"/>
        <w:spacing w:after="0" w:line="257"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Note shall bear interest from March 5, 2004 at the fixed rate of 5.00% per annum; the Interest Payment Dates on which such interest shall be payable shall be March 15 and September 15, of each year, commencing September 15, 2004,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188" w:lineRule="exact"/>
        <w:rPr>
          <w:rFonts w:ascii="Arial" w:cs="Arial" w:eastAsia="Arial" w:hAnsi="Arial"/>
          <w:sz w:val="18"/>
          <w:szCs w:val="18"/>
          <w:color w:val="auto"/>
        </w:rPr>
      </w:pPr>
    </w:p>
    <w:p>
      <w:pPr>
        <w:ind w:left="800" w:right="340" w:hanging="454"/>
        <w:spacing w:after="0" w:line="259"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ind w:left="454" w:hanging="454"/>
        <w:spacing w:after="0" w:line="259" w:lineRule="auto"/>
        <w:tabs>
          <w:tab w:leader="none" w:pos="4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6" w:lineRule="exact"/>
        <w:rPr>
          <w:rFonts w:ascii="Arial" w:cs="Arial" w:eastAsia="Arial" w:hAnsi="Arial"/>
          <w:sz w:val="18"/>
          <w:szCs w:val="18"/>
          <w:color w:val="auto"/>
        </w:rPr>
      </w:pPr>
    </w:p>
    <w:p>
      <w:pPr>
        <w:ind w:left="454" w:right="100" w:hanging="454"/>
        <w:spacing w:after="0" w:line="255" w:lineRule="auto"/>
        <w:tabs>
          <w:tab w:leader="none" w:pos="4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(as defined in the Note)) discounted to the Redemption Date on a semiannual basis (assuming a 360 day year consisting of twelve 30-day months) at the applicable Treasury Yield (as defined in the Notes) plus 15 basis points; plus, in either case, accrued interest to the Redemption Date.</w:t>
      </w:r>
    </w:p>
    <w:p>
      <w:pPr>
        <w:spacing w:after="0" w:line="193" w:lineRule="exact"/>
        <w:rPr>
          <w:rFonts w:ascii="Arial" w:cs="Arial" w:eastAsia="Arial" w:hAnsi="Arial"/>
          <w:sz w:val="18"/>
          <w:szCs w:val="18"/>
          <w:color w:val="auto"/>
        </w:rPr>
      </w:pPr>
    </w:p>
    <w:p>
      <w:pPr>
        <w:ind w:left="454" w:right="180" w:hanging="454"/>
        <w:spacing w:after="0" w:line="277" w:lineRule="auto"/>
        <w:tabs>
          <w:tab w:leader="none" w:pos="4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454" w:right="640" w:hanging="454"/>
        <w:spacing w:after="0" w:line="277" w:lineRule="auto"/>
        <w:tabs>
          <w:tab w:leader="none" w:pos="4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454" w:hanging="454"/>
        <w:spacing w:after="0"/>
        <w:tabs>
          <w:tab w:leader="none" w:pos="4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454" w:hanging="454"/>
        <w:spacing w:after="0"/>
        <w:tabs>
          <w:tab w:leader="none" w:pos="4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serve initially as Security Registrar for the Notes.</w:t>
      </w:r>
    </w:p>
    <w:p>
      <w:pPr>
        <w:spacing w:after="0" w:line="225" w:lineRule="exact"/>
        <w:rPr>
          <w:rFonts w:ascii="Arial" w:cs="Arial" w:eastAsia="Arial" w:hAnsi="Arial"/>
          <w:sz w:val="18"/>
          <w:szCs w:val="18"/>
          <w:color w:val="auto"/>
        </w:rPr>
      </w:pPr>
    </w:p>
    <w:p>
      <w:pPr>
        <w:ind w:left="454" w:hanging="454"/>
        <w:spacing w:after="0"/>
        <w:tabs>
          <w:tab w:leader="none" w:pos="4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ind w:left="454" w:right="180" w:hanging="454"/>
        <w:spacing w:after="0" w:line="257" w:lineRule="auto"/>
        <w:tabs>
          <w:tab w:leader="none" w:pos="4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wholly-owned subsidiary, Waste Management Holdings, Inc. (“Holdings”) pursuant to a guarantee agreement dated March 5, 2004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401320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4"/>
          </w:cols>
          <w:pgMar w:left="586" w:top="936"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TERMS OF NOTES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i w:val="1"/>
          <w:iCs w:val="1"/>
          <w:color w:val="auto"/>
        </w:rPr>
        <w:t>Annex 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Board of Directors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July 18, 2002 Resolution</w:t>
      </w:r>
    </w:p>
    <w:p>
      <w:pPr>
        <w:spacing w:after="0" w:line="185"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WHEREAS, the Company has previously filed with the Securities and Exchange Commission (the “SEC”) a universal shelf registration statement which registered the offer and sale by the Company of up to an aggregate of $3 billion of senior and subordinated debt and common stock;</w:t>
      </w:r>
    </w:p>
    <w:p>
      <w:pPr>
        <w:spacing w:after="0" w:line="120"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WHEREAS, the Company desires, and finds it in the best interest of the Company, to file a new universal shelf registration statement, and pursuant to Rule 429 under the Securities Act of 1933, as amended (the “Securities Act”) carry forward the amount of securities remaining under the Company’s current universal shelf registration statement on Form S-3 (Registration Statement No. 333-80063) to the new registration statement.</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BE IT</w:t>
      </w:r>
    </w:p>
    <w:p>
      <w:pPr>
        <w:spacing w:after="0" w:line="185"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RESOLVED, that the Company is hereby authorized to prepare and file with the SEC a “Universal Shelf” Registration Statement on Form S-3 (the “Shelf Registration Statement”), pursuant to the Securities Act and Rule 415 thereunder, which Shelf Registration Statement may cover, among other things, unsecured senior or subordinated debentures, notes or other evidences of indebtedness of the Company (collectively, the “Debt Securities”) and shares of common stock, $.01 par value, of the Company (the “Common Stock” and together with the Debt Securities, the “Securities”), which may be issued from time to time at the discretion of any of the proper officers (as established pursuant to these resolutions), to be offered from time to time by the Company, the initial offering prices of which Securities shall not exceed the amount of Securities remaining available for issuance under the Company’s Registration Statement No. 333-80063 on the date of filing the Shelf Registration Statement with the SEC;</w:t>
      </w:r>
    </w:p>
    <w:p>
      <w:pPr>
        <w:spacing w:after="0" w:line="151"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RESOLVED, FURTHER, that the proper officers be, and each of them hereby is, authorized, in the name and on behalf of the Company, to execute and cause to be filed with the SEC any and all amendments (including, without limitation, post-effective amendments) or supplements to the Shelf Registration Statement and any prospectus included therein and any additional documents which any such officer may deem necessary or desirable with respect to the registration and offering of the Securities, including, without limitation, registration statements filed pursuant to Rule 462 of the Securities Act relating to up to such additional amount of Securities as may be provided for in such Rule 462 (such additional registration statements shall be deemed to be a part of the Shelf Registration Statement for purposes of these resolutions), and such amendments, supplements, registration statements and documents to be in such form as the officer executing the same may approve, as conclusively evidenced by his execution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right="40" w:firstLine="225"/>
        <w:spacing w:after="0" w:line="312" w:lineRule="auto"/>
        <w:rPr>
          <w:sz w:val="20"/>
          <w:szCs w:val="20"/>
          <w:color w:val="auto"/>
        </w:rPr>
      </w:pPr>
      <w:r>
        <w:rPr>
          <w:rFonts w:ascii="Arial" w:cs="Arial" w:eastAsia="Arial" w:hAnsi="Arial"/>
          <w:sz w:val="16"/>
          <w:szCs w:val="16"/>
          <w:color w:val="auto"/>
        </w:rPr>
        <w:t>RESOLVED, FURTHER, that David P. Steiner be, and he hereby is, designated and appointed the agent for service of process on the Company under the Securities Act in connection with the Shelf Registration Statement and any and all amendments (including, without limitation, post-effective amendments and registration statements filed pursuant to Rule 462 of the Securities Act) and supplements thereto, with all the powers incident to such appointment;</w:t>
      </w:r>
    </w:p>
    <w:p>
      <w:pPr>
        <w:spacing w:after="0" w:line="120" w:lineRule="exact"/>
        <w:rPr>
          <w:sz w:val="20"/>
          <w:szCs w:val="20"/>
          <w:color w:val="auto"/>
        </w:rPr>
      </w:pPr>
    </w:p>
    <w:p>
      <w:pPr>
        <w:jc w:val="both"/>
        <w:ind w:right="100" w:firstLine="225"/>
        <w:spacing w:after="0" w:line="293" w:lineRule="auto"/>
        <w:rPr>
          <w:sz w:val="20"/>
          <w:szCs w:val="20"/>
          <w:color w:val="auto"/>
        </w:rPr>
      </w:pPr>
      <w:r>
        <w:rPr>
          <w:rFonts w:ascii="Arial" w:cs="Arial" w:eastAsia="Arial" w:hAnsi="Arial"/>
          <w:sz w:val="16"/>
          <w:szCs w:val="16"/>
          <w:color w:val="auto"/>
        </w:rPr>
        <w:t>RESOLVED, FURTHER, that the proper officers be and hereby are authorized and directed in the name and on behalf of the 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2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RESOLVED, FURTHER, that the form of any additional resolutions required in connection with the appropriate qualification or registration 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148"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RESOLVED, FURTHER, that any of the proper officers, together with the other officers or employees the proper officers may designate, either orally or in writing, be, and each of them hereby is, authorized to approve at any time and from time to time, one or more forms of underwriting agreement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39"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RESOLVED, FURTHER, that any of the proper officers be, and each of them hereby is, authorized, at any time and from time to time, on behalf of the Company, (i)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spacing w:after="0" w:line="297" w:lineRule="auto"/>
        <w:rPr>
          <w:sz w:val="20"/>
          <w:szCs w:val="20"/>
          <w:color w:val="auto"/>
        </w:rPr>
      </w:pPr>
      <w:r>
        <w:rPr>
          <w:rFonts w:ascii="Arial" w:cs="Arial" w:eastAsia="Arial" w:hAnsi="Arial"/>
          <w:sz w:val="16"/>
          <w:szCs w:val="16"/>
          <w:color w:val="auto"/>
        </w:rPr>
        <w:t>determine, within any limits that may be set by the Board of Directors, the number of shares of Common Stock, preferred stock or other equity securities to be offered and sold by the Company pursuant to the Shelf Registration Statement, including any shares underlying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Shelf Registration Statement and the applicable purchase agreement, which action could be taken or which things could be done by the Board of Directors of the Company;</w:t>
      </w:r>
    </w:p>
    <w:p>
      <w:pPr>
        <w:spacing w:after="0" w:line="13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RESOLVED, FURTHER, that any of the proper officers may, at any time and from time to time, on behalf of the Company, authorize the issuance of one 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48"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RESOLVED, FURTHER, that, in connection with any such series of Securities (but without limiting the authority hereinafter in these resolutions 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118" w:lineRule="exact"/>
        <w:rPr>
          <w:sz w:val="20"/>
          <w:szCs w:val="20"/>
          <w:color w:val="auto"/>
        </w:rPr>
      </w:pPr>
    </w:p>
    <w:p>
      <w:pPr>
        <w:jc w:val="both"/>
        <w:ind w:right="220" w:firstLine="225"/>
        <w:spacing w:after="0" w:line="312" w:lineRule="auto"/>
        <w:rPr>
          <w:sz w:val="20"/>
          <w:szCs w:val="20"/>
          <w:color w:val="auto"/>
        </w:rPr>
      </w:pPr>
      <w:r>
        <w:rPr>
          <w:rFonts w:ascii="Arial" w:cs="Arial" w:eastAsia="Arial" w:hAnsi="Arial"/>
          <w:sz w:val="16"/>
          <w:szCs w:val="16"/>
          <w:color w:val="auto"/>
        </w:rPr>
        <w:t>RESOLVED, FURTHER, that, in connection with the issuance of Securities of any series which may not be originally issued at one time (except as may 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120"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RESOLVED, FURTHER, that, in connection with any such series of Securities, any of the proper officers is authorized to approve any amendment, 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106"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RESOLVED, FURTHER, that the proper officers, together with any other officer or employee as any proper officer may designate, either orally or in writing, be, and each of them hereby is, authorized, in the name and on behalf of the Company, to execute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jc w:val="both"/>
        <w:ind w:right="340"/>
        <w:spacing w:after="0" w:line="286" w:lineRule="auto"/>
        <w:rPr>
          <w:sz w:val="20"/>
          <w:szCs w:val="20"/>
          <w:color w:val="auto"/>
        </w:rPr>
      </w:pPr>
      <w:r>
        <w:rPr>
          <w:rFonts w:ascii="Arial" w:cs="Arial" w:eastAsia="Arial" w:hAnsi="Arial"/>
          <w:sz w:val="17"/>
          <w:szCs w:val="17"/>
          <w:color w:val="auto"/>
        </w:rPr>
        <w:t>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39"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RESOLVED, FURTHER, that the proper officers be, and each of them hereby is, authorized, subject to and in accordance with the Company’s indentures 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3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RESOLVED, FURTHER, that the proper officers be, and each of them hereby is, authorized, in the name and on behalf of the Company, to make application to such securities exchange or exchanges as the officers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applications,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3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RESOLVED, FURTHER, that the proper officers be, and each of them hereby is, authorized, in the name and on behalf of the Company, to make application to the SEC for registration of any series of the Securities under Section 12 or other applicable section of the Securities Exchange Act of 1934, and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61"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RESOLVED, FURTHER, that the officers of the Company be, and each of them hereby is, authorized to take, or cause to be taken, any and all action which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ind w:right="60"/>
        <w:spacing w:after="0" w:line="257" w:lineRule="auto"/>
        <w:rPr>
          <w:sz w:val="20"/>
          <w:szCs w:val="20"/>
          <w:color w:val="auto"/>
        </w:rPr>
      </w:pPr>
      <w:r>
        <w:rPr>
          <w:rFonts w:ascii="Arial" w:cs="Arial" w:eastAsia="Arial" w:hAnsi="Arial"/>
          <w:sz w:val="18"/>
          <w:szCs w:val="18"/>
          <w:color w:val="auto"/>
        </w:rPr>
        <w:t>officer may deem necessary or desirable in order to carry out the purpose and intent of the foregoing resolutions or in order to perform, or cause to be performed, the obligations of the Company under the Securities and any Shelf Indenture, purchase agreement, Shelf Registration Statement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w:t>
      </w:r>
    </w:p>
    <w:p>
      <w:pPr>
        <w:spacing w:after="0" w:line="161"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RESOLVED, FURTHER, that for purposes of these resolutions, the term “proper officer” shall mean any or all of the Chief Executive Officer, any Executive Vice President, the Chief Financial Officer, the Senior Vice President, General Counsel and Secretary, the Vice President and Controller and the Vice President and Treasurer of the Company;</w:t>
      </w:r>
    </w:p>
    <w:p>
      <w:pPr>
        <w:spacing w:after="0" w:line="14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RESOLVED, FURTHER, that the form of any additional resolutions required in connection with the foregoing resolutions be and hereby is approved and 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13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RESOLVED, FURTHER, that any officer of the Company is hereby authorized and directed to make, provide, execute, and deliver any and all 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30, 2004 Resolution</w:t>
      </w:r>
    </w:p>
    <w:p>
      <w:pPr>
        <w:spacing w:after="0" w:line="181" w:lineRule="exact"/>
        <w:rPr>
          <w:sz w:val="20"/>
          <w:szCs w:val="20"/>
          <w:color w:val="auto"/>
        </w:rPr>
      </w:pPr>
    </w:p>
    <w:p>
      <w:pPr>
        <w:ind w:left="360" w:right="4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by unanimous written consent dated July 18, 2002, the Board of Directors approved the offering and sale by the Company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up to an aggregate of approximately $1.8 billion of senior and subordinated debt and common and preferred stock (the “Shelf Offering”), together with all other actions necessary to effect the Shelf Offering, including the filing of a Universal Shelf Registration Statement on Form S-3 (the “Universal Shelf”); and</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 this time, the Company desires to issue up to $350 million of debt securities off of the Universal Shelf and so advise the Board;</w:t>
      </w:r>
    </w:p>
    <w:p>
      <w:pPr>
        <w:spacing w:after="0" w:line="210" w:lineRule="exact"/>
        <w:rPr>
          <w:sz w:val="20"/>
          <w:szCs w:val="20"/>
          <w:color w:val="auto"/>
        </w:rPr>
      </w:pPr>
    </w:p>
    <w:p>
      <w:pPr>
        <w:ind w:left="360" w:right="60" w:firstLine="225"/>
        <w:spacing w:after="0" w:line="282" w:lineRule="auto"/>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the Board confirms that the Chief Executive Officer, the Chief Financial Officer, the Treasurer,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the Company (the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4" w:name="page55"/>
    <w:bookmarkEnd w:id="54"/>
    <w:p>
      <w:pPr>
        <w:ind w:right="100"/>
        <w:spacing w:after="0" w:line="277" w:lineRule="auto"/>
        <w:rPr>
          <w:sz w:val="20"/>
          <w:szCs w:val="20"/>
          <w:color w:val="auto"/>
        </w:rPr>
      </w:pPr>
      <w:r>
        <w:rPr>
          <w:rFonts w:ascii="Arial" w:cs="Arial" w:eastAsia="Arial" w:hAnsi="Arial"/>
          <w:sz w:val="18"/>
          <w:szCs w:val="18"/>
          <w:color w:val="auto"/>
        </w:rPr>
        <w:t>be, and each of them hereby is, authorized, for and on behalf of the Company, to issue up to $350 million of debt securities, in such form and upon such terms and conditions as the Authorized Officers deem appropriate; and</w:t>
      </w:r>
    </w:p>
    <w:p>
      <w:pPr>
        <w:spacing w:after="0" w:line="13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Authorized Officers of the Company be, and each of them hereby is, authorized and empowered, for and on behalf</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to take or cause to be taken any and all such actions and to enter into, execute and deliver any and all such acknowledgments, agreements, certificates, contracts, indentures, instruments, notices, statements, powers of attorney and other documents, or to effect any filings, registrations, qualifications or applications with any and all appropriate regulatory authorities, including the Securities and Exchange Commission, any applicable state securities commission or agency, the New York Stock Exchange and any credit rating agency, as may be required or as any such Authorized Officer may deem necessary, advisable or appropriate to effectuate and carry out the transactions contemplated by, and the purposes and intent of, the foregoing resolution; all such actions to be performed in such manner and all such acknowledgments, agreements, certificates, contracts, indentures, instruments, notices, statements, powers of attorney and documents to be executed and delivered in such form as the officer performing or executing the same shall approve, such officer’s performance or execution and delivery thereof to be conclusive evidence of such approval and the approval thereof by this Board of Directors; and</w:t>
      </w:r>
    </w:p>
    <w:p>
      <w:pPr>
        <w:spacing w:after="0" w:line="137" w:lineRule="exact"/>
        <w:rPr>
          <w:sz w:val="20"/>
          <w:szCs w:val="20"/>
          <w:color w:val="auto"/>
        </w:rPr>
      </w:pPr>
    </w:p>
    <w:p>
      <w:pPr>
        <w:ind w:right="60" w:firstLine="225"/>
        <w:spacing w:after="0" w:line="28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form of any additional resolutions required in connection with the borrowings of funds described above be, and</w:t>
      </w:r>
      <w:r>
        <w:rPr>
          <w:rFonts w:ascii="Arial" w:cs="Arial" w:eastAsia="Arial" w:hAnsi="Arial"/>
          <w:sz w:val="17"/>
          <w:szCs w:val="17"/>
          <w:b w:val="1"/>
          <w:bCs w:val="1"/>
          <w:color w:val="auto"/>
        </w:rPr>
        <w:t xml:space="preserve"> </w:t>
      </w:r>
      <w:r>
        <w:rPr>
          <w:rFonts w:ascii="Arial" w:cs="Arial" w:eastAsia="Arial" w:hAnsi="Arial"/>
          <w:sz w:val="17"/>
          <w:szCs w:val="17"/>
          <w:color w:val="auto"/>
        </w:rPr>
        <w:t>hereby is, approved and adopted, provided the Authorized Officers, on the advice of counsel, consider the adoption thereof necessary or advisable, in which case the Secretary of the Company is hereby directed to insert as an appendix hereto a copy of such resolutions, which shall thereupon be deemed to have been adopted by this Board of Directors with the same force and effect as if set out verbatim herein; and</w:t>
      </w:r>
    </w:p>
    <w:p>
      <w:pPr>
        <w:spacing w:after="0" w:line="124"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 xml:space="preserve">RESOLVED FURTHER, </w:t>
      </w:r>
      <w:r>
        <w:rPr>
          <w:rFonts w:ascii="Arial" w:cs="Arial" w:eastAsia="Arial" w:hAnsi="Arial"/>
          <w:sz w:val="17"/>
          <w:szCs w:val="17"/>
          <w:color w:val="auto"/>
        </w:rPr>
        <w:t>that the Secretary and any Assistant Secretary of the Company be, and each of them hereby is, authorized and empowered,</w:t>
      </w:r>
      <w:r>
        <w:rPr>
          <w:rFonts w:ascii="Arial" w:cs="Arial" w:eastAsia="Arial" w:hAnsi="Arial"/>
          <w:sz w:val="17"/>
          <w:szCs w:val="17"/>
          <w:b w:val="1"/>
          <w:bCs w:val="1"/>
          <w:color w:val="auto"/>
        </w:rPr>
        <w:t xml:space="preserve"> </w:t>
      </w:r>
      <w:r>
        <w:rPr>
          <w:rFonts w:ascii="Arial" w:cs="Arial" w:eastAsia="Arial" w:hAnsi="Arial"/>
          <w:sz w:val="17"/>
          <w:szCs w:val="17"/>
          <w:color w:val="auto"/>
        </w:rPr>
        <w:t>for and on behalf of the Company, to certify and attest any documents that such Secretary or any such Assistant Secretary may deem necessary, advisable or appropriate to consummate the transactions contemplated by the documents heretofore authorized and approved, provided that such attestation shall not be required for the due authorization, execution and delivery or validity of the particular document; and</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the authority granted to the Authorized Officers of the Company under the foregoing resolutions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401320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36" w:right="279" w:bottom="1440" w:gutter="0" w:footer="0" w:header="0"/>
        </w:sectPr>
      </w:pPr>
    </w:p>
    <w:bookmarkStart w:id="55" w:name="page56"/>
    <w:bookmarkEnd w:id="55"/>
    <w:p>
      <w:pPr>
        <w:spacing w:after="0" w:line="302" w:lineRule="auto"/>
        <w:rPr>
          <w:sz w:val="20"/>
          <w:szCs w:val="20"/>
          <w:color w:val="auto"/>
        </w:rPr>
      </w:pPr>
      <w:r>
        <w:rPr>
          <w:rFonts w:ascii="Arial" w:cs="Arial" w:eastAsia="Arial" w:hAnsi="Arial"/>
          <w:sz w:val="16"/>
          <w:szCs w:val="16"/>
          <w:color w:val="auto"/>
        </w:rPr>
        <w:t>be deemed to include, in the case of each such resolution the authority to perform such further acts and deeds for and on behalf of the Company as may be necessary, advisable or appropriate, in the judgment of any such officer, to carry out the transactions contemplated thereby, and all acts and deeds previously performed by any of the officers or counsel to the Company prior to the date hereof that are within the authority conferred by the foregoing resolutions be, and each of them hereby is, approved, ratified and confirmed in all respects as the authorized acts and deeds of the Company.</w:t>
      </w:r>
    </w:p>
    <w:p>
      <w:pPr>
        <w:sectPr>
          <w:pgSz w:w="11900" w:h="16838" w:orient="portrait"/>
          <w:cols w:equalWidth="0" w:num="1">
            <w:col w:w="10880"/>
          </w:cols>
          <w:pgMar w:left="600" w:top="935" w:right="4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4.3</w:t>
      </w:r>
    </w:p>
    <w:p>
      <w:pPr>
        <w:spacing w:after="0" w:line="20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GUARANTEE</w:t>
      </w:r>
    </w:p>
    <w:p>
      <w:pPr>
        <w:spacing w:after="0" w:line="18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 WASTE MANAGEMENT HOLDINGS,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Favor of the Holders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 Certain Debt Securities of</w:t>
      </w:r>
    </w:p>
    <w:p>
      <w:pPr>
        <w:spacing w:after="0" w:line="1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$350,000,000</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5.00% Senior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57" w:name="page58"/>
    <w:bookmarkEnd w:id="57"/>
    <w:p>
      <w:pPr>
        <w:ind w:right="60" w:firstLine="225"/>
        <w:spacing w:after="0" w:line="308" w:lineRule="auto"/>
        <w:rPr>
          <w:sz w:val="20"/>
          <w:szCs w:val="20"/>
          <w:color w:val="auto"/>
        </w:rPr>
      </w:pPr>
      <w:r>
        <w:rPr>
          <w:rFonts w:ascii="Arial" w:cs="Arial" w:eastAsia="Arial" w:hAnsi="Arial"/>
          <w:sz w:val="17"/>
          <w:szCs w:val="17"/>
          <w:color w:val="auto"/>
        </w:rPr>
        <w:t>GUARANTEE, dated as of March 5, 2004, made by Waste Management Holdings, Inc., a Delaware corporation (the “Guarantor”), in favor of the holders of the $350 million 5.00% Senior Notes due 2014 (the “Debt Securities”) of Waste Management, Inc., a Delaware corporation (the “Issuer”).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WITNESSETH:</w:t>
      </w:r>
    </w:p>
    <w:p>
      <w:pPr>
        <w:spacing w:after="0" w:line="185"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SECTION 1. Guarantee. (a)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JPMorgan Chase Bank, as successor to Texas Commerce Bank National Association and successor to The Chase Manhattan Bank, as trustee (the “Trustee”).</w:t>
      </w:r>
    </w:p>
    <w:p>
      <w:pPr>
        <w:spacing w:after="0" w:line="148" w:lineRule="exact"/>
        <w:rPr>
          <w:sz w:val="20"/>
          <w:szCs w:val="20"/>
          <w:color w:val="auto"/>
        </w:rPr>
      </w:pPr>
    </w:p>
    <w:p>
      <w:pPr>
        <w:ind w:right="140" w:firstLine="458"/>
        <w:spacing w:after="0" w:line="293"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Obligations of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38" w:lineRule="exact"/>
        <w:rPr>
          <w:sz w:val="20"/>
          <w:szCs w:val="20"/>
          <w:color w:val="auto"/>
        </w:rPr>
      </w:pPr>
    </w:p>
    <w:p>
      <w:pPr>
        <w:ind w:right="520" w:firstLine="225"/>
        <w:spacing w:after="0" w:line="312" w:lineRule="auto"/>
        <w:rPr>
          <w:sz w:val="20"/>
          <w:szCs w:val="20"/>
          <w:color w:val="auto"/>
        </w:rPr>
      </w:pPr>
      <w:r>
        <w:rPr>
          <w:rFonts w:ascii="Arial" w:cs="Arial" w:eastAsia="Arial" w:hAnsi="Arial"/>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06" w:lineRule="exact"/>
        <w:rPr>
          <w:sz w:val="20"/>
          <w:szCs w:val="20"/>
          <w:color w:val="auto"/>
        </w:rPr>
      </w:pPr>
    </w:p>
    <w:p>
      <w:pPr>
        <w:ind w:left="800" w:hanging="225"/>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or any other agreement or instrument relating thereto;</w:t>
      </w:r>
    </w:p>
    <w:p>
      <w:pPr>
        <w:spacing w:after="0" w:line="184" w:lineRule="exact"/>
        <w:rPr>
          <w:rFonts w:ascii="Arial" w:cs="Arial" w:eastAsia="Arial" w:hAnsi="Arial"/>
          <w:sz w:val="18"/>
          <w:szCs w:val="18"/>
          <w:color w:val="auto"/>
        </w:rPr>
      </w:pPr>
    </w:p>
    <w:p>
      <w:pPr>
        <w:ind w:left="360" w:firstLine="215"/>
        <w:spacing w:after="0" w:line="277" w:lineRule="auto"/>
        <w:tabs>
          <w:tab w:leader="none" w:pos="8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43" w:lineRule="exact"/>
        <w:rPr>
          <w:rFonts w:ascii="Arial" w:cs="Arial" w:eastAsia="Arial" w:hAnsi="Arial"/>
          <w:sz w:val="18"/>
          <w:szCs w:val="18"/>
          <w:color w:val="auto"/>
        </w:rPr>
      </w:pPr>
    </w:p>
    <w:p>
      <w:pPr>
        <w:ind w:left="360" w:right="500" w:firstLine="21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129" w:lineRule="exact"/>
        <w:rPr>
          <w:rFonts w:ascii="Arial" w:cs="Arial" w:eastAsia="Arial" w:hAnsi="Arial"/>
          <w:sz w:val="18"/>
          <w:szCs w:val="18"/>
          <w:color w:val="auto"/>
        </w:rPr>
      </w:pPr>
    </w:p>
    <w:p>
      <w:pPr>
        <w:ind w:left="880" w:hanging="305"/>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8" w:name="page59"/>
    <w:bookmarkEnd w:id="58"/>
    <w:p>
      <w:pPr>
        <w:ind w:right="520" w:firstLine="225"/>
        <w:spacing w:after="0" w:line="264" w:lineRule="auto"/>
        <w:rPr>
          <w:sz w:val="20"/>
          <w:szCs w:val="20"/>
          <w:color w:val="auto"/>
        </w:rPr>
      </w:pPr>
      <w:r>
        <w:rPr>
          <w:rFonts w:ascii="Arial" w:cs="Arial" w:eastAsia="Arial" w:hAnsi="Arial"/>
          <w:sz w:val="18"/>
          <w:szCs w:val="18"/>
          <w:color w:val="auto"/>
        </w:rPr>
        <w:t xml:space="preserve">SECTION 3. Subordination.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54"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SECTION 4. Waiver; Subrogation (a) To the extent permitted by applicable law,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1" w:lineRule="exact"/>
        <w:rPr>
          <w:sz w:val="20"/>
          <w:szCs w:val="20"/>
          <w:color w:val="auto"/>
        </w:rPr>
      </w:pPr>
    </w:p>
    <w:p>
      <w:pPr>
        <w:ind w:right="60" w:firstLine="458"/>
        <w:spacing w:after="0" w:line="312" w:lineRule="auto"/>
        <w:tabs>
          <w:tab w:leader="none" w:pos="70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06"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39"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of the guarantee by the Guarantor by (1) the banks under the Revolving Credit Agreement dated June 29, 2001, by and among the Issuer, the Guarantor (as guarantor), Fleet National Bank, as administrative agent, Bank of America, N.A. and J. P. Morgan Securities Inc. and Banc of America Securities LLC, as joint lead arrangers and joint book managers, (or under any amendment thereto or any replacement or new principal credit facility of the Issuer) and (2) the banks under the Revolving Credit Agreement dated June 27, 2002, by and among the Issuer, the Guarantor (as guarantor), Fleet National Bank, as administrative agent, Bank of America, N.A. and JPMorgan Chase Bank, J.P. Morgan Securities Inc. and Banc of America Securities LLC, as joint lead arrangers and joint book managers, (or under any amendment thereto or any replacement or new principal credit facility of the Issuer), (ii) be binding upon the Guarantor, its successors and assigns, and (iii) inure to the benefit of and be enforceable by any holder of Debt Securities, the Trustee, and by their respective successors, transferees, and assigns.</w:t>
      </w:r>
    </w:p>
    <w:p>
      <w:pPr>
        <w:spacing w:after="0" w:line="142"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9" w:name="page60"/>
    <w:bookmarkEnd w:id="59"/>
    <w:p>
      <w:pPr>
        <w:jc w:val="both"/>
        <w:ind w:firstLine="225"/>
        <w:spacing w:after="0" w:line="264" w:lineRule="auto"/>
        <w:rPr>
          <w:sz w:val="20"/>
          <w:szCs w:val="20"/>
          <w:color w:val="auto"/>
        </w:rPr>
      </w:pPr>
      <w:r>
        <w:rPr>
          <w:rFonts w:ascii="Arial" w:cs="Arial" w:eastAsia="Arial" w:hAnsi="Arial"/>
          <w:sz w:val="18"/>
          <w:szCs w:val="18"/>
          <w:color w:val="auto"/>
        </w:rPr>
        <w:t>SECTION 8. Amendment.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54"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SECTION 9. Governing Law. THIS GUARANTEE SHALL BE GOVERNED BY, AND CONSTRUED IN ACCORDANCE WITH THE LAWS OF THE STATE OF NEW YORK, WITHOUT REGARD TO THE PROVISIONS THEREOF RELATING TO CONFLICT OF LAWS.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5" w:right="439" w:bottom="1440" w:gutter="0" w:footer="0" w:header="0"/>
        </w:sectPr>
      </w:pPr>
    </w:p>
    <w:bookmarkStart w:id="60" w:name="page61"/>
    <w:bookmarkEnd w:id="60"/>
    <w:p>
      <w:pPr>
        <w:ind w:firstLine="225"/>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Ronald H. Jones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Ronald 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and Treasurer</w:t>
      </w: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sectPr>
      <w:pgSz w:w="11900" w:h="16838" w:orient="portrait"/>
      <w:cols w:equalWidth="0" w:num="1">
        <w:col w:w="11120"/>
      </w:cols>
      <w:pgMar w:left="240" w:top="93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lowerLetter"/>
      <w:start w:val="3"/>
    </w:lvl>
    <w:lvl w:ilvl="1">
      <w:lvlJc w:val="left"/>
      <w:lvlText w:val="%2"/>
      <w:numFmt w:val="decimal"/>
      <w:start w:val="1"/>
    </w:lvl>
  </w:abstractNum>
  <w:abstractNum w:abstractNumId="1">
    <w:nsid w:val="1E7FF521"/>
    <w:multiLevelType w:val="hybridMultilevel"/>
    <w:lvl w:ilvl="0">
      <w:lvlJc w:val="left"/>
      <w:lvlText w:val="1"/>
      <w:numFmt w:val="bullet"/>
      <w:start w:val="1"/>
    </w:lvl>
  </w:abstractNum>
  <w:abstractNum w:abstractNumId="2">
    <w:nsid w:val="7C3DBD3D"/>
    <w:multiLevelType w:val="hybridMultilevel"/>
    <w:lvl w:ilvl="0">
      <w:lvlJc w:val="left"/>
      <w:lvlText w:val="%1."/>
      <w:numFmt w:val="decimal"/>
      <w:start w:val="1"/>
    </w:lvl>
    <w:lvl w:ilvl="1">
      <w:lvlJc w:val="left"/>
      <w:lvlText w:val="(%2)"/>
      <w:numFmt w:val="lowerLetter"/>
      <w:start w:val="1"/>
    </w:lvl>
  </w:abstractNum>
  <w:abstractNum w:abstractNumId="3">
    <w:nsid w:val="737B8DDC"/>
    <w:multiLevelType w:val="hybridMultilevel"/>
    <w:lvl w:ilvl="0">
      <w:lvlJc w:val="left"/>
      <w:lvlText w:val="(%1)"/>
      <w:numFmt w:val="lowerLetter"/>
      <w:start w:val="2"/>
    </w:lvl>
  </w:abstractNum>
  <w:abstractNum w:abstractNumId="4">
    <w:nsid w:val="6CEAF087"/>
    <w:multiLevelType w:val="hybridMultilevel"/>
    <w:lvl w:ilvl="0">
      <w:lvlJc w:val="left"/>
      <w:lvlText w:val="(%1)"/>
      <w:numFmt w:val="lowerLetter"/>
      <w:start w:val="5"/>
    </w:lvl>
  </w:abstractNum>
  <w:abstractNum w:abstractNumId="5">
    <w:nsid w:val="22221A70"/>
    <w:multiLevelType w:val="hybridMultilevel"/>
    <w:lvl w:ilvl="0">
      <w:lvlJc w:val="left"/>
      <w:lvlText w:val="(%1)"/>
      <w:numFmt w:val="lowerLetter"/>
      <w:start w:val="9"/>
    </w:lvl>
  </w:abstractNum>
  <w:abstractNum w:abstractNumId="6">
    <w:nsid w:val="4516DDE9"/>
    <w:multiLevelType w:val="hybridMultilevel"/>
    <w:lvl w:ilvl="0">
      <w:lvlJc w:val="left"/>
      <w:lvlText w:val="(%1)"/>
      <w:numFmt w:val="lowerLetter"/>
      <w:start w:val="13"/>
    </w:lvl>
  </w:abstractNum>
  <w:abstractNum w:abstractNumId="7">
    <w:nsid w:val="3006C83E"/>
    <w:multiLevelType w:val="hybridMultilevel"/>
    <w:lvl w:ilvl="0">
      <w:lvlJc w:val="left"/>
      <w:lvlText w:val="%1"/>
      <w:numFmt w:val="lowerLetter"/>
      <w:start w:val="1"/>
    </w:lvl>
    <w:lvl w:ilvl="1">
      <w:lvlJc w:val="left"/>
      <w:lvlText w:val="(%2)"/>
      <w:numFmt w:val="lowerLetter"/>
      <w:start w:val="20"/>
    </w:lvl>
  </w:abstractNum>
  <w:abstractNum w:abstractNumId="8">
    <w:nsid w:val="614FD4A1"/>
    <w:multiLevelType w:val="hybridMultilevel"/>
    <w:lvl w:ilvl="0">
      <w:lvlJc w:val="left"/>
      <w:lvlText w:val="(%1)"/>
      <w:numFmt w:val="lowerLetter"/>
      <w:start w:val="61"/>
    </w:lvl>
    <w:lvl w:ilvl="1">
      <w:lvlJc w:val="left"/>
      <w:lvlText w:val="(%2)"/>
      <w:numFmt w:val="lowerLetter"/>
      <w:start w:val="21"/>
    </w:lvl>
  </w:abstractNum>
  <w:abstractNum w:abstractNumId="9">
    <w:nsid w:val="419AC241"/>
    <w:multiLevelType w:val="hybridMultilevel"/>
    <w:lvl w:ilvl="0">
      <w:lvlJc w:val="left"/>
      <w:lvlText w:val="(%1)"/>
      <w:numFmt w:val="lowerLetter"/>
      <w:start w:val="26"/>
    </w:lvl>
  </w:abstractNum>
  <w:abstractNum w:abstractNumId="10">
    <w:nsid w:val="5577F8E1"/>
    <w:multiLevelType w:val="hybridMultilevel"/>
    <w:lvl w:ilvl="0">
      <w:lvlJc w:val="left"/>
      <w:lvlText w:val="(%1)"/>
      <w:numFmt w:val="lowerLetter"/>
      <w:start w:val="27"/>
    </w:lvl>
  </w:abstractNum>
  <w:abstractNum w:abstractNumId="11">
    <w:nsid w:val="440BADFC"/>
    <w:multiLevelType w:val="hybridMultilevel"/>
    <w:lvl w:ilvl="0">
      <w:lvlJc w:val="left"/>
      <w:lvlText w:val="%1"/>
      <w:numFmt w:val="lowerLetter"/>
      <w:start w:val="1"/>
    </w:lvl>
    <w:lvl w:ilvl="1">
      <w:lvlJc w:val="left"/>
      <w:lvlText w:val="(%2)"/>
      <w:numFmt w:val="lowerLetter"/>
      <w:start w:val="30"/>
    </w:lvl>
  </w:abstractNum>
  <w:abstractNum w:abstractNumId="12">
    <w:nsid w:val="5072367"/>
    <w:multiLevelType w:val="hybridMultilevel"/>
    <w:lvl w:ilvl="0">
      <w:lvlJc w:val="left"/>
      <w:lvlText w:val="(%1)"/>
      <w:numFmt w:val="lowerLetter"/>
      <w:start w:val="9"/>
    </w:lvl>
    <w:lvl w:ilvl="1">
      <w:lvlJc w:val="left"/>
      <w:lvlText w:val="(%2)"/>
      <w:numFmt w:val="lowerLetter"/>
      <w:start w:val="31"/>
    </w:lvl>
  </w:abstractNum>
  <w:abstractNum w:abstractNumId="13">
    <w:nsid w:val="3804823E"/>
    <w:multiLevelType w:val="hybridMultilevel"/>
    <w:lvl w:ilvl="0">
      <w:lvlJc w:val="left"/>
      <w:lvlText w:val="(%1)"/>
      <w:numFmt w:val="lowerLetter"/>
      <w:start w:val="34"/>
    </w:lvl>
  </w:abstractNum>
  <w:abstractNum w:abstractNumId="14">
    <w:nsid w:val="77465F01"/>
    <w:multiLevelType w:val="hybridMultilevel"/>
    <w:lvl w:ilvl="0">
      <w:lvlJc w:val="left"/>
      <w:lvlText w:val="(%1)"/>
      <w:numFmt w:val="lowerLetter"/>
      <w:start w:val="40"/>
    </w:lvl>
  </w:abstractNum>
  <w:abstractNum w:abstractNumId="15">
    <w:nsid w:val="7724C67E"/>
    <w:multiLevelType w:val="hybridMultilevel"/>
    <w:lvl w:ilvl="0">
      <w:lvlJc w:val="left"/>
      <w:lvlText w:val="%1."/>
      <w:numFmt w:val="decimal"/>
      <w:start w:val="2"/>
    </w:lvl>
    <w:lvl w:ilvl="1">
      <w:lvlJc w:val="left"/>
      <w:lvlText w:val="(%2)"/>
      <w:numFmt w:val="lowerLetter"/>
      <w:start w:val="1"/>
    </w:lvl>
  </w:abstractNum>
  <w:abstractNum w:abstractNumId="16">
    <w:nsid w:val="5C482A97"/>
    <w:multiLevelType w:val="hybridMultilevel"/>
    <w:lvl w:ilvl="0">
      <w:lvlJc w:val="left"/>
      <w:lvlText w:val="%1"/>
      <w:numFmt w:val="decimal"/>
      <w:start w:val="1"/>
    </w:lvl>
    <w:lvl w:ilvl="1">
      <w:lvlJc w:val="left"/>
      <w:lvlText w:val="(%2)"/>
      <w:numFmt w:val="lowerLetter"/>
      <w:start w:val="2"/>
    </w:lvl>
  </w:abstractNum>
  <w:abstractNum w:abstractNumId="17">
    <w:nsid w:val="2463B9EA"/>
    <w:multiLevelType w:val="hybridMultilevel"/>
    <w:lvl w:ilvl="0">
      <w:lvlJc w:val="left"/>
      <w:lvlText w:val="(%1)"/>
      <w:numFmt w:val="decimal"/>
      <w:start w:val="1"/>
    </w:lvl>
    <w:lvl w:ilvl="1">
      <w:lvlJc w:val="left"/>
      <w:lvlText w:val="(%2)"/>
      <w:numFmt w:val="lowerLetter"/>
      <w:start w:val="3"/>
    </w:lvl>
  </w:abstractNum>
  <w:abstractNum w:abstractNumId="18">
    <w:nsid w:val="5E884AD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9">
    <w:nsid w:val="51EAD36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
    <w:nsid w:val="2D517796"/>
    <w:multiLevelType w:val="hybridMultilevel"/>
    <w:lvl w:ilvl="0">
      <w:lvlJc w:val="left"/>
      <w:lvlText w:val="(%1)"/>
      <w:numFmt w:val="lowerRoman"/>
      <w:start w:val="3"/>
    </w:lvl>
  </w:abstractNum>
  <w:abstractNum w:abstractNumId="21">
    <w:nsid w:val="580BD78F"/>
    <w:multiLevelType w:val="hybridMultilevel"/>
    <w:lvl w:ilvl="0">
      <w:lvlJc w:val="left"/>
      <w:lvlText w:val="(%1)"/>
      <w:numFmt w:val="lowerRoman"/>
      <w:start w:val="9"/>
    </w:lvl>
  </w:abstractNum>
  <w:abstractNum w:abstractNumId="22">
    <w:nsid w:val="153EA438"/>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23">
    <w:nsid w:val="3855585C"/>
    <w:multiLevelType w:val="hybridMultilevel"/>
    <w:lvl w:ilvl="0">
      <w:lvlJc w:val="left"/>
      <w:lvlText w:val="%1"/>
      <w:numFmt w:val="lowerLetter"/>
      <w:start w:val="1"/>
    </w:lvl>
    <w:lvl w:ilvl="1">
      <w:lvlJc w:val="left"/>
      <w:lvlText w:val="(%2)"/>
      <w:numFmt w:val="lowerRoman"/>
      <w:start w:val="4"/>
    </w:lvl>
  </w:abstractNum>
  <w:abstractNum w:abstractNumId="24">
    <w:nsid w:val="70A64E2A"/>
    <w:multiLevelType w:val="hybridMultilevel"/>
    <w:lvl w:ilvl="0">
      <w:lvlJc w:val="left"/>
      <w:lvlText w:val="(%1)"/>
      <w:numFmt w:val="lowerLetter"/>
      <w:start w:val="4"/>
    </w:lvl>
    <w:lvl w:ilvl="1">
      <w:lvlJc w:val="left"/>
      <w:lvlText w:val="%2"/>
      <w:numFmt w:val="lowerRoman"/>
      <w:start w:val="1"/>
    </w:lvl>
  </w:abstractNum>
  <w:abstractNum w:abstractNumId="25">
    <w:nsid w:val="6A2342EC"/>
    <w:multiLevelType w:val="hybridMultilevel"/>
    <w:lvl w:ilvl="0">
      <w:lvlJc w:val="left"/>
      <w:lvlText w:val="%1"/>
      <w:numFmt w:val="lowerLetter"/>
      <w:start w:val="1"/>
    </w:lvl>
    <w:lvl w:ilvl="1">
      <w:lvlJc w:val="left"/>
      <w:lvlText w:val="(%2)"/>
      <w:numFmt w:val="lowerRoman"/>
      <w:start w:val="1"/>
    </w:lvl>
  </w:abstractNum>
  <w:abstractNum w:abstractNumId="26">
    <w:nsid w:val="2A487CB0"/>
    <w:multiLevelType w:val="hybridMultilevel"/>
    <w:lvl w:ilvl="0">
      <w:lvlJc w:val="left"/>
      <w:lvlText w:val="(%1)"/>
      <w:numFmt w:val="lowerLetter"/>
      <w:start w:val="6"/>
    </w:lvl>
    <w:lvl w:ilvl="1">
      <w:lvlJc w:val="left"/>
      <w:lvlText w:val="(%2)"/>
      <w:numFmt w:val="lowerRoman"/>
      <w:start w:val="1"/>
    </w:lvl>
  </w:abstractNum>
  <w:abstractNum w:abstractNumId="27">
    <w:nsid w:val="1D4ED43B"/>
    <w:multiLevelType w:val="hybridMultilevel"/>
    <w:lvl w:ilvl="0">
      <w:lvlJc w:val="left"/>
      <w:lvlText w:val="(%1)"/>
      <w:numFmt w:val="lowerRoman"/>
      <w:start w:val="3"/>
    </w:lvl>
  </w:abstractNum>
  <w:abstractNum w:abstractNumId="28">
    <w:nsid w:val="725A06FB"/>
    <w:multiLevelType w:val="hybridMultilevel"/>
    <w:lvl w:ilvl="0">
      <w:lvlJc w:val="left"/>
      <w:lvlText w:val="(%1)"/>
      <w:numFmt w:val="lowerLetter"/>
      <w:start w:val="7"/>
    </w:lvl>
  </w:abstractNum>
  <w:abstractNum w:abstractNumId="29">
    <w:nsid w:val="2CD89A32"/>
    <w:multiLevelType w:val="hybridMultilevel"/>
    <w:lvl w:ilvl="0">
      <w:lvlJc w:val="left"/>
      <w:lvlText w:val="%1."/>
      <w:numFmt w:val="decimal"/>
      <w:start w:val="7"/>
    </w:lvl>
    <w:lvl w:ilvl="1">
      <w:lvlJc w:val="left"/>
      <w:lvlText w:val="(%2)"/>
      <w:numFmt w:val="lowerLetter"/>
      <w:start w:val="2"/>
    </w:lvl>
  </w:abstractNum>
  <w:abstractNum w:abstractNumId="30">
    <w:nsid w:val="57E4CCAF"/>
    <w:multiLevelType w:val="hybridMultilevel"/>
    <w:lvl w:ilvl="0">
      <w:lvlJc w:val="left"/>
      <w:lvlText w:val="%1"/>
      <w:numFmt w:val="lowerLetter"/>
      <w:start w:val="1"/>
    </w:lvl>
    <w:lvl w:ilvl="1">
      <w:lvlJc w:val="left"/>
      <w:lvlText w:val="(%2)"/>
      <w:numFmt w:val="lowerLetter"/>
      <w:start w:val="3"/>
    </w:lvl>
  </w:abstractNum>
  <w:abstractNum w:abstractNumId="31">
    <w:nsid w:val="7A6D8D3C"/>
    <w:multiLevelType w:val="hybridMultilevel"/>
    <w:lvl w:ilvl="0">
      <w:lvlJc w:val="left"/>
      <w:lvlText w:val="(%1)"/>
      <w:numFmt w:val="lowerLetter"/>
      <w:start w:val="2"/>
    </w:lvl>
    <w:lvl w:ilvl="1">
      <w:lvlJc w:val="left"/>
      <w:lvlText w:val="%2"/>
      <w:numFmt w:val="lowerLetter"/>
      <w:start w:val="1"/>
    </w:lvl>
  </w:abstractNum>
  <w:abstractNum w:abstractNumId="32">
    <w:nsid w:val="4B588F54"/>
    <w:multiLevelType w:val="hybridMultilevel"/>
    <w:lvl w:ilvl="0">
      <w:lvlJc w:val="left"/>
      <w:lvlText w:val="(%1)"/>
      <w:numFmt w:val="lowerLetter"/>
      <w:start w:val="4"/>
    </w:lvl>
  </w:abstractNum>
  <w:abstractNum w:abstractNumId="33">
    <w:nsid w:val="542289EC"/>
    <w:multiLevelType w:val="hybridMultilevel"/>
    <w:lvl w:ilvl="0">
      <w:lvlJc w:val="left"/>
      <w:lvlText w:val="%1."/>
      <w:numFmt w:val="decimal"/>
      <w:start w:val="9"/>
    </w:lvl>
  </w:abstractNum>
  <w:abstractNum w:abstractNumId="34">
    <w:nsid w:val="6DE91B18"/>
    <w:multiLevelType w:val="hybridMultilevel"/>
    <w:lvl w:ilvl="0">
      <w:lvlJc w:val="left"/>
      <w:lvlText w:val="%1."/>
      <w:numFmt w:val="decimal"/>
      <w:start w:val="13"/>
    </w:lvl>
  </w:abstractNum>
  <w:abstractNum w:abstractNumId="35">
    <w:nsid w:val="38437FDB"/>
    <w:multiLevelType w:val="hybridMultilevel"/>
    <w:lvl w:ilvl="0">
      <w:lvlJc w:val="left"/>
      <w:lvlText w:val="%1."/>
      <w:numFmt w:val="decimal"/>
      <w:start w:val="18"/>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2"/>
    </w:lvl>
  </w:abstractNum>
  <w:abstractNum w:abstractNumId="38">
    <w:nsid w:val="684A481A"/>
    <w:multiLevelType w:val="hybridMultilevel"/>
    <w:lvl w:ilvl="0">
      <w:lvlJc w:val="left"/>
      <w:lvlText w:val="%1."/>
      <w:numFmt w:val="decimal"/>
      <w:start w:val="3"/>
    </w:lvl>
  </w:abstractNum>
  <w:abstractNum w:abstractNumId="39">
    <w:nsid w:val="579478FE"/>
    <w:multiLevelType w:val="hybridMultilevel"/>
    <w:lvl w:ilvl="0">
      <w:lvlJc w:val="left"/>
      <w:lvlText w:val="%1."/>
      <w:numFmt w:val="decimal"/>
      <w:start w:val="4"/>
    </w:lvl>
  </w:abstractNum>
  <w:abstractNum w:abstractNumId="40">
    <w:nsid w:val="749ABB43"/>
    <w:multiLevelType w:val="hybridMultilevel"/>
    <w:lvl w:ilvl="0">
      <w:lvlJc w:val="left"/>
      <w:lvlText w:val="%1."/>
      <w:numFmt w:val="decimal"/>
      <w:start w:val="5"/>
    </w:lvl>
  </w:abstractNum>
  <w:abstractNum w:abstractNumId="41">
    <w:nsid w:val="3DC240FB"/>
    <w:multiLevelType w:val="hybridMultilevel"/>
    <w:lvl w:ilvl="0">
      <w:lvlJc w:val="left"/>
      <w:lvlText w:val="%1."/>
      <w:numFmt w:val="decimal"/>
      <w:start w:val="6"/>
    </w:lvl>
  </w:abstractNum>
  <w:abstractNum w:abstractNumId="42">
    <w:nsid w:val="1BA026FA"/>
    <w:multiLevelType w:val="hybridMultilevel"/>
    <w:lvl w:ilvl="0">
      <w:lvlJc w:val="left"/>
      <w:lvlText w:val="%1."/>
      <w:numFmt w:val="decimal"/>
      <w:start w:val="7"/>
    </w:lvl>
  </w:abstractNum>
  <w:abstractNum w:abstractNumId="43">
    <w:nsid w:val="79A1DEAA"/>
    <w:multiLevelType w:val="hybridMultilevel"/>
    <w:lvl w:ilvl="0">
      <w:lvlJc w:val="left"/>
      <w:lvlText w:val="%1."/>
      <w:numFmt w:val="decimal"/>
      <w:start w:val="8"/>
    </w:lvl>
  </w:abstractNum>
  <w:abstractNum w:abstractNumId="44">
    <w:nsid w:val="75C6C33A"/>
    <w:multiLevelType w:val="hybridMultilevel"/>
    <w:lvl w:ilvl="0">
      <w:lvlJc w:val="left"/>
      <w:lvlText w:val="%1."/>
      <w:numFmt w:val="decimal"/>
      <w:start w:val="9"/>
    </w:lvl>
  </w:abstractNum>
  <w:abstractNum w:abstractNumId="45">
    <w:nsid w:val="12E685FB"/>
    <w:multiLevelType w:val="hybridMultilevel"/>
    <w:lvl w:ilvl="0">
      <w:lvlJc w:val="left"/>
      <w:lvlText w:val="(%1)"/>
      <w:numFmt w:val="upperLetter"/>
      <w:start w:val="2"/>
    </w:lvl>
  </w:abstractNum>
  <w:abstractNum w:abstractNumId="46">
    <w:nsid w:val="70C6A529"/>
    <w:multiLevelType w:val="hybridMultilevel"/>
    <w:lvl w:ilvl="0">
      <w:lvlJc w:val="left"/>
      <w:lvlText w:val="%1."/>
      <w:numFmt w:val="decimal"/>
      <w:start w:val="10"/>
    </w:lvl>
  </w:abstractNum>
  <w:abstractNum w:abstractNumId="47">
    <w:nsid w:val="520EEDD1"/>
    <w:multiLevelType w:val="hybridMultilevel"/>
    <w:lvl w:ilvl="0">
      <w:lvlJc w:val="left"/>
      <w:lvlText w:val="%1."/>
      <w:numFmt w:val="decimal"/>
      <w:start w:val="11"/>
    </w:lvl>
  </w:abstractNum>
  <w:abstractNum w:abstractNumId="48">
    <w:nsid w:val="374A3FE6"/>
    <w:multiLevelType w:val="hybridMultilevel"/>
    <w:lvl w:ilvl="0">
      <w:lvlJc w:val="left"/>
      <w:lvlText w:val="%1."/>
      <w:numFmt w:val="decimal"/>
      <w:start w:val="12"/>
    </w:lvl>
  </w:abstractNum>
  <w:abstractNum w:abstractNumId="49">
    <w:nsid w:val="4F4EF005"/>
    <w:multiLevelType w:val="hybridMultilevel"/>
    <w:lvl w:ilvl="0">
      <w:lvlJc w:val="left"/>
      <w:lvlText w:val="%1."/>
      <w:numFmt w:val="decimal"/>
      <w:start w:val="13"/>
    </w:lvl>
  </w:abstractNum>
  <w:abstractNum w:abstractNumId="50">
    <w:nsid w:val="23F9C13C"/>
    <w:multiLevelType w:val="hybridMultilevel"/>
    <w:lvl w:ilvl="0">
      <w:lvlJc w:val="left"/>
      <w:lvlText w:val="%1."/>
      <w:numFmt w:val="decimal"/>
      <w:start w:val="14"/>
    </w:lvl>
  </w:abstractNum>
  <w:abstractNum w:abstractNumId="51">
    <w:nsid w:val="649BB77C"/>
    <w:multiLevelType w:val="hybridMultilevel"/>
    <w:lvl w:ilvl="0">
      <w:lvlJc w:val="left"/>
      <w:lvlText w:val="%1."/>
      <w:numFmt w:val="decimal"/>
      <w:start w:val="15"/>
    </w:lvl>
  </w:abstractNum>
  <w:abstractNum w:abstractNumId="52">
    <w:nsid w:val="275AC794"/>
    <w:multiLevelType w:val="hybridMultilevel"/>
    <w:lvl w:ilvl="0">
      <w:lvlJc w:val="left"/>
      <w:lvlText w:val="%1."/>
      <w:numFmt w:val="decimal"/>
      <w:start w:val="16"/>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7"/>
    </w:lvl>
  </w:abstractNum>
  <w:abstractNum w:abstractNumId="56">
    <w:nsid w:val="235BA861"/>
    <w:multiLevelType w:val="hybridMultilevel"/>
    <w:lvl w:ilvl="0">
      <w:lvlJc w:val="left"/>
      <w:lvlText w:val="(%1)"/>
      <w:numFmt w:val="lowerLetter"/>
      <w:start w:val="2"/>
    </w:lvl>
  </w:abstractNum>
  <w:abstractNum w:abstractNumId="57">
    <w:nsid w:val="47398C89"/>
    <w:multiLevelType w:val="hybridMultilevel"/>
    <w:lvl w:ilvl="0">
      <w:lvlJc w:val="left"/>
      <w:lvlText w:val="(%1)"/>
      <w:numFmt w:val="lowerRoman"/>
      <w:start w:val="1"/>
    </w:lvl>
  </w:abstractNum>
  <w:abstractNum w:abstractNumId="58">
    <w:nsid w:val="354FE9F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2019-12-20T03:59:42Z</dcterms:created>
  <dcterms:modified xsi:type="dcterms:W3CDTF">2019-12-20T03:59:42Z</dcterms:modified>
</cp:coreProperties>
</file>