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0001967811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283"/>
              <w:jc w:val="left"/>
              <w:rPr/>
            </w:pPr>
            <w:r>
              <w:rPr/>
              <w:t>Name of Issuer</w:t>
            </w:r>
          </w:p>
        </w:tc>
        <w:tc>
          <w:tcPr>
            <w:tcW w:w="4316" w:type="dxa"/>
            <w:tcBorders/>
            <w:vAlign w:val="center"/>
          </w:tcPr>
          <w:p>
            <w:pPr>
              <w:pStyle w:val="TableContents"/>
              <w:bidi w:val="0"/>
              <w:spacing w:before="0" w:after="0"/>
              <w:jc w:val="left"/>
              <w:rPr/>
            </w:pPr>
            <w:r>
              <w:rPr/>
              <w:t>WASTE MANAGEMENT INC</w:t>
            </w:r>
          </w:p>
        </w:tc>
      </w:tr>
      <w:tr>
        <w:trPr/>
        <w:tc>
          <w:tcPr>
            <w:tcW w:w="5889" w:type="dxa"/>
            <w:tcBorders/>
            <w:vAlign w:val="center"/>
          </w:tcPr>
          <w:p>
            <w:pPr>
              <w:pStyle w:val="TableContents"/>
              <w:bidi w:val="0"/>
              <w:spacing w:before="0" w:after="283"/>
              <w:jc w:val="left"/>
              <w:rPr/>
            </w:pPr>
            <w:r>
              <w:rPr/>
              <w:t>SEC File Number</w:t>
            </w:r>
          </w:p>
        </w:tc>
        <w:tc>
          <w:tcPr>
            <w:tcW w:w="4316" w:type="dxa"/>
            <w:tcBorders/>
            <w:vAlign w:val="center"/>
          </w:tcPr>
          <w:p>
            <w:pPr>
              <w:pStyle w:val="TableContents"/>
              <w:bidi w:val="0"/>
              <w:spacing w:before="0" w:after="0"/>
              <w:jc w:val="left"/>
              <w:rPr/>
            </w:pPr>
            <w:r>
              <w:rPr/>
              <w:t>001-12154</w:t>
            </w:r>
          </w:p>
        </w:tc>
      </w:tr>
      <w:tr>
        <w:trPr/>
        <w:tc>
          <w:tcPr>
            <w:tcW w:w="5889" w:type="dxa"/>
            <w:tcBorders/>
            <w:vAlign w:val="center"/>
          </w:tcPr>
          <w:p>
            <w:pPr>
              <w:pStyle w:val="TableContents"/>
              <w:bidi w:val="0"/>
              <w:spacing w:before="0" w:after="283"/>
              <w:jc w:val="left"/>
              <w:rPr/>
            </w:pPr>
            <w:r>
              <w:rPr/>
              <w:t>Address of Issuer</w:t>
            </w:r>
          </w:p>
        </w:tc>
        <w:tc>
          <w:tcPr>
            <w:tcW w:w="4316" w:type="dxa"/>
            <w:tcBorders/>
            <w:vAlign w:val="center"/>
          </w:tcPr>
          <w:p>
            <w:pPr>
              <w:pStyle w:val="TableContents"/>
              <w:bidi w:val="0"/>
              <w:spacing w:before="0" w:after="0"/>
              <w:jc w:val="left"/>
              <w:rPr/>
            </w:pPr>
            <w:r>
              <w:rPr/>
              <w:t>800 CAPITOL STREET, STE 3000</w:t>
              <w:br/>
              <w:t>HOUSTON</w:t>
              <w:br/>
              <w:t xml:space="preserve">TEXAS </w:t>
              <w:br/>
              <w:t>77002</w:t>
            </w:r>
          </w:p>
        </w:tc>
      </w:tr>
      <w:tr>
        <w:trPr/>
        <w:tc>
          <w:tcPr>
            <w:tcW w:w="5889" w:type="dxa"/>
            <w:tcBorders/>
            <w:vAlign w:val="center"/>
          </w:tcPr>
          <w:p>
            <w:pPr>
              <w:pStyle w:val="TableContents"/>
              <w:bidi w:val="0"/>
              <w:spacing w:before="0" w:after="283"/>
              <w:jc w:val="left"/>
              <w:rPr/>
            </w:pPr>
            <w:r>
              <w:rPr/>
              <w:t>Phone</w:t>
            </w:r>
          </w:p>
        </w:tc>
        <w:tc>
          <w:tcPr>
            <w:tcW w:w="4316" w:type="dxa"/>
            <w:tcBorders/>
            <w:vAlign w:val="center"/>
          </w:tcPr>
          <w:p>
            <w:pPr>
              <w:pStyle w:val="TableContents"/>
              <w:bidi w:val="0"/>
              <w:spacing w:before="0" w:after="0"/>
              <w:jc w:val="left"/>
              <w:rPr/>
            </w:pPr>
            <w:r>
              <w:rPr/>
              <w:t>7135126200</w:t>
            </w:r>
          </w:p>
        </w:tc>
      </w:tr>
      <w:tr>
        <w:trPr/>
        <w:tc>
          <w:tcPr>
            <w:tcW w:w="5889" w:type="dxa"/>
            <w:tcBorders/>
            <w:vAlign w:val="center"/>
          </w:tcPr>
          <w:p>
            <w:pPr>
              <w:pStyle w:val="TableContents"/>
              <w:bidi w:val="0"/>
              <w:spacing w:before="0" w:after="283"/>
              <w:jc w:val="left"/>
              <w:rPr/>
            </w:pPr>
            <w:r>
              <w:rPr/>
              <w:t>Name of Person for Whose Account the Securities are To Be Sold</w:t>
            </w:r>
          </w:p>
        </w:tc>
        <w:tc>
          <w:tcPr>
            <w:tcW w:w="4316" w:type="dxa"/>
            <w:tcBorders/>
            <w:vAlign w:val="center"/>
          </w:tcPr>
          <w:p>
            <w:pPr>
              <w:pStyle w:val="TableContents"/>
              <w:bidi w:val="0"/>
              <w:spacing w:before="0" w:after="0"/>
              <w:jc w:val="left"/>
              <w:rPr/>
            </w:pPr>
            <w:r>
              <w:rPr/>
              <w:t>Carroll John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9" w:type="dxa"/>
            <w:tcBorders/>
            <w:vAlign w:val="center"/>
          </w:tcPr>
          <w:p>
            <w:pPr>
              <w:pStyle w:val="TableContents"/>
              <w:bidi w:val="0"/>
              <w:spacing w:before="0" w:after="283"/>
              <w:jc w:val="left"/>
              <w:rPr/>
            </w:pPr>
            <w:r>
              <w:rPr/>
              <w:t>Relationship to Issuer</w:t>
            </w:r>
          </w:p>
        </w:tc>
        <w:tc>
          <w:tcPr>
            <w:tcW w:w="43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1365</w:t>
            </w:r>
          </w:p>
        </w:tc>
        <w:tc>
          <w:tcPr>
            <w:tcW w:w="1380" w:type="dxa"/>
            <w:tcBorders/>
            <w:vAlign w:val="center"/>
          </w:tcPr>
          <w:p>
            <w:pPr>
              <w:pStyle w:val="TableContents"/>
              <w:bidi w:val="0"/>
              <w:spacing w:before="0" w:after="283"/>
              <w:jc w:val="left"/>
              <w:rPr/>
            </w:pPr>
            <w:r>
              <w:rPr/>
              <w:t>300197.63</w:t>
            </w:r>
          </w:p>
        </w:tc>
        <w:tc>
          <w:tcPr>
            <w:tcW w:w="1555" w:type="dxa"/>
            <w:tcBorders/>
            <w:vAlign w:val="center"/>
          </w:tcPr>
          <w:p>
            <w:pPr>
              <w:pStyle w:val="TableContents"/>
              <w:bidi w:val="0"/>
              <w:spacing w:before="0" w:after="283"/>
              <w:jc w:val="left"/>
              <w:rPr/>
            </w:pPr>
            <w:r>
              <w:rPr/>
              <w:t>399715184</w:t>
            </w:r>
          </w:p>
        </w:tc>
        <w:tc>
          <w:tcPr>
            <w:tcW w:w="1569" w:type="dxa"/>
            <w:tcBorders/>
            <w:vAlign w:val="center"/>
          </w:tcPr>
          <w:p>
            <w:pPr>
              <w:pStyle w:val="TableContents"/>
              <w:bidi w:val="0"/>
              <w:spacing w:before="0" w:after="283"/>
              <w:jc w:val="left"/>
              <w:rPr/>
            </w:pPr>
            <w:r>
              <w:rPr/>
              <w:t>09/04/2026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3"/>
        <w:gridCol w:w="1101"/>
        <w:gridCol w:w="1479"/>
        <w:gridCol w:w="1142"/>
        <w:gridCol w:w="514"/>
        <w:gridCol w:w="1101"/>
        <w:gridCol w:w="1143"/>
        <w:gridCol w:w="1042"/>
        <w:gridCol w:w="1600"/>
      </w:tblGrid>
      <w:tr>
        <w:trPr/>
        <w:tc>
          <w:tcPr>
            <w:tcW w:w="1083" w:type="dxa"/>
            <w:tcBorders/>
            <w:vAlign w:val="center"/>
          </w:tcPr>
          <w:p>
            <w:pPr>
              <w:pStyle w:val="TableHeading"/>
              <w:suppressLineNumbers/>
              <w:bidi w:val="0"/>
              <w:spacing w:before="0" w:after="283"/>
              <w:jc w:val="center"/>
              <w:rPr/>
            </w:pPr>
            <w:r>
              <w:rPr/>
              <w:t>Title of the Class</w:t>
            </w:r>
          </w:p>
        </w:tc>
        <w:tc>
          <w:tcPr>
            <w:tcW w:w="1101" w:type="dxa"/>
            <w:tcBorders/>
            <w:vAlign w:val="center"/>
          </w:tcPr>
          <w:p>
            <w:pPr>
              <w:pStyle w:val="TableHeading"/>
              <w:suppressLineNumbers/>
              <w:bidi w:val="0"/>
              <w:spacing w:before="0" w:after="283"/>
              <w:jc w:val="center"/>
              <w:rPr/>
            </w:pPr>
            <w:r>
              <w:rPr/>
              <w:t>Date you Acquired</w:t>
            </w:r>
          </w:p>
        </w:tc>
        <w:tc>
          <w:tcPr>
            <w:tcW w:w="1479" w:type="dxa"/>
            <w:tcBorders/>
            <w:vAlign w:val="center"/>
          </w:tcPr>
          <w:p>
            <w:pPr>
              <w:pStyle w:val="TableHeading"/>
              <w:suppressLineNumbers/>
              <w:bidi w:val="0"/>
              <w:spacing w:before="0" w:after="283"/>
              <w:jc w:val="center"/>
              <w:rPr/>
            </w:pPr>
            <w:r>
              <w:rPr/>
              <w:t>Nature of Acquisition Transaction</w:t>
            </w:r>
          </w:p>
        </w:tc>
        <w:tc>
          <w:tcPr>
            <w:tcW w:w="1142"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1" w:type="dxa"/>
            <w:tcBorders/>
            <w:vAlign w:val="center"/>
          </w:tcPr>
          <w:p>
            <w:pPr>
              <w:pStyle w:val="TableHeading"/>
              <w:suppressLineNumbers/>
              <w:bidi w:val="0"/>
              <w:spacing w:before="0" w:after="283"/>
              <w:jc w:val="center"/>
              <w:rPr/>
            </w:pPr>
            <w:r>
              <w:rPr/>
              <w:t>Date Donor Acquired</w:t>
            </w:r>
          </w:p>
        </w:tc>
        <w:tc>
          <w:tcPr>
            <w:tcW w:w="1143" w:type="dxa"/>
            <w:tcBorders/>
            <w:vAlign w:val="center"/>
          </w:tcPr>
          <w:p>
            <w:pPr>
              <w:pStyle w:val="TableHeading"/>
              <w:suppressLineNumbers/>
              <w:bidi w:val="0"/>
              <w:spacing w:before="0" w:after="283"/>
              <w:jc w:val="center"/>
              <w:rPr/>
            </w:pPr>
            <w:r>
              <w:rPr/>
              <w:t>Amount of Securities Acquired</w:t>
            </w:r>
          </w:p>
        </w:tc>
        <w:tc>
          <w:tcPr>
            <w:tcW w:w="1042" w:type="dxa"/>
            <w:tcBorders/>
            <w:vAlign w:val="center"/>
          </w:tcPr>
          <w:p>
            <w:pPr>
              <w:pStyle w:val="TableHeading"/>
              <w:suppressLineNumbers/>
              <w:bidi w:val="0"/>
              <w:spacing w:before="0" w:after="283"/>
              <w:jc w:val="center"/>
              <w:rPr/>
            </w:pPr>
            <w:r>
              <w:rPr/>
              <w:t>Date of Payment</w:t>
            </w:r>
          </w:p>
        </w:tc>
        <w:tc>
          <w:tcPr>
            <w:tcW w:w="160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3" w:type="dxa"/>
            <w:tcBorders/>
            <w:vAlign w:val="center"/>
          </w:tcPr>
          <w:p>
            <w:pPr>
              <w:pStyle w:val="TableContents"/>
              <w:bidi w:val="0"/>
              <w:spacing w:before="0" w:after="283"/>
              <w:jc w:val="left"/>
              <w:rPr/>
            </w:pPr>
            <w:r>
              <w:rPr/>
              <w:t>Common</w:t>
            </w:r>
          </w:p>
        </w:tc>
        <w:tc>
          <w:tcPr>
            <w:tcW w:w="1101" w:type="dxa"/>
            <w:tcBorders/>
            <w:vAlign w:val="center"/>
          </w:tcPr>
          <w:p>
            <w:pPr>
              <w:pStyle w:val="TableContents"/>
              <w:bidi w:val="0"/>
              <w:spacing w:before="0" w:after="283"/>
              <w:jc w:val="left"/>
              <w:rPr/>
            </w:pPr>
            <w:r>
              <w:rPr/>
              <w:t>09/16/2021</w:t>
            </w:r>
          </w:p>
        </w:tc>
        <w:tc>
          <w:tcPr>
            <w:tcW w:w="1479" w:type="dxa"/>
            <w:tcBorders/>
            <w:vAlign w:val="center"/>
          </w:tcPr>
          <w:p>
            <w:pPr>
              <w:pStyle w:val="TableContents"/>
              <w:bidi w:val="0"/>
              <w:spacing w:before="0" w:after="283"/>
              <w:jc w:val="left"/>
              <w:rPr/>
            </w:pPr>
            <w:r>
              <w:rPr/>
              <w:t>Dividend Reinvestment</w:t>
            </w:r>
          </w:p>
        </w:tc>
        <w:tc>
          <w:tcPr>
            <w:tcW w:w="1142"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2</w:t>
            </w:r>
          </w:p>
        </w:tc>
        <w:tc>
          <w:tcPr>
            <w:tcW w:w="1042" w:type="dxa"/>
            <w:tcBorders/>
            <w:vAlign w:val="center"/>
          </w:tcPr>
          <w:p>
            <w:pPr>
              <w:pStyle w:val="TableContents"/>
              <w:bidi w:val="0"/>
              <w:spacing w:before="0" w:after="283"/>
              <w:jc w:val="left"/>
              <w:rPr/>
            </w:pPr>
            <w:r>
              <w:rPr/>
              <w:t>09/16/2021</w:t>
            </w:r>
          </w:p>
        </w:tc>
        <w:tc>
          <w:tcPr>
            <w:tcW w:w="1600" w:type="dxa"/>
            <w:tcBorders/>
            <w:vAlign w:val="center"/>
          </w:tcPr>
          <w:p>
            <w:pPr>
              <w:pStyle w:val="TableContents"/>
              <w:bidi w:val="0"/>
              <w:spacing w:before="0" w:after="283"/>
              <w:jc w:val="left"/>
              <w:rPr/>
            </w:pPr>
            <w:r>
              <w:rPr/>
              <w:t>Cash</w:t>
            </w:r>
          </w:p>
        </w:tc>
      </w:tr>
      <w:tr>
        <w:trPr/>
        <w:tc>
          <w:tcPr>
            <w:tcW w:w="1083" w:type="dxa"/>
            <w:tcBorders/>
            <w:vAlign w:val="center"/>
          </w:tcPr>
          <w:p>
            <w:pPr>
              <w:pStyle w:val="TableContents"/>
              <w:bidi w:val="0"/>
              <w:spacing w:before="0" w:after="283"/>
              <w:jc w:val="left"/>
              <w:rPr/>
            </w:pPr>
            <w:r>
              <w:rPr/>
              <w:t>Common</w:t>
            </w:r>
          </w:p>
        </w:tc>
        <w:tc>
          <w:tcPr>
            <w:tcW w:w="1101" w:type="dxa"/>
            <w:tcBorders/>
            <w:vAlign w:val="center"/>
          </w:tcPr>
          <w:p>
            <w:pPr>
              <w:pStyle w:val="TableContents"/>
              <w:bidi w:val="0"/>
              <w:spacing w:before="0" w:after="283"/>
              <w:jc w:val="left"/>
              <w:rPr/>
            </w:pPr>
            <w:r>
              <w:rPr/>
              <w:t>11/06/2021</w:t>
            </w:r>
          </w:p>
        </w:tc>
        <w:tc>
          <w:tcPr>
            <w:tcW w:w="1479" w:type="dxa"/>
            <w:tcBorders/>
            <w:vAlign w:val="center"/>
          </w:tcPr>
          <w:p>
            <w:pPr>
              <w:pStyle w:val="TableContents"/>
              <w:bidi w:val="0"/>
              <w:spacing w:before="0" w:after="283"/>
              <w:jc w:val="left"/>
              <w:rPr/>
            </w:pPr>
            <w:r>
              <w:rPr/>
              <w:t>Restricted Stock Vesting</w:t>
            </w:r>
          </w:p>
        </w:tc>
        <w:tc>
          <w:tcPr>
            <w:tcW w:w="1142"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280</w:t>
            </w:r>
          </w:p>
        </w:tc>
        <w:tc>
          <w:tcPr>
            <w:tcW w:w="1042" w:type="dxa"/>
            <w:tcBorders/>
            <w:vAlign w:val="center"/>
          </w:tcPr>
          <w:p>
            <w:pPr>
              <w:pStyle w:val="TableContents"/>
              <w:bidi w:val="0"/>
              <w:spacing w:before="0" w:after="283"/>
              <w:jc w:val="left"/>
              <w:rPr/>
            </w:pPr>
            <w:r>
              <w:rPr/>
              <w:t>11/06/2021</w:t>
            </w:r>
          </w:p>
        </w:tc>
        <w:tc>
          <w:tcPr>
            <w:tcW w:w="1600" w:type="dxa"/>
            <w:tcBorders/>
            <w:vAlign w:val="center"/>
          </w:tcPr>
          <w:p>
            <w:pPr>
              <w:pStyle w:val="TableContents"/>
              <w:bidi w:val="0"/>
              <w:spacing w:before="0" w:after="283"/>
              <w:jc w:val="left"/>
              <w:rPr/>
            </w:pPr>
            <w:r>
              <w:rPr/>
              <w:t>Compensation</w:t>
            </w:r>
          </w:p>
        </w:tc>
      </w:tr>
      <w:tr>
        <w:trPr/>
        <w:tc>
          <w:tcPr>
            <w:tcW w:w="1083" w:type="dxa"/>
            <w:tcBorders/>
            <w:vAlign w:val="center"/>
          </w:tcPr>
          <w:p>
            <w:pPr>
              <w:pStyle w:val="TableContents"/>
              <w:bidi w:val="0"/>
              <w:spacing w:before="0" w:after="283"/>
              <w:jc w:val="left"/>
              <w:rPr/>
            </w:pPr>
            <w:r>
              <w:rPr/>
              <w:t>Common</w:t>
            </w:r>
          </w:p>
        </w:tc>
        <w:tc>
          <w:tcPr>
            <w:tcW w:w="1101" w:type="dxa"/>
            <w:tcBorders/>
            <w:vAlign w:val="center"/>
          </w:tcPr>
          <w:p>
            <w:pPr>
              <w:pStyle w:val="TableContents"/>
              <w:bidi w:val="0"/>
              <w:spacing w:before="0" w:after="283"/>
              <w:jc w:val="left"/>
              <w:rPr/>
            </w:pPr>
            <w:r>
              <w:rPr/>
              <w:t>12/16/2021</w:t>
            </w:r>
          </w:p>
        </w:tc>
        <w:tc>
          <w:tcPr>
            <w:tcW w:w="1479" w:type="dxa"/>
            <w:tcBorders/>
            <w:vAlign w:val="center"/>
          </w:tcPr>
          <w:p>
            <w:pPr>
              <w:pStyle w:val="TableContents"/>
              <w:bidi w:val="0"/>
              <w:spacing w:before="0" w:after="283"/>
              <w:jc w:val="left"/>
              <w:rPr/>
            </w:pPr>
            <w:r>
              <w:rPr/>
              <w:t>Dividend Reinvestment</w:t>
            </w:r>
          </w:p>
        </w:tc>
        <w:tc>
          <w:tcPr>
            <w:tcW w:w="1142"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2</w:t>
            </w:r>
          </w:p>
        </w:tc>
        <w:tc>
          <w:tcPr>
            <w:tcW w:w="1042" w:type="dxa"/>
            <w:tcBorders/>
            <w:vAlign w:val="center"/>
          </w:tcPr>
          <w:p>
            <w:pPr>
              <w:pStyle w:val="TableContents"/>
              <w:bidi w:val="0"/>
              <w:spacing w:before="0" w:after="283"/>
              <w:jc w:val="left"/>
              <w:rPr/>
            </w:pPr>
            <w:r>
              <w:rPr/>
              <w:t>12/16/2021</w:t>
            </w:r>
          </w:p>
        </w:tc>
        <w:tc>
          <w:tcPr>
            <w:tcW w:w="1600" w:type="dxa"/>
            <w:tcBorders/>
            <w:vAlign w:val="center"/>
          </w:tcPr>
          <w:p>
            <w:pPr>
              <w:pStyle w:val="TableContents"/>
              <w:bidi w:val="0"/>
              <w:spacing w:before="0" w:after="283"/>
              <w:jc w:val="left"/>
              <w:rPr/>
            </w:pPr>
            <w:r>
              <w:rPr/>
              <w:t>Dividend Reinvestment</w:t>
            </w:r>
          </w:p>
        </w:tc>
      </w:tr>
      <w:tr>
        <w:trPr/>
        <w:tc>
          <w:tcPr>
            <w:tcW w:w="1083" w:type="dxa"/>
            <w:tcBorders/>
            <w:vAlign w:val="center"/>
          </w:tcPr>
          <w:p>
            <w:pPr>
              <w:pStyle w:val="TableContents"/>
              <w:bidi w:val="0"/>
              <w:spacing w:before="0" w:after="283"/>
              <w:jc w:val="left"/>
              <w:rPr/>
            </w:pPr>
            <w:r>
              <w:rPr/>
              <w:t>Common</w:t>
            </w:r>
          </w:p>
        </w:tc>
        <w:tc>
          <w:tcPr>
            <w:tcW w:w="1101" w:type="dxa"/>
            <w:tcBorders/>
            <w:vAlign w:val="center"/>
          </w:tcPr>
          <w:p>
            <w:pPr>
              <w:pStyle w:val="TableContents"/>
              <w:bidi w:val="0"/>
              <w:spacing w:before="0" w:after="283"/>
              <w:jc w:val="left"/>
              <w:rPr/>
            </w:pPr>
            <w:r>
              <w:rPr/>
              <w:t>03/30/2022</w:t>
            </w:r>
          </w:p>
        </w:tc>
        <w:tc>
          <w:tcPr>
            <w:tcW w:w="1479" w:type="dxa"/>
            <w:tcBorders/>
            <w:vAlign w:val="center"/>
          </w:tcPr>
          <w:p>
            <w:pPr>
              <w:pStyle w:val="TableContents"/>
              <w:bidi w:val="0"/>
              <w:spacing w:before="0" w:after="283"/>
              <w:jc w:val="left"/>
              <w:rPr/>
            </w:pPr>
            <w:r>
              <w:rPr/>
              <w:t>Dividend Reinvestment</w:t>
            </w:r>
          </w:p>
        </w:tc>
        <w:tc>
          <w:tcPr>
            <w:tcW w:w="1142"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2</w:t>
            </w:r>
          </w:p>
        </w:tc>
        <w:tc>
          <w:tcPr>
            <w:tcW w:w="1042" w:type="dxa"/>
            <w:tcBorders/>
            <w:vAlign w:val="center"/>
          </w:tcPr>
          <w:p>
            <w:pPr>
              <w:pStyle w:val="TableContents"/>
              <w:bidi w:val="0"/>
              <w:spacing w:before="0" w:after="283"/>
              <w:jc w:val="left"/>
              <w:rPr/>
            </w:pPr>
            <w:r>
              <w:rPr/>
              <w:t>03/30/2022</w:t>
            </w:r>
          </w:p>
        </w:tc>
        <w:tc>
          <w:tcPr>
            <w:tcW w:w="1600" w:type="dxa"/>
            <w:tcBorders/>
            <w:vAlign w:val="center"/>
          </w:tcPr>
          <w:p>
            <w:pPr>
              <w:pStyle w:val="TableContents"/>
              <w:bidi w:val="0"/>
              <w:spacing w:before="0" w:after="283"/>
              <w:jc w:val="left"/>
              <w:rPr/>
            </w:pPr>
            <w:r>
              <w:rPr/>
              <w:t>Cash</w:t>
            </w:r>
          </w:p>
        </w:tc>
      </w:tr>
      <w:tr>
        <w:trPr/>
        <w:tc>
          <w:tcPr>
            <w:tcW w:w="1083" w:type="dxa"/>
            <w:tcBorders/>
            <w:vAlign w:val="center"/>
          </w:tcPr>
          <w:p>
            <w:pPr>
              <w:pStyle w:val="TableContents"/>
              <w:bidi w:val="0"/>
              <w:spacing w:before="0" w:after="283"/>
              <w:jc w:val="left"/>
              <w:rPr/>
            </w:pPr>
            <w:r>
              <w:rPr/>
              <w:t>Common</w:t>
            </w:r>
          </w:p>
        </w:tc>
        <w:tc>
          <w:tcPr>
            <w:tcW w:w="1101" w:type="dxa"/>
            <w:tcBorders/>
            <w:vAlign w:val="center"/>
          </w:tcPr>
          <w:p>
            <w:pPr>
              <w:pStyle w:val="TableContents"/>
              <w:bidi w:val="0"/>
              <w:spacing w:before="0" w:after="283"/>
              <w:jc w:val="left"/>
              <w:rPr/>
            </w:pPr>
            <w:r>
              <w:rPr/>
              <w:t>09/22/2022</w:t>
            </w:r>
          </w:p>
        </w:tc>
        <w:tc>
          <w:tcPr>
            <w:tcW w:w="1479" w:type="dxa"/>
            <w:tcBorders/>
            <w:vAlign w:val="center"/>
          </w:tcPr>
          <w:p>
            <w:pPr>
              <w:pStyle w:val="TableContents"/>
              <w:bidi w:val="0"/>
              <w:spacing w:before="0" w:after="283"/>
              <w:jc w:val="left"/>
              <w:rPr/>
            </w:pPr>
            <w:r>
              <w:rPr/>
              <w:t>Dividend Reinvestment</w:t>
            </w:r>
          </w:p>
        </w:tc>
        <w:tc>
          <w:tcPr>
            <w:tcW w:w="1142"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2</w:t>
            </w:r>
          </w:p>
        </w:tc>
        <w:tc>
          <w:tcPr>
            <w:tcW w:w="1042" w:type="dxa"/>
            <w:tcBorders/>
            <w:vAlign w:val="center"/>
          </w:tcPr>
          <w:p>
            <w:pPr>
              <w:pStyle w:val="TableContents"/>
              <w:bidi w:val="0"/>
              <w:spacing w:before="0" w:after="283"/>
              <w:jc w:val="left"/>
              <w:rPr/>
            </w:pPr>
            <w:r>
              <w:rPr/>
              <w:t>09/22/2022</w:t>
            </w:r>
          </w:p>
        </w:tc>
        <w:tc>
          <w:tcPr>
            <w:tcW w:w="1600" w:type="dxa"/>
            <w:tcBorders/>
            <w:vAlign w:val="center"/>
          </w:tcPr>
          <w:p>
            <w:pPr>
              <w:pStyle w:val="TableContents"/>
              <w:bidi w:val="0"/>
              <w:spacing w:before="0" w:after="283"/>
              <w:jc w:val="left"/>
              <w:rPr/>
            </w:pPr>
            <w:r>
              <w:rPr/>
              <w:t>Cash</w:t>
            </w:r>
          </w:p>
        </w:tc>
      </w:tr>
      <w:tr>
        <w:trPr/>
        <w:tc>
          <w:tcPr>
            <w:tcW w:w="1083" w:type="dxa"/>
            <w:tcBorders/>
            <w:vAlign w:val="center"/>
          </w:tcPr>
          <w:p>
            <w:pPr>
              <w:pStyle w:val="TableContents"/>
              <w:bidi w:val="0"/>
              <w:spacing w:before="0" w:after="283"/>
              <w:jc w:val="left"/>
              <w:rPr/>
            </w:pPr>
            <w:r>
              <w:rPr/>
              <w:t>Common</w:t>
            </w:r>
          </w:p>
        </w:tc>
        <w:tc>
          <w:tcPr>
            <w:tcW w:w="1101" w:type="dxa"/>
            <w:tcBorders/>
            <w:vAlign w:val="center"/>
          </w:tcPr>
          <w:p>
            <w:pPr>
              <w:pStyle w:val="TableContents"/>
              <w:bidi w:val="0"/>
              <w:spacing w:before="0" w:after="283"/>
              <w:jc w:val="left"/>
              <w:rPr/>
            </w:pPr>
            <w:r>
              <w:rPr/>
              <w:t>12/15/2022</w:t>
            </w:r>
          </w:p>
        </w:tc>
        <w:tc>
          <w:tcPr>
            <w:tcW w:w="1479" w:type="dxa"/>
            <w:tcBorders/>
            <w:vAlign w:val="center"/>
          </w:tcPr>
          <w:p>
            <w:pPr>
              <w:pStyle w:val="TableContents"/>
              <w:bidi w:val="0"/>
              <w:spacing w:before="0" w:after="283"/>
              <w:jc w:val="left"/>
              <w:rPr/>
            </w:pPr>
            <w:r>
              <w:rPr/>
              <w:t>Dividend Reinvestment</w:t>
            </w:r>
          </w:p>
        </w:tc>
        <w:tc>
          <w:tcPr>
            <w:tcW w:w="1142"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3</w:t>
            </w:r>
          </w:p>
        </w:tc>
        <w:tc>
          <w:tcPr>
            <w:tcW w:w="1042" w:type="dxa"/>
            <w:tcBorders/>
            <w:vAlign w:val="center"/>
          </w:tcPr>
          <w:p>
            <w:pPr>
              <w:pStyle w:val="TableContents"/>
              <w:bidi w:val="0"/>
              <w:spacing w:before="0" w:after="283"/>
              <w:jc w:val="left"/>
              <w:rPr/>
            </w:pPr>
            <w:r>
              <w:rPr/>
              <w:t>12/15/2022</w:t>
            </w:r>
          </w:p>
        </w:tc>
        <w:tc>
          <w:tcPr>
            <w:tcW w:w="1600" w:type="dxa"/>
            <w:tcBorders/>
            <w:vAlign w:val="center"/>
          </w:tcPr>
          <w:p>
            <w:pPr>
              <w:pStyle w:val="TableContents"/>
              <w:bidi w:val="0"/>
              <w:spacing w:before="0" w:after="283"/>
              <w:jc w:val="left"/>
              <w:rPr/>
            </w:pPr>
            <w:r>
              <w:rPr/>
              <w:t>Cash</w:t>
            </w:r>
          </w:p>
        </w:tc>
      </w:tr>
      <w:tr>
        <w:trPr/>
        <w:tc>
          <w:tcPr>
            <w:tcW w:w="1083" w:type="dxa"/>
            <w:tcBorders/>
            <w:vAlign w:val="center"/>
          </w:tcPr>
          <w:p>
            <w:pPr>
              <w:pStyle w:val="TableContents"/>
              <w:bidi w:val="0"/>
              <w:spacing w:before="0" w:after="283"/>
              <w:jc w:val="left"/>
              <w:rPr/>
            </w:pPr>
            <w:r>
              <w:rPr/>
              <w:t>Common</w:t>
            </w:r>
          </w:p>
        </w:tc>
        <w:tc>
          <w:tcPr>
            <w:tcW w:w="1101" w:type="dxa"/>
            <w:tcBorders/>
            <w:vAlign w:val="center"/>
          </w:tcPr>
          <w:p>
            <w:pPr>
              <w:pStyle w:val="TableContents"/>
              <w:bidi w:val="0"/>
              <w:spacing w:before="0" w:after="283"/>
              <w:jc w:val="left"/>
              <w:rPr/>
            </w:pPr>
            <w:r>
              <w:rPr/>
              <w:t>02/19/2023</w:t>
            </w:r>
          </w:p>
        </w:tc>
        <w:tc>
          <w:tcPr>
            <w:tcW w:w="1479" w:type="dxa"/>
            <w:tcBorders/>
            <w:vAlign w:val="center"/>
          </w:tcPr>
          <w:p>
            <w:pPr>
              <w:pStyle w:val="TableContents"/>
              <w:bidi w:val="0"/>
              <w:spacing w:before="0" w:after="283"/>
              <w:jc w:val="left"/>
              <w:rPr/>
            </w:pPr>
            <w:r>
              <w:rPr/>
              <w:t>Restricted Stock Vesting</w:t>
            </w:r>
          </w:p>
        </w:tc>
        <w:tc>
          <w:tcPr>
            <w:tcW w:w="1142"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176</w:t>
            </w:r>
          </w:p>
        </w:tc>
        <w:tc>
          <w:tcPr>
            <w:tcW w:w="1042" w:type="dxa"/>
            <w:tcBorders/>
            <w:vAlign w:val="center"/>
          </w:tcPr>
          <w:p>
            <w:pPr>
              <w:pStyle w:val="TableContents"/>
              <w:bidi w:val="0"/>
              <w:spacing w:before="0" w:after="283"/>
              <w:jc w:val="left"/>
              <w:rPr/>
            </w:pPr>
            <w:r>
              <w:rPr/>
              <w:t>02/19/2023</w:t>
            </w:r>
          </w:p>
        </w:tc>
        <w:tc>
          <w:tcPr>
            <w:tcW w:w="1600" w:type="dxa"/>
            <w:tcBorders/>
            <w:vAlign w:val="center"/>
          </w:tcPr>
          <w:p>
            <w:pPr>
              <w:pStyle w:val="TableContents"/>
              <w:bidi w:val="0"/>
              <w:spacing w:before="0" w:after="283"/>
              <w:jc w:val="left"/>
              <w:rPr/>
            </w:pPr>
            <w:r>
              <w:rPr/>
              <w:t>Compensation</w:t>
            </w:r>
          </w:p>
        </w:tc>
      </w:tr>
      <w:tr>
        <w:trPr/>
        <w:tc>
          <w:tcPr>
            <w:tcW w:w="1083" w:type="dxa"/>
            <w:tcBorders/>
            <w:vAlign w:val="center"/>
          </w:tcPr>
          <w:p>
            <w:pPr>
              <w:pStyle w:val="TableContents"/>
              <w:bidi w:val="0"/>
              <w:spacing w:before="0" w:after="283"/>
              <w:jc w:val="left"/>
              <w:rPr/>
            </w:pPr>
            <w:r>
              <w:rPr/>
              <w:t>Common</w:t>
            </w:r>
          </w:p>
        </w:tc>
        <w:tc>
          <w:tcPr>
            <w:tcW w:w="1101" w:type="dxa"/>
            <w:tcBorders/>
            <w:vAlign w:val="center"/>
          </w:tcPr>
          <w:p>
            <w:pPr>
              <w:pStyle w:val="TableContents"/>
              <w:bidi w:val="0"/>
              <w:spacing w:before="0" w:after="283"/>
              <w:jc w:val="left"/>
              <w:rPr/>
            </w:pPr>
            <w:r>
              <w:rPr/>
              <w:t>06/15/2023</w:t>
            </w:r>
          </w:p>
        </w:tc>
        <w:tc>
          <w:tcPr>
            <w:tcW w:w="1479" w:type="dxa"/>
            <w:tcBorders/>
            <w:vAlign w:val="center"/>
          </w:tcPr>
          <w:p>
            <w:pPr>
              <w:pStyle w:val="TableContents"/>
              <w:bidi w:val="0"/>
              <w:spacing w:before="0" w:after="283"/>
              <w:jc w:val="left"/>
              <w:rPr/>
            </w:pPr>
            <w:r>
              <w:rPr/>
              <w:t>Dividend Reinvestment</w:t>
            </w:r>
          </w:p>
        </w:tc>
        <w:tc>
          <w:tcPr>
            <w:tcW w:w="1142"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4</w:t>
            </w:r>
          </w:p>
        </w:tc>
        <w:tc>
          <w:tcPr>
            <w:tcW w:w="1042" w:type="dxa"/>
            <w:tcBorders/>
            <w:vAlign w:val="center"/>
          </w:tcPr>
          <w:p>
            <w:pPr>
              <w:pStyle w:val="TableContents"/>
              <w:bidi w:val="0"/>
              <w:spacing w:before="0" w:after="283"/>
              <w:jc w:val="left"/>
              <w:rPr/>
            </w:pPr>
            <w:r>
              <w:rPr/>
              <w:t>06/15/2023</w:t>
            </w:r>
          </w:p>
        </w:tc>
        <w:tc>
          <w:tcPr>
            <w:tcW w:w="1600" w:type="dxa"/>
            <w:tcBorders/>
            <w:vAlign w:val="center"/>
          </w:tcPr>
          <w:p>
            <w:pPr>
              <w:pStyle w:val="TableContents"/>
              <w:bidi w:val="0"/>
              <w:spacing w:before="0" w:after="283"/>
              <w:jc w:val="left"/>
              <w:rPr/>
            </w:pPr>
            <w:r>
              <w:rPr/>
              <w:t>Cash</w:t>
            </w:r>
          </w:p>
        </w:tc>
      </w:tr>
      <w:tr>
        <w:trPr/>
        <w:tc>
          <w:tcPr>
            <w:tcW w:w="1083" w:type="dxa"/>
            <w:tcBorders/>
            <w:vAlign w:val="center"/>
          </w:tcPr>
          <w:p>
            <w:pPr>
              <w:pStyle w:val="TableContents"/>
              <w:bidi w:val="0"/>
              <w:spacing w:before="0" w:after="283"/>
              <w:jc w:val="left"/>
              <w:rPr/>
            </w:pPr>
            <w:r>
              <w:rPr/>
              <w:t>Common</w:t>
            </w:r>
          </w:p>
        </w:tc>
        <w:tc>
          <w:tcPr>
            <w:tcW w:w="1101" w:type="dxa"/>
            <w:tcBorders/>
            <w:vAlign w:val="center"/>
          </w:tcPr>
          <w:p>
            <w:pPr>
              <w:pStyle w:val="TableContents"/>
              <w:bidi w:val="0"/>
              <w:spacing w:before="0" w:after="283"/>
              <w:jc w:val="left"/>
              <w:rPr/>
            </w:pPr>
            <w:r>
              <w:rPr/>
              <w:t>09/21/2023</w:t>
            </w:r>
          </w:p>
        </w:tc>
        <w:tc>
          <w:tcPr>
            <w:tcW w:w="1479" w:type="dxa"/>
            <w:tcBorders/>
            <w:vAlign w:val="center"/>
          </w:tcPr>
          <w:p>
            <w:pPr>
              <w:pStyle w:val="TableContents"/>
              <w:bidi w:val="0"/>
              <w:spacing w:before="0" w:after="283"/>
              <w:jc w:val="left"/>
              <w:rPr/>
            </w:pPr>
            <w:r>
              <w:rPr/>
              <w:t>Dividend Reinvestment</w:t>
            </w:r>
          </w:p>
        </w:tc>
        <w:tc>
          <w:tcPr>
            <w:tcW w:w="1142"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4</w:t>
            </w:r>
          </w:p>
        </w:tc>
        <w:tc>
          <w:tcPr>
            <w:tcW w:w="1042" w:type="dxa"/>
            <w:tcBorders/>
            <w:vAlign w:val="center"/>
          </w:tcPr>
          <w:p>
            <w:pPr>
              <w:pStyle w:val="TableContents"/>
              <w:bidi w:val="0"/>
              <w:spacing w:before="0" w:after="283"/>
              <w:jc w:val="left"/>
              <w:rPr/>
            </w:pPr>
            <w:r>
              <w:rPr/>
              <w:t>09/21/2023</w:t>
            </w:r>
          </w:p>
        </w:tc>
        <w:tc>
          <w:tcPr>
            <w:tcW w:w="1600" w:type="dxa"/>
            <w:tcBorders/>
            <w:vAlign w:val="center"/>
          </w:tcPr>
          <w:p>
            <w:pPr>
              <w:pStyle w:val="TableContents"/>
              <w:bidi w:val="0"/>
              <w:spacing w:before="0" w:after="283"/>
              <w:jc w:val="left"/>
              <w:rPr/>
            </w:pPr>
            <w:r>
              <w:rPr/>
              <w:t>Cash</w:t>
            </w:r>
          </w:p>
        </w:tc>
      </w:tr>
      <w:tr>
        <w:trPr/>
        <w:tc>
          <w:tcPr>
            <w:tcW w:w="1083" w:type="dxa"/>
            <w:tcBorders/>
            <w:vAlign w:val="center"/>
          </w:tcPr>
          <w:p>
            <w:pPr>
              <w:pStyle w:val="TableContents"/>
              <w:bidi w:val="0"/>
              <w:spacing w:before="0" w:after="283"/>
              <w:jc w:val="left"/>
              <w:rPr/>
            </w:pPr>
            <w:r>
              <w:rPr/>
              <w:t>Common</w:t>
            </w:r>
          </w:p>
        </w:tc>
        <w:tc>
          <w:tcPr>
            <w:tcW w:w="1101" w:type="dxa"/>
            <w:tcBorders/>
            <w:vAlign w:val="center"/>
          </w:tcPr>
          <w:p>
            <w:pPr>
              <w:pStyle w:val="TableContents"/>
              <w:bidi w:val="0"/>
              <w:spacing w:before="0" w:after="283"/>
              <w:jc w:val="left"/>
              <w:rPr/>
            </w:pPr>
            <w:r>
              <w:rPr/>
              <w:t>12/14/2023</w:t>
            </w:r>
          </w:p>
        </w:tc>
        <w:tc>
          <w:tcPr>
            <w:tcW w:w="1479" w:type="dxa"/>
            <w:tcBorders/>
            <w:vAlign w:val="center"/>
          </w:tcPr>
          <w:p>
            <w:pPr>
              <w:pStyle w:val="TableContents"/>
              <w:bidi w:val="0"/>
              <w:spacing w:before="0" w:after="283"/>
              <w:jc w:val="left"/>
              <w:rPr/>
            </w:pPr>
            <w:r>
              <w:rPr/>
              <w:t>Dividend Reinvestment</w:t>
            </w:r>
          </w:p>
        </w:tc>
        <w:tc>
          <w:tcPr>
            <w:tcW w:w="1142"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4</w:t>
            </w:r>
          </w:p>
        </w:tc>
        <w:tc>
          <w:tcPr>
            <w:tcW w:w="1042" w:type="dxa"/>
            <w:tcBorders/>
            <w:vAlign w:val="center"/>
          </w:tcPr>
          <w:p>
            <w:pPr>
              <w:pStyle w:val="TableContents"/>
              <w:bidi w:val="0"/>
              <w:spacing w:before="0" w:after="283"/>
              <w:jc w:val="left"/>
              <w:rPr/>
            </w:pPr>
            <w:r>
              <w:rPr/>
              <w:t>12/14/2023</w:t>
            </w:r>
          </w:p>
        </w:tc>
        <w:tc>
          <w:tcPr>
            <w:tcW w:w="1600" w:type="dxa"/>
            <w:tcBorders/>
            <w:vAlign w:val="center"/>
          </w:tcPr>
          <w:p>
            <w:pPr>
              <w:pStyle w:val="TableContents"/>
              <w:bidi w:val="0"/>
              <w:spacing w:before="0" w:after="283"/>
              <w:jc w:val="left"/>
              <w:rPr/>
            </w:pPr>
            <w:r>
              <w:rPr/>
              <w:t>Cash</w:t>
            </w:r>
          </w:p>
        </w:tc>
      </w:tr>
      <w:tr>
        <w:trPr/>
        <w:tc>
          <w:tcPr>
            <w:tcW w:w="1083" w:type="dxa"/>
            <w:tcBorders/>
            <w:vAlign w:val="center"/>
          </w:tcPr>
          <w:p>
            <w:pPr>
              <w:pStyle w:val="TableContents"/>
              <w:bidi w:val="0"/>
              <w:spacing w:before="0" w:after="283"/>
              <w:jc w:val="left"/>
              <w:rPr/>
            </w:pPr>
            <w:r>
              <w:rPr/>
              <w:t>Common</w:t>
            </w:r>
          </w:p>
        </w:tc>
        <w:tc>
          <w:tcPr>
            <w:tcW w:w="1101" w:type="dxa"/>
            <w:tcBorders/>
            <w:vAlign w:val="center"/>
          </w:tcPr>
          <w:p>
            <w:pPr>
              <w:pStyle w:val="TableContents"/>
              <w:bidi w:val="0"/>
              <w:spacing w:before="0" w:after="283"/>
              <w:jc w:val="left"/>
              <w:rPr/>
            </w:pPr>
            <w:r>
              <w:rPr/>
              <w:t>12/15/2023</w:t>
            </w:r>
          </w:p>
        </w:tc>
        <w:tc>
          <w:tcPr>
            <w:tcW w:w="1479" w:type="dxa"/>
            <w:tcBorders/>
            <w:vAlign w:val="center"/>
          </w:tcPr>
          <w:p>
            <w:pPr>
              <w:pStyle w:val="TableContents"/>
              <w:bidi w:val="0"/>
              <w:spacing w:before="0" w:after="283"/>
              <w:jc w:val="left"/>
              <w:rPr/>
            </w:pPr>
            <w:r>
              <w:rPr/>
              <w:t>Restricted Stock Vesting</w:t>
            </w:r>
          </w:p>
        </w:tc>
        <w:tc>
          <w:tcPr>
            <w:tcW w:w="1142"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125</w:t>
            </w:r>
          </w:p>
        </w:tc>
        <w:tc>
          <w:tcPr>
            <w:tcW w:w="1042" w:type="dxa"/>
            <w:tcBorders/>
            <w:vAlign w:val="center"/>
          </w:tcPr>
          <w:p>
            <w:pPr>
              <w:pStyle w:val="TableContents"/>
              <w:bidi w:val="0"/>
              <w:spacing w:before="0" w:after="283"/>
              <w:jc w:val="left"/>
              <w:rPr/>
            </w:pPr>
            <w:r>
              <w:rPr/>
              <w:t>12/15/2023</w:t>
            </w:r>
          </w:p>
        </w:tc>
        <w:tc>
          <w:tcPr>
            <w:tcW w:w="1600" w:type="dxa"/>
            <w:tcBorders/>
            <w:vAlign w:val="center"/>
          </w:tcPr>
          <w:p>
            <w:pPr>
              <w:pStyle w:val="TableContents"/>
              <w:bidi w:val="0"/>
              <w:spacing w:before="0" w:after="283"/>
              <w:jc w:val="left"/>
              <w:rPr/>
            </w:pPr>
            <w:r>
              <w:rPr/>
              <w:t>Compensation</w:t>
            </w:r>
          </w:p>
        </w:tc>
      </w:tr>
      <w:tr>
        <w:trPr/>
        <w:tc>
          <w:tcPr>
            <w:tcW w:w="1083" w:type="dxa"/>
            <w:tcBorders/>
            <w:vAlign w:val="center"/>
          </w:tcPr>
          <w:p>
            <w:pPr>
              <w:pStyle w:val="TableContents"/>
              <w:bidi w:val="0"/>
              <w:spacing w:before="0" w:after="283"/>
              <w:jc w:val="left"/>
              <w:rPr/>
            </w:pPr>
            <w:r>
              <w:rPr/>
              <w:t>Common</w:t>
            </w:r>
          </w:p>
        </w:tc>
        <w:tc>
          <w:tcPr>
            <w:tcW w:w="1101" w:type="dxa"/>
            <w:tcBorders/>
            <w:vAlign w:val="center"/>
          </w:tcPr>
          <w:p>
            <w:pPr>
              <w:pStyle w:val="TableContents"/>
              <w:bidi w:val="0"/>
              <w:spacing w:before="0" w:after="283"/>
              <w:jc w:val="left"/>
              <w:rPr/>
            </w:pPr>
            <w:r>
              <w:rPr/>
              <w:t>02/23/2024</w:t>
            </w:r>
          </w:p>
        </w:tc>
        <w:tc>
          <w:tcPr>
            <w:tcW w:w="1479" w:type="dxa"/>
            <w:tcBorders/>
            <w:vAlign w:val="center"/>
          </w:tcPr>
          <w:p>
            <w:pPr>
              <w:pStyle w:val="TableContents"/>
              <w:bidi w:val="0"/>
              <w:spacing w:before="0" w:after="283"/>
              <w:jc w:val="left"/>
              <w:rPr/>
            </w:pPr>
            <w:r>
              <w:rPr/>
              <w:t>Restricted Stock Vesting</w:t>
            </w:r>
          </w:p>
        </w:tc>
        <w:tc>
          <w:tcPr>
            <w:tcW w:w="1142"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222</w:t>
            </w:r>
          </w:p>
        </w:tc>
        <w:tc>
          <w:tcPr>
            <w:tcW w:w="1042" w:type="dxa"/>
            <w:tcBorders/>
            <w:vAlign w:val="center"/>
          </w:tcPr>
          <w:p>
            <w:pPr>
              <w:pStyle w:val="TableContents"/>
              <w:bidi w:val="0"/>
              <w:spacing w:before="0" w:after="283"/>
              <w:jc w:val="left"/>
              <w:rPr/>
            </w:pPr>
            <w:r>
              <w:rPr/>
              <w:t>02/23/2024</w:t>
            </w:r>
          </w:p>
        </w:tc>
        <w:tc>
          <w:tcPr>
            <w:tcW w:w="1600" w:type="dxa"/>
            <w:tcBorders/>
            <w:vAlign w:val="center"/>
          </w:tcPr>
          <w:p>
            <w:pPr>
              <w:pStyle w:val="TableContents"/>
              <w:bidi w:val="0"/>
              <w:spacing w:before="0" w:after="283"/>
              <w:jc w:val="left"/>
              <w:rPr/>
            </w:pPr>
            <w:r>
              <w:rPr/>
              <w:t>Compensation</w:t>
            </w:r>
          </w:p>
        </w:tc>
      </w:tr>
      <w:tr>
        <w:trPr/>
        <w:tc>
          <w:tcPr>
            <w:tcW w:w="1083" w:type="dxa"/>
            <w:tcBorders/>
            <w:vAlign w:val="center"/>
          </w:tcPr>
          <w:p>
            <w:pPr>
              <w:pStyle w:val="TableContents"/>
              <w:bidi w:val="0"/>
              <w:spacing w:before="0" w:after="283"/>
              <w:jc w:val="left"/>
              <w:rPr/>
            </w:pPr>
            <w:r>
              <w:rPr/>
              <w:t>Common</w:t>
            </w:r>
          </w:p>
        </w:tc>
        <w:tc>
          <w:tcPr>
            <w:tcW w:w="1101" w:type="dxa"/>
            <w:tcBorders/>
            <w:vAlign w:val="center"/>
          </w:tcPr>
          <w:p>
            <w:pPr>
              <w:pStyle w:val="TableContents"/>
              <w:bidi w:val="0"/>
              <w:spacing w:before="0" w:after="283"/>
              <w:jc w:val="left"/>
              <w:rPr/>
            </w:pPr>
            <w:r>
              <w:rPr/>
              <w:t>03/27/2024</w:t>
            </w:r>
          </w:p>
        </w:tc>
        <w:tc>
          <w:tcPr>
            <w:tcW w:w="1479" w:type="dxa"/>
            <w:tcBorders/>
            <w:vAlign w:val="center"/>
          </w:tcPr>
          <w:p>
            <w:pPr>
              <w:pStyle w:val="TableContents"/>
              <w:bidi w:val="0"/>
              <w:spacing w:before="0" w:after="283"/>
              <w:jc w:val="left"/>
              <w:rPr/>
            </w:pPr>
            <w:r>
              <w:rPr/>
              <w:t>Dividend Reinvestment</w:t>
            </w:r>
          </w:p>
        </w:tc>
        <w:tc>
          <w:tcPr>
            <w:tcW w:w="1142"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4</w:t>
            </w:r>
          </w:p>
        </w:tc>
        <w:tc>
          <w:tcPr>
            <w:tcW w:w="1042" w:type="dxa"/>
            <w:tcBorders/>
            <w:vAlign w:val="center"/>
          </w:tcPr>
          <w:p>
            <w:pPr>
              <w:pStyle w:val="TableContents"/>
              <w:bidi w:val="0"/>
              <w:spacing w:before="0" w:after="283"/>
              <w:jc w:val="left"/>
              <w:rPr/>
            </w:pPr>
            <w:r>
              <w:rPr/>
              <w:t>03/27/2024</w:t>
            </w:r>
          </w:p>
        </w:tc>
        <w:tc>
          <w:tcPr>
            <w:tcW w:w="1600" w:type="dxa"/>
            <w:tcBorders/>
            <w:vAlign w:val="center"/>
          </w:tcPr>
          <w:p>
            <w:pPr>
              <w:pStyle w:val="TableContents"/>
              <w:bidi w:val="0"/>
              <w:spacing w:before="0" w:after="283"/>
              <w:jc w:val="left"/>
              <w:rPr/>
            </w:pPr>
            <w:r>
              <w:rPr/>
              <w:t>Cash</w:t>
            </w:r>
          </w:p>
        </w:tc>
      </w:tr>
      <w:tr>
        <w:trPr/>
        <w:tc>
          <w:tcPr>
            <w:tcW w:w="1083" w:type="dxa"/>
            <w:tcBorders/>
            <w:vAlign w:val="center"/>
          </w:tcPr>
          <w:p>
            <w:pPr>
              <w:pStyle w:val="TableContents"/>
              <w:bidi w:val="0"/>
              <w:spacing w:before="0" w:after="283"/>
              <w:jc w:val="left"/>
              <w:rPr/>
            </w:pPr>
            <w:r>
              <w:rPr/>
              <w:t>Common</w:t>
            </w:r>
          </w:p>
        </w:tc>
        <w:tc>
          <w:tcPr>
            <w:tcW w:w="1101" w:type="dxa"/>
            <w:tcBorders/>
            <w:vAlign w:val="center"/>
          </w:tcPr>
          <w:p>
            <w:pPr>
              <w:pStyle w:val="TableContents"/>
              <w:bidi w:val="0"/>
              <w:spacing w:before="0" w:after="283"/>
              <w:jc w:val="left"/>
              <w:rPr/>
            </w:pPr>
            <w:r>
              <w:rPr/>
              <w:t>06/20/2024</w:t>
            </w:r>
          </w:p>
        </w:tc>
        <w:tc>
          <w:tcPr>
            <w:tcW w:w="1479" w:type="dxa"/>
            <w:tcBorders/>
            <w:vAlign w:val="center"/>
          </w:tcPr>
          <w:p>
            <w:pPr>
              <w:pStyle w:val="TableContents"/>
              <w:bidi w:val="0"/>
              <w:spacing w:before="0" w:after="283"/>
              <w:jc w:val="left"/>
              <w:rPr/>
            </w:pPr>
            <w:r>
              <w:rPr/>
              <w:t>Dividend Reinvestment</w:t>
            </w:r>
          </w:p>
        </w:tc>
        <w:tc>
          <w:tcPr>
            <w:tcW w:w="1142"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4</w:t>
            </w:r>
          </w:p>
        </w:tc>
        <w:tc>
          <w:tcPr>
            <w:tcW w:w="1042" w:type="dxa"/>
            <w:tcBorders/>
            <w:vAlign w:val="center"/>
          </w:tcPr>
          <w:p>
            <w:pPr>
              <w:pStyle w:val="TableContents"/>
              <w:bidi w:val="0"/>
              <w:spacing w:before="0" w:after="283"/>
              <w:jc w:val="left"/>
              <w:rPr/>
            </w:pPr>
            <w:r>
              <w:rPr/>
              <w:t>06/20/2026</w:t>
            </w:r>
          </w:p>
        </w:tc>
        <w:tc>
          <w:tcPr>
            <w:tcW w:w="1600" w:type="dxa"/>
            <w:tcBorders/>
            <w:vAlign w:val="center"/>
          </w:tcPr>
          <w:p>
            <w:pPr>
              <w:pStyle w:val="TableContents"/>
              <w:bidi w:val="0"/>
              <w:spacing w:before="0" w:after="283"/>
              <w:jc w:val="left"/>
              <w:rPr/>
            </w:pPr>
            <w:r>
              <w:rPr/>
              <w:t>Cash</w:t>
            </w:r>
          </w:p>
        </w:tc>
      </w:tr>
      <w:tr>
        <w:trPr/>
        <w:tc>
          <w:tcPr>
            <w:tcW w:w="1083" w:type="dxa"/>
            <w:tcBorders/>
            <w:vAlign w:val="center"/>
          </w:tcPr>
          <w:p>
            <w:pPr>
              <w:pStyle w:val="TableContents"/>
              <w:bidi w:val="0"/>
              <w:spacing w:before="0" w:after="283"/>
              <w:jc w:val="left"/>
              <w:rPr/>
            </w:pPr>
            <w:r>
              <w:rPr/>
              <w:t>Common</w:t>
            </w:r>
          </w:p>
        </w:tc>
        <w:tc>
          <w:tcPr>
            <w:tcW w:w="1101" w:type="dxa"/>
            <w:tcBorders/>
            <w:vAlign w:val="center"/>
          </w:tcPr>
          <w:p>
            <w:pPr>
              <w:pStyle w:val="TableContents"/>
              <w:bidi w:val="0"/>
              <w:spacing w:before="0" w:after="283"/>
              <w:jc w:val="left"/>
              <w:rPr/>
            </w:pPr>
            <w:r>
              <w:rPr/>
              <w:t>06/30/2024</w:t>
            </w:r>
          </w:p>
        </w:tc>
        <w:tc>
          <w:tcPr>
            <w:tcW w:w="1479" w:type="dxa"/>
            <w:tcBorders/>
            <w:vAlign w:val="center"/>
          </w:tcPr>
          <w:p>
            <w:pPr>
              <w:pStyle w:val="TableContents"/>
              <w:bidi w:val="0"/>
              <w:spacing w:before="0" w:after="283"/>
              <w:jc w:val="left"/>
              <w:rPr/>
            </w:pPr>
            <w:r>
              <w:rPr/>
              <w:t>ESPP Purchase</w:t>
            </w:r>
          </w:p>
        </w:tc>
        <w:tc>
          <w:tcPr>
            <w:tcW w:w="1142"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101</w:t>
            </w:r>
          </w:p>
        </w:tc>
        <w:tc>
          <w:tcPr>
            <w:tcW w:w="1042" w:type="dxa"/>
            <w:tcBorders/>
            <w:vAlign w:val="center"/>
          </w:tcPr>
          <w:p>
            <w:pPr>
              <w:pStyle w:val="TableContents"/>
              <w:bidi w:val="0"/>
              <w:spacing w:before="0" w:after="283"/>
              <w:jc w:val="left"/>
              <w:rPr/>
            </w:pPr>
            <w:r>
              <w:rPr/>
              <w:t>06/30/2024</w:t>
            </w:r>
          </w:p>
        </w:tc>
        <w:tc>
          <w:tcPr>
            <w:tcW w:w="1600" w:type="dxa"/>
            <w:tcBorders/>
            <w:vAlign w:val="center"/>
          </w:tcPr>
          <w:p>
            <w:pPr>
              <w:pStyle w:val="TableContents"/>
              <w:bidi w:val="0"/>
              <w:spacing w:before="0" w:after="283"/>
              <w:jc w:val="left"/>
              <w:rPr/>
            </w:pPr>
            <w:r>
              <w:rPr/>
              <w:t>Cash</w:t>
            </w:r>
          </w:p>
        </w:tc>
      </w:tr>
      <w:tr>
        <w:trPr/>
        <w:tc>
          <w:tcPr>
            <w:tcW w:w="1083" w:type="dxa"/>
            <w:tcBorders/>
            <w:vAlign w:val="center"/>
          </w:tcPr>
          <w:p>
            <w:pPr>
              <w:pStyle w:val="TableContents"/>
              <w:bidi w:val="0"/>
              <w:spacing w:before="0" w:after="283"/>
              <w:jc w:val="left"/>
              <w:rPr/>
            </w:pPr>
            <w:r>
              <w:rPr/>
              <w:t>Common</w:t>
            </w:r>
          </w:p>
        </w:tc>
        <w:tc>
          <w:tcPr>
            <w:tcW w:w="1101" w:type="dxa"/>
            <w:tcBorders/>
            <w:vAlign w:val="center"/>
          </w:tcPr>
          <w:p>
            <w:pPr>
              <w:pStyle w:val="TableContents"/>
              <w:bidi w:val="0"/>
              <w:spacing w:before="0" w:after="283"/>
              <w:jc w:val="left"/>
              <w:rPr/>
            </w:pPr>
            <w:r>
              <w:rPr/>
              <w:t>12/31/2024</w:t>
            </w:r>
          </w:p>
        </w:tc>
        <w:tc>
          <w:tcPr>
            <w:tcW w:w="1479" w:type="dxa"/>
            <w:tcBorders/>
            <w:vAlign w:val="center"/>
          </w:tcPr>
          <w:p>
            <w:pPr>
              <w:pStyle w:val="TableContents"/>
              <w:bidi w:val="0"/>
              <w:spacing w:before="0" w:after="283"/>
              <w:jc w:val="left"/>
              <w:rPr/>
            </w:pPr>
            <w:r>
              <w:rPr/>
              <w:t>ESPP Purchase</w:t>
            </w:r>
          </w:p>
        </w:tc>
        <w:tc>
          <w:tcPr>
            <w:tcW w:w="1142"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18</w:t>
            </w:r>
          </w:p>
        </w:tc>
        <w:tc>
          <w:tcPr>
            <w:tcW w:w="1042" w:type="dxa"/>
            <w:tcBorders/>
            <w:vAlign w:val="center"/>
          </w:tcPr>
          <w:p>
            <w:pPr>
              <w:pStyle w:val="TableContents"/>
              <w:bidi w:val="0"/>
              <w:spacing w:before="0" w:after="283"/>
              <w:jc w:val="left"/>
              <w:rPr/>
            </w:pPr>
            <w:r>
              <w:rPr/>
              <w:t>12/31/2024</w:t>
            </w:r>
          </w:p>
        </w:tc>
        <w:tc>
          <w:tcPr>
            <w:tcW w:w="1600" w:type="dxa"/>
            <w:tcBorders/>
            <w:vAlign w:val="center"/>
          </w:tcPr>
          <w:p>
            <w:pPr>
              <w:pStyle w:val="TableContents"/>
              <w:bidi w:val="0"/>
              <w:spacing w:before="0" w:after="283"/>
              <w:jc w:val="left"/>
              <w:rPr/>
            </w:pPr>
            <w:r>
              <w:rPr/>
              <w:t>Cash</w:t>
            </w:r>
          </w:p>
        </w:tc>
      </w:tr>
      <w:tr>
        <w:trPr/>
        <w:tc>
          <w:tcPr>
            <w:tcW w:w="1083" w:type="dxa"/>
            <w:tcBorders/>
            <w:vAlign w:val="center"/>
          </w:tcPr>
          <w:p>
            <w:pPr>
              <w:pStyle w:val="TableContents"/>
              <w:bidi w:val="0"/>
              <w:spacing w:before="0" w:after="283"/>
              <w:jc w:val="left"/>
              <w:rPr/>
            </w:pPr>
            <w:r>
              <w:rPr/>
              <w:t>Common</w:t>
            </w:r>
          </w:p>
        </w:tc>
        <w:tc>
          <w:tcPr>
            <w:tcW w:w="1101" w:type="dxa"/>
            <w:tcBorders/>
            <w:vAlign w:val="center"/>
          </w:tcPr>
          <w:p>
            <w:pPr>
              <w:pStyle w:val="TableContents"/>
              <w:bidi w:val="0"/>
              <w:spacing w:before="0" w:after="283"/>
              <w:jc w:val="left"/>
              <w:rPr/>
            </w:pPr>
            <w:r>
              <w:rPr/>
              <w:t>02/25/2026</w:t>
            </w:r>
          </w:p>
        </w:tc>
        <w:tc>
          <w:tcPr>
            <w:tcW w:w="1479" w:type="dxa"/>
            <w:tcBorders/>
            <w:vAlign w:val="center"/>
          </w:tcPr>
          <w:p>
            <w:pPr>
              <w:pStyle w:val="TableContents"/>
              <w:bidi w:val="0"/>
              <w:spacing w:before="0" w:after="283"/>
              <w:jc w:val="left"/>
              <w:rPr/>
            </w:pPr>
            <w:r>
              <w:rPr/>
              <w:t>Restricted Stock Vesting</w:t>
            </w:r>
          </w:p>
        </w:tc>
        <w:tc>
          <w:tcPr>
            <w:tcW w:w="1142"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183</w:t>
            </w:r>
          </w:p>
        </w:tc>
        <w:tc>
          <w:tcPr>
            <w:tcW w:w="1042" w:type="dxa"/>
            <w:tcBorders/>
            <w:vAlign w:val="center"/>
          </w:tcPr>
          <w:p>
            <w:pPr>
              <w:pStyle w:val="TableContents"/>
              <w:bidi w:val="0"/>
              <w:spacing w:before="0" w:after="283"/>
              <w:jc w:val="left"/>
              <w:rPr/>
            </w:pPr>
            <w:r>
              <w:rPr/>
              <w:t>02/25/2026</w:t>
            </w:r>
          </w:p>
        </w:tc>
        <w:tc>
          <w:tcPr>
            <w:tcW w:w="1600" w:type="dxa"/>
            <w:tcBorders/>
            <w:vAlign w:val="center"/>
          </w:tcPr>
          <w:p>
            <w:pPr>
              <w:pStyle w:val="TableContents"/>
              <w:bidi w:val="0"/>
              <w:spacing w:before="0" w:after="283"/>
              <w:jc w:val="left"/>
              <w:rPr/>
            </w:pPr>
            <w:r>
              <w:rPr/>
              <w:t>Compensation</w:t>
            </w:r>
          </w:p>
        </w:tc>
      </w:tr>
      <w:tr>
        <w:trPr/>
        <w:tc>
          <w:tcPr>
            <w:tcW w:w="1083" w:type="dxa"/>
            <w:tcBorders/>
            <w:vAlign w:val="center"/>
          </w:tcPr>
          <w:p>
            <w:pPr>
              <w:pStyle w:val="TableContents"/>
              <w:bidi w:val="0"/>
              <w:spacing w:before="0" w:after="283"/>
              <w:jc w:val="left"/>
              <w:rPr/>
            </w:pPr>
            <w:r>
              <w:rPr/>
              <w:t>Common</w:t>
            </w:r>
          </w:p>
        </w:tc>
        <w:tc>
          <w:tcPr>
            <w:tcW w:w="1101" w:type="dxa"/>
            <w:tcBorders/>
            <w:vAlign w:val="center"/>
          </w:tcPr>
          <w:p>
            <w:pPr>
              <w:pStyle w:val="TableContents"/>
              <w:bidi w:val="0"/>
              <w:spacing w:before="0" w:after="283"/>
              <w:jc w:val="left"/>
              <w:rPr/>
            </w:pPr>
            <w:r>
              <w:rPr/>
              <w:t>03/07/2026</w:t>
            </w:r>
          </w:p>
        </w:tc>
        <w:tc>
          <w:tcPr>
            <w:tcW w:w="1479" w:type="dxa"/>
            <w:tcBorders/>
            <w:vAlign w:val="center"/>
          </w:tcPr>
          <w:p>
            <w:pPr>
              <w:pStyle w:val="TableContents"/>
              <w:bidi w:val="0"/>
              <w:spacing w:before="0" w:after="283"/>
              <w:jc w:val="left"/>
              <w:rPr/>
            </w:pPr>
            <w:r>
              <w:rPr/>
              <w:t>Restricted Stock Vesting</w:t>
            </w:r>
          </w:p>
        </w:tc>
        <w:tc>
          <w:tcPr>
            <w:tcW w:w="1142" w:type="dxa"/>
            <w:tcBorders/>
            <w:vAlign w:val="center"/>
          </w:tcPr>
          <w:p>
            <w:pPr>
              <w:pStyle w:val="TableContents"/>
              <w:bidi w:val="0"/>
              <w:spacing w:before="0" w:after="283"/>
              <w:jc w:val="left"/>
              <w:rPr/>
            </w:pPr>
            <w:r>
              <w:rPr/>
              <w:t>Issuer</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229</w:t>
            </w:r>
          </w:p>
        </w:tc>
        <w:tc>
          <w:tcPr>
            <w:tcW w:w="1042" w:type="dxa"/>
            <w:tcBorders/>
            <w:vAlign w:val="center"/>
          </w:tcPr>
          <w:p>
            <w:pPr>
              <w:pStyle w:val="TableContents"/>
              <w:bidi w:val="0"/>
              <w:spacing w:before="0" w:after="283"/>
              <w:jc w:val="left"/>
              <w:rPr/>
            </w:pPr>
            <w:r>
              <w:rPr/>
              <w:t>03/07/2026</w:t>
            </w:r>
          </w:p>
        </w:tc>
        <w:tc>
          <w:tcPr>
            <w:tcW w:w="160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81"/>
        <w:gridCol w:w="8424"/>
      </w:tblGrid>
      <w:tr>
        <w:trPr/>
        <w:tc>
          <w:tcPr>
            <w:tcW w:w="1781" w:type="dxa"/>
            <w:tcBorders/>
            <w:vAlign w:val="center"/>
          </w:tcPr>
          <w:p>
            <w:pPr>
              <w:pStyle w:val="TableContents"/>
              <w:bidi w:val="0"/>
              <w:spacing w:before="0" w:after="283"/>
              <w:jc w:val="left"/>
              <w:rPr/>
            </w:pPr>
            <w:r>
              <w:rPr/>
              <w:t>Remarks</w:t>
            </w:r>
          </w:p>
        </w:tc>
        <w:tc>
          <w:tcPr>
            <w:tcW w:w="8424" w:type="dxa"/>
            <w:tcBorders/>
            <w:vAlign w:val="center"/>
          </w:tcPr>
          <w:p>
            <w:pPr>
              <w:pStyle w:val="TableContents"/>
              <w:bidi w:val="0"/>
              <w:spacing w:before="0" w:after="0"/>
              <w:jc w:val="left"/>
              <w:rPr/>
            </w:pPr>
            <w:r>
              <w:rPr/>
              <w:t xml:space="preserve">The sale today took place in the Jjc Cache Llc account in which John Carroll is an account stakeholder. </w:t>
            </w:r>
          </w:p>
        </w:tc>
      </w:tr>
      <w:tr>
        <w:trPr/>
        <w:tc>
          <w:tcPr>
            <w:tcW w:w="1781" w:type="dxa"/>
            <w:tcBorders/>
            <w:vAlign w:val="center"/>
          </w:tcPr>
          <w:p>
            <w:pPr>
              <w:pStyle w:val="TableContents"/>
              <w:bidi w:val="0"/>
              <w:spacing w:before="0" w:after="283"/>
              <w:jc w:val="left"/>
              <w:rPr/>
            </w:pPr>
            <w:r>
              <w:rPr/>
              <w:t>Date of Notice</w:t>
            </w:r>
          </w:p>
        </w:tc>
        <w:tc>
          <w:tcPr>
            <w:tcW w:w="8424"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81" w:type="dxa"/>
            <w:tcBorders/>
            <w:vAlign w:val="center"/>
          </w:tcPr>
          <w:p>
            <w:pPr>
              <w:pStyle w:val="TableContents"/>
              <w:bidi w:val="0"/>
              <w:spacing w:before="0" w:after="283"/>
              <w:jc w:val="left"/>
              <w:rPr/>
            </w:pPr>
            <w:r>
              <w:rPr/>
              <w:t>Signature</w:t>
            </w:r>
          </w:p>
        </w:tc>
        <w:tc>
          <w:tcPr>
            <w:tcW w:w="8424" w:type="dxa"/>
            <w:tcBorders/>
            <w:vAlign w:val="center"/>
          </w:tcPr>
          <w:p>
            <w:pPr>
              <w:pStyle w:val="TableContents"/>
              <w:bidi w:val="0"/>
              <w:spacing w:before="0" w:after="0"/>
              <w:jc w:val="left"/>
              <w:rPr/>
            </w:pPr>
            <w:r>
              <w:rPr/>
              <w:t>/s/ Daniel Tucci, as a duly authorized representative of Fidelity Brokerage Services LLC, as attorney-in-fact for John Carroll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747</Words>
  <Characters>4091</Characters>
  <CharactersWithSpaces>4665</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