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3)*</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Waste Management Inc.</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94106L109</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2014</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94106L109</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Research Global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558"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21,603,100</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21,603,100</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21,603,100</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4.7%</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94106L109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tabs>
          <w:tab w:leader="none" w:pos="2940" w:val="left"/>
        </w:tabs>
        <w:rPr>
          <w:sz w:val="20"/>
          <w:szCs w:val="20"/>
          <w:color w:val="auto"/>
        </w:rPr>
      </w:pPr>
      <w:r>
        <w:rPr>
          <w:rFonts w:ascii="Courier New" w:cs="Courier New" w:eastAsia="Courier New" w:hAnsi="Courier New"/>
          <w:sz w:val="18"/>
          <w:szCs w:val="18"/>
          <w:color w:val="auto"/>
        </w:rPr>
        <w:t>1001 Fannin Street,</w:t>
      </w:r>
      <w:r>
        <w:rPr>
          <w:sz w:val="20"/>
          <w:szCs w:val="20"/>
          <w:color w:val="auto"/>
        </w:rPr>
        <w:tab/>
      </w:r>
      <w:r>
        <w:rPr>
          <w:rFonts w:ascii="Courier New" w:cs="Courier New" w:eastAsia="Courier New" w:hAnsi="Courier New"/>
          <w:sz w:val="16"/>
          <w:szCs w:val="16"/>
          <w:color w:val="auto"/>
        </w:rPr>
        <w:t>Ste 4000</w:t>
      </w:r>
    </w:p>
    <w:p>
      <w:pPr>
        <w:ind w:left="740"/>
        <w:spacing w:after="0"/>
        <w:rPr>
          <w:sz w:val="20"/>
          <w:szCs w:val="20"/>
          <w:color w:val="auto"/>
        </w:rPr>
      </w:pPr>
      <w:r>
        <w:rPr>
          <w:rFonts w:ascii="Courier New" w:cs="Courier New" w:eastAsia="Courier New" w:hAnsi="Courier New"/>
          <w:sz w:val="18"/>
          <w:szCs w:val="18"/>
          <w:color w:val="auto"/>
        </w:rPr>
        <w:t>Houston TX 77002</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142"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Research Global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2(c)</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Citizenship:</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Title of Class</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of Securities:</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Common</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2(e)</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CUSIP Number:</w:t>
            </w:r>
          </w:p>
        </w:tc>
        <w:tc>
          <w:tcPr>
            <w:tcW w:w="446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94106L109</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0" w:type="dxa"/>
            <w:vAlign w:val="bottom"/>
          </w:tcPr>
          <w:p>
            <w:pPr>
              <w:ind w:left="460"/>
              <w:spacing w:after="0"/>
              <w:rPr>
                <w:sz w:val="20"/>
                <w:szCs w:val="20"/>
                <w:color w:val="auto"/>
              </w:rPr>
            </w:pPr>
            <w:r>
              <w:rPr>
                <w:rFonts w:ascii="Courier New" w:cs="Courier New" w:eastAsia="Courier New" w:hAnsi="Courier New"/>
                <w:sz w:val="18"/>
                <w:szCs w:val="18"/>
                <w:color w:val="auto"/>
              </w:rPr>
              <w:t>If</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this statement</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w w:val="96"/>
              </w:rPr>
              <w:t>is filed pursuant to sections 240.13d-1(b)</w:t>
            </w:r>
          </w:p>
        </w:tc>
      </w:tr>
      <w:tr>
        <w:trPr>
          <w:trHeight w:val="203"/>
        </w:trPr>
        <w:tc>
          <w:tcPr>
            <w:tcW w:w="700" w:type="dxa"/>
            <w:vAlign w:val="bottom"/>
          </w:tcPr>
          <w:p>
            <w:pPr>
              <w:spacing w:after="0"/>
              <w:rPr>
                <w:sz w:val="17"/>
                <w:szCs w:val="17"/>
                <w:color w:val="auto"/>
              </w:rPr>
            </w:pPr>
          </w:p>
        </w:tc>
        <w:tc>
          <w:tcPr>
            <w:tcW w:w="67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or 240.13d-2(b) or (c), check whether the person filing is a:</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w:t>
            </w:r>
          </w:p>
        </w:tc>
        <w:tc>
          <w:tcPr>
            <w:tcW w:w="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[X]</w:t>
            </w:r>
          </w:p>
        </w:tc>
        <w:tc>
          <w:tcPr>
            <w:tcW w:w="5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 investment adviser in accordance with</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939"/>
        <w:spacing w:after="0" w:line="237" w:lineRule="auto"/>
        <w:rPr>
          <w:sz w:val="20"/>
          <w:szCs w:val="20"/>
          <w:color w:val="auto"/>
        </w:rPr>
      </w:pPr>
      <w:r>
        <w:rPr>
          <w:rFonts w:ascii="Courier New" w:cs="Courier New" w:eastAsia="Courier New" w:hAnsi="Courier New"/>
          <w:sz w:val="18"/>
          <w:szCs w:val="18"/>
          <w:color w:val="auto"/>
        </w:rPr>
        <w:t>Capital Research Global Investors is deemed to be the beneficial owner of 21,603,100 shares or 4.7% of the 457,920,973 shares believed to be outstanding as a result of CRMC acting as investment adviser to various investment companies registered under Section 8 of the Investment Company Act of 1940.</w:t>
      </w:r>
    </w:p>
    <w:p>
      <w:pPr>
        <w:spacing w:after="0" w:line="204"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94106L109</w:t>
      </w:r>
      <w:r>
        <w:rPr>
          <w:sz w:val="20"/>
          <w:szCs w:val="20"/>
          <w:color w:val="auto"/>
        </w:rPr>
        <w:tab/>
      </w:r>
      <w:r>
        <w:rPr>
          <w:rFonts w:ascii="Courier New" w:cs="Courier New" w:eastAsia="Courier New" w:hAnsi="Courier New"/>
          <w:sz w:val="16"/>
          <w:szCs w:val="16"/>
          <w:color w:val="auto"/>
        </w:rPr>
        <w:t>Page 3 of 4</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[X]</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36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February 11, 2015</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36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Timothy D. Armour***</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Timothy</w:t>
            </w:r>
          </w:p>
        </w:tc>
        <w:tc>
          <w:tcPr>
            <w:tcW w:w="2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 Armour - Partner</w:t>
            </w:r>
          </w:p>
        </w:tc>
      </w:tr>
      <w:tr>
        <w:trPr>
          <w:trHeight w:val="203"/>
        </w:trPr>
        <w:tc>
          <w:tcPr>
            <w:tcW w:w="1360" w:type="dxa"/>
            <w:vAlign w:val="bottom"/>
          </w:tcPr>
          <w:p>
            <w:pPr>
              <w:spacing w:after="0"/>
              <w:rPr>
                <w:sz w:val="17"/>
                <w:szCs w:val="17"/>
                <w:color w:val="auto"/>
              </w:rPr>
            </w:pP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w:t>
            </w:r>
          </w:p>
        </w:tc>
        <w:tc>
          <w:tcPr>
            <w:tcW w:w="2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Research Global Investors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***By</w:t>
        <w:tab/>
        <w:t>/s/ Herbert Y. Poon</w:t>
      </w:r>
    </w:p>
    <w:p>
      <w:pPr>
        <w:ind w:left="1580"/>
        <w:spacing w:after="0" w:line="238" w:lineRule="auto"/>
        <w:rPr>
          <w:sz w:val="20"/>
          <w:szCs w:val="20"/>
          <w:color w:val="auto"/>
        </w:rPr>
      </w:pPr>
      <w:r>
        <w:rPr>
          <w:rFonts w:ascii="Courier New" w:cs="Courier New" w:eastAsia="Courier New" w:hAnsi="Courier New"/>
          <w:sz w:val="18"/>
          <w:szCs w:val="18"/>
          <w:color w:val="auto"/>
        </w:rPr>
        <w:t>Herbert Y. Poon</w:t>
      </w: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206" w:lineRule="exact"/>
        <w:rPr>
          <w:sz w:val="20"/>
          <w:szCs w:val="20"/>
          <w:color w:val="auto"/>
        </w:rPr>
      </w:pPr>
    </w:p>
    <w:p>
      <w:pPr>
        <w:ind w:left="106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February 2, 2015 included as an Exhibit to Schedule 13G filed with the Securities and Exchange Commission by Capital Research Global Investors on February 9, 2015 with respect to Southwestern Energy Company.</w:t>
      </w:r>
    </w:p>
    <w:p>
      <w:pPr>
        <w:sectPr>
          <w:pgSz w:w="11900" w:h="16838" w:orient="portrait"/>
          <w:cols w:equalWidth="0" w:num="1">
            <w:col w:w="10219"/>
          </w:cols>
          <w:pgMar w:left="240" w:top="136" w:right="1440" w:bottom="0" w:gutter="0" w:footer="0" w:header="0"/>
        </w:sectPr>
      </w:pPr>
    </w:p>
    <w:bookmarkStart w:id="3" w:name="page4"/>
    <w:bookmarkEnd w:id="3"/>
    <w:p>
      <w:pPr>
        <w:spacing w:after="0" w:line="11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94106L109</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
      <w:numFmt w:val="bullet"/>
      <w:start w:val="1"/>
    </w:lvl>
    <w:lvl w:ilvl="1">
      <w:lvlJc w:val="left"/>
      <w:lvlText w:val="%2"/>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2019-12-21T03:58:21Z</dcterms:created>
  <dcterms:modified xsi:type="dcterms:W3CDTF">2019-12-21T03:58:21Z</dcterms:modified>
</cp:coreProperties>
</file>