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229870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7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25, 2018</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Waste Management,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340"/>
          </w:cols>
          <w:pgMar w:left="240" w:top="544" w:right="31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1-12154</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73-1309529</w:t>
      </w:r>
    </w:p>
    <w:p>
      <w:pPr>
        <w:spacing w:after="0" w:line="27" w:lineRule="exact"/>
        <w:rPr>
          <w:sz w:val="24"/>
          <w:szCs w:val="24"/>
          <w:color w:val="auto"/>
        </w:rPr>
      </w:pPr>
    </w:p>
    <w:p>
      <w:pPr>
        <w:jc w:val="center"/>
        <w:ind w:right="50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2980"/>
          </w:cols>
          <w:pgMar w:left="240" w:top="544" w:right="319" w:bottom="0" w:gutter="0" w:footer="0" w:header="0"/>
          <w:type w:val="continuous"/>
        </w:sectPr>
      </w:pPr>
    </w:p>
    <w:p>
      <w:pPr>
        <w:ind w:left="132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340"/>
          </w:cols>
          <w:pgMar w:left="240" w:top="544" w:right="319" w:bottom="0" w:gutter="0" w:footer="0" w:header="0"/>
          <w:type w:val="continuous"/>
        </w:sectPr>
      </w:pPr>
    </w:p>
    <w:p>
      <w:pPr>
        <w:spacing w:after="0" w:line="230"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1001 Fannin, Houston, Texas</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320"/>
        <w:spacing w:after="0"/>
        <w:rPr>
          <w:sz w:val="20"/>
          <w:szCs w:val="20"/>
          <w:color w:val="auto"/>
        </w:rPr>
      </w:pPr>
      <w:r>
        <w:rPr>
          <w:rFonts w:ascii="Arial" w:cs="Arial" w:eastAsia="Arial" w:hAnsi="Arial"/>
          <w:sz w:val="18"/>
          <w:szCs w:val="18"/>
          <w:b w:val="1"/>
          <w:bCs w:val="1"/>
          <w:color w:val="auto"/>
        </w:rPr>
        <w:t>77002</w:t>
      </w:r>
    </w:p>
    <w:p>
      <w:pPr>
        <w:spacing w:after="0" w:line="27" w:lineRule="exact"/>
        <w:rPr>
          <w:sz w:val="24"/>
          <w:szCs w:val="24"/>
          <w:color w:val="auto"/>
        </w:rPr>
      </w:pPr>
    </w:p>
    <w:p>
      <w:pPr>
        <w:jc w:val="center"/>
        <w:ind w:right="232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00" w:space="720"/>
            <w:col w:w="3120"/>
          </w:cols>
          <w:pgMar w:left="240" w:top="544"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512-6200</w:t>
      </w:r>
    </w:p>
    <w:p>
      <w:pPr>
        <w:spacing w:after="0" w:line="200" w:lineRule="exact"/>
        <w:rPr>
          <w:sz w:val="24"/>
          <w:szCs w:val="24"/>
          <w:color w:val="auto"/>
        </w:rPr>
      </w:pPr>
    </w:p>
    <w:p>
      <w:pPr>
        <w:spacing w:after="0" w:line="245"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440"/>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60" w:firstLine="441"/>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firstLine="648"/>
        <w:spacing w:after="0" w:line="297" w:lineRule="auto"/>
        <w:rPr>
          <w:sz w:val="20"/>
          <w:szCs w:val="20"/>
          <w:color w:val="auto"/>
        </w:rPr>
      </w:pPr>
      <w:r>
        <w:rPr>
          <w:rFonts w:ascii="Arial" w:cs="Arial" w:eastAsia="Arial" w:hAnsi="Arial"/>
          <w:sz w:val="16"/>
          <w:szCs w:val="16"/>
          <w:color w:val="auto"/>
        </w:rPr>
        <w:t>Waste Management, Inc. (the “Company”) issued a press release this morning announcing its financial results for the second quarter of 2018, a copy of which is attached hereto as Exhibit 99.1. The Company is holding a conference call to discuss these results beginning at 9:00 a.m. Central Time this morning. The call will be webcast live and may be heard by accessing the Investor Relations section of the Company’s website at www.wm.com. The call may also be heard by dialing (877) 710-6139 and entering access code 2373399. A replay of the call will be available on the Company’s website and by telephone until August 15, 2018. To access a replay telephonically, please dial (855) 859-2056 and use the replay conference ID number 2373399.</w:t>
      </w:r>
    </w:p>
    <w:p>
      <w:pPr>
        <w:spacing w:after="0" w:line="158" w:lineRule="exact"/>
        <w:rPr>
          <w:sz w:val="24"/>
          <w:szCs w:val="24"/>
          <w:color w:val="auto"/>
        </w:rPr>
      </w:pPr>
    </w:p>
    <w:p>
      <w:pPr>
        <w:ind w:right="320" w:firstLine="648"/>
        <w:spacing w:after="0" w:line="264" w:lineRule="auto"/>
        <w:rPr>
          <w:sz w:val="20"/>
          <w:szCs w:val="20"/>
          <w:color w:val="auto"/>
        </w:rPr>
      </w:pPr>
      <w:r>
        <w:rPr>
          <w:rFonts w:ascii="Arial" w:cs="Arial" w:eastAsia="Arial" w:hAnsi="Arial"/>
          <w:sz w:val="18"/>
          <w:szCs w:val="18"/>
          <w:color w:val="auto"/>
        </w:rPr>
        <w:t>On the call, management of the Company is expected to discuss certain non-GAAP financial measures. The Company has provided information regarding its use of non-GAAP measures and reconciliations of such measures to their most comparable GAAP measures in the notes and tables that accompany the press release.</w:t>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4"/>
          <w:szCs w:val="24"/>
          <w:color w:val="auto"/>
        </w:rPr>
      </w:pPr>
    </w:p>
    <w:p>
      <w:pPr>
        <w:spacing w:after="0"/>
        <w:tabs>
          <w:tab w:leader="none" w:pos="6080" w:val="left"/>
        </w:tabs>
        <w:rPr>
          <w:sz w:val="20"/>
          <w:szCs w:val="20"/>
          <w:color w:val="auto"/>
        </w:rPr>
      </w:pPr>
      <w:r>
        <w:rPr>
          <w:rFonts w:ascii="Arial" w:cs="Arial" w:eastAsia="Arial" w:hAnsi="Arial"/>
          <w:sz w:val="14"/>
          <w:szCs w:val="14"/>
          <w:b w:val="1"/>
          <w:bCs w:val="1"/>
          <w:color w:val="auto"/>
        </w:rPr>
        <w:t>Exhibit</w:t>
      </w:r>
      <w:r>
        <w:rPr>
          <w:sz w:val="20"/>
          <w:szCs w:val="20"/>
          <w:color w:val="auto"/>
        </w:rPr>
        <w:tab/>
      </w:r>
      <w:r>
        <w:rPr>
          <w:rFonts w:ascii="Arial" w:cs="Arial" w:eastAsia="Arial" w:hAnsi="Arial"/>
          <w:sz w:val="14"/>
          <w:szCs w:val="14"/>
          <w:b w:val="1"/>
          <w:bCs w:val="1"/>
          <w:color w:val="auto"/>
        </w:rPr>
        <w:t>Description</w:t>
      </w:r>
    </w:p>
    <w:p>
      <w:pPr>
        <w:sectPr>
          <w:pgSz w:w="11900" w:h="16838" w:orient="portrait"/>
          <w:cols w:equalWidth="0" w:num="1">
            <w:col w:w="11340"/>
          </w:cols>
          <w:pgMar w:left="240" w:top="544" w:right="319" w:bottom="0" w:gutter="0" w:footer="0" w:header="0"/>
          <w:type w:val="continuous"/>
        </w:sectPr>
      </w:pPr>
    </w:p>
    <w:bookmarkStart w:id="1" w:name="page2"/>
    <w:bookmarkEnd w:id="1"/>
    <w:p>
      <w:pPr>
        <w:spacing w:after="0"/>
        <w:rPr>
          <w:sz w:val="20"/>
          <w:szCs w:val="20"/>
          <w:color w:val="auto"/>
        </w:rPr>
      </w:pPr>
      <w:r>
        <w:rPr>
          <w:rFonts w:ascii="Arial" w:cs="Arial" w:eastAsia="Arial" w:hAnsi="Arial"/>
          <w:sz w:val="14"/>
          <w:szCs w:val="14"/>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spacing w:after="0"/>
        <w:tabs>
          <w:tab w:leader="none" w:pos="1480" w:val="left"/>
        </w:tabs>
        <w:rPr>
          <w:rFonts w:ascii="Arial" w:cs="Arial" w:eastAsia="Arial" w:hAnsi="Arial"/>
          <w:sz w:val="15"/>
          <w:szCs w:val="15"/>
          <w:u w:val="single" w:color="auto"/>
          <w:color w:val="0000EE"/>
        </w:rPr>
      </w:pPr>
      <w:r>
        <w:rPr>
          <w:rFonts w:ascii="Arial" w:cs="Arial" w:eastAsia="Arial" w:hAnsi="Arial"/>
          <w:sz w:val="18"/>
          <w:szCs w:val="18"/>
          <w:color w:val="auto"/>
        </w:rPr>
        <w:t>99.1</w:t>
      </w:r>
      <w:r>
        <w:rPr>
          <w:sz w:val="20"/>
          <w:szCs w:val="20"/>
          <w:color w:val="auto"/>
        </w:rPr>
        <w:tab/>
      </w:r>
      <w:hyperlink w:anchor="page3">
        <w:r>
          <w:rPr>
            <w:rFonts w:ascii="Arial" w:cs="Arial" w:eastAsia="Arial" w:hAnsi="Arial"/>
            <w:sz w:val="15"/>
            <w:szCs w:val="15"/>
            <w:u w:val="single" w:color="auto"/>
            <w:color w:val="0000EE"/>
          </w:rPr>
          <w:t>Press Release dated July 25, 2018</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7880" w:type="dxa"/>
            <w:vAlign w:val="bottom"/>
            <w:gridSpan w:val="2"/>
          </w:tcPr>
          <w:p>
            <w:pPr>
              <w:ind w:left="2280"/>
              <w:spacing w:after="0"/>
              <w:rPr>
                <w:sz w:val="20"/>
                <w:szCs w:val="20"/>
                <w:color w:val="auto"/>
              </w:rPr>
            </w:pPr>
            <w:r>
              <w:rPr>
                <w:rFonts w:ascii="Arial" w:cs="Arial" w:eastAsia="Arial" w:hAnsi="Arial"/>
                <w:sz w:val="18"/>
                <w:szCs w:val="18"/>
                <w:color w:val="auto"/>
              </w:rPr>
              <w:t>WASTE MANAGEMENT, INC.</w:t>
            </w:r>
          </w:p>
        </w:tc>
        <w:tc>
          <w:tcPr>
            <w:tcW w:w="40" w:type="dxa"/>
            <w:vAlign w:val="bottom"/>
          </w:tcPr>
          <w:p>
            <w:pPr>
              <w:spacing w:after="0"/>
              <w:rPr>
                <w:sz w:val="20"/>
                <w:szCs w:val="20"/>
                <w:color w:val="auto"/>
              </w:rPr>
            </w:pPr>
          </w:p>
        </w:tc>
      </w:tr>
      <w:tr>
        <w:trPr>
          <w:trHeight w:val="648"/>
        </w:trPr>
        <w:tc>
          <w:tcPr>
            <w:tcW w:w="3540" w:type="dxa"/>
            <w:vAlign w:val="bottom"/>
          </w:tcPr>
          <w:p>
            <w:pPr>
              <w:spacing w:after="0"/>
              <w:rPr>
                <w:sz w:val="20"/>
                <w:szCs w:val="20"/>
                <w:color w:val="auto"/>
              </w:rPr>
            </w:pPr>
            <w:r>
              <w:rPr>
                <w:rFonts w:ascii="Arial" w:cs="Arial" w:eastAsia="Arial" w:hAnsi="Arial"/>
                <w:sz w:val="18"/>
                <w:szCs w:val="18"/>
                <w:color w:val="auto"/>
              </w:rPr>
              <w:t>Date: July 25, 2018</w:t>
            </w:r>
          </w:p>
        </w:tc>
        <w:tc>
          <w:tcPr>
            <w:tcW w:w="7880" w:type="dxa"/>
            <w:vAlign w:val="bottom"/>
            <w:gridSpan w:val="2"/>
          </w:tcPr>
          <w:p>
            <w:pPr>
              <w:ind w:left="22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Charles C. Boettcher</w:t>
            </w:r>
          </w:p>
        </w:tc>
        <w:tc>
          <w:tcPr>
            <w:tcW w:w="40" w:type="dxa"/>
            <w:vAlign w:val="bottom"/>
          </w:tcPr>
          <w:p>
            <w:pPr>
              <w:spacing w:after="0"/>
              <w:rPr>
                <w:sz w:val="24"/>
                <w:szCs w:val="24"/>
                <w:color w:val="auto"/>
              </w:rPr>
            </w:pPr>
          </w:p>
        </w:tc>
      </w:tr>
      <w:tr>
        <w:trPr>
          <w:trHeight w:val="195"/>
        </w:trPr>
        <w:tc>
          <w:tcPr>
            <w:tcW w:w="354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51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Charles C. Boettcher</w:t>
            </w:r>
          </w:p>
        </w:tc>
        <w:tc>
          <w:tcPr>
            <w:tcW w:w="40" w:type="dxa"/>
            <w:vAlign w:val="bottom"/>
          </w:tcPr>
          <w:p>
            <w:pPr>
              <w:spacing w:after="0"/>
              <w:rPr>
                <w:sz w:val="16"/>
                <w:szCs w:val="16"/>
                <w:color w:val="auto"/>
              </w:rPr>
            </w:pPr>
          </w:p>
        </w:tc>
      </w:tr>
      <w:tr>
        <w:trPr>
          <w:trHeight w:val="230"/>
        </w:trPr>
        <w:tc>
          <w:tcPr>
            <w:tcW w:w="35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Senior Vice President and Chief Legal Officer</w:t>
            </w:r>
          </w:p>
        </w:tc>
        <w:tc>
          <w:tcPr>
            <w:tcW w:w="40" w:type="dxa"/>
            <w:vAlign w:val="bottom"/>
          </w:tcPr>
          <w:p>
            <w:pPr>
              <w:spacing w:after="0"/>
              <w:rPr>
                <w:sz w:val="20"/>
                <w:szCs w:val="20"/>
                <w:color w:val="auto"/>
              </w:rPr>
            </w:pPr>
          </w:p>
        </w:tc>
      </w:tr>
      <w:tr>
        <w:trPr>
          <w:trHeight w:val="432"/>
        </w:trPr>
        <w:tc>
          <w:tcPr>
            <w:tcW w:w="3540" w:type="dxa"/>
            <w:vAlign w:val="bottom"/>
          </w:tcPr>
          <w:p>
            <w:pPr>
              <w:spacing w:after="0"/>
              <w:rPr>
                <w:sz w:val="24"/>
                <w:szCs w:val="24"/>
                <w:color w:val="auto"/>
              </w:rPr>
            </w:pPr>
          </w:p>
        </w:tc>
        <w:tc>
          <w:tcPr>
            <w:tcW w:w="2740" w:type="dxa"/>
            <w:vAlign w:val="bottom"/>
          </w:tcPr>
          <w:p>
            <w:pPr>
              <w:jc w:val="right"/>
              <w:ind w:right="430"/>
              <w:spacing w:after="0"/>
              <w:rPr>
                <w:sz w:val="20"/>
                <w:szCs w:val="20"/>
                <w:color w:val="auto"/>
              </w:rPr>
            </w:pPr>
            <w:r>
              <w:rPr>
                <w:rFonts w:ascii="Arial" w:cs="Arial" w:eastAsia="Arial" w:hAnsi="Arial"/>
                <w:sz w:val="18"/>
                <w:szCs w:val="18"/>
                <w:color w:val="auto"/>
              </w:rPr>
              <w:t>3</w:t>
            </w:r>
          </w:p>
        </w:tc>
        <w:tc>
          <w:tcPr>
            <w:tcW w:w="51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540" w:type="dxa"/>
            <w:vAlign w:val="bottom"/>
            <w:tcBorders>
              <w:bottom w:val="single" w:sz="8" w:color="808080"/>
            </w:tcBorders>
          </w:tcPr>
          <w:p>
            <w:pPr>
              <w:spacing w:after="0"/>
              <w:rPr>
                <w:sz w:val="11"/>
                <w:szCs w:val="11"/>
                <w:color w:val="auto"/>
              </w:rPr>
            </w:pPr>
          </w:p>
        </w:tc>
        <w:tc>
          <w:tcPr>
            <w:tcW w:w="2740" w:type="dxa"/>
            <w:vAlign w:val="bottom"/>
            <w:tcBorders>
              <w:bottom w:val="single" w:sz="8" w:color="808080"/>
            </w:tcBorders>
          </w:tcPr>
          <w:p>
            <w:pPr>
              <w:spacing w:after="0"/>
              <w:rPr>
                <w:sz w:val="11"/>
                <w:szCs w:val="11"/>
                <w:color w:val="auto"/>
              </w:rPr>
            </w:pPr>
          </w:p>
        </w:tc>
        <w:tc>
          <w:tcPr>
            <w:tcW w:w="514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18"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22"/>
          <w:szCs w:val="22"/>
          <w:b w:val="1"/>
          <w:bCs w:val="1"/>
          <w:color w:val="auto"/>
        </w:rPr>
        <w:t>EXHIBIT 99.1</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IMMEDIATE RELEASE</w:t>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35" w:lineRule="exact"/>
        <w:rPr>
          <w:sz w:val="20"/>
          <w:szCs w:val="20"/>
          <w:color w:val="auto"/>
        </w:rPr>
      </w:pPr>
    </w:p>
    <w:p>
      <w:pPr>
        <w:jc w:val="center"/>
        <w:spacing w:after="0" w:line="248" w:lineRule="auto"/>
        <w:rPr>
          <w:sz w:val="20"/>
          <w:szCs w:val="20"/>
          <w:color w:val="auto"/>
        </w:rPr>
      </w:pPr>
      <w:r>
        <w:rPr>
          <w:rFonts w:ascii="Arial" w:cs="Arial" w:eastAsia="Arial" w:hAnsi="Arial"/>
          <w:sz w:val="40"/>
          <w:szCs w:val="40"/>
          <w:color w:val="7AB800"/>
        </w:rPr>
        <w:t>Waste Management Announces Second Quarter Earnings</w:t>
      </w:r>
    </w:p>
    <w:p>
      <w:pPr>
        <w:spacing w:after="0" w:line="360" w:lineRule="exact"/>
        <w:rPr>
          <w:sz w:val="20"/>
          <w:szCs w:val="20"/>
          <w:color w:val="auto"/>
        </w:rPr>
      </w:pPr>
    </w:p>
    <w:p>
      <w:pPr>
        <w:jc w:val="center"/>
        <w:spacing w:after="0" w:line="238" w:lineRule="auto"/>
        <w:rPr>
          <w:sz w:val="20"/>
          <w:szCs w:val="20"/>
          <w:color w:val="auto"/>
        </w:rPr>
      </w:pPr>
      <w:r>
        <w:rPr>
          <w:rFonts w:ascii="Arial" w:cs="Arial" w:eastAsia="Arial" w:hAnsi="Arial"/>
          <w:sz w:val="22"/>
          <w:szCs w:val="22"/>
          <w:color w:val="57584F"/>
        </w:rPr>
        <w:t>The Company Raises Full-Year Earnings Per Diluted Share Outlook and Reaffirms Previous Guidance for Other Metrics</w:t>
      </w:r>
    </w:p>
    <w:p>
      <w:pPr>
        <w:spacing w:after="0" w:line="211" w:lineRule="exact"/>
        <w:rPr>
          <w:sz w:val="20"/>
          <w:szCs w:val="20"/>
          <w:color w:val="auto"/>
        </w:rPr>
      </w:pPr>
    </w:p>
    <w:p>
      <w:pPr>
        <w:jc w:val="both"/>
        <w:spacing w:after="0" w:line="244" w:lineRule="auto"/>
        <w:rPr>
          <w:sz w:val="20"/>
          <w:szCs w:val="20"/>
          <w:color w:val="auto"/>
        </w:rPr>
      </w:pPr>
      <w:r>
        <w:rPr>
          <w:rFonts w:ascii="Arial" w:cs="Arial" w:eastAsia="Arial" w:hAnsi="Arial"/>
          <w:sz w:val="16"/>
          <w:szCs w:val="16"/>
          <w:b w:val="1"/>
          <w:bCs w:val="1"/>
          <w:color w:val="auto"/>
        </w:rPr>
        <w:t xml:space="preserve">HOUSTON </w:t>
      </w:r>
      <w:r>
        <w:rPr>
          <w:rFonts w:ascii="Arial" w:cs="Arial" w:eastAsia="Arial" w:hAnsi="Arial"/>
          <w:sz w:val="18"/>
          <w:szCs w:val="18"/>
          <w:b w:val="1"/>
          <w:bCs w:val="1"/>
          <w:color w:val="auto"/>
        </w:rPr>
        <w:t>– July 25, 2018</w:t>
      </w:r>
      <w:r>
        <w:rPr>
          <w:rFonts w:ascii="Arial" w:cs="Arial" w:eastAsia="Arial" w:hAnsi="Arial"/>
          <w:sz w:val="16"/>
          <w:szCs w:val="16"/>
          <w:b w:val="1"/>
          <w:bCs w:val="1"/>
          <w:color w:val="auto"/>
        </w:rPr>
        <w:t xml:space="preserve"> </w:t>
      </w:r>
      <w:r>
        <w:rPr>
          <w:rFonts w:ascii="Arial" w:cs="Arial" w:eastAsia="Arial" w:hAnsi="Arial"/>
          <w:sz w:val="18"/>
          <w:szCs w:val="18"/>
          <w:color w:val="auto"/>
        </w:rPr>
        <w:t>–</w:t>
      </w:r>
      <w:r>
        <w:rPr>
          <w:rFonts w:ascii="Arial" w:cs="Arial" w:eastAsia="Arial" w:hAnsi="Arial"/>
          <w:sz w:val="16"/>
          <w:szCs w:val="16"/>
          <w:b w:val="1"/>
          <w:bCs w:val="1"/>
          <w:color w:val="auto"/>
        </w:rPr>
        <w:t xml:space="preserve"> </w:t>
      </w:r>
      <w:r>
        <w:rPr>
          <w:rFonts w:ascii="Arial" w:cs="Arial" w:eastAsia="Arial" w:hAnsi="Arial"/>
          <w:sz w:val="18"/>
          <w:szCs w:val="18"/>
          <w:color w:val="57584F"/>
        </w:rPr>
        <w:t>Waste Management, Inc. (NYSE: WM) today announced financial results for its</w:t>
      </w:r>
      <w:r>
        <w:rPr>
          <w:rFonts w:ascii="Arial" w:cs="Arial" w:eastAsia="Arial" w:hAnsi="Arial"/>
          <w:sz w:val="16"/>
          <w:szCs w:val="16"/>
          <w:b w:val="1"/>
          <w:bCs w:val="1"/>
          <w:color w:val="auto"/>
        </w:rPr>
        <w:t xml:space="preserve"> </w:t>
      </w:r>
      <w:r>
        <w:rPr>
          <w:rFonts w:ascii="Arial" w:cs="Arial" w:eastAsia="Arial" w:hAnsi="Arial"/>
          <w:sz w:val="18"/>
          <w:szCs w:val="18"/>
          <w:color w:val="57584F"/>
        </w:rPr>
        <w:t>quarter ended June 30, 2018. Revenues for the second quarter of 2018 were $3.74 billion, compared with $3.68 billion for the same 2017 period. Net income for the quarter was $499 million, or $1.15 per diluted share, compared with $362 million, or $0.81 per diluted share, for the second quarter of 2017.</w:t>
      </w:r>
      <w:r>
        <w:rPr>
          <w:rFonts w:ascii="Arial" w:cs="Arial" w:eastAsia="Arial" w:hAnsi="Arial"/>
          <w:sz w:val="18"/>
          <w:szCs w:val="18"/>
          <w:color w:val="57584F"/>
          <w:vertAlign w:val="superscript"/>
        </w:rPr>
        <w:t>(a)</w:t>
      </w:r>
      <w:r>
        <w:rPr>
          <w:rFonts w:ascii="Arial" w:cs="Arial" w:eastAsia="Arial" w:hAnsi="Arial"/>
          <w:sz w:val="18"/>
          <w:szCs w:val="18"/>
          <w:color w:val="57584F"/>
        </w:rPr>
        <w:t xml:space="preserve"> On an as-adjusted basis, excluding certain items, net income was $438 million, or $1.01 per diluted share, in the second quarter of 2018.</w:t>
      </w:r>
      <w:r>
        <w:rPr>
          <w:rFonts w:ascii="Arial" w:cs="Arial" w:eastAsia="Arial" w:hAnsi="Arial"/>
          <w:sz w:val="18"/>
          <w:szCs w:val="18"/>
          <w:color w:val="57584F"/>
          <w:vertAlign w:val="superscript"/>
        </w:rPr>
        <w:t>(b)</w:t>
      </w:r>
    </w:p>
    <w:p>
      <w:pPr>
        <w:spacing w:after="0" w:line="185" w:lineRule="exact"/>
        <w:rPr>
          <w:sz w:val="20"/>
          <w:szCs w:val="20"/>
          <w:color w:val="auto"/>
        </w:rPr>
      </w:pPr>
    </w:p>
    <w:p>
      <w:pPr>
        <w:jc w:val="both"/>
        <w:spacing w:after="0"/>
        <w:rPr>
          <w:sz w:val="20"/>
          <w:szCs w:val="20"/>
          <w:color w:val="auto"/>
        </w:rPr>
      </w:pPr>
      <w:r>
        <w:rPr>
          <w:rFonts w:ascii="Arial" w:cs="Arial" w:eastAsia="Arial" w:hAnsi="Arial"/>
          <w:sz w:val="18"/>
          <w:szCs w:val="18"/>
          <w:color w:val="57584F"/>
        </w:rPr>
        <w:t>The Company’s as-adjusted second quarter 2018 results exclude a $0.07 per diluted share tax benefit related to income tax audit settlements and a net $0.07 per diluted share benefit primarily related to the gain on divestiture of an ancillary business.</w:t>
      </w:r>
    </w:p>
    <w:p>
      <w:pPr>
        <w:spacing w:after="0" w:line="189"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57584F"/>
        </w:rPr>
        <w:t>Jim Fish, President and Chief Executive Officer of Waste Management, commented, “Our traditional solid waste business continued to perform exceptionally well in the second quarter, underpinning our strong financial results. Given the outstanding performance in our traditional solid waste business and a lower than anticipated tax rate, we are increasing our 2018 adjusted earnings per diluted share guidance to a range of $4.05 to $4.10, from $3.97 to $4.05. We also are reaffirming our adjusted operating EBITDA guidance of $4.20 to $4.25 billion and free cash flow guidance of $1.95 to $2.05 billion.</w:t>
      </w:r>
      <w:r>
        <w:rPr>
          <w:rFonts w:ascii="Arial" w:cs="Arial" w:eastAsia="Arial" w:hAnsi="Arial"/>
          <w:sz w:val="18"/>
          <w:szCs w:val="18"/>
          <w:color w:val="57584F"/>
          <w:vertAlign w:val="superscript"/>
        </w:rPr>
        <w:t>(b)(c)</w:t>
      </w:r>
      <w:r>
        <w:rPr>
          <w:rFonts w:ascii="Arial" w:cs="Arial" w:eastAsia="Arial" w:hAnsi="Arial"/>
          <w:sz w:val="18"/>
          <w:szCs w:val="18"/>
          <w:color w:val="57584F"/>
        </w:rPr>
        <w:t>”</w:t>
      </w:r>
    </w:p>
    <w:p>
      <w:pPr>
        <w:spacing w:after="0" w:line="3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HIGHLIGHTS FOR THE SECOND QUARTER 2018</w:t>
      </w:r>
    </w:p>
    <w:p>
      <w:pPr>
        <w:spacing w:after="0" w:line="203"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57584F"/>
        </w:rPr>
        <w:t>Revenue Growth</w:t>
      </w:r>
    </w:p>
    <w:p>
      <w:pPr>
        <w:spacing w:after="0" w:line="220" w:lineRule="exact"/>
        <w:rPr>
          <w:sz w:val="20"/>
          <w:szCs w:val="20"/>
          <w:color w:val="auto"/>
        </w:rPr>
      </w:pPr>
    </w:p>
    <w:p>
      <w:pPr>
        <w:jc w:val="both"/>
        <w:ind w:left="800" w:right="20" w:hanging="427"/>
        <w:spacing w:after="0" w:line="234" w:lineRule="auto"/>
        <w:tabs>
          <w:tab w:leader="none" w:pos="80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 the second quarter, revenue growth was driven by strong yield and volume growth in the Company’s collection and disposal business, which contributed $135 million of incremental revenue. This was partially offset by a decline in revenue from the Company’s recycling line of business, which fell by $85 million on a year-over-year basis in the second quarter of 2018.</w:t>
      </w:r>
    </w:p>
    <w:p>
      <w:pPr>
        <w:spacing w:after="0" w:line="3" w:lineRule="exact"/>
        <w:rPr>
          <w:rFonts w:ascii="Arial" w:cs="Arial" w:eastAsia="Arial" w:hAnsi="Arial"/>
          <w:sz w:val="18"/>
          <w:szCs w:val="18"/>
          <w:color w:val="57584F"/>
        </w:rPr>
      </w:pPr>
    </w:p>
    <w:p>
      <w:pPr>
        <w:ind w:left="800" w:right="20" w:hanging="427"/>
        <w:spacing w:after="0" w:line="234" w:lineRule="auto"/>
        <w:tabs>
          <w:tab w:leader="none" w:pos="80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Core price, which consists of price increases net of rollbacks and fees, excluding the Company’s fuel surcharge, was 5.3%, compared to 4.7% in the second quarter of 2017.</w:t>
      </w:r>
      <w:r>
        <w:rPr>
          <w:rFonts w:ascii="Arial" w:cs="Arial" w:eastAsia="Arial" w:hAnsi="Arial"/>
          <w:sz w:val="18"/>
          <w:szCs w:val="18"/>
          <w:color w:val="57584F"/>
          <w:vertAlign w:val="superscript"/>
        </w:rPr>
        <w:t>(d)</w:t>
      </w:r>
    </w:p>
    <w:p>
      <w:pPr>
        <w:spacing w:after="0" w:line="1" w:lineRule="exact"/>
        <w:rPr>
          <w:rFonts w:ascii="Arial" w:cs="Arial" w:eastAsia="Arial" w:hAnsi="Arial"/>
          <w:sz w:val="18"/>
          <w:szCs w:val="18"/>
          <w:color w:val="57584F"/>
        </w:rPr>
      </w:pPr>
    </w:p>
    <w:p>
      <w:pPr>
        <w:ind w:left="800" w:right="20" w:hanging="427"/>
        <w:spacing w:after="0" w:line="234" w:lineRule="auto"/>
        <w:tabs>
          <w:tab w:leader="none" w:pos="80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Internal revenue growth from yield for collection and disposal operations was 2.3% for the second quarter of 2018 versus 1.9% in the second quarter of 2017.</w:t>
      </w:r>
    </w:p>
    <w:p>
      <w:pPr>
        <w:spacing w:after="0" w:line="1" w:lineRule="exact"/>
        <w:rPr>
          <w:rFonts w:ascii="Arial" w:cs="Arial" w:eastAsia="Arial" w:hAnsi="Arial"/>
          <w:sz w:val="18"/>
          <w:szCs w:val="18"/>
          <w:color w:val="57584F"/>
        </w:rPr>
      </w:pPr>
    </w:p>
    <w:p>
      <w:pPr>
        <w:jc w:val="both"/>
        <w:ind w:left="800" w:hanging="427"/>
        <w:spacing w:after="0"/>
        <w:tabs>
          <w:tab w:leader="none" w:pos="800" w:val="left"/>
        </w:tabs>
        <w:numPr>
          <w:ilvl w:val="0"/>
          <w:numId w:val="1"/>
        </w:numPr>
        <w:rPr>
          <w:rFonts w:ascii="Arial" w:cs="Arial" w:eastAsia="Arial" w:hAnsi="Arial"/>
          <w:sz w:val="18"/>
          <w:szCs w:val="18"/>
          <w:color w:val="57584F"/>
        </w:rPr>
      </w:pPr>
      <w:r>
        <w:rPr>
          <w:rFonts w:ascii="Arial" w:cs="Arial" w:eastAsia="Arial" w:hAnsi="Arial"/>
          <w:sz w:val="18"/>
          <w:szCs w:val="18"/>
          <w:color w:val="57584F"/>
        </w:rPr>
        <w:t>Traditional solid waste internal revenue growth from volume was 2.3% in the second quarter of 2018. Total Company internal revenue growth from volume, which includes our recycling and other ancillary businesses, was 1.8% in the second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FOR MORE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color w:val="00693C"/>
        </w:rPr>
        <w:t>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Waste Management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Web site</w:t>
      </w: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b w:val="1"/>
          <w:bCs w:val="1"/>
          <w:u w:val="single" w:color="auto"/>
          <w:color w:val="0000FF"/>
        </w:rPr>
        <w:t>www.wm.com</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57584F"/>
        </w:rPr>
        <w:t>Ed Egl</w:t>
      </w:r>
    </w:p>
    <w:p>
      <w:pPr>
        <w:ind w:right="800"/>
        <w:spacing w:after="0" w:line="246" w:lineRule="auto"/>
        <w:rPr>
          <w:sz w:val="20"/>
          <w:szCs w:val="20"/>
          <w:color w:val="auto"/>
        </w:rPr>
      </w:pPr>
      <w:r>
        <w:rPr>
          <w:rFonts w:ascii="Arial" w:cs="Arial" w:eastAsia="Arial" w:hAnsi="Arial"/>
          <w:sz w:val="18"/>
          <w:szCs w:val="18"/>
          <w:color w:val="57584F"/>
        </w:rPr>
        <w:t xml:space="preserve">713.265.1656 </w:t>
      </w:r>
      <w:r>
        <w:rPr>
          <w:rFonts w:ascii="Arial" w:cs="Arial" w:eastAsia="Arial" w:hAnsi="Arial"/>
          <w:sz w:val="18"/>
          <w:szCs w:val="18"/>
          <w:u w:val="single" w:color="auto"/>
          <w:color w:val="0000FF"/>
        </w:rPr>
        <w:t>eegl@wm.com</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Media</w:t>
      </w:r>
    </w:p>
    <w:p>
      <w:pPr>
        <w:spacing w:after="0" w:line="22" w:lineRule="exact"/>
        <w:rPr>
          <w:sz w:val="20"/>
          <w:szCs w:val="20"/>
          <w:color w:val="auto"/>
        </w:rPr>
      </w:pPr>
    </w:p>
    <w:p>
      <w:pPr>
        <w:ind w:right="440"/>
        <w:spacing w:after="0"/>
        <w:rPr>
          <w:sz w:val="20"/>
          <w:szCs w:val="20"/>
          <w:color w:val="auto"/>
        </w:rPr>
      </w:pPr>
      <w:r>
        <w:rPr>
          <w:rFonts w:ascii="Arial" w:cs="Arial" w:eastAsia="Arial" w:hAnsi="Arial"/>
          <w:sz w:val="18"/>
          <w:szCs w:val="18"/>
          <w:color w:val="57584F"/>
        </w:rPr>
        <w:t xml:space="preserve">Tiffiany Moehring 720.346.5372 </w:t>
      </w:r>
      <w:r>
        <w:rPr>
          <w:rFonts w:ascii="Arial" w:cs="Arial" w:eastAsia="Arial" w:hAnsi="Arial"/>
          <w:sz w:val="18"/>
          <w:szCs w:val="18"/>
          <w:u w:val="single" w:color="auto"/>
          <w:color w:val="0000FF"/>
        </w:rPr>
        <w:t>tmoehrin@wm.com</w:t>
      </w:r>
    </w:p>
    <w:p>
      <w:pPr>
        <w:spacing w:after="0" w:line="4413" w:lineRule="exact"/>
        <w:rPr>
          <w:sz w:val="20"/>
          <w:szCs w:val="20"/>
          <w:color w:val="auto"/>
        </w:rPr>
      </w:pPr>
    </w:p>
    <w:p>
      <w:pPr>
        <w:sectPr>
          <w:pgSz w:w="11900" w:h="16838" w:orient="portrait"/>
          <w:cols w:equalWidth="0" w:num="2">
            <w:col w:w="9100" w:space="320"/>
            <w:col w:w="2000"/>
          </w:cols>
          <w:pgMar w:left="240" w:top="111" w:right="2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800"/>
        <w:spacing w:after="0"/>
        <w:rPr>
          <w:sz w:val="20"/>
          <w:szCs w:val="20"/>
          <w:color w:val="auto"/>
        </w:rPr>
      </w:pPr>
      <w:r>
        <w:rPr>
          <w:rFonts w:ascii="Arial" w:cs="Arial" w:eastAsia="Arial" w:hAnsi="Arial"/>
          <w:sz w:val="18"/>
          <w:szCs w:val="18"/>
          <w:b w:val="1"/>
          <w:bCs w:val="1"/>
          <w:u w:val="single" w:color="auto"/>
          <w:color w:val="57584F"/>
        </w:rPr>
        <w:t>Recycling</w:t>
      </w:r>
    </w:p>
    <w:p>
      <w:pPr>
        <w:spacing w:after="0" w:line="220" w:lineRule="exact"/>
        <w:rPr>
          <w:sz w:val="20"/>
          <w:szCs w:val="20"/>
          <w:color w:val="auto"/>
        </w:rPr>
      </w:pPr>
    </w:p>
    <w:p>
      <w:pPr>
        <w:jc w:val="both"/>
        <w:ind w:left="800" w:right="2320" w:hanging="427"/>
        <w:spacing w:after="0" w:line="239"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Average recycling commodity prices at the Company’s facilities were approximately 43% lower in the second quarter of 2018 compared to the prior year period. Results for the Company’s recycling line of business declined by $0.07 per diluted share when compared to the second quarter of 2017. The full-year impact from recycling is now expected to be a negative $0.17 to $0.20 per diluted share.</w:t>
      </w:r>
    </w:p>
    <w:p>
      <w:pPr>
        <w:spacing w:after="0" w:line="166" w:lineRule="exact"/>
        <w:rPr>
          <w:rFonts w:ascii="Arial" w:cs="Arial" w:eastAsia="Arial" w:hAnsi="Arial"/>
          <w:sz w:val="18"/>
          <w:szCs w:val="18"/>
          <w:color w:val="57584F"/>
        </w:rPr>
      </w:pPr>
    </w:p>
    <w:p>
      <w:pPr>
        <w:ind w:left="80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Cost Management &amp; Profitability</w:t>
      </w:r>
    </w:p>
    <w:p>
      <w:pPr>
        <w:spacing w:after="0" w:line="220" w:lineRule="exact"/>
        <w:rPr>
          <w:rFonts w:ascii="Arial" w:cs="Arial" w:eastAsia="Arial" w:hAnsi="Arial"/>
          <w:sz w:val="18"/>
          <w:szCs w:val="18"/>
          <w:color w:val="57584F"/>
        </w:rPr>
      </w:pPr>
    </w:p>
    <w:p>
      <w:pPr>
        <w:ind w:left="800" w:right="2320" w:hanging="427"/>
        <w:spacing w:after="0" w:line="234"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percentage of revenue, total Company operating expenses were 61.9% in the second quarter of 2018 compared to 62.3% in the second quarter of 2017.</w:t>
      </w:r>
    </w:p>
    <w:p>
      <w:pPr>
        <w:spacing w:after="0" w:line="1" w:lineRule="exact"/>
        <w:rPr>
          <w:rFonts w:ascii="Arial" w:cs="Arial" w:eastAsia="Arial" w:hAnsi="Arial"/>
          <w:sz w:val="18"/>
          <w:szCs w:val="18"/>
          <w:color w:val="57584F"/>
        </w:rPr>
      </w:pPr>
    </w:p>
    <w:p>
      <w:pPr>
        <w:jc w:val="both"/>
        <w:ind w:left="800" w:right="2320" w:hanging="427"/>
        <w:spacing w:after="0" w:line="234"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As a percentage of revenue, SG&amp;A expenses were 9.8% in the second quarter of 2018 compared to 9.6% in the second quarter of 2017. Current quarter SG&amp;A costs include $9 million of expense related to litigation accruals, which increased SG&amp;A as a percentage of revenue by 30 basis points and decreased earnings by $0.02 per diluted share.</w:t>
      </w:r>
    </w:p>
    <w:p>
      <w:pPr>
        <w:spacing w:after="0" w:line="3" w:lineRule="exact"/>
        <w:rPr>
          <w:rFonts w:ascii="Arial" w:cs="Arial" w:eastAsia="Arial" w:hAnsi="Arial"/>
          <w:sz w:val="18"/>
          <w:szCs w:val="18"/>
          <w:color w:val="57584F"/>
        </w:rPr>
      </w:pPr>
    </w:p>
    <w:p>
      <w:pPr>
        <w:jc w:val="both"/>
        <w:ind w:left="800" w:right="2320" w:hanging="427"/>
        <w:spacing w:after="0" w:line="234"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Operating EBITDA was $1.10 billion for the second quarter. Adjusted Operating EBITDA was $1.06 billion for the second quarter of 2018, an increase of $32 million, or 3.1%, from the second quarter of 2017.</w:t>
      </w:r>
    </w:p>
    <w:p>
      <w:pPr>
        <w:spacing w:after="0" w:line="2" w:lineRule="exact"/>
        <w:rPr>
          <w:rFonts w:ascii="Arial" w:cs="Arial" w:eastAsia="Arial" w:hAnsi="Arial"/>
          <w:sz w:val="18"/>
          <w:szCs w:val="18"/>
          <w:color w:val="57584F"/>
        </w:rPr>
      </w:pPr>
    </w:p>
    <w:p>
      <w:pPr>
        <w:ind w:left="800" w:hanging="427"/>
        <w:spacing w:after="0"/>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Operating EBITDA in the Company’s traditional solid waste business increased 6.9%.</w:t>
      </w:r>
    </w:p>
    <w:p>
      <w:pPr>
        <w:spacing w:after="0" w:line="189" w:lineRule="exact"/>
        <w:rPr>
          <w:rFonts w:ascii="Arial" w:cs="Arial" w:eastAsia="Arial" w:hAnsi="Arial"/>
          <w:sz w:val="18"/>
          <w:szCs w:val="18"/>
          <w:color w:val="57584F"/>
        </w:rPr>
      </w:pPr>
    </w:p>
    <w:p>
      <w:pPr>
        <w:ind w:left="80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Free Cash Flow &amp; Capital Allocation</w:t>
      </w:r>
    </w:p>
    <w:p>
      <w:pPr>
        <w:spacing w:after="0" w:line="220" w:lineRule="exact"/>
        <w:rPr>
          <w:rFonts w:ascii="Arial" w:cs="Arial" w:eastAsia="Arial" w:hAnsi="Arial"/>
          <w:sz w:val="18"/>
          <w:szCs w:val="18"/>
          <w:color w:val="57584F"/>
        </w:rPr>
      </w:pPr>
    </w:p>
    <w:p>
      <w:pPr>
        <w:ind w:left="800" w:right="2320" w:hanging="427"/>
        <w:spacing w:after="0" w:line="234"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Net cash provided by operating activities was $975 million in the second quarter of 2018, an increase of $162 million, or 19.9%, when compared to the second quarter of 2017.</w:t>
      </w:r>
    </w:p>
    <w:p>
      <w:pPr>
        <w:spacing w:after="0" w:line="1" w:lineRule="exact"/>
        <w:rPr>
          <w:rFonts w:ascii="Arial" w:cs="Arial" w:eastAsia="Arial" w:hAnsi="Arial"/>
          <w:sz w:val="18"/>
          <w:szCs w:val="18"/>
          <w:color w:val="57584F"/>
        </w:rPr>
      </w:pPr>
    </w:p>
    <w:p>
      <w:pPr>
        <w:jc w:val="both"/>
        <w:ind w:left="800" w:right="2320" w:hanging="427"/>
        <w:spacing w:after="0" w:line="234" w:lineRule="auto"/>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Capital expenditures were $436 million in the second quarter of 2018, a $137 million increase from the second quarter of 2017, due to acceleration and disciplined execution of the Company’s fleet strategy as well as investment in the Company’s landfills.</w:t>
      </w:r>
    </w:p>
    <w:p>
      <w:pPr>
        <w:spacing w:after="0" w:line="2" w:lineRule="exact"/>
        <w:rPr>
          <w:rFonts w:ascii="Arial" w:cs="Arial" w:eastAsia="Arial" w:hAnsi="Arial"/>
          <w:sz w:val="18"/>
          <w:szCs w:val="18"/>
          <w:color w:val="57584F"/>
        </w:rPr>
      </w:pPr>
    </w:p>
    <w:p>
      <w:pPr>
        <w:ind w:left="800" w:hanging="427"/>
        <w:spacing w:after="0"/>
        <w:tabs>
          <w:tab w:leader="none" w:pos="800" w:val="left"/>
        </w:tabs>
        <w:numPr>
          <w:ilvl w:val="0"/>
          <w:numId w:val="2"/>
        </w:numPr>
        <w:rPr>
          <w:rFonts w:ascii="Arial" w:cs="Arial" w:eastAsia="Arial" w:hAnsi="Arial"/>
          <w:sz w:val="18"/>
          <w:szCs w:val="18"/>
          <w:color w:val="57584F"/>
        </w:rPr>
      </w:pPr>
      <w:r>
        <w:rPr>
          <w:rFonts w:ascii="Arial" w:cs="Arial" w:eastAsia="Arial" w:hAnsi="Arial"/>
          <w:sz w:val="18"/>
          <w:szCs w:val="18"/>
          <w:color w:val="57584F"/>
        </w:rPr>
        <w:t>Free cash flow was $621 million in the second quarter of 2018, an increase of $101 million, or 19.4%,</w:t>
      </w:r>
    </w:p>
    <w:p>
      <w:pPr>
        <w:sectPr>
          <w:pgSz w:w="11900" w:h="16838" w:orient="portrait"/>
          <w:cols w:equalWidth="0" w:num="1">
            <w:col w:w="11420"/>
          </w:cols>
          <w:pgMar w:left="240" w:top="111" w:right="239" w:bottom="0" w:gutter="0" w:footer="0" w:header="0"/>
          <w:type w:val="continuous"/>
        </w:sectPr>
      </w:pPr>
    </w:p>
    <w:bookmarkStart w:id="3" w:name="page4"/>
    <w:bookmarkEnd w:id="3"/>
    <w:p>
      <w:pPr>
        <w:ind w:left="800"/>
        <w:spacing w:after="0"/>
        <w:rPr>
          <w:sz w:val="20"/>
          <w:szCs w:val="20"/>
          <w:color w:val="auto"/>
        </w:rPr>
      </w:pPr>
      <w:r>
        <w:rPr>
          <w:rFonts w:ascii="Arial" w:cs="Arial" w:eastAsia="Arial" w:hAnsi="Arial"/>
          <w:sz w:val="18"/>
          <w:szCs w:val="18"/>
          <w:color w:val="57584F"/>
        </w:rPr>
        <w:t>when compared to the second quarter of 2017.</w:t>
      </w:r>
    </w:p>
    <w:p>
      <w:pPr>
        <w:ind w:left="800" w:right="1139" w:hanging="427"/>
        <w:spacing w:after="0" w:line="234" w:lineRule="auto"/>
        <w:tabs>
          <w:tab w:leader="none" w:pos="80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 paid $200 million in dividends to shareholders and spent $300 million to repurchase shares in the second quarter of 2018.</w:t>
      </w:r>
    </w:p>
    <w:p>
      <w:pPr>
        <w:spacing w:after="0" w:line="1" w:lineRule="exact"/>
        <w:rPr>
          <w:rFonts w:ascii="Arial" w:cs="Arial" w:eastAsia="Arial" w:hAnsi="Arial"/>
          <w:sz w:val="18"/>
          <w:szCs w:val="18"/>
          <w:color w:val="57584F"/>
        </w:rPr>
      </w:pPr>
    </w:p>
    <w:p>
      <w:pPr>
        <w:ind w:left="800" w:right="1139" w:hanging="427"/>
        <w:spacing w:after="0" w:line="246" w:lineRule="auto"/>
        <w:tabs>
          <w:tab w:leader="none" w:pos="80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 spent $21 million on acquisitions of traditional solid waste businesses during the second quarter of 2018.</w:t>
      </w:r>
    </w:p>
    <w:p>
      <w:pPr>
        <w:spacing w:after="0" w:line="161" w:lineRule="exact"/>
        <w:rPr>
          <w:rFonts w:ascii="Arial" w:cs="Arial" w:eastAsia="Arial" w:hAnsi="Arial"/>
          <w:sz w:val="18"/>
          <w:szCs w:val="18"/>
          <w:color w:val="57584F"/>
        </w:rPr>
      </w:pPr>
    </w:p>
    <w:p>
      <w:pPr>
        <w:ind w:left="800"/>
        <w:spacing w:after="0"/>
        <w:rPr>
          <w:rFonts w:ascii="Arial" w:cs="Arial" w:eastAsia="Arial" w:hAnsi="Arial"/>
          <w:sz w:val="18"/>
          <w:szCs w:val="18"/>
          <w:color w:val="57584F"/>
        </w:rPr>
      </w:pPr>
      <w:r>
        <w:rPr>
          <w:rFonts w:ascii="Arial" w:cs="Arial" w:eastAsia="Arial" w:hAnsi="Arial"/>
          <w:sz w:val="18"/>
          <w:szCs w:val="18"/>
          <w:b w:val="1"/>
          <w:bCs w:val="1"/>
          <w:u w:val="single" w:color="auto"/>
          <w:color w:val="57584F"/>
        </w:rPr>
        <w:t>Taxes</w:t>
      </w:r>
    </w:p>
    <w:p>
      <w:pPr>
        <w:spacing w:after="0" w:line="220" w:lineRule="exact"/>
        <w:rPr>
          <w:rFonts w:ascii="Arial" w:cs="Arial" w:eastAsia="Arial" w:hAnsi="Arial"/>
          <w:sz w:val="18"/>
          <w:szCs w:val="18"/>
          <w:color w:val="57584F"/>
        </w:rPr>
      </w:pPr>
    </w:p>
    <w:p>
      <w:pPr>
        <w:jc w:val="both"/>
        <w:ind w:left="800" w:right="1119" w:hanging="427"/>
        <w:spacing w:after="0"/>
        <w:tabs>
          <w:tab w:leader="none" w:pos="800" w:val="left"/>
        </w:tabs>
        <w:numPr>
          <w:ilvl w:val="0"/>
          <w:numId w:val="3"/>
        </w:numPr>
        <w:rPr>
          <w:rFonts w:ascii="Arial" w:cs="Arial" w:eastAsia="Arial" w:hAnsi="Arial"/>
          <w:sz w:val="18"/>
          <w:szCs w:val="18"/>
          <w:color w:val="57584F"/>
        </w:rPr>
      </w:pPr>
      <w:r>
        <w:rPr>
          <w:rFonts w:ascii="Arial" w:cs="Arial" w:eastAsia="Arial" w:hAnsi="Arial"/>
          <w:sz w:val="18"/>
          <w:szCs w:val="18"/>
          <w:color w:val="57584F"/>
        </w:rPr>
        <w:t>The Company’s effective tax rate for the second quarter of 2018 was approximately 18.1%. Adjusting for items excluded from the Company’s as-adjusted results, the tax rate was 23.2%. Favorable tax planning lowered taxes by $7 million in the second quarter of 2018, providing a $0.02 per diluted share benefit over 2017. The Company now expects its 2018 full-year adjusted tax rate to be approximately 24%.</w:t>
      </w:r>
      <w:r>
        <w:rPr>
          <w:rFonts w:ascii="Arial" w:cs="Arial" w:eastAsia="Arial" w:hAnsi="Arial"/>
          <w:sz w:val="18"/>
          <w:szCs w:val="18"/>
          <w:color w:val="57584F"/>
          <w:vertAlign w:val="superscript"/>
        </w:rPr>
        <w:t>(b)</w:t>
      </w:r>
    </w:p>
    <w:p>
      <w:pPr>
        <w:spacing w:after="0" w:line="388" w:lineRule="exact"/>
        <w:rPr>
          <w:sz w:val="20"/>
          <w:szCs w:val="20"/>
          <w:color w:val="auto"/>
        </w:rPr>
      </w:pPr>
    </w:p>
    <w:p>
      <w:pPr>
        <w:ind w:right="1319"/>
        <w:spacing w:after="0"/>
        <w:rPr>
          <w:sz w:val="20"/>
          <w:szCs w:val="20"/>
          <w:color w:val="auto"/>
        </w:rPr>
      </w:pPr>
      <w:r>
        <w:rPr>
          <w:rFonts w:ascii="Arial" w:cs="Arial" w:eastAsia="Arial" w:hAnsi="Arial"/>
          <w:sz w:val="18"/>
          <w:szCs w:val="18"/>
          <w:color w:val="57584F"/>
        </w:rPr>
        <w:t>Fish concluded, “Our solid waste business outperformed even our own high expectations. This gives us confidence to raise our full-year adjusted earnings per diluted share guidance. At the halfway mark for the year, we are also well on our way to meeting or exceeding all of our other operating and financial goals for the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224155</wp:posOffset>
            </wp:positionH>
            <wp:positionV relativeFrom="paragraph">
              <wp:posOffset>107950</wp:posOffset>
            </wp:positionV>
            <wp:extent cx="556514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65140" cy="34290"/>
                    </a:xfrm>
                    <a:prstGeom prst="rect">
                      <a:avLst/>
                    </a:prstGeom>
                    <a:noFill/>
                  </pic:spPr>
                </pic:pic>
              </a:graphicData>
            </a:graphic>
          </wp:anchor>
        </w:drawing>
      </w:r>
    </w:p>
    <w:p>
      <w:pPr>
        <w:spacing w:after="0" w:line="270" w:lineRule="exact"/>
        <w:rPr>
          <w:sz w:val="20"/>
          <w:szCs w:val="20"/>
          <w:color w:val="auto"/>
        </w:rPr>
      </w:pPr>
    </w:p>
    <w:p>
      <w:pPr>
        <w:ind w:left="800" w:right="1119" w:hanging="427"/>
        <w:spacing w:after="0" w:line="258" w:lineRule="auto"/>
        <w:tabs>
          <w:tab w:leader="none" w:pos="80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For purposes of this press release, all references to “Net income” refer to the financial statement line item “Net income attributable to Waste Management, Inc.”</w:t>
      </w:r>
    </w:p>
    <w:p>
      <w:pPr>
        <w:spacing w:after="0" w:line="126" w:lineRule="exact"/>
        <w:rPr>
          <w:rFonts w:ascii="Arial" w:cs="Arial" w:eastAsia="Arial" w:hAnsi="Arial"/>
          <w:sz w:val="14"/>
          <w:szCs w:val="14"/>
          <w:color w:val="57584F"/>
        </w:rPr>
      </w:pPr>
    </w:p>
    <w:p>
      <w:pPr>
        <w:jc w:val="both"/>
        <w:ind w:left="800" w:right="1119" w:hanging="427"/>
        <w:spacing w:after="0" w:line="250" w:lineRule="auto"/>
        <w:tabs>
          <w:tab w:leader="none" w:pos="80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Adjusted earnings per diluted share, adjusted net income, adjusted operating EBITDA, adjusted tax rate, and free cash flow are non-GAAP measures. Please see “Non-GAAP Financial Measures” below and the reconciliations in the accompanying schedules for more information.</w:t>
      </w:r>
    </w:p>
    <w:p>
      <w:pPr>
        <w:spacing w:after="0" w:line="131" w:lineRule="exact"/>
        <w:rPr>
          <w:rFonts w:ascii="Arial" w:cs="Arial" w:eastAsia="Arial" w:hAnsi="Arial"/>
          <w:sz w:val="14"/>
          <w:szCs w:val="14"/>
          <w:color w:val="57584F"/>
        </w:rPr>
      </w:pPr>
    </w:p>
    <w:p>
      <w:pPr>
        <w:ind w:left="800" w:right="1139" w:hanging="427"/>
        <w:spacing w:after="0" w:line="258" w:lineRule="auto"/>
        <w:tabs>
          <w:tab w:leader="none" w:pos="80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Management defines operating EBITDA as GAAP income from operations before depreciation and amortization; this measure may not be comparable to similarly-titled measures reported by other companies.</w:t>
      </w:r>
    </w:p>
    <w:p>
      <w:pPr>
        <w:spacing w:after="0" w:line="126" w:lineRule="exact"/>
        <w:rPr>
          <w:rFonts w:ascii="Arial" w:cs="Arial" w:eastAsia="Arial" w:hAnsi="Arial"/>
          <w:sz w:val="14"/>
          <w:szCs w:val="14"/>
          <w:color w:val="57584F"/>
        </w:rPr>
      </w:pPr>
    </w:p>
    <w:p>
      <w:pPr>
        <w:jc w:val="both"/>
        <w:ind w:left="800" w:right="1139" w:hanging="427"/>
        <w:spacing w:after="0" w:line="247" w:lineRule="auto"/>
        <w:tabs>
          <w:tab w:leader="none" w:pos="800" w:val="left"/>
        </w:tabs>
        <w:numPr>
          <w:ilvl w:val="0"/>
          <w:numId w:val="4"/>
        </w:numPr>
        <w:rPr>
          <w:rFonts w:ascii="Arial" w:cs="Arial" w:eastAsia="Arial" w:hAnsi="Arial"/>
          <w:sz w:val="14"/>
          <w:szCs w:val="14"/>
          <w:color w:val="57584F"/>
        </w:rPr>
      </w:pPr>
      <w:r>
        <w:rPr>
          <w:rFonts w:ascii="Arial" w:cs="Arial" w:eastAsia="Arial" w:hAnsi="Arial"/>
          <w:sz w:val="14"/>
          <w:szCs w:val="14"/>
          <w:color w:val="57584F"/>
        </w:rPr>
        <w:t>Core price is a performance metric used by management to evaluate the effectiveness of our pricing strategies; it is not derived from our financial statements and may not be comparable to measures presented by other companies. Core price is based on certain historical assumptions, which may differ from actual results, to allow for comparability between reporting periods and to reveal trends in results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right="1139"/>
        <w:spacing w:after="0"/>
        <w:rPr>
          <w:sz w:val="20"/>
          <w:szCs w:val="20"/>
          <w:color w:val="auto"/>
        </w:rPr>
      </w:pPr>
      <w:r>
        <w:rPr>
          <w:rFonts w:ascii="Arial" w:cs="Arial" w:eastAsia="Arial" w:hAnsi="Arial"/>
          <w:sz w:val="18"/>
          <w:szCs w:val="18"/>
          <w:color w:val="57584F"/>
        </w:rPr>
        <w:t>The Company will host a conference call at 10:00 AM (Eastern) today to discuss the second quarter results. Information contained within this press release will be referenced and should be considered in conjunction with the call.</w:t>
      </w:r>
    </w:p>
    <w:p>
      <w:pPr>
        <w:spacing w:after="0" w:line="189" w:lineRule="exact"/>
        <w:rPr>
          <w:sz w:val="20"/>
          <w:szCs w:val="20"/>
          <w:color w:val="auto"/>
        </w:rPr>
      </w:pPr>
    </w:p>
    <w:p>
      <w:pPr>
        <w:jc w:val="both"/>
        <w:ind w:right="1119"/>
        <w:spacing w:after="0" w:line="239" w:lineRule="auto"/>
        <w:rPr>
          <w:sz w:val="20"/>
          <w:szCs w:val="20"/>
          <w:color w:val="auto"/>
        </w:rPr>
      </w:pPr>
      <w:r>
        <w:rPr>
          <w:rFonts w:ascii="Arial" w:cs="Arial" w:eastAsia="Arial" w:hAnsi="Arial"/>
          <w:sz w:val="18"/>
          <w:szCs w:val="18"/>
          <w:color w:val="57584F"/>
        </w:rPr>
        <w:t xml:space="preserve">The conference call will be webcast live from the Investor Relations section of Waste Management’s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To access the conference call by telephone, please dial (877) 710-6139 approximately 10 minutes</w:t>
      </w:r>
      <w:r>
        <w:rPr>
          <w:rFonts w:ascii="Arial" w:cs="Arial" w:eastAsia="Arial" w:hAnsi="Arial"/>
          <w:sz w:val="18"/>
          <w:szCs w:val="18"/>
          <w:color w:val="0000FF"/>
        </w:rPr>
        <w:t xml:space="preserve"> </w:t>
      </w:r>
      <w:r>
        <w:rPr>
          <w:rFonts w:ascii="Arial" w:cs="Arial" w:eastAsia="Arial" w:hAnsi="Arial"/>
          <w:sz w:val="18"/>
          <w:szCs w:val="18"/>
          <w:color w:val="57584F"/>
        </w:rPr>
        <w:t>prior to the scheduled start of the call. If you are calling from outside of the United States or Canada, please dial (706) 643-7398. Please utilize conference ID number 2373399 when prompted by the conference call operator.</w:t>
      </w:r>
    </w:p>
    <w:p>
      <w:pPr>
        <w:spacing w:after="0" w:line="188" w:lineRule="exact"/>
        <w:rPr>
          <w:sz w:val="20"/>
          <w:szCs w:val="20"/>
          <w:color w:val="auto"/>
        </w:rPr>
      </w:pPr>
    </w:p>
    <w:p>
      <w:pPr>
        <w:jc w:val="both"/>
        <w:ind w:right="1119"/>
        <w:spacing w:after="0" w:line="239" w:lineRule="auto"/>
        <w:rPr>
          <w:sz w:val="20"/>
          <w:szCs w:val="20"/>
          <w:color w:val="auto"/>
        </w:rPr>
      </w:pPr>
      <w:r>
        <w:rPr>
          <w:rFonts w:ascii="Arial" w:cs="Arial" w:eastAsia="Arial" w:hAnsi="Arial"/>
          <w:sz w:val="18"/>
          <w:szCs w:val="18"/>
          <w:color w:val="57584F"/>
        </w:rPr>
        <w:t xml:space="preserve">A replay of the conference call will be available on the Company’s website </w:t>
      </w:r>
      <w:r>
        <w:rPr>
          <w:rFonts w:ascii="Arial" w:cs="Arial" w:eastAsia="Arial" w:hAnsi="Arial"/>
          <w:sz w:val="18"/>
          <w:szCs w:val="18"/>
          <w:u w:val="single" w:color="auto"/>
          <w:color w:val="0000FF"/>
        </w:rPr>
        <w:t>www.wm.com</w:t>
      </w:r>
      <w:r>
        <w:rPr>
          <w:rFonts w:ascii="Arial" w:cs="Arial" w:eastAsia="Arial" w:hAnsi="Arial"/>
          <w:sz w:val="18"/>
          <w:szCs w:val="18"/>
          <w:color w:val="57584F"/>
        </w:rPr>
        <w:t xml:space="preserve"> and by telephone from approximately 1p.m. (Eastern) today through 5p.m. (Eastern), on Wednesday, Aug. 15, 2018. To access the replay telephonically, please dial (855) 859-2056, or from outside of the United States or Canada dial (404) 537-3406, and use the replay conference ID number 2373399.</w:t>
      </w:r>
    </w:p>
    <w:p>
      <w:pPr>
        <w:spacing w:after="0" w:line="30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WASTE MANAGEMENT</w:t>
      </w:r>
    </w:p>
    <w:p>
      <w:pPr>
        <w:spacing w:after="0" w:line="22" w:lineRule="exact"/>
        <w:rPr>
          <w:sz w:val="20"/>
          <w:szCs w:val="20"/>
          <w:color w:val="auto"/>
        </w:rPr>
      </w:pPr>
    </w:p>
    <w:p>
      <w:pPr>
        <w:jc w:val="both"/>
        <w:ind w:right="1119"/>
        <w:spacing w:after="0" w:line="237" w:lineRule="auto"/>
        <w:rPr>
          <w:sz w:val="20"/>
          <w:szCs w:val="20"/>
          <w:color w:val="auto"/>
        </w:rPr>
      </w:pPr>
      <w:r>
        <w:rPr>
          <w:rFonts w:ascii="Arial" w:cs="Arial" w:eastAsia="Arial" w:hAnsi="Arial"/>
          <w:sz w:val="18"/>
          <w:szCs w:val="18"/>
          <w:color w:val="595959"/>
        </w:rPr>
        <w:t xml:space="preserve">Waste Management, based in Houston, Texas, is the leading provider of comprehensive waste management environmental services in North America. Through its subsidiaries, the Company provides collection, transfer, disposal services, and recycling and resource recovery.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8"/>
          <w:szCs w:val="18"/>
          <w:u w:val="single" w:color="auto"/>
          <w:color w:val="595959"/>
        </w:rPr>
        <w:t>www.wm.com</w:t>
      </w:r>
      <w:r>
        <w:rPr>
          <w:rFonts w:ascii="Arial" w:cs="Arial" w:eastAsia="Arial" w:hAnsi="Arial"/>
          <w:sz w:val="18"/>
          <w:szCs w:val="18"/>
          <w:color w:val="595959"/>
        </w:rPr>
        <w:t xml:space="preserve"> or </w:t>
      </w:r>
      <w:r>
        <w:rPr>
          <w:rFonts w:ascii="Arial" w:cs="Arial" w:eastAsia="Arial" w:hAnsi="Arial"/>
          <w:sz w:val="18"/>
          <w:szCs w:val="18"/>
          <w:u w:val="single" w:color="auto"/>
          <w:color w:val="0000FF"/>
        </w:rPr>
        <w:t>www.thinkgreen.com</w:t>
      </w:r>
      <w:r>
        <w:rPr>
          <w:rFonts w:ascii="Arial" w:cs="Arial" w:eastAsia="Arial" w:hAnsi="Arial"/>
          <w:sz w:val="18"/>
          <w:szCs w:val="18"/>
          <w:color w:val="595959"/>
        </w:rPr>
        <w:t>.</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22" w:lineRule="exact"/>
        <w:rPr>
          <w:sz w:val="20"/>
          <w:szCs w:val="20"/>
          <w:color w:val="auto"/>
        </w:rPr>
      </w:pPr>
    </w:p>
    <w:p>
      <w:pPr>
        <w:jc w:val="both"/>
        <w:ind w:right="1119"/>
        <w:spacing w:after="0" w:line="235" w:lineRule="auto"/>
        <w:rPr>
          <w:sz w:val="20"/>
          <w:szCs w:val="20"/>
          <w:color w:val="auto"/>
        </w:rPr>
      </w:pPr>
      <w:r>
        <w:rPr>
          <w:rFonts w:ascii="Arial" w:cs="Arial" w:eastAsia="Arial" w:hAnsi="Arial"/>
          <w:sz w:val="18"/>
          <w:szCs w:val="18"/>
          <w:color w:val="57584F"/>
        </w:rPr>
        <w:t>The Company, from time to time, provides estimates of financial and other data, comments on expectations relating to future periods and makes statements of opinion, view or belief about current and future events. This press release contains a number of such forward-looking statements, including but not limited to statements regarding 2018 earnings per diluted share; 2018 free cash flow; 2018 operating EBITDA; 2018 tax rate; future performance of the solid waste business, including operating goals and future performance of the recycling lines of business, including impact to earnings per share. You should view these statements with caution. They are based on the facts and circumstances known to the Company as of the date the statements are made. These forward-looking statements are subject to risks and uncertainties that could cause actual results to be materially different from those set forth in such forward-looking statements, including but not limited to, increased competition; pricing actions; failure to implement our optimization, growth, and cost savings initiatives and overall business strategy; failure to identify acquisition targets and negotiate attractive terms; failure to consummate or integrate such acquisitions; failure to obtain the results anticipated from acquisitions; environmental and other regulations; commodity price fluctuations; international trade restrictions; disposal alternatives and waste diversion; declining waste volumes; failure to develop and protect new technology; significant environmental or other incidents resulting in liabilities and brand damage; weakness in economic conditions; failure to obtain and maintain necessary permits; labor disruptions; impairment charges; and negative outcomes of litigation or governmental proceedings. Please also see the Company’s filings with the SEC, including Part I, Item 1A of the Company’s most recently filed Annual Report on Form 10-K, for additional information regarding these and other risks and uncertainties applicable to our business. The Company assumes no obligation to update any forward-looking statement, including financial estimates and forecasts, whether as a result of future events, circumstances or developments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134" w:right="1440" w:bottom="21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NON-GAAP FINANCIAL MEASURES</w:t>
      </w:r>
    </w:p>
    <w:p>
      <w:pPr>
        <w:spacing w:after="0" w:line="22" w:lineRule="exact"/>
        <w:rPr>
          <w:sz w:val="20"/>
          <w:szCs w:val="20"/>
          <w:color w:val="auto"/>
        </w:rPr>
      </w:pPr>
    </w:p>
    <w:p>
      <w:pPr>
        <w:jc w:val="both"/>
        <w:ind w:right="2320"/>
        <w:spacing w:after="0" w:line="236" w:lineRule="auto"/>
        <w:rPr>
          <w:sz w:val="20"/>
          <w:szCs w:val="20"/>
          <w:color w:val="auto"/>
        </w:rPr>
      </w:pPr>
      <w:r>
        <w:rPr>
          <w:rFonts w:ascii="Arial" w:cs="Arial" w:eastAsia="Arial" w:hAnsi="Arial"/>
          <w:sz w:val="18"/>
          <w:szCs w:val="18"/>
          <w:color w:val="57584F"/>
        </w:rPr>
        <w:t>To supplement its financial information, the Company, in some instances, has presented adjusted earnings per diluted share, adjusted net income, adjusted operating EBITDA, adjusted tax rate and free cash flow, and has also presented projections of adjusted earnings per diluted share, adjusted operating EBITDA, adjusted tax rate and free cash flow; these are non-GAAP financial measures, as defined in Regulation G of the Securities Exchange Act of 1934, as amended. The Company reports its financial results in compliance with GAAP but believes that also discussing non-GAAP measures provides investors with (i) additional, meaningful comparisons of current results to prior periods’ results by excluding items that the Company does not believe reflect its fundamental business performance and are not representative or indicative of its results of operations and (ii) financial measures the Company uses in the management of its business.</w:t>
      </w:r>
    </w:p>
    <w:p>
      <w:pPr>
        <w:spacing w:after="0" w:line="194" w:lineRule="exact"/>
        <w:rPr>
          <w:sz w:val="20"/>
          <w:szCs w:val="20"/>
          <w:color w:val="auto"/>
        </w:rPr>
      </w:pPr>
    </w:p>
    <w:p>
      <w:pPr>
        <w:jc w:val="both"/>
        <w:ind w:right="2320"/>
        <w:spacing w:after="0" w:line="237" w:lineRule="auto"/>
        <w:rPr>
          <w:sz w:val="20"/>
          <w:szCs w:val="20"/>
          <w:color w:val="auto"/>
        </w:rPr>
      </w:pPr>
      <w:r>
        <w:rPr>
          <w:rFonts w:ascii="Arial" w:cs="Arial" w:eastAsia="Arial" w:hAnsi="Arial"/>
          <w:sz w:val="18"/>
          <w:szCs w:val="18"/>
          <w:color w:val="57584F"/>
        </w:rPr>
        <w:t>The Company’s projected full year 2018 earnings per diluted share, operating EBITDA and tax rate are anticipated to exclude the effects of events or circumstances in 2018 that are not representative or indicative of the Company’s results of operations. Such excluded items are not currently determinable, but may be significant, such as asset impairments and one-time items, charges, gains or losses from divestitures or litigation, or other items. Due to the uncertainty of the likelihood, amount and timing of any such items, the Company does not have information available to provide a quantitative reconciliation of adjusted projected full-year earnings per diluted share, operating EBITDA or tax rate to the comparable GAAP measures.</w:t>
      </w:r>
    </w:p>
    <w:p>
      <w:pPr>
        <w:spacing w:after="0" w:line="190" w:lineRule="exact"/>
        <w:rPr>
          <w:sz w:val="20"/>
          <w:szCs w:val="20"/>
          <w:color w:val="auto"/>
        </w:rPr>
      </w:pPr>
    </w:p>
    <w:p>
      <w:pPr>
        <w:jc w:val="both"/>
        <w:ind w:right="2320"/>
        <w:spacing w:after="0" w:line="236" w:lineRule="auto"/>
        <w:rPr>
          <w:sz w:val="20"/>
          <w:szCs w:val="20"/>
          <w:color w:val="auto"/>
        </w:rPr>
      </w:pPr>
      <w:r>
        <w:rPr>
          <w:rFonts w:ascii="Arial" w:cs="Arial" w:eastAsia="Arial" w:hAnsi="Arial"/>
          <w:sz w:val="18"/>
          <w:szCs w:val="18"/>
          <w:color w:val="57584F"/>
        </w:rPr>
        <w:t>The Company discusses free cash flow because the Company believes that it is indicative of its ability to pay its quarterly dividends, repurchase common stock, fund acquisitions and other investments and, in the absence of refinancings, to repay its debt obligations. Free cash flow is not intended to replace “Net cash provided by operating activities,” which is the most comparable GAAP measure. The Company believes free cash flow gives investors useful insight into how the Company views its liquidity, but the use of free cash flow as a liquidity measure has material limitations because it excludes certain expenditures that are required or that the Company has committed to, such as declared dividend payments and debt service requirements. The Company defines free cash flow as net cash provided by operating activities, less capital expenditures, plus proceeds from divestitures of businesses and other assets (net of cash divested); this definition may not be comparable to similarly-titled measures reported by other companies.</w:t>
      </w:r>
    </w:p>
    <w:p>
      <w:pPr>
        <w:spacing w:after="0" w:line="193" w:lineRule="exact"/>
        <w:rPr>
          <w:sz w:val="20"/>
          <w:szCs w:val="20"/>
          <w:color w:val="auto"/>
        </w:rPr>
      </w:pPr>
    </w:p>
    <w:p>
      <w:pPr>
        <w:jc w:val="both"/>
        <w:ind w:right="2320"/>
        <w:spacing w:after="0" w:line="234" w:lineRule="auto"/>
        <w:rPr>
          <w:sz w:val="20"/>
          <w:szCs w:val="20"/>
          <w:color w:val="auto"/>
        </w:rPr>
      </w:pPr>
      <w:r>
        <w:rPr>
          <w:rFonts w:ascii="Arial" w:cs="Arial" w:eastAsia="Arial" w:hAnsi="Arial"/>
          <w:sz w:val="18"/>
          <w:szCs w:val="18"/>
          <w:color w:val="57584F"/>
        </w:rPr>
        <w:t>The quantitative reconciliations of non-GAAP measures used herein to the most comparable GAAP measures are included in the accompanying schedules, with the exception of projected earnings per diluted share, operating EBITDA and tax rate. Non-GAAP measures should not be considered a substitute for financial measures presented in accordance with GAAP.</w:t>
      </w:r>
    </w:p>
    <w:p>
      <w:pPr>
        <w:spacing w:after="0" w:line="3" w:lineRule="exact"/>
        <w:rPr>
          <w:sz w:val="20"/>
          <w:szCs w:val="20"/>
          <w:color w:val="auto"/>
        </w:rPr>
      </w:pPr>
    </w:p>
    <w:p>
      <w:pPr>
        <w:ind w:left="4400"/>
        <w:spacing w:after="0"/>
        <w:rPr>
          <w:sz w:val="20"/>
          <w:szCs w:val="20"/>
          <w:color w:val="auto"/>
        </w:rPr>
      </w:pPr>
      <w:r>
        <w:rPr>
          <w:rFonts w:ascii="Arial" w:cs="Arial" w:eastAsia="Arial" w:hAnsi="Arial"/>
          <w:sz w:val="18"/>
          <w:szCs w:val="18"/>
          <w:color w:val="57584F"/>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201295</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Statements of Operations</w:t>
      </w:r>
    </w:p>
    <w:p>
      <w:pPr>
        <w:jc w:val="center"/>
        <w:spacing w:after="0" w:line="230" w:lineRule="auto"/>
        <w:rPr>
          <w:sz w:val="20"/>
          <w:szCs w:val="20"/>
          <w:color w:val="auto"/>
        </w:rPr>
      </w:pPr>
      <w:r>
        <w:rPr>
          <w:rFonts w:ascii="Arial" w:cs="Arial" w:eastAsia="Arial" w:hAnsi="Arial"/>
          <w:sz w:val="22"/>
          <w:szCs w:val="22"/>
          <w:b w:val="1"/>
          <w:bCs w:val="1"/>
          <w:color w:val="auto"/>
        </w:rPr>
        <w:t>(In Millions,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7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280" w:type="dxa"/>
            <w:vAlign w:val="bottom"/>
          </w:tcPr>
          <w:p>
            <w:pPr>
              <w:spacing w:after="0"/>
              <w:rPr>
                <w:sz w:val="18"/>
                <w:szCs w:val="18"/>
                <w:color w:val="auto"/>
              </w:rPr>
            </w:pPr>
          </w:p>
        </w:tc>
        <w:tc>
          <w:tcPr>
            <w:tcW w:w="240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426"/>
        </w:trPr>
        <w:tc>
          <w:tcPr>
            <w:tcW w:w="5740" w:type="dxa"/>
            <w:vAlign w:val="bottom"/>
          </w:tcPr>
          <w:p>
            <w:pPr>
              <w:spacing w:after="0"/>
              <w:rPr>
                <w:sz w:val="20"/>
                <w:szCs w:val="20"/>
                <w:color w:val="auto"/>
              </w:rPr>
            </w:pPr>
            <w:r>
              <w:rPr>
                <w:rFonts w:ascii="Arial" w:cs="Arial" w:eastAsia="Arial" w:hAnsi="Arial"/>
                <w:sz w:val="18"/>
                <w:szCs w:val="18"/>
                <w:color w:val="auto"/>
              </w:rPr>
              <w:t>Operating revenues</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3,739</w:t>
            </w:r>
          </w:p>
        </w:tc>
        <w:tc>
          <w:tcPr>
            <w:tcW w:w="24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3,677</w:t>
            </w:r>
          </w:p>
        </w:tc>
        <w:tc>
          <w:tcPr>
            <w:tcW w:w="24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7,250</w:t>
            </w:r>
          </w:p>
        </w:tc>
        <w:tc>
          <w:tcPr>
            <w:tcW w:w="220" w:type="dxa"/>
            <w:vAlign w:val="bottom"/>
          </w:tcPr>
          <w:p>
            <w:pPr>
              <w:spacing w:after="0"/>
              <w:rPr>
                <w:sz w:val="24"/>
                <w:szCs w:val="24"/>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7,117</w:t>
            </w:r>
          </w:p>
        </w:tc>
        <w:tc>
          <w:tcPr>
            <w:tcW w:w="0" w:type="dxa"/>
            <w:vAlign w:val="bottom"/>
          </w:tcPr>
          <w:p>
            <w:pPr>
              <w:spacing w:after="0"/>
              <w:rPr>
                <w:sz w:val="1"/>
                <w:szCs w:val="1"/>
                <w:color w:val="auto"/>
              </w:rPr>
            </w:pPr>
          </w:p>
        </w:tc>
      </w:tr>
      <w:tr>
        <w:trPr>
          <w:trHeight w:val="418"/>
        </w:trPr>
        <w:tc>
          <w:tcPr>
            <w:tcW w:w="5740" w:type="dxa"/>
            <w:vAlign w:val="bottom"/>
          </w:tcPr>
          <w:p>
            <w:pPr>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Operating</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2,313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2,290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4,497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4,456</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365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384</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356</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Restructuring</w:t>
            </w: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w w:val="97"/>
              </w:rPr>
              <w:t>(Gain) loss from divestitures, asset impairments and unusual items,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5740" w:type="dxa"/>
            <w:vAlign w:val="bottom"/>
            <w:vMerge w:val="restart"/>
          </w:tcPr>
          <w:p>
            <w:pPr>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3,024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3,004</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5,927</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5,886</w:t>
            </w:r>
          </w:p>
        </w:tc>
        <w:tc>
          <w:tcPr>
            <w:tcW w:w="0" w:type="dxa"/>
            <w:vAlign w:val="bottom"/>
          </w:tcPr>
          <w:p>
            <w:pPr>
              <w:spacing w:after="0"/>
              <w:rPr>
                <w:sz w:val="1"/>
                <w:szCs w:val="1"/>
                <w:color w:val="auto"/>
              </w:rPr>
            </w:pPr>
          </w:p>
        </w:tc>
      </w:tr>
      <w:tr>
        <w:trPr>
          <w:trHeight w:val="210"/>
        </w:trPr>
        <w:tc>
          <w:tcPr>
            <w:tcW w:w="5740" w:type="dxa"/>
            <w:vAlign w:val="bottom"/>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715</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673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1,231</w:t>
            </w:r>
          </w:p>
        </w:tc>
        <w:tc>
          <w:tcPr>
            <w:tcW w:w="0" w:type="dxa"/>
            <w:vAlign w:val="bottom"/>
          </w:tcPr>
          <w:p>
            <w:pPr>
              <w:spacing w:after="0"/>
              <w:rPr>
                <w:sz w:val="1"/>
                <w:szCs w:val="1"/>
                <w:color w:val="auto"/>
              </w:rPr>
            </w:pPr>
          </w:p>
        </w:tc>
      </w:tr>
      <w:tr>
        <w:trPr>
          <w:trHeight w:val="411"/>
        </w:trPr>
        <w:tc>
          <w:tcPr>
            <w:tcW w:w="5740" w:type="dxa"/>
            <w:vAlign w:val="bottom"/>
          </w:tcPr>
          <w:p>
            <w:pPr>
              <w:spacing w:after="0"/>
              <w:rPr>
                <w:sz w:val="20"/>
                <w:szCs w:val="20"/>
                <w:color w:val="auto"/>
              </w:rPr>
            </w:pPr>
            <w:r>
              <w:rPr>
                <w:rFonts w:ascii="Arial" w:cs="Arial" w:eastAsia="Arial" w:hAnsi="Arial"/>
                <w:sz w:val="18"/>
                <w:szCs w:val="18"/>
                <w:color w:val="auto"/>
              </w:rPr>
              <w:t>Other income (expense):</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(90)</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Equity in net losses of unconsolidated entities</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411"/>
        </w:trPr>
        <w:tc>
          <w:tcPr>
            <w:tcW w:w="57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609</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570</w:t>
            </w: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1,120</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195"/>
        </w:trPr>
        <w:tc>
          <w:tcPr>
            <w:tcW w:w="5740" w:type="dxa"/>
            <w:vAlign w:val="bottom"/>
          </w:tcPr>
          <w:p>
            <w:pPr>
              <w:spacing w:after="0" w:line="195" w:lineRule="exact"/>
              <w:rPr>
                <w:sz w:val="20"/>
                <w:szCs w:val="20"/>
                <w:color w:val="auto"/>
              </w:rPr>
            </w:pPr>
            <w:r>
              <w:rPr>
                <w:rFonts w:ascii="Arial" w:cs="Arial" w:eastAsia="Arial" w:hAnsi="Arial"/>
                <w:sz w:val="18"/>
                <w:szCs w:val="18"/>
                <w:color w:val="auto"/>
              </w:rPr>
              <w:t>Consolidated net income</w:t>
            </w:r>
          </w:p>
        </w:tc>
        <w:tc>
          <w:tcPr>
            <w:tcW w:w="2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499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30"/>
              <w:spacing w:after="0" w:line="195" w:lineRule="exact"/>
              <w:rPr>
                <w:sz w:val="20"/>
                <w:szCs w:val="20"/>
                <w:color w:val="auto"/>
              </w:rPr>
            </w:pPr>
            <w:r>
              <w:rPr>
                <w:rFonts w:ascii="Arial" w:cs="Arial" w:eastAsia="Arial" w:hAnsi="Arial"/>
                <w:sz w:val="18"/>
                <w:szCs w:val="18"/>
                <w:color w:val="auto"/>
              </w:rPr>
              <w:t>361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
              <w:spacing w:after="0" w:line="195" w:lineRule="exact"/>
              <w:rPr>
                <w:sz w:val="20"/>
                <w:szCs w:val="20"/>
                <w:color w:val="auto"/>
              </w:rPr>
            </w:pPr>
            <w:r>
              <w:rPr>
                <w:rFonts w:ascii="Arial" w:cs="Arial" w:eastAsia="Arial" w:hAnsi="Arial"/>
                <w:sz w:val="18"/>
                <w:szCs w:val="18"/>
                <w:color w:val="auto"/>
              </w:rPr>
              <w:t>894</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30"/>
        </w:trPr>
        <w:tc>
          <w:tcPr>
            <w:tcW w:w="5740" w:type="dxa"/>
            <w:vAlign w:val="bottom"/>
          </w:tcPr>
          <w:p>
            <w:pPr>
              <w:ind w:left="180"/>
              <w:spacing w:after="0"/>
              <w:rPr>
                <w:sz w:val="20"/>
                <w:szCs w:val="20"/>
                <w:color w:val="auto"/>
              </w:rPr>
            </w:pPr>
            <w:r>
              <w:rPr>
                <w:rFonts w:ascii="Arial" w:cs="Arial" w:eastAsia="Arial" w:hAnsi="Arial"/>
                <w:sz w:val="18"/>
                <w:szCs w:val="18"/>
                <w:color w:val="auto"/>
              </w:rPr>
              <w:t>Less: Net loss attributable to noncontrolling interests</w:t>
            </w: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0"/>
        </w:trPr>
        <w:tc>
          <w:tcPr>
            <w:tcW w:w="5740" w:type="dxa"/>
            <w:vAlign w:val="bottom"/>
          </w:tcPr>
          <w:p>
            <w:pPr>
              <w:spacing w:after="0"/>
              <w:rPr>
                <w:sz w:val="20"/>
                <w:szCs w:val="20"/>
                <w:color w:val="auto"/>
              </w:rPr>
            </w:pPr>
            <w:r>
              <w:rPr>
                <w:rFonts w:ascii="Arial" w:cs="Arial" w:eastAsia="Arial" w:hAnsi="Arial"/>
                <w:sz w:val="18"/>
                <w:szCs w:val="18"/>
                <w:color w:val="auto"/>
              </w:rPr>
              <w:t>Net income attributable to Waste Management, Inc.</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499</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362</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895</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tcPr>
          <w:p>
            <w:pPr>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0.82</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74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1.15</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0.81</w:t>
            </w:r>
          </w:p>
        </w:tc>
        <w:tc>
          <w:tcPr>
            <w:tcW w:w="24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24"/>
                <w:szCs w:val="24"/>
                <w:color w:val="auto"/>
              </w:rPr>
            </w:pPr>
          </w:p>
        </w:tc>
        <w:tc>
          <w:tcPr>
            <w:tcW w:w="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581"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color w:val="auto"/>
              </w:rPr>
              <w:t>Basic common shares outstanding</w:t>
            </w: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429.9</w:t>
            </w:r>
          </w:p>
        </w:tc>
        <w:tc>
          <w:tcPr>
            <w:tcW w:w="24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441.9</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431.6</w:t>
            </w:r>
          </w:p>
        </w:tc>
        <w:tc>
          <w:tcPr>
            <w:tcW w:w="2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441.6</w:t>
            </w:r>
          </w:p>
        </w:tc>
      </w:tr>
      <w:tr>
        <w:trPr>
          <w:trHeight w:val="20"/>
        </w:trPr>
        <w:tc>
          <w:tcPr>
            <w:tcW w:w="5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5740" w:type="dxa"/>
            <w:vAlign w:val="bottom"/>
          </w:tcPr>
          <w:p>
            <w:pPr>
              <w:spacing w:after="0"/>
              <w:rPr>
                <w:sz w:val="20"/>
                <w:szCs w:val="20"/>
                <w:color w:val="auto"/>
              </w:rPr>
            </w:pPr>
            <w:r>
              <w:rPr>
                <w:rFonts w:ascii="Arial" w:cs="Arial" w:eastAsia="Arial" w:hAnsi="Arial"/>
                <w:sz w:val="18"/>
                <w:szCs w:val="18"/>
                <w:color w:val="auto"/>
              </w:rPr>
              <w:t>Diluted common shares outstanding</w:t>
            </w: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432.3</w:t>
            </w:r>
          </w:p>
        </w:tc>
        <w:tc>
          <w:tcPr>
            <w:tcW w:w="24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444.4</w:t>
            </w:r>
          </w:p>
        </w:tc>
        <w:tc>
          <w:tcPr>
            <w:tcW w:w="2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434.1</w:t>
            </w:r>
          </w:p>
        </w:tc>
        <w:tc>
          <w:tcPr>
            <w:tcW w:w="22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444.4</w:t>
            </w:r>
          </w:p>
        </w:tc>
      </w:tr>
      <w:tr>
        <w:trPr>
          <w:trHeight w:val="20"/>
        </w:trPr>
        <w:tc>
          <w:tcPr>
            <w:tcW w:w="5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13"/>
        </w:trPr>
        <w:tc>
          <w:tcPr>
            <w:tcW w:w="5740" w:type="dxa"/>
            <w:vAlign w:val="bottom"/>
          </w:tcPr>
          <w:p>
            <w:pPr>
              <w:spacing w:after="0"/>
              <w:rPr>
                <w:sz w:val="20"/>
                <w:szCs w:val="20"/>
                <w:color w:val="auto"/>
              </w:rPr>
            </w:pPr>
            <w:r>
              <w:rPr>
                <w:rFonts w:ascii="Arial" w:cs="Arial" w:eastAsia="Arial" w:hAnsi="Arial"/>
                <w:sz w:val="18"/>
                <w:szCs w:val="18"/>
                <w:color w:val="auto"/>
              </w:rPr>
              <w:t>Cash dividends declared per common share</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0.465</w:t>
            </w:r>
          </w:p>
        </w:tc>
        <w:tc>
          <w:tcPr>
            <w:tcW w:w="240" w:type="dxa"/>
            <w:vAlign w:val="bottom"/>
          </w:tcPr>
          <w:p>
            <w:pPr>
              <w:spacing w:after="0"/>
              <w:rPr>
                <w:sz w:val="24"/>
                <w:szCs w:val="24"/>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0.425</w:t>
            </w:r>
          </w:p>
        </w:tc>
        <w:tc>
          <w:tcPr>
            <w:tcW w:w="240" w:type="dxa"/>
            <w:vAlign w:val="bottom"/>
          </w:tcPr>
          <w:p>
            <w:pPr>
              <w:spacing w:after="0"/>
              <w:rPr>
                <w:sz w:val="24"/>
                <w:szCs w:val="24"/>
                <w:color w:val="auto"/>
              </w:rPr>
            </w:pPr>
          </w:p>
        </w:tc>
        <w:tc>
          <w:tcPr>
            <w:tcW w:w="4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0.93</w:t>
            </w:r>
          </w:p>
        </w:tc>
        <w:tc>
          <w:tcPr>
            <w:tcW w:w="220" w:type="dxa"/>
            <w:vAlign w:val="bottom"/>
          </w:tcPr>
          <w:p>
            <w:pPr>
              <w:spacing w:after="0"/>
              <w:rPr>
                <w:sz w:val="24"/>
                <w:szCs w:val="24"/>
                <w:color w:val="auto"/>
              </w:rPr>
            </w:pP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0.85</w:t>
            </w:r>
          </w:p>
        </w:tc>
      </w:tr>
      <w:tr>
        <w:trPr>
          <w:trHeight w:val="20"/>
        </w:trPr>
        <w:tc>
          <w:tcPr>
            <w:tcW w:w="57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Balance Sheets</w:t>
      </w:r>
    </w:p>
    <w:p>
      <w:pPr>
        <w:jc w:val="center"/>
        <w:ind w:right="40"/>
        <w:spacing w:after="0" w:line="233" w:lineRule="auto"/>
        <w:rPr>
          <w:sz w:val="20"/>
          <w:szCs w:val="20"/>
          <w:color w:val="auto"/>
        </w:rPr>
      </w:pPr>
      <w:r>
        <w:rPr>
          <w:rFonts w:ascii="Arial" w:cs="Arial" w:eastAsia="Arial" w:hAnsi="Arial"/>
          <w:sz w:val="22"/>
          <w:szCs w:val="22"/>
          <w:b w:val="1"/>
          <w:bCs w:val="1"/>
          <w:color w:val="auto"/>
        </w:rPr>
        <w:t>(In Millions)</w:t>
      </w:r>
    </w:p>
    <w:p>
      <w:pPr>
        <w:jc w:val="center"/>
        <w:ind w:right="40"/>
        <w:spacing w:after="0"/>
        <w:rPr>
          <w:sz w:val="20"/>
          <w:szCs w:val="20"/>
          <w:color w:val="auto"/>
        </w:rPr>
      </w:pPr>
      <w:r>
        <w:rPr>
          <w:rFonts w:ascii="Arial" w:cs="Arial" w:eastAsia="Arial" w:hAnsi="Arial"/>
          <w:sz w:val="20"/>
          <w:szCs w:val="20"/>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8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18"/>
                <w:szCs w:val="18"/>
                <w:color w:val="auto"/>
              </w:rPr>
            </w:pPr>
          </w:p>
        </w:tc>
        <w:tc>
          <w:tcPr>
            <w:tcW w:w="1280" w:type="dxa"/>
            <w:vAlign w:val="bottom"/>
          </w:tcPr>
          <w:p>
            <w:pPr>
              <w:jc w:val="right"/>
              <w:ind w:right="130"/>
              <w:spacing w:after="0"/>
              <w:rPr>
                <w:sz w:val="20"/>
                <w:szCs w:val="20"/>
                <w:color w:val="auto"/>
              </w:rPr>
            </w:pPr>
            <w:r>
              <w:rPr>
                <w:rFonts w:ascii="Arial" w:cs="Arial" w:eastAsia="Arial" w:hAnsi="Arial"/>
                <w:sz w:val="18"/>
                <w:szCs w:val="18"/>
                <w:b w:val="1"/>
                <w:bCs w:val="1"/>
                <w:color w:val="auto"/>
                <w:w w:val="88"/>
              </w:rPr>
              <w:t>December 31,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18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6"/>
        </w:trPr>
        <w:tc>
          <w:tcPr>
            <w:tcW w:w="518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Current assets:</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Cash and cash equivalents</w:t>
            </w: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2,189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2,374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Other</w:t>
            </w: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235</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228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2,471</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2,624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11,625</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11,559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Goodwill</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6,346</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6,247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Other intangible assets, net</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547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assets</w:t>
            </w: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1,019</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852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272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22,014</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180" w:type="dxa"/>
            <w:vAlign w:val="bottom"/>
            <w:vMerge w:val="continue"/>
          </w:tcPr>
          <w:p>
            <w:pPr>
              <w:spacing w:after="0"/>
              <w:rPr>
                <w:sz w:val="24"/>
                <w:szCs w:val="24"/>
                <w:color w:val="auto"/>
              </w:rPr>
            </w:pP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5180" w:type="dxa"/>
            <w:vAlign w:val="bottom"/>
          </w:tcPr>
          <w:p>
            <w:pPr>
              <w:spacing w:after="0"/>
              <w:rPr>
                <w:sz w:val="20"/>
                <w:szCs w:val="20"/>
                <w:color w:val="auto"/>
              </w:rPr>
            </w:pPr>
            <w:r>
              <w:rPr>
                <w:rFonts w:ascii="Arial" w:cs="Arial" w:eastAsia="Arial" w:hAnsi="Arial"/>
                <w:sz w:val="18"/>
                <w:szCs w:val="18"/>
                <w:color w:val="auto"/>
              </w:rPr>
              <w:t>Current liabilities:</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w w:val="99"/>
              </w:rPr>
              <w:t>Accounts payable, accrued liabilities, and deferred revenues</w:t>
            </w:r>
          </w:p>
        </w:tc>
        <w:tc>
          <w:tcPr>
            <w:tcW w:w="30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2,477</w:t>
            </w:r>
          </w:p>
        </w:tc>
        <w:tc>
          <w:tcPr>
            <w:tcW w:w="4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2,523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Current portion of long-term debt</w:t>
            </w: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828</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518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3,305</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3,262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4"/>
        </w:trPr>
        <w:tc>
          <w:tcPr>
            <w:tcW w:w="518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8,968</w:t>
            </w: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8,752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Other liabilities</w:t>
            </w: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3,685</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3,773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2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15,958</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15,787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1"/>
        </w:trPr>
        <w:tc>
          <w:tcPr>
            <w:tcW w:w="5180" w:type="dxa"/>
            <w:vAlign w:val="bottom"/>
          </w:tcPr>
          <w:p>
            <w:pPr>
              <w:spacing w:after="0"/>
              <w:rPr>
                <w:sz w:val="20"/>
                <w:szCs w:val="20"/>
                <w:color w:val="auto"/>
              </w:rPr>
            </w:pPr>
            <w:r>
              <w:rPr>
                <w:rFonts w:ascii="Arial" w:cs="Arial" w:eastAsia="Arial" w:hAnsi="Arial"/>
                <w:sz w:val="18"/>
                <w:szCs w:val="18"/>
                <w:color w:val="auto"/>
              </w:rPr>
              <w:t>Equity:</w:t>
            </w:r>
          </w:p>
        </w:tc>
        <w:tc>
          <w:tcPr>
            <w:tcW w:w="2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80" w:type="dxa"/>
            <w:vAlign w:val="bottom"/>
          </w:tcPr>
          <w:p>
            <w:pPr>
              <w:ind w:left="360"/>
              <w:spacing w:after="0"/>
              <w:rPr>
                <w:sz w:val="20"/>
                <w:szCs w:val="20"/>
                <w:color w:val="auto"/>
              </w:rPr>
            </w:pPr>
            <w:r>
              <w:rPr>
                <w:rFonts w:ascii="Arial" w:cs="Arial" w:eastAsia="Arial" w:hAnsi="Arial"/>
                <w:sz w:val="18"/>
                <w:szCs w:val="18"/>
                <w:color w:val="auto"/>
              </w:rPr>
              <w:t>Waste Management, Inc. stockholders’ equity</w:t>
            </w: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6,054</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6,019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Noncontrolling interests</w:t>
            </w: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4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27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6,056</w:t>
            </w:r>
          </w:p>
        </w:tc>
        <w:tc>
          <w:tcPr>
            <w:tcW w:w="4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6,042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520"/>
              <w:spacing w:after="0"/>
              <w:rPr>
                <w:sz w:val="20"/>
                <w:szCs w:val="20"/>
                <w:color w:val="auto"/>
              </w:rPr>
            </w:pPr>
            <w:r>
              <w:rPr>
                <w:rFonts w:ascii="Arial" w:cs="Arial" w:eastAsia="Arial" w:hAnsi="Arial"/>
                <w:sz w:val="18"/>
                <w:szCs w:val="18"/>
                <w:color w:val="auto"/>
              </w:rPr>
              <w:t>Total liabilities and equity</w:t>
            </w:r>
          </w:p>
        </w:tc>
        <w:tc>
          <w:tcPr>
            <w:tcW w:w="2720" w:type="dxa"/>
            <w:vAlign w:val="bottom"/>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22,014</w:t>
            </w:r>
          </w:p>
        </w:tc>
        <w:tc>
          <w:tcPr>
            <w:tcW w:w="46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21,829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80" w:type="dxa"/>
            <w:vAlign w:val="bottom"/>
          </w:tcPr>
          <w:p>
            <w:pPr>
              <w:spacing w:after="0" w:line="20" w:lineRule="exact"/>
              <w:rPr>
                <w:sz w:val="1"/>
                <w:szCs w:val="1"/>
                <w:color w:val="auto"/>
              </w:rPr>
            </w:pPr>
          </w:p>
        </w:tc>
        <w:tc>
          <w:tcPr>
            <w:tcW w:w="2720" w:type="dxa"/>
            <w:vAlign w:val="bottom"/>
            <w:vMerge w:val="restart"/>
          </w:tcPr>
          <w:p>
            <w:pPr>
              <w:jc w:val="right"/>
              <w:ind w:right="2050"/>
              <w:spacing w:after="0"/>
              <w:rPr>
                <w:sz w:val="20"/>
                <w:szCs w:val="20"/>
                <w:color w:val="auto"/>
              </w:rPr>
            </w:pPr>
            <w:r>
              <w:rPr>
                <w:rFonts w:ascii="Arial" w:cs="Arial" w:eastAsia="Arial" w:hAnsi="Arial"/>
                <w:sz w:val="18"/>
                <w:szCs w:val="18"/>
                <w:b w:val="1"/>
                <w:bCs w:val="1"/>
                <w:color w:val="auto"/>
              </w:rPr>
              <w:t>2</w:t>
            </w: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180" w:type="dxa"/>
            <w:vAlign w:val="bottom"/>
          </w:tcPr>
          <w:p>
            <w:pPr>
              <w:spacing w:after="0"/>
              <w:rPr>
                <w:sz w:val="24"/>
                <w:szCs w:val="24"/>
                <w:color w:val="auto"/>
              </w:rPr>
            </w:pPr>
          </w:p>
        </w:tc>
        <w:tc>
          <w:tcPr>
            <w:tcW w:w="27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180" w:type="dxa"/>
            <w:vAlign w:val="bottom"/>
            <w:tcBorders>
              <w:bottom w:val="single" w:sz="8" w:color="808080"/>
            </w:tcBorders>
          </w:tcPr>
          <w:p>
            <w:pPr>
              <w:spacing w:after="0"/>
              <w:rPr>
                <w:sz w:val="11"/>
                <w:szCs w:val="11"/>
                <w:color w:val="auto"/>
              </w:rPr>
            </w:pPr>
          </w:p>
        </w:tc>
        <w:tc>
          <w:tcPr>
            <w:tcW w:w="2720" w:type="dxa"/>
            <w:vAlign w:val="bottom"/>
            <w:tcBorders>
              <w:bottom w:val="single" w:sz="8" w:color="808080"/>
            </w:tcBorders>
          </w:tcPr>
          <w:p>
            <w:pPr>
              <w:spacing w:after="0"/>
              <w:rPr>
                <w:sz w:val="11"/>
                <w:szCs w:val="11"/>
                <w:color w:val="auto"/>
              </w:rPr>
            </w:pPr>
          </w:p>
        </w:tc>
        <w:tc>
          <w:tcPr>
            <w:tcW w:w="300" w:type="dxa"/>
            <w:vAlign w:val="bottom"/>
            <w:tcBorders>
              <w:bottom w:val="single" w:sz="8" w:color="808080"/>
            </w:tcBorders>
          </w:tcPr>
          <w:p>
            <w:pPr>
              <w:spacing w:after="0"/>
              <w:rPr>
                <w:sz w:val="11"/>
                <w:szCs w:val="11"/>
                <w:color w:val="auto"/>
              </w:rPr>
            </w:pPr>
          </w:p>
        </w:tc>
        <w:tc>
          <w:tcPr>
            <w:tcW w:w="1180" w:type="dxa"/>
            <w:vAlign w:val="bottom"/>
            <w:tcBorders>
              <w:bottom w:val="single" w:sz="8" w:color="808080"/>
            </w:tcBorders>
          </w:tcPr>
          <w:p>
            <w:pPr>
              <w:spacing w:after="0"/>
              <w:rPr>
                <w:sz w:val="11"/>
                <w:szCs w:val="11"/>
                <w:color w:val="auto"/>
              </w:rPr>
            </w:pPr>
          </w:p>
        </w:tc>
        <w:tc>
          <w:tcPr>
            <w:tcW w:w="460" w:type="dxa"/>
            <w:vAlign w:val="bottom"/>
            <w:tcBorders>
              <w:bottom w:val="single" w:sz="8" w:color="808080"/>
            </w:tcBorders>
          </w:tcPr>
          <w:p>
            <w:pPr>
              <w:spacing w:after="0"/>
              <w:rPr>
                <w:sz w:val="11"/>
                <w:szCs w:val="11"/>
                <w:color w:val="auto"/>
              </w:rPr>
            </w:pPr>
          </w:p>
        </w:tc>
        <w:tc>
          <w:tcPr>
            <w:tcW w:w="200" w:type="dxa"/>
            <w:vAlign w:val="bottom"/>
            <w:tcBorders>
              <w:bottom w:val="single" w:sz="8" w:color="808080"/>
            </w:tcBorders>
          </w:tcPr>
          <w:p>
            <w:pPr>
              <w:spacing w:after="0"/>
              <w:rPr>
                <w:sz w:val="11"/>
                <w:szCs w:val="11"/>
                <w:color w:val="auto"/>
              </w:rPr>
            </w:pPr>
          </w:p>
        </w:tc>
        <w:tc>
          <w:tcPr>
            <w:tcW w:w="1280" w:type="dxa"/>
            <w:vAlign w:val="bottom"/>
            <w:tcBorders>
              <w:bottom w:val="single" w:sz="8" w:color="808080"/>
            </w:tcBorders>
          </w:tcPr>
          <w:p>
            <w:pPr>
              <w:spacing w:after="0"/>
              <w:rPr>
                <w:sz w:val="11"/>
                <w:szCs w:val="11"/>
                <w:color w:val="auto"/>
              </w:rPr>
            </w:pPr>
          </w:p>
        </w:tc>
        <w:tc>
          <w:tcPr>
            <w:tcW w:w="1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Waste Management, Inc.</w:t>
      </w:r>
    </w:p>
    <w:p>
      <w:pPr>
        <w:spacing w:after="0" w:line="4"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Condensed Consolidated Statements of Cash Flows</w:t>
      </w:r>
    </w:p>
    <w:p>
      <w:pPr>
        <w:jc w:val="center"/>
        <w:ind w:right="40"/>
        <w:spacing w:after="0" w:line="230" w:lineRule="auto"/>
        <w:rPr>
          <w:sz w:val="20"/>
          <w:szCs w:val="20"/>
          <w:color w:val="auto"/>
        </w:rPr>
      </w:pPr>
      <w:r>
        <w:rPr>
          <w:rFonts w:ascii="Arial" w:cs="Arial" w:eastAsia="Arial" w:hAnsi="Arial"/>
          <w:sz w:val="22"/>
          <w:szCs w:val="22"/>
          <w:b w:val="1"/>
          <w:bCs w:val="1"/>
          <w:color w:val="auto"/>
        </w:rPr>
        <w:t>(In Millions)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22"/>
          <w:szCs w:val="22"/>
          <w:b w:val="1"/>
          <w:bCs w:val="1"/>
          <w:color w:val="auto"/>
        </w:rPr>
        <w:t>(Unaudited)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84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center"/>
              <w:ind w:left="330"/>
              <w:spacing w:after="0"/>
              <w:rPr>
                <w:sz w:val="20"/>
                <w:szCs w:val="20"/>
                <w:color w:val="auto"/>
              </w:rPr>
            </w:pPr>
            <w:r>
              <w:rPr>
                <w:rFonts w:ascii="Arial" w:cs="Arial" w:eastAsia="Arial" w:hAnsi="Arial"/>
                <w:sz w:val="18"/>
                <w:szCs w:val="18"/>
                <w:b w:val="1"/>
                <w:bCs w:val="1"/>
                <w:color w:val="auto"/>
                <w:w w:val="88"/>
              </w:rPr>
              <w:t>June 30,</w:t>
            </w: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40" w:type="dxa"/>
            <w:vAlign w:val="bottom"/>
            <w:vMerge w:val="restart"/>
          </w:tcPr>
          <w:p>
            <w:pPr>
              <w:spacing w:after="0"/>
              <w:rPr>
                <w:sz w:val="20"/>
                <w:szCs w:val="20"/>
                <w:color w:val="auto"/>
              </w:rPr>
            </w:pPr>
            <w:r>
              <w:rPr>
                <w:rFonts w:ascii="Arial" w:cs="Arial" w:eastAsia="Arial" w:hAnsi="Arial"/>
                <w:sz w:val="18"/>
                <w:szCs w:val="18"/>
                <w:color w:val="auto"/>
              </w:rPr>
              <w:t>Cash flows from operating activities:</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182"/>
        </w:trPr>
        <w:tc>
          <w:tcPr>
            <w:tcW w:w="7840" w:type="dxa"/>
            <w:vAlign w:val="bottom"/>
            <w:vMerge w:val="continue"/>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Consolidated net income</w:t>
            </w:r>
          </w:p>
        </w:tc>
        <w:tc>
          <w:tcPr>
            <w:tcW w:w="1040" w:type="dxa"/>
            <w:vAlign w:val="bottom"/>
          </w:tcPr>
          <w:p>
            <w:pPr>
              <w:jc w:val="right"/>
              <w:ind w:right="730"/>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894</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540"/>
              <w:spacing w:after="0"/>
              <w:rPr>
                <w:sz w:val="20"/>
                <w:szCs w:val="20"/>
                <w:color w:val="auto"/>
              </w:rPr>
            </w:pPr>
            <w:r>
              <w:rPr>
                <w:rFonts w:ascii="Arial" w:cs="Arial" w:eastAsia="Arial" w:hAnsi="Arial"/>
                <w:sz w:val="18"/>
                <w:szCs w:val="18"/>
                <w:color w:val="auto"/>
              </w:rPr>
              <w:t>Depreciation and amortization</w:t>
            </w:r>
          </w:p>
        </w:tc>
        <w:tc>
          <w:tcPr>
            <w:tcW w:w="10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731</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684</w:t>
            </w:r>
          </w:p>
        </w:tc>
        <w:tc>
          <w:tcPr>
            <w:tcW w:w="0" w:type="dxa"/>
            <w:vAlign w:val="bottom"/>
          </w:tcPr>
          <w:p>
            <w:pPr>
              <w:spacing w:after="0"/>
              <w:rPr>
                <w:sz w:val="1"/>
                <w:szCs w:val="1"/>
                <w:color w:val="auto"/>
              </w:rPr>
            </w:pPr>
          </w:p>
        </w:tc>
      </w:tr>
      <w:tr>
        <w:trPr>
          <w:trHeight w:val="216"/>
        </w:trPr>
        <w:tc>
          <w:tcPr>
            <w:tcW w:w="7840" w:type="dxa"/>
            <w:vAlign w:val="bottom"/>
          </w:tcPr>
          <w:p>
            <w:pPr>
              <w:ind w:left="540"/>
              <w:spacing w:after="0"/>
              <w:rPr>
                <w:sz w:val="20"/>
                <w:szCs w:val="20"/>
                <w:color w:val="auto"/>
              </w:rPr>
            </w:pPr>
            <w:r>
              <w:rPr>
                <w:rFonts w:ascii="Arial" w:cs="Arial" w:eastAsia="Arial" w:hAnsi="Arial"/>
                <w:sz w:val="18"/>
                <w:szCs w:val="18"/>
                <w:color w:val="auto"/>
              </w:rPr>
              <w:t>Other</w:t>
            </w:r>
          </w:p>
        </w:tc>
        <w:tc>
          <w:tcPr>
            <w:tcW w:w="1040" w:type="dxa"/>
            <w:vAlign w:val="bottom"/>
          </w:tcPr>
          <w:p>
            <w:pPr>
              <w:spacing w:after="0"/>
              <w:rPr>
                <w:sz w:val="18"/>
                <w:szCs w:val="18"/>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30"/>
        </w:trPr>
        <w:tc>
          <w:tcPr>
            <w:tcW w:w="7840" w:type="dxa"/>
            <w:vAlign w:val="bottom"/>
          </w:tcPr>
          <w:p>
            <w:pPr>
              <w:ind w:left="54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04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102</w:t>
            </w:r>
          </w:p>
        </w:tc>
        <w:tc>
          <w:tcPr>
            <w:tcW w:w="46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10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1,784</w:t>
            </w: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r>
        <w:trPr>
          <w:trHeight w:val="411"/>
        </w:trPr>
        <w:tc>
          <w:tcPr>
            <w:tcW w:w="784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0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Acquisitions of businesses, net of cash acquired</w:t>
            </w:r>
          </w:p>
        </w:tc>
        <w:tc>
          <w:tcPr>
            <w:tcW w:w="10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(263)</w:t>
            </w: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bl>
    <w:p>
      <w:pPr>
        <w:sectPr>
          <w:pgSz w:w="11900" w:h="16838" w:orient="portrait"/>
          <w:cols w:equalWidth="0" w:num="1">
            <w:col w:w="11460"/>
          </w:cols>
          <w:pgMar w:left="240" w:top="341" w:right="199" w:bottom="0" w:gutter="0" w:footer="0" w:header="0"/>
        </w:sectPr>
      </w:pPr>
    </w:p>
    <w:bookmarkStart w:id="6" w:name="page7"/>
    <w:bookmarkEnd w:id="6"/>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Proceeds from divestitures of businesses and other assets (net of cash divested)</w:t>
            </w:r>
          </w:p>
        </w:tc>
        <w:tc>
          <w:tcPr>
            <w:tcW w:w="6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96</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w:t>
            </w:r>
          </w:p>
        </w:tc>
        <w:tc>
          <w:tcPr>
            <w:tcW w:w="4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411"/>
        </w:trPr>
        <w:tc>
          <w:tcPr>
            <w:tcW w:w="784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6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New borrowings</w:t>
            </w:r>
          </w:p>
        </w:tc>
        <w:tc>
          <w:tcPr>
            <w:tcW w:w="6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83</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Debt repayments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Net commercial paper borrowings</w:t>
            </w:r>
          </w:p>
        </w:tc>
        <w:tc>
          <w:tcPr>
            <w:tcW w:w="6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443</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Common stock repurchase program</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Cash dividends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(406)</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Exercise of common stock options</w:t>
            </w:r>
          </w:p>
        </w:tc>
        <w:tc>
          <w:tcPr>
            <w:tcW w:w="620" w:type="dxa"/>
            <w:vAlign w:val="bottom"/>
          </w:tcPr>
          <w:p>
            <w:pPr>
              <w:spacing w:after="0"/>
              <w:rPr>
                <w:sz w:val="18"/>
                <w:szCs w:val="18"/>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7840" w:type="dxa"/>
            <w:vAlign w:val="bottom"/>
          </w:tcPr>
          <w:p>
            <w:pPr>
              <w:ind w:left="180"/>
              <w:spacing w:after="0"/>
              <w:rPr>
                <w:sz w:val="20"/>
                <w:szCs w:val="20"/>
                <w:color w:val="auto"/>
              </w:rPr>
            </w:pPr>
            <w:r>
              <w:rPr>
                <w:rFonts w:ascii="Arial" w:cs="Arial" w:eastAsia="Arial" w:hAnsi="Arial"/>
                <w:sz w:val="18"/>
                <w:szCs w:val="18"/>
                <w:color w:val="auto"/>
              </w:rPr>
              <w:t>Tax payments associated with equity-based compensation transactions</w:t>
            </w:r>
          </w:p>
        </w:tc>
        <w:tc>
          <w:tcPr>
            <w:tcW w:w="6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7840" w:type="dxa"/>
            <w:vAlign w:val="bottom"/>
          </w:tcPr>
          <w:p>
            <w:pPr>
              <w:ind w:left="180"/>
              <w:spacing w:after="0"/>
              <w:rPr>
                <w:sz w:val="20"/>
                <w:szCs w:val="20"/>
                <w:color w:val="auto"/>
              </w:rPr>
            </w:pPr>
            <w:r>
              <w:rPr>
                <w:rFonts w:ascii="Arial" w:cs="Arial" w:eastAsia="Arial" w:hAnsi="Arial"/>
                <w:sz w:val="18"/>
                <w:szCs w:val="18"/>
                <w:color w:val="auto"/>
              </w:rPr>
              <w:t>Other, net</w:t>
            </w:r>
          </w:p>
        </w:tc>
        <w:tc>
          <w:tcPr>
            <w:tcW w:w="6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46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0"/>
        </w:trPr>
        <w:tc>
          <w:tcPr>
            <w:tcW w:w="784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426"/>
        </w:trPr>
        <w:tc>
          <w:tcPr>
            <w:tcW w:w="7840" w:type="dxa"/>
            <w:vAlign w:val="bottom"/>
          </w:tcPr>
          <w:p>
            <w:pPr>
              <w:spacing w:after="0"/>
              <w:rPr>
                <w:sz w:val="20"/>
                <w:szCs w:val="20"/>
                <w:color w:val="auto"/>
              </w:rPr>
            </w:pPr>
            <w:r>
              <w:rPr>
                <w:rFonts w:ascii="Arial" w:cs="Arial" w:eastAsia="Arial" w:hAnsi="Arial"/>
                <w:sz w:val="18"/>
                <w:szCs w:val="18"/>
                <w:color w:val="auto"/>
                <w:w w:val="97"/>
              </w:rPr>
              <w:t>Effect of exchange rate changes on cash, cash equivalents and restricted cash and cash equivalents</w:t>
            </w:r>
          </w:p>
        </w:tc>
        <w:tc>
          <w:tcPr>
            <w:tcW w:w="6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60" w:type="dxa"/>
            <w:vAlign w:val="bottom"/>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7840" w:type="dxa"/>
            <w:vAlign w:val="bottom"/>
          </w:tcPr>
          <w:p>
            <w:pPr>
              <w:spacing w:after="0"/>
              <w:rPr>
                <w:sz w:val="20"/>
                <w:szCs w:val="20"/>
                <w:color w:val="auto"/>
              </w:rPr>
            </w:pPr>
            <w:r>
              <w:rPr>
                <w:rFonts w:ascii="Arial" w:cs="Arial" w:eastAsia="Arial" w:hAnsi="Arial"/>
                <w:sz w:val="18"/>
                <w:szCs w:val="18"/>
                <w:color w:val="auto"/>
              </w:rPr>
              <w:t>Increase in cash, cash equivalents and restricted cash and cash equivalents</w:t>
            </w:r>
          </w:p>
        </w:tc>
        <w:tc>
          <w:tcPr>
            <w:tcW w:w="6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126</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32"/>
        </w:trPr>
        <w:tc>
          <w:tcPr>
            <w:tcW w:w="7840" w:type="dxa"/>
            <w:vAlign w:val="bottom"/>
          </w:tcPr>
          <w:p>
            <w:pPr>
              <w:spacing w:after="0"/>
              <w:rPr>
                <w:sz w:val="20"/>
                <w:szCs w:val="20"/>
                <w:color w:val="auto"/>
              </w:rPr>
            </w:pPr>
            <w:r>
              <w:rPr>
                <w:rFonts w:ascii="Arial" w:cs="Arial" w:eastAsia="Arial" w:hAnsi="Arial"/>
                <w:sz w:val="18"/>
                <w:szCs w:val="18"/>
                <w:color w:val="auto"/>
              </w:rPr>
              <w:t>Cash, cash equivalents and restricted cash and cash equivalents at beginning of period</w:t>
            </w:r>
          </w:p>
        </w:tc>
        <w:tc>
          <w:tcPr>
            <w:tcW w:w="620" w:type="dxa"/>
            <w:vAlign w:val="bottom"/>
          </w:tcPr>
          <w:p>
            <w:pPr>
              <w:spacing w:after="0"/>
              <w:rPr>
                <w:sz w:val="24"/>
                <w:szCs w:val="24"/>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293</w:t>
            </w: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7840" w:type="dxa"/>
            <w:vAlign w:val="bottom"/>
            <w:vMerge w:val="restart"/>
          </w:tcPr>
          <w:p>
            <w:pPr>
              <w:spacing w:after="0"/>
              <w:rPr>
                <w:sz w:val="20"/>
                <w:szCs w:val="20"/>
                <w:color w:val="auto"/>
              </w:rPr>
            </w:pPr>
            <w:r>
              <w:rPr>
                <w:rFonts w:ascii="Arial" w:cs="Arial" w:eastAsia="Arial" w:hAnsi="Arial"/>
                <w:sz w:val="18"/>
                <w:szCs w:val="18"/>
                <w:color w:val="auto"/>
              </w:rPr>
              <w:t>Cash, cash equivalents and restricted cash and cash equivalents at end of period</w:t>
            </w:r>
          </w:p>
        </w:tc>
        <w:tc>
          <w:tcPr>
            <w:tcW w:w="6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40" w:type="dxa"/>
            <w:vAlign w:val="bottom"/>
            <w:vMerge w:val="continue"/>
          </w:tcPr>
          <w:p>
            <w:pPr>
              <w:spacing w:after="0"/>
              <w:rPr>
                <w:sz w:val="18"/>
                <w:szCs w:val="18"/>
                <w:color w:val="auto"/>
              </w:rPr>
            </w:pPr>
          </w:p>
        </w:tc>
        <w:tc>
          <w:tcPr>
            <w:tcW w:w="6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419</w:t>
            </w:r>
          </w:p>
        </w:tc>
        <w:tc>
          <w:tcPr>
            <w:tcW w:w="460" w:type="dxa"/>
            <w:vAlign w:val="bottom"/>
          </w:tcPr>
          <w:p>
            <w:pPr>
              <w:spacing w:after="0"/>
              <w:rPr>
                <w:sz w:val="18"/>
                <w:szCs w:val="18"/>
                <w:color w:val="auto"/>
              </w:rPr>
            </w:pPr>
          </w:p>
        </w:tc>
        <w:tc>
          <w:tcPr>
            <w:tcW w:w="6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 year information has been revised to reflect the adoption of Accounting Standards Update (ASU) 2016-15 and ASU 2016-18 and conform to our current year presentation.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Waste Management, Inc.</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Revenue Data</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580" w:type="dxa"/>
            <w:vAlign w:val="bottom"/>
          </w:tcPr>
          <w:p>
            <w:pPr>
              <w:spacing w:after="0"/>
              <w:rPr>
                <w:sz w:val="20"/>
                <w:szCs w:val="20"/>
                <w:color w:val="auto"/>
              </w:rPr>
            </w:pPr>
            <w:r>
              <w:rPr>
                <w:rFonts w:ascii="Arial" w:cs="Arial" w:eastAsia="Arial" w:hAnsi="Arial"/>
                <w:sz w:val="14"/>
                <w:szCs w:val="14"/>
                <w:b w:val="1"/>
                <w:bCs w:val="1"/>
                <w:color w:val="auto"/>
                <w:w w:val="91"/>
              </w:rPr>
              <w:t>Operating Revenues by Lines of Business</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gridSpan w:val="7"/>
          </w:tcPr>
          <w:p>
            <w:pPr>
              <w:jc w:val="center"/>
              <w:ind w:right="4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spacing w:after="0"/>
              <w:rPr>
                <w:sz w:val="20"/>
                <w:szCs w:val="20"/>
                <w:color w:val="auto"/>
              </w:rPr>
            </w:pPr>
            <w:r>
              <w:rPr>
                <w:rFonts w:ascii="Arial" w:cs="Arial" w:eastAsia="Arial" w:hAnsi="Arial"/>
                <w:sz w:val="14"/>
                <w:szCs w:val="14"/>
                <w:b w:val="1"/>
                <w:bCs w:val="1"/>
                <w:color w:val="auto"/>
              </w:rPr>
              <w:t>Six Months Ended</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5"/>
          </w:tcPr>
          <w:p>
            <w:pPr>
              <w:jc w:val="center"/>
              <w:ind w:left="228"/>
              <w:spacing w:after="0"/>
              <w:rPr>
                <w:sz w:val="20"/>
                <w:szCs w:val="20"/>
                <w:color w:val="auto"/>
              </w:rPr>
            </w:pPr>
            <w:r>
              <w:rPr>
                <w:rFonts w:ascii="Arial" w:cs="Arial" w:eastAsia="Arial" w:hAnsi="Arial"/>
                <w:sz w:val="14"/>
                <w:szCs w:val="14"/>
                <w:b w:val="1"/>
                <w:bCs w:val="1"/>
                <w:color w:val="auto"/>
                <w:w w:val="92"/>
              </w:rPr>
              <w:t>June 30,</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5"/>
          </w:tcPr>
          <w:p>
            <w:pPr>
              <w:jc w:val="right"/>
              <w:ind w:right="288"/>
              <w:spacing w:after="0"/>
              <w:rPr>
                <w:sz w:val="20"/>
                <w:szCs w:val="20"/>
                <w:color w:val="auto"/>
              </w:rPr>
            </w:pPr>
            <w:r>
              <w:rPr>
                <w:rFonts w:ascii="Arial" w:cs="Arial" w:eastAsia="Arial" w:hAnsi="Arial"/>
                <w:sz w:val="14"/>
                <w:szCs w:val="14"/>
                <w:b w:val="1"/>
                <w:bCs w:val="1"/>
                <w:color w:val="auto"/>
              </w:rPr>
              <w:t>June 30,</w:t>
            </w:r>
          </w:p>
        </w:tc>
        <w:tc>
          <w:tcPr>
            <w:tcW w:w="2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80" w:type="dxa"/>
            <w:vAlign w:val="bottom"/>
            <w:vMerge w:val="restart"/>
          </w:tcPr>
          <w:p>
            <w:pPr>
              <w:ind w:left="340"/>
              <w:spacing w:after="0"/>
              <w:rPr>
                <w:sz w:val="20"/>
                <w:szCs w:val="20"/>
                <w:color w:val="auto"/>
              </w:rPr>
            </w:pPr>
            <w:r>
              <w:rPr>
                <w:rFonts w:ascii="Arial" w:cs="Arial" w:eastAsia="Arial" w:hAnsi="Arial"/>
                <w:sz w:val="14"/>
                <w:szCs w:val="14"/>
                <w:color w:val="auto"/>
              </w:rPr>
              <w:t>Collection</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348"/>
              <w:spacing w:after="0" w:line="142" w:lineRule="exact"/>
              <w:rPr>
                <w:sz w:val="20"/>
                <w:szCs w:val="20"/>
                <w:color w:val="auto"/>
              </w:rPr>
            </w:pPr>
            <w:r>
              <w:rPr>
                <w:rFonts w:ascii="Arial" w:cs="Arial" w:eastAsia="Arial" w:hAnsi="Arial"/>
                <w:sz w:val="14"/>
                <w:szCs w:val="14"/>
                <w:b w:val="1"/>
                <w:bCs w:val="1"/>
                <w:color w:val="auto"/>
                <w:w w:val="89"/>
              </w:rPr>
              <w:t>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328"/>
              <w:spacing w:after="0" w:line="142" w:lineRule="exact"/>
              <w:rPr>
                <w:sz w:val="20"/>
                <w:szCs w:val="20"/>
                <w:color w:val="auto"/>
              </w:rPr>
            </w:pPr>
            <w:r>
              <w:rPr>
                <w:rFonts w:ascii="Arial" w:cs="Arial" w:eastAsia="Arial" w:hAnsi="Arial"/>
                <w:sz w:val="14"/>
                <w:szCs w:val="14"/>
                <w:b w:val="1"/>
                <w:bCs w:val="1"/>
                <w:color w:val="auto"/>
                <w:w w:val="89"/>
              </w:rPr>
              <w:t>2017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ind w:right="108"/>
              <w:spacing w:after="0" w:line="142" w:lineRule="exact"/>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4"/>
          </w:tcPr>
          <w:p>
            <w:pPr>
              <w:jc w:val="right"/>
              <w:ind w:right="348"/>
              <w:spacing w:after="0" w:line="142" w:lineRule="exact"/>
              <w:rPr>
                <w:sz w:val="20"/>
                <w:szCs w:val="20"/>
                <w:color w:val="auto"/>
              </w:rPr>
            </w:pPr>
            <w:r>
              <w:rPr>
                <w:rFonts w:ascii="Arial" w:cs="Arial" w:eastAsia="Arial" w:hAnsi="Arial"/>
                <w:sz w:val="14"/>
                <w:szCs w:val="14"/>
                <w:b w:val="1"/>
                <w:bCs w:val="1"/>
                <w:color w:val="auto"/>
              </w:rPr>
              <w:t>2017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258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40" w:type="dxa"/>
            <w:vAlign w:val="bottom"/>
            <w:tcBorders>
              <w:top w:val="single" w:sz="8" w:color="auto"/>
            </w:tcBorders>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22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Commercial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986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917</w:t>
            </w:r>
          </w:p>
        </w:tc>
        <w:tc>
          <w:tcPr>
            <w:tcW w:w="20" w:type="dxa"/>
            <w:vAlign w:val="bottom"/>
          </w:tcPr>
          <w:p>
            <w:pPr>
              <w:spacing w:after="0"/>
              <w:rPr>
                <w:sz w:val="12"/>
                <w:szCs w:val="12"/>
                <w:color w:val="auto"/>
              </w:rPr>
            </w:pPr>
          </w:p>
        </w:tc>
        <w:tc>
          <w:tcPr>
            <w:tcW w:w="360" w:type="dxa"/>
            <w:vAlign w:val="bottom"/>
            <w:gridSpan w:val="3"/>
          </w:tcPr>
          <w:p>
            <w:pPr>
              <w:ind w:left="26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1,941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1,828</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Residential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632</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632</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1,246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1,253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Industrial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708</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654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1,345</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1,257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115</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123</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216</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223</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580" w:type="dxa"/>
            <w:vAlign w:val="bottom"/>
          </w:tcPr>
          <w:p>
            <w:pPr>
              <w:ind w:left="340"/>
              <w:spacing w:after="0" w:line="130" w:lineRule="exact"/>
              <w:rPr>
                <w:sz w:val="20"/>
                <w:szCs w:val="20"/>
                <w:color w:val="auto"/>
              </w:rPr>
            </w:pPr>
            <w:r>
              <w:rPr>
                <w:rFonts w:ascii="Arial" w:cs="Arial" w:eastAsia="Arial" w:hAnsi="Arial"/>
                <w:sz w:val="14"/>
                <w:szCs w:val="14"/>
                <w:color w:val="auto"/>
              </w:rPr>
              <w:t>Total Collection</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jc w:val="right"/>
              <w:ind w:right="48"/>
              <w:spacing w:after="0" w:line="130" w:lineRule="exact"/>
              <w:rPr>
                <w:sz w:val="20"/>
                <w:szCs w:val="20"/>
                <w:color w:val="auto"/>
              </w:rPr>
            </w:pPr>
            <w:r>
              <w:rPr>
                <w:rFonts w:ascii="Arial" w:cs="Arial" w:eastAsia="Arial" w:hAnsi="Arial"/>
                <w:sz w:val="14"/>
                <w:szCs w:val="14"/>
                <w:color w:val="auto"/>
              </w:rPr>
              <w:t>2,441</w:t>
            </w: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28"/>
              <w:spacing w:after="0" w:line="130" w:lineRule="exact"/>
              <w:rPr>
                <w:sz w:val="20"/>
                <w:szCs w:val="20"/>
                <w:color w:val="auto"/>
              </w:rPr>
            </w:pPr>
            <w:r>
              <w:rPr>
                <w:rFonts w:ascii="Arial" w:cs="Arial" w:eastAsia="Arial" w:hAnsi="Arial"/>
                <w:sz w:val="14"/>
                <w:szCs w:val="14"/>
                <w:color w:val="auto"/>
              </w:rPr>
              <w:t>2,326</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gridSpan w:val="2"/>
          </w:tcPr>
          <w:p>
            <w:pPr>
              <w:jc w:val="right"/>
              <w:ind w:right="28"/>
              <w:spacing w:after="0" w:line="130" w:lineRule="exact"/>
              <w:rPr>
                <w:sz w:val="20"/>
                <w:szCs w:val="20"/>
                <w:color w:val="auto"/>
              </w:rPr>
            </w:pPr>
            <w:r>
              <w:rPr>
                <w:rFonts w:ascii="Arial" w:cs="Arial" w:eastAsia="Arial" w:hAnsi="Arial"/>
                <w:sz w:val="14"/>
                <w:szCs w:val="14"/>
                <w:color w:val="auto"/>
              </w:rPr>
              <w:t>4,748</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jc w:val="right"/>
              <w:ind w:right="48"/>
              <w:spacing w:after="0" w:line="130" w:lineRule="exact"/>
              <w:rPr>
                <w:sz w:val="20"/>
                <w:szCs w:val="20"/>
                <w:color w:val="auto"/>
              </w:rPr>
            </w:pPr>
            <w:r>
              <w:rPr>
                <w:rFonts w:ascii="Arial" w:cs="Arial" w:eastAsia="Arial" w:hAnsi="Arial"/>
                <w:sz w:val="14"/>
                <w:szCs w:val="14"/>
                <w:color w:val="auto"/>
              </w:rPr>
              <w:t>4,561</w:t>
            </w: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Landfill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915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864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1,720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1,603</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Transfer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437</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414</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812</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780</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Recycling</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305</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375</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617</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747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Arial" w:cs="Arial" w:eastAsia="Arial" w:hAnsi="Arial"/>
                <w:sz w:val="14"/>
                <w:szCs w:val="14"/>
                <w:color w:val="auto"/>
              </w:rPr>
              <w:t>439</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28"/>
              <w:spacing w:after="0" w:line="149" w:lineRule="exact"/>
              <w:rPr>
                <w:sz w:val="20"/>
                <w:szCs w:val="20"/>
                <w:color w:val="auto"/>
              </w:rPr>
            </w:pPr>
            <w:r>
              <w:rPr>
                <w:rFonts w:ascii="Arial" w:cs="Arial" w:eastAsia="Arial" w:hAnsi="Arial"/>
                <w:sz w:val="14"/>
                <w:szCs w:val="14"/>
                <w:color w:val="auto"/>
              </w:rPr>
              <w:t>437</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866</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837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Intercompany (a)</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(798)</w:t>
            </w:r>
          </w:p>
        </w:tc>
        <w:tc>
          <w:tcPr>
            <w:tcW w:w="2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(739)</w:t>
            </w:r>
          </w:p>
        </w:tc>
        <w:tc>
          <w:tcPr>
            <w:tcW w:w="2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(1,513)</w:t>
            </w:r>
          </w:p>
        </w:tc>
        <w:tc>
          <w:tcPr>
            <w:tcW w:w="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(1,411)</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480"/>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3,739</w:t>
            </w:r>
          </w:p>
        </w:tc>
        <w:tc>
          <w:tcPr>
            <w:tcW w:w="2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8"/>
              <w:spacing w:after="0" w:line="149" w:lineRule="exact"/>
              <w:rPr>
                <w:sz w:val="20"/>
                <w:szCs w:val="20"/>
                <w:color w:val="auto"/>
              </w:rPr>
            </w:pPr>
            <w:r>
              <w:rPr>
                <w:rFonts w:ascii="Arial" w:cs="Arial" w:eastAsia="Arial" w:hAnsi="Arial"/>
                <w:sz w:val="14"/>
                <w:szCs w:val="14"/>
                <w:color w:val="auto"/>
              </w:rPr>
              <w:t>3,677</w:t>
            </w:r>
          </w:p>
        </w:tc>
        <w:tc>
          <w:tcPr>
            <w:tcW w:w="2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bottom w:val="single" w:sz="8" w:color="auto"/>
            </w:tcBorders>
          </w:tcPr>
          <w:p>
            <w:pPr>
              <w:ind w:left="40"/>
              <w:spacing w:after="0" w:line="149" w:lineRule="exact"/>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gridSpan w:val="2"/>
          </w:tcPr>
          <w:p>
            <w:pPr>
              <w:jc w:val="right"/>
              <w:ind w:right="28"/>
              <w:spacing w:after="0" w:line="149" w:lineRule="exact"/>
              <w:rPr>
                <w:sz w:val="20"/>
                <w:szCs w:val="20"/>
                <w:color w:val="auto"/>
              </w:rPr>
            </w:pPr>
            <w:r>
              <w:rPr>
                <w:rFonts w:ascii="Arial" w:cs="Arial" w:eastAsia="Arial" w:hAnsi="Arial"/>
                <w:sz w:val="14"/>
                <w:szCs w:val="14"/>
                <w:color w:val="auto"/>
              </w:rPr>
              <w:t>7,250</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Borders>
              <w:bottom w:val="single" w:sz="8" w:color="auto"/>
            </w:tcBorders>
          </w:tcPr>
          <w:p>
            <w:pPr>
              <w:jc w:val="right"/>
              <w:ind w:right="308"/>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gridSpan w:val="2"/>
          </w:tcPr>
          <w:p>
            <w:pPr>
              <w:jc w:val="right"/>
              <w:ind w:right="48"/>
              <w:spacing w:after="0" w:line="149" w:lineRule="exact"/>
              <w:rPr>
                <w:sz w:val="20"/>
                <w:szCs w:val="20"/>
                <w:color w:val="auto"/>
              </w:rPr>
            </w:pPr>
            <w:r>
              <w:rPr>
                <w:rFonts w:ascii="Arial" w:cs="Arial" w:eastAsia="Arial" w:hAnsi="Arial"/>
                <w:sz w:val="14"/>
                <w:szCs w:val="14"/>
                <w:color w:val="auto"/>
              </w:rPr>
              <w:t>7,117</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Internal Revenue Growth</w:t>
            </w: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58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7"/>
        </w:trPr>
        <w:tc>
          <w:tcPr>
            <w:tcW w:w="2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Period-to-Period Change for the</w:t>
            </w: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180" w:type="dxa"/>
            <w:vAlign w:val="bottom"/>
            <w:gridSpan w:val="10"/>
          </w:tcPr>
          <w:p>
            <w:pPr>
              <w:ind w:left="60"/>
              <w:spacing w:after="0"/>
              <w:rPr>
                <w:sz w:val="20"/>
                <w:szCs w:val="20"/>
                <w:color w:val="auto"/>
              </w:rPr>
            </w:pPr>
            <w:r>
              <w:rPr>
                <w:rFonts w:ascii="Arial" w:cs="Arial" w:eastAsia="Arial" w:hAnsi="Arial"/>
                <w:sz w:val="14"/>
                <w:szCs w:val="14"/>
                <w:b w:val="1"/>
                <w:bCs w:val="1"/>
                <w:color w:val="auto"/>
              </w:rPr>
              <w:t>Period-to-Period Change for the</w:t>
            </w:r>
          </w:p>
        </w:tc>
        <w:tc>
          <w:tcPr>
            <w:tcW w:w="0" w:type="dxa"/>
            <w:vAlign w:val="bottom"/>
          </w:tcPr>
          <w:p>
            <w:pPr>
              <w:spacing w:after="0"/>
              <w:rPr>
                <w:sz w:val="1"/>
                <w:szCs w:val="1"/>
                <w:color w:val="auto"/>
              </w:rPr>
            </w:pPr>
          </w:p>
        </w:tc>
      </w:tr>
      <w:tr>
        <w:trPr>
          <w:trHeight w:val="171"/>
        </w:trPr>
        <w:tc>
          <w:tcPr>
            <w:tcW w:w="25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92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14"/>
                <w:szCs w:val="14"/>
                <w:b w:val="1"/>
                <w:bCs w:val="1"/>
                <w:color w:val="auto"/>
                <w:w w:val="92"/>
              </w:rPr>
              <w:t>Three Months Ended June 30, 2018 vs. 2017</w:t>
            </w: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400" w:type="dxa"/>
            <w:vAlign w:val="bottom"/>
            <w:tcBorders>
              <w:bottom w:val="single" w:sz="8" w:color="auto"/>
            </w:tcBorders>
            <w:gridSpan w:val="12"/>
          </w:tcPr>
          <w:p>
            <w:pPr>
              <w:jc w:val="right"/>
              <w:ind w:right="860"/>
              <w:spacing w:after="0"/>
              <w:rPr>
                <w:sz w:val="20"/>
                <w:szCs w:val="20"/>
                <w:color w:val="auto"/>
              </w:rPr>
            </w:pPr>
            <w:r>
              <w:rPr>
                <w:rFonts w:ascii="Arial" w:cs="Arial" w:eastAsia="Arial" w:hAnsi="Arial"/>
                <w:sz w:val="14"/>
                <w:szCs w:val="14"/>
                <w:b w:val="1"/>
                <w:bCs w:val="1"/>
                <w:color w:val="auto"/>
                <w:w w:val="91"/>
              </w:rPr>
              <w:t>Six Months Ended June 30, 2018 vs. 2017</w:t>
            </w:r>
          </w:p>
        </w:tc>
        <w:tc>
          <w:tcPr>
            <w:tcW w:w="0" w:type="dxa"/>
            <w:vAlign w:val="bottom"/>
          </w:tcPr>
          <w:p>
            <w:pPr>
              <w:spacing w:after="0"/>
              <w:rPr>
                <w:sz w:val="1"/>
                <w:szCs w:val="1"/>
                <w:color w:val="auto"/>
              </w:rPr>
            </w:pPr>
          </w:p>
        </w:tc>
      </w:tr>
      <w:tr>
        <w:trPr>
          <w:trHeight w:val="123"/>
        </w:trPr>
        <w:tc>
          <w:tcPr>
            <w:tcW w:w="2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3"/>
          </w:tcPr>
          <w:p>
            <w:pPr>
              <w:jc w:val="center"/>
              <w:ind w:right="248"/>
              <w:spacing w:after="0" w:line="123" w:lineRule="exact"/>
              <w:rPr>
                <w:sz w:val="20"/>
                <w:szCs w:val="20"/>
                <w:color w:val="auto"/>
              </w:rPr>
            </w:pPr>
            <w:r>
              <w:rPr>
                <w:rFonts w:ascii="Arial" w:cs="Arial" w:eastAsia="Arial" w:hAnsi="Arial"/>
                <w:sz w:val="14"/>
                <w:szCs w:val="14"/>
                <w:color w:val="auto"/>
                <w:w w:val="96"/>
              </w:rPr>
              <w:t>As a % of</w:t>
            </w: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gridSpan w:val="3"/>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center"/>
              <w:ind w:right="500"/>
              <w:spacing w:after="0" w:line="123" w:lineRule="exact"/>
              <w:rPr>
                <w:sz w:val="20"/>
                <w:szCs w:val="20"/>
                <w:color w:val="auto"/>
              </w:rPr>
            </w:pPr>
            <w:r>
              <w:rPr>
                <w:rFonts w:ascii="Arial" w:cs="Arial" w:eastAsia="Arial" w:hAnsi="Arial"/>
                <w:sz w:val="14"/>
                <w:szCs w:val="14"/>
                <w:color w:val="auto"/>
                <w:w w:val="93"/>
              </w:rPr>
              <w:t>As a % of</w:t>
            </w:r>
          </w:p>
        </w:tc>
        <w:tc>
          <w:tcPr>
            <w:tcW w:w="1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00" w:type="dxa"/>
            <w:vAlign w:val="bottom"/>
            <w:gridSpan w:val="2"/>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0" w:type="dxa"/>
            <w:vAlign w:val="bottom"/>
          </w:tcPr>
          <w:p>
            <w:pPr>
              <w:spacing w:after="0"/>
              <w:rPr>
                <w:sz w:val="1"/>
                <w:szCs w:val="1"/>
                <w:color w:val="auto"/>
              </w:rPr>
            </w:pPr>
          </w:p>
        </w:tc>
      </w:tr>
      <w:tr>
        <w:trPr>
          <w:trHeight w:val="149"/>
        </w:trPr>
        <w:tc>
          <w:tcPr>
            <w:tcW w:w="2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tcPr>
          <w:p>
            <w:pPr>
              <w:jc w:val="center"/>
              <w:ind w:right="228"/>
              <w:spacing w:after="0" w:line="149" w:lineRule="exact"/>
              <w:rPr>
                <w:sz w:val="20"/>
                <w:szCs w:val="20"/>
                <w:color w:val="auto"/>
              </w:rPr>
            </w:pPr>
            <w:r>
              <w:rPr>
                <w:rFonts w:ascii="Arial" w:cs="Arial" w:eastAsia="Arial" w:hAnsi="Arial"/>
                <w:sz w:val="14"/>
                <w:szCs w:val="14"/>
                <w:color w:val="auto"/>
                <w:w w:val="91"/>
              </w:rPr>
              <w:t>Related</w:t>
            </w: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4"/>
          </w:tcPr>
          <w:p>
            <w:pPr>
              <w:jc w:val="center"/>
              <w:ind w:right="500"/>
              <w:spacing w:after="0" w:line="149" w:lineRule="exact"/>
              <w:rPr>
                <w:sz w:val="20"/>
                <w:szCs w:val="20"/>
                <w:color w:val="auto"/>
              </w:rPr>
            </w:pPr>
            <w:r>
              <w:rPr>
                <w:rFonts w:ascii="Arial" w:cs="Arial" w:eastAsia="Arial" w:hAnsi="Arial"/>
                <w:sz w:val="14"/>
                <w:szCs w:val="14"/>
                <w:color w:val="auto"/>
                <w:w w:val="91"/>
              </w:rPr>
              <w:t>Related</w:t>
            </w: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6"/>
              </w:rPr>
              <w:t>Total</w:t>
            </w:r>
          </w:p>
        </w:tc>
        <w:tc>
          <w:tcPr>
            <w:tcW w:w="0" w:type="dxa"/>
            <w:vAlign w:val="bottom"/>
          </w:tcPr>
          <w:p>
            <w:pPr>
              <w:spacing w:after="0"/>
              <w:rPr>
                <w:sz w:val="1"/>
                <w:szCs w:val="1"/>
                <w:color w:val="auto"/>
              </w:rPr>
            </w:pPr>
          </w:p>
        </w:tc>
      </w:tr>
      <w:tr>
        <w:trPr>
          <w:trHeight w:val="167"/>
        </w:trPr>
        <w:tc>
          <w:tcPr>
            <w:tcW w:w="2580" w:type="dxa"/>
            <w:vAlign w:val="bottom"/>
            <w:vMerge w:val="restart"/>
          </w:tcPr>
          <w:p>
            <w:pPr>
              <w:ind w:left="520"/>
              <w:spacing w:after="0"/>
              <w:rPr>
                <w:sz w:val="20"/>
                <w:szCs w:val="20"/>
                <w:color w:val="auto"/>
              </w:rPr>
            </w:pPr>
            <w:r>
              <w:rPr>
                <w:rFonts w:ascii="Arial" w:cs="Arial" w:eastAsia="Arial" w:hAnsi="Arial"/>
                <w:sz w:val="14"/>
                <w:szCs w:val="14"/>
                <w:color w:val="auto"/>
              </w:rPr>
              <w:t>Collection and disposal</w:t>
            </w:r>
          </w:p>
        </w:tc>
        <w:tc>
          <w:tcPr>
            <w:tcW w:w="160" w:type="dxa"/>
            <w:vAlign w:val="bottom"/>
          </w:tcPr>
          <w:p>
            <w:pPr>
              <w:spacing w:after="0"/>
              <w:rPr>
                <w:sz w:val="14"/>
                <w:szCs w:val="14"/>
                <w:color w:val="auto"/>
              </w:rPr>
            </w:pPr>
          </w:p>
        </w:tc>
        <w:tc>
          <w:tcPr>
            <w:tcW w:w="660" w:type="dxa"/>
            <w:vAlign w:val="bottom"/>
          </w:tcPr>
          <w:p>
            <w:pPr>
              <w:ind w:left="20"/>
              <w:spacing w:after="0"/>
              <w:rPr>
                <w:sz w:val="20"/>
                <w:szCs w:val="20"/>
                <w:color w:val="auto"/>
              </w:rPr>
            </w:pPr>
            <w:r>
              <w:rPr>
                <w:rFonts w:ascii="Arial" w:cs="Arial" w:eastAsia="Arial" w:hAnsi="Arial"/>
                <w:sz w:val="14"/>
                <w:szCs w:val="14"/>
                <w:color w:val="auto"/>
              </w:rPr>
              <w:t>Amount</w:t>
            </w:r>
          </w:p>
        </w:tc>
        <w:tc>
          <w:tcPr>
            <w:tcW w:w="220" w:type="dxa"/>
            <w:vAlign w:val="bottom"/>
          </w:tcPr>
          <w:p>
            <w:pPr>
              <w:spacing w:after="0"/>
              <w:rPr>
                <w:sz w:val="14"/>
                <w:szCs w:val="14"/>
                <w:color w:val="auto"/>
              </w:rPr>
            </w:pPr>
          </w:p>
        </w:tc>
        <w:tc>
          <w:tcPr>
            <w:tcW w:w="1220" w:type="dxa"/>
            <w:vAlign w:val="bottom"/>
            <w:gridSpan w:val="3"/>
          </w:tcPr>
          <w:p>
            <w:pPr>
              <w:jc w:val="center"/>
              <w:ind w:right="228"/>
              <w:spacing w:after="0"/>
              <w:rPr>
                <w:sz w:val="20"/>
                <w:szCs w:val="20"/>
                <w:color w:val="auto"/>
              </w:rPr>
            </w:pPr>
            <w:r>
              <w:rPr>
                <w:rFonts w:ascii="Arial" w:cs="Arial" w:eastAsia="Arial" w:hAnsi="Arial"/>
                <w:sz w:val="14"/>
                <w:szCs w:val="14"/>
                <w:color w:val="auto"/>
                <w:w w:val="92"/>
              </w:rPr>
              <w:t>Business (b)</w:t>
            </w:r>
          </w:p>
        </w:tc>
        <w:tc>
          <w:tcPr>
            <w:tcW w:w="860" w:type="dxa"/>
            <w:vAlign w:val="bottom"/>
            <w:gridSpan w:val="3"/>
          </w:tcPr>
          <w:p>
            <w:pPr>
              <w:ind w:left="20"/>
              <w:spacing w:after="0"/>
              <w:rPr>
                <w:sz w:val="20"/>
                <w:szCs w:val="20"/>
                <w:color w:val="auto"/>
              </w:rPr>
            </w:pPr>
            <w:r>
              <w:rPr>
                <w:rFonts w:ascii="Arial" w:cs="Arial" w:eastAsia="Arial" w:hAnsi="Arial"/>
                <w:sz w:val="14"/>
                <w:szCs w:val="14"/>
                <w:color w:val="auto"/>
              </w:rPr>
              <w:t>Amount</w:t>
            </w:r>
          </w:p>
        </w:tc>
        <w:tc>
          <w:tcPr>
            <w:tcW w:w="960" w:type="dxa"/>
            <w:vAlign w:val="bottom"/>
            <w:gridSpan w:val="3"/>
          </w:tcPr>
          <w:p>
            <w:pPr>
              <w:jc w:val="center"/>
              <w:spacing w:after="0"/>
              <w:rPr>
                <w:sz w:val="20"/>
                <w:szCs w:val="20"/>
                <w:color w:val="auto"/>
              </w:rPr>
            </w:pPr>
            <w:r>
              <w:rPr>
                <w:rFonts w:ascii="Arial" w:cs="Arial" w:eastAsia="Arial" w:hAnsi="Arial"/>
                <w:sz w:val="14"/>
                <w:szCs w:val="14"/>
                <w:color w:val="auto"/>
                <w:w w:val="94"/>
              </w:rPr>
              <w:t>Company (c)</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40" w:type="dxa"/>
            <w:vAlign w:val="bottom"/>
            <w:gridSpan w:val="5"/>
          </w:tcPr>
          <w:p>
            <w:pPr>
              <w:jc w:val="center"/>
              <w:ind w:right="360"/>
              <w:spacing w:after="0"/>
              <w:rPr>
                <w:sz w:val="20"/>
                <w:szCs w:val="20"/>
                <w:color w:val="auto"/>
              </w:rPr>
            </w:pPr>
            <w:r>
              <w:rPr>
                <w:rFonts w:ascii="Arial" w:cs="Arial" w:eastAsia="Arial" w:hAnsi="Arial"/>
                <w:sz w:val="14"/>
                <w:szCs w:val="14"/>
                <w:color w:val="auto"/>
                <w:w w:val="92"/>
              </w:rPr>
              <w:t>Business (b)</w:t>
            </w:r>
          </w:p>
        </w:tc>
        <w:tc>
          <w:tcPr>
            <w:tcW w:w="620" w:type="dxa"/>
            <w:vAlign w:val="bottom"/>
            <w:gridSpan w:val="2"/>
          </w:tcPr>
          <w:p>
            <w:pPr>
              <w:jc w:val="right"/>
              <w:ind w:right="68"/>
              <w:spacing w:after="0"/>
              <w:rPr>
                <w:sz w:val="20"/>
                <w:szCs w:val="20"/>
                <w:color w:val="auto"/>
              </w:rPr>
            </w:pPr>
            <w:r>
              <w:rPr>
                <w:rFonts w:ascii="Arial" w:cs="Arial" w:eastAsia="Arial" w:hAnsi="Arial"/>
                <w:sz w:val="14"/>
                <w:szCs w:val="14"/>
                <w:color w:val="auto"/>
                <w:w w:val="95"/>
              </w:rPr>
              <w:t>Amount</w:t>
            </w:r>
          </w:p>
        </w:tc>
        <w:tc>
          <w:tcPr>
            <w:tcW w:w="22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Arial" w:cs="Arial" w:eastAsia="Arial" w:hAnsi="Arial"/>
                <w:sz w:val="14"/>
                <w:szCs w:val="14"/>
                <w:color w:val="auto"/>
                <w:w w:val="92"/>
              </w:rPr>
              <w:t>Company (c)</w:t>
            </w:r>
          </w:p>
        </w:tc>
        <w:tc>
          <w:tcPr>
            <w:tcW w:w="0" w:type="dxa"/>
            <w:vAlign w:val="bottom"/>
          </w:tcPr>
          <w:p>
            <w:pPr>
              <w:spacing w:after="0"/>
              <w:rPr>
                <w:sz w:val="1"/>
                <w:szCs w:val="1"/>
                <w:color w:val="auto"/>
              </w:rPr>
            </w:pPr>
          </w:p>
        </w:tc>
      </w:tr>
      <w:tr>
        <w:trPr>
          <w:trHeight w:val="123"/>
        </w:trPr>
        <w:tc>
          <w:tcPr>
            <w:tcW w:w="2580" w:type="dxa"/>
            <w:vAlign w:val="bottom"/>
            <w:vMerge w:val="continue"/>
          </w:tcPr>
          <w:p>
            <w:pPr>
              <w:spacing w:after="0"/>
              <w:rPr>
                <w:sz w:val="10"/>
                <w:szCs w:val="10"/>
                <w:color w:val="auto"/>
              </w:rPr>
            </w:pPr>
          </w:p>
        </w:tc>
        <w:tc>
          <w:tcPr>
            <w:tcW w:w="1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center"/>
              <w:ind w:left="248"/>
              <w:spacing w:after="0" w:line="123" w:lineRule="exact"/>
              <w:rPr>
                <w:sz w:val="20"/>
                <w:szCs w:val="20"/>
                <w:color w:val="auto"/>
              </w:rPr>
            </w:pPr>
            <w:r>
              <w:rPr>
                <w:rFonts w:ascii="Arial" w:cs="Arial" w:eastAsia="Arial" w:hAnsi="Arial"/>
                <w:sz w:val="14"/>
                <w:szCs w:val="14"/>
                <w:color w:val="auto"/>
                <w:w w:val="89"/>
              </w:rPr>
              <w:t>72</w:t>
            </w:r>
          </w:p>
        </w:tc>
        <w:tc>
          <w:tcPr>
            <w:tcW w:w="220" w:type="dxa"/>
            <w:vAlign w:val="bottom"/>
          </w:tcPr>
          <w:p>
            <w:pPr>
              <w:spacing w:after="0"/>
              <w:rPr>
                <w:sz w:val="10"/>
                <w:szCs w:val="10"/>
                <w:color w:val="auto"/>
              </w:rPr>
            </w:pPr>
          </w:p>
        </w:tc>
        <w:tc>
          <w:tcPr>
            <w:tcW w:w="92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ind w:right="48"/>
              <w:spacing w:after="0" w:line="123" w:lineRule="exact"/>
              <w:rPr>
                <w:sz w:val="20"/>
                <w:szCs w:val="20"/>
                <w:color w:val="auto"/>
              </w:rPr>
            </w:pPr>
            <w:r>
              <w:rPr>
                <w:rFonts w:ascii="Arial" w:cs="Arial" w:eastAsia="Arial" w:hAnsi="Arial"/>
                <w:sz w:val="14"/>
                <w:szCs w:val="14"/>
                <w:color w:val="auto"/>
              </w:rPr>
              <w:t>140</w:t>
            </w: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spacing w:after="0" w:line="123" w:lineRule="exact"/>
              <w:rPr>
                <w:sz w:val="20"/>
                <w:szCs w:val="20"/>
                <w:color w:val="auto"/>
              </w:rPr>
            </w:pPr>
            <w:r>
              <w:rPr>
                <w:rFonts w:ascii="Arial" w:cs="Arial" w:eastAsia="Arial" w:hAnsi="Arial"/>
                <w:sz w:val="14"/>
                <w:szCs w:val="14"/>
                <w:color w:val="auto"/>
              </w:rPr>
              <w:t>2.3%</w:t>
            </w: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520"/>
              <w:spacing w:after="0" w:line="149" w:lineRule="exact"/>
              <w:rPr>
                <w:sz w:val="20"/>
                <w:szCs w:val="20"/>
                <w:color w:val="auto"/>
              </w:rPr>
            </w:pPr>
            <w:r>
              <w:rPr>
                <w:rFonts w:ascii="Arial" w:cs="Arial" w:eastAsia="Arial" w:hAnsi="Arial"/>
                <w:sz w:val="14"/>
                <w:szCs w:val="14"/>
                <w:color w:val="auto"/>
              </w:rPr>
              <w:t>Recycling commodities</w:t>
            </w:r>
          </w:p>
        </w:tc>
        <w:tc>
          <w:tcPr>
            <w:tcW w:w="160" w:type="dxa"/>
            <w:vAlign w:val="bottom"/>
          </w:tcPr>
          <w:p>
            <w:pPr>
              <w:spacing w:after="0"/>
              <w:rPr>
                <w:sz w:val="12"/>
                <w:szCs w:val="12"/>
                <w:color w:val="auto"/>
              </w:rPr>
            </w:pPr>
          </w:p>
        </w:tc>
        <w:tc>
          <w:tcPr>
            <w:tcW w:w="660" w:type="dxa"/>
            <w:vAlign w:val="bottom"/>
          </w:tcPr>
          <w:p>
            <w:pPr>
              <w:jc w:val="center"/>
              <w:ind w:left="228"/>
              <w:spacing w:after="0" w:line="149" w:lineRule="exact"/>
              <w:rPr>
                <w:sz w:val="20"/>
                <w:szCs w:val="20"/>
                <w:color w:val="auto"/>
              </w:rPr>
            </w:pPr>
            <w:r>
              <w:rPr>
                <w:rFonts w:ascii="Arial" w:cs="Arial" w:eastAsia="Arial" w:hAnsi="Arial"/>
                <w:sz w:val="14"/>
                <w:szCs w:val="14"/>
                <w:color w:val="auto"/>
                <w:w w:val="96"/>
              </w:rPr>
              <w:t>(88)</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(161)</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(21.6%)</w:t>
            </w: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520"/>
              <w:spacing w:after="0" w:line="149" w:lineRule="exact"/>
              <w:rPr>
                <w:sz w:val="20"/>
                <w:szCs w:val="20"/>
                <w:color w:val="auto"/>
              </w:rPr>
            </w:pPr>
            <w:r>
              <w:rPr>
                <w:rFonts w:ascii="Arial" w:cs="Arial" w:eastAsia="Arial" w:hAnsi="Arial"/>
                <w:sz w:val="14"/>
                <w:szCs w:val="14"/>
                <w:color w:val="auto"/>
              </w:rPr>
              <w:t>Fuel surcharges and mandated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80" w:type="dxa"/>
            <w:vAlign w:val="bottom"/>
          </w:tcPr>
          <w:p>
            <w:pPr>
              <w:ind w:left="640"/>
              <w:spacing w:after="0" w:line="149" w:lineRule="exact"/>
              <w:rPr>
                <w:sz w:val="20"/>
                <w:szCs w:val="20"/>
                <w:color w:val="auto"/>
              </w:rPr>
            </w:pPr>
            <w:r>
              <w:rPr>
                <w:rFonts w:ascii="Arial" w:cs="Arial" w:eastAsia="Arial" w:hAnsi="Arial"/>
                <w:sz w:val="14"/>
                <w:szCs w:val="14"/>
                <w:color w:val="auto"/>
              </w:rPr>
              <w:t>fees</w:t>
            </w:r>
          </w:p>
        </w:tc>
        <w:tc>
          <w:tcPr>
            <w:tcW w:w="16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center"/>
              <w:ind w:left="248"/>
              <w:spacing w:after="0" w:line="149" w:lineRule="exact"/>
              <w:rPr>
                <w:sz w:val="20"/>
                <w:szCs w:val="20"/>
                <w:color w:val="auto"/>
              </w:rPr>
            </w:pPr>
            <w:r>
              <w:rPr>
                <w:rFonts w:ascii="Arial" w:cs="Arial" w:eastAsia="Arial" w:hAnsi="Arial"/>
                <w:sz w:val="14"/>
                <w:szCs w:val="14"/>
                <w:color w:val="auto"/>
                <w:w w:val="89"/>
              </w:rPr>
              <w:t>32</w:t>
            </w:r>
          </w:p>
        </w:tc>
        <w:tc>
          <w:tcPr>
            <w:tcW w:w="1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Arial" w:cs="Arial" w:eastAsia="Arial" w:hAnsi="Arial"/>
                <w:sz w:val="14"/>
                <w:szCs w:val="14"/>
                <w:color w:val="auto"/>
              </w:rPr>
              <w:t>56</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22.3%</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580" w:type="dxa"/>
            <w:vAlign w:val="bottom"/>
          </w:tcPr>
          <w:p>
            <w:pPr>
              <w:ind w:left="340"/>
              <w:spacing w:after="0" w:line="116" w:lineRule="exact"/>
              <w:rPr>
                <w:sz w:val="20"/>
                <w:szCs w:val="20"/>
                <w:color w:val="auto"/>
              </w:rPr>
            </w:pPr>
            <w:r>
              <w:rPr>
                <w:rFonts w:ascii="Arial" w:cs="Arial" w:eastAsia="Arial" w:hAnsi="Arial"/>
                <w:sz w:val="13"/>
                <w:szCs w:val="13"/>
                <w:color w:val="auto"/>
              </w:rPr>
              <w:t>Total average yield (d)</w:t>
            </w: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40" w:type="dxa"/>
            <w:vAlign w:val="bottom"/>
            <w:gridSpan w:val="4"/>
          </w:tcPr>
          <w:p>
            <w:pPr>
              <w:jc w:val="right"/>
              <w:spacing w:after="0" w:line="116" w:lineRule="exact"/>
              <w:rPr>
                <w:sz w:val="20"/>
                <w:szCs w:val="20"/>
                <w:color w:val="auto"/>
              </w:rPr>
            </w:pPr>
            <w:r>
              <w:rPr>
                <w:rFonts w:ascii="Arial" w:cs="Arial" w:eastAsia="Arial" w:hAnsi="Arial"/>
                <w:sz w:val="13"/>
                <w:szCs w:val="13"/>
                <w:color w:val="auto"/>
              </w:rPr>
              <w:t>$</w:t>
            </w:r>
          </w:p>
        </w:tc>
        <w:tc>
          <w:tcPr>
            <w:tcW w:w="640" w:type="dxa"/>
            <w:vAlign w:val="bottom"/>
            <w:gridSpan w:val="2"/>
          </w:tcPr>
          <w:p>
            <w:pPr>
              <w:jc w:val="right"/>
              <w:ind w:right="8"/>
              <w:spacing w:after="0" w:line="116" w:lineRule="exact"/>
              <w:rPr>
                <w:sz w:val="20"/>
                <w:szCs w:val="20"/>
                <w:color w:val="auto"/>
              </w:rPr>
            </w:pPr>
            <w:r>
              <w:rPr>
                <w:rFonts w:ascii="Arial" w:cs="Arial" w:eastAsia="Arial" w:hAnsi="Arial"/>
                <w:sz w:val="13"/>
                <w:szCs w:val="13"/>
                <w:color w:val="auto"/>
              </w:rPr>
              <w:t>16</w:t>
            </w:r>
          </w:p>
        </w:tc>
        <w:tc>
          <w:tcPr>
            <w:tcW w:w="220" w:type="dxa"/>
            <w:vAlign w:val="bottom"/>
          </w:tcPr>
          <w:p>
            <w:pPr>
              <w:spacing w:after="0"/>
              <w:rPr>
                <w:sz w:val="10"/>
                <w:szCs w:val="10"/>
                <w:color w:val="auto"/>
              </w:rPr>
            </w:pPr>
          </w:p>
        </w:tc>
        <w:tc>
          <w:tcPr>
            <w:tcW w:w="960" w:type="dxa"/>
            <w:vAlign w:val="bottom"/>
            <w:gridSpan w:val="3"/>
          </w:tcPr>
          <w:p>
            <w:pPr>
              <w:jc w:val="right"/>
              <w:ind w:right="20"/>
              <w:spacing w:after="0" w:line="116" w:lineRule="exact"/>
              <w:rPr>
                <w:sz w:val="20"/>
                <w:szCs w:val="20"/>
                <w:color w:val="auto"/>
              </w:rPr>
            </w:pPr>
            <w:r>
              <w:rPr>
                <w:rFonts w:ascii="Arial" w:cs="Arial" w:eastAsia="Arial" w:hAnsi="Arial"/>
                <w:sz w:val="13"/>
                <w:szCs w:val="13"/>
                <w:color w:val="auto"/>
              </w:rPr>
              <w:t>0.4%</w:t>
            </w: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gridSpan w:val="4"/>
          </w:tcPr>
          <w:p>
            <w:pPr>
              <w:jc w:val="right"/>
              <w:spacing w:after="0" w:line="116" w:lineRule="exact"/>
              <w:rPr>
                <w:sz w:val="20"/>
                <w:szCs w:val="20"/>
                <w:color w:val="auto"/>
              </w:rPr>
            </w:pPr>
            <w:r>
              <w:rPr>
                <w:rFonts w:ascii="Arial" w:cs="Arial" w:eastAsia="Arial" w:hAnsi="Arial"/>
                <w:sz w:val="13"/>
                <w:szCs w:val="13"/>
                <w:color w:val="auto"/>
              </w:rPr>
              <w:t>$</w:t>
            </w:r>
          </w:p>
        </w:tc>
        <w:tc>
          <w:tcPr>
            <w:tcW w:w="620" w:type="dxa"/>
            <w:vAlign w:val="bottom"/>
            <w:gridSpan w:val="2"/>
          </w:tcPr>
          <w:p>
            <w:pPr>
              <w:jc w:val="right"/>
              <w:ind w:right="8"/>
              <w:spacing w:after="0" w:line="116" w:lineRule="exact"/>
              <w:rPr>
                <w:sz w:val="20"/>
                <w:szCs w:val="20"/>
                <w:color w:val="auto"/>
              </w:rPr>
            </w:pPr>
            <w:r>
              <w:rPr>
                <w:rFonts w:ascii="Arial" w:cs="Arial" w:eastAsia="Arial" w:hAnsi="Arial"/>
                <w:sz w:val="13"/>
                <w:szCs w:val="13"/>
                <w:color w:val="auto"/>
              </w:rPr>
              <w:t>35</w:t>
            </w:r>
          </w:p>
        </w:tc>
        <w:tc>
          <w:tcPr>
            <w:tcW w:w="1320" w:type="dxa"/>
            <w:vAlign w:val="bottom"/>
            <w:gridSpan w:val="3"/>
          </w:tcPr>
          <w:p>
            <w:pPr>
              <w:jc w:val="right"/>
              <w:ind w:right="40"/>
              <w:spacing w:after="0" w:line="116" w:lineRule="exact"/>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61"/>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Volume</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66</w:t>
            </w:r>
          </w:p>
        </w:tc>
        <w:tc>
          <w:tcPr>
            <w:tcW w:w="220" w:type="dxa"/>
            <w:vAlign w:val="bottom"/>
          </w:tcPr>
          <w:p>
            <w:pPr>
              <w:spacing w:after="0"/>
              <w:rPr>
                <w:sz w:val="13"/>
                <w:szCs w:val="13"/>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1.8%</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154</w:t>
            </w: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580" w:type="dxa"/>
            <w:vAlign w:val="bottom"/>
          </w:tcPr>
          <w:p>
            <w:pPr>
              <w:ind w:left="340"/>
              <w:spacing w:after="0" w:line="130" w:lineRule="exact"/>
              <w:rPr>
                <w:sz w:val="20"/>
                <w:szCs w:val="20"/>
                <w:color w:val="auto"/>
              </w:rPr>
            </w:pPr>
            <w:r>
              <w:rPr>
                <w:rFonts w:ascii="Arial" w:cs="Arial" w:eastAsia="Arial" w:hAnsi="Arial"/>
                <w:sz w:val="14"/>
                <w:szCs w:val="14"/>
                <w:color w:val="auto"/>
              </w:rPr>
              <w:t>Internal revenue growth</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gridSpan w:val="2"/>
          </w:tcPr>
          <w:p>
            <w:pPr>
              <w:jc w:val="right"/>
              <w:ind w:right="8"/>
              <w:spacing w:after="0" w:line="130" w:lineRule="exact"/>
              <w:rPr>
                <w:sz w:val="20"/>
                <w:szCs w:val="20"/>
                <w:color w:val="auto"/>
              </w:rPr>
            </w:pPr>
            <w:r>
              <w:rPr>
                <w:rFonts w:ascii="Arial" w:cs="Arial" w:eastAsia="Arial" w:hAnsi="Arial"/>
                <w:sz w:val="14"/>
                <w:szCs w:val="14"/>
                <w:color w:val="auto"/>
              </w:rPr>
              <w:t>82</w:t>
            </w:r>
          </w:p>
        </w:tc>
        <w:tc>
          <w:tcPr>
            <w:tcW w:w="220" w:type="dxa"/>
            <w:vAlign w:val="bottom"/>
          </w:tcPr>
          <w:p>
            <w:pPr>
              <w:spacing w:after="0"/>
              <w:rPr>
                <w:sz w:val="11"/>
                <w:szCs w:val="11"/>
                <w:color w:val="auto"/>
              </w:rPr>
            </w:pPr>
          </w:p>
        </w:tc>
        <w:tc>
          <w:tcPr>
            <w:tcW w:w="960" w:type="dxa"/>
            <w:vAlign w:val="bottom"/>
            <w:tcBorders>
              <w:top w:val="single" w:sz="8" w:color="auto"/>
            </w:tcBorders>
            <w:gridSpan w:val="3"/>
          </w:tcPr>
          <w:p>
            <w:pPr>
              <w:jc w:val="right"/>
              <w:ind w:right="20"/>
              <w:spacing w:after="0" w:line="130" w:lineRule="exact"/>
              <w:rPr>
                <w:sz w:val="20"/>
                <w:szCs w:val="20"/>
                <w:color w:val="auto"/>
              </w:rPr>
            </w:pPr>
            <w:r>
              <w:rPr>
                <w:rFonts w:ascii="Arial" w:cs="Arial" w:eastAsia="Arial" w:hAnsi="Arial"/>
                <w:sz w:val="14"/>
                <w:szCs w:val="14"/>
                <w:color w:val="auto"/>
              </w:rPr>
              <w:t>2.2%</w:t>
            </w: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jc w:val="right"/>
              <w:ind w:right="8"/>
              <w:spacing w:after="0" w:line="130" w:lineRule="exact"/>
              <w:rPr>
                <w:sz w:val="20"/>
                <w:szCs w:val="20"/>
                <w:color w:val="auto"/>
              </w:rPr>
            </w:pPr>
            <w:r>
              <w:rPr>
                <w:rFonts w:ascii="Arial" w:cs="Arial" w:eastAsia="Arial" w:hAnsi="Arial"/>
                <w:sz w:val="14"/>
                <w:szCs w:val="14"/>
                <w:color w:val="auto"/>
              </w:rPr>
              <w:t>189</w:t>
            </w:r>
          </w:p>
        </w:tc>
        <w:tc>
          <w:tcPr>
            <w:tcW w:w="220" w:type="dxa"/>
            <w:vAlign w:val="bottom"/>
          </w:tcPr>
          <w:p>
            <w:pPr>
              <w:spacing w:after="0"/>
              <w:rPr>
                <w:sz w:val="11"/>
                <w:szCs w:val="11"/>
                <w:color w:val="auto"/>
              </w:rPr>
            </w:pPr>
          </w:p>
        </w:tc>
        <w:tc>
          <w:tcPr>
            <w:tcW w:w="1100" w:type="dxa"/>
            <w:vAlign w:val="bottom"/>
            <w:tcBorders>
              <w:top w:val="single" w:sz="8" w:color="auto"/>
            </w:tcBorders>
            <w:gridSpan w:val="2"/>
          </w:tcPr>
          <w:p>
            <w:pPr>
              <w:jc w:val="right"/>
              <w:ind w:right="40"/>
              <w:spacing w:after="0" w:line="130" w:lineRule="exact"/>
              <w:rPr>
                <w:sz w:val="20"/>
                <w:szCs w:val="20"/>
                <w:color w:val="auto"/>
              </w:rPr>
            </w:pPr>
            <w:r>
              <w:rPr>
                <w:rFonts w:ascii="Arial" w:cs="Arial" w:eastAsia="Arial" w:hAnsi="Arial"/>
                <w:sz w:val="14"/>
                <w:szCs w:val="14"/>
                <w:color w:val="auto"/>
              </w:rPr>
              <w:t>2.7%</w:t>
            </w: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Acquisitions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61</w:t>
            </w:r>
          </w:p>
        </w:tc>
        <w:tc>
          <w:tcPr>
            <w:tcW w:w="220" w:type="dxa"/>
            <w:vAlign w:val="bottom"/>
          </w:tcPr>
          <w:p>
            <w:pPr>
              <w:spacing w:after="0"/>
              <w:rPr>
                <w:sz w:val="12"/>
                <w:szCs w:val="12"/>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89</w:t>
            </w: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Divestitures</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w:t>
            </w:r>
          </w:p>
        </w:tc>
        <w:tc>
          <w:tcPr>
            <w:tcW w:w="220" w:type="dxa"/>
            <w:vAlign w:val="bottom"/>
          </w:tcPr>
          <w:p>
            <w:pPr>
              <w:spacing w:after="0"/>
              <w:rPr>
                <w:sz w:val="12"/>
                <w:szCs w:val="12"/>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(0.8%)</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w:t>
            </w: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580" w:type="dxa"/>
            <w:vAlign w:val="bottom"/>
          </w:tcPr>
          <w:p>
            <w:pPr>
              <w:ind w:left="340"/>
              <w:spacing w:after="0" w:line="149" w:lineRule="exact"/>
              <w:rPr>
                <w:sz w:val="20"/>
                <w:szCs w:val="20"/>
                <w:color w:val="auto"/>
              </w:rPr>
            </w:pPr>
            <w:r>
              <w:rPr>
                <w:rFonts w:ascii="Arial" w:cs="Arial" w:eastAsia="Arial" w:hAnsi="Arial"/>
                <w:sz w:val="14"/>
                <w:szCs w:val="14"/>
                <w:color w:val="auto"/>
              </w:rPr>
              <w:t>Foreign currency translation and</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80" w:type="dxa"/>
            <w:vAlign w:val="bottom"/>
          </w:tcPr>
          <w:p>
            <w:pPr>
              <w:ind w:left="460"/>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(52)</w:t>
            </w:r>
          </w:p>
        </w:tc>
        <w:tc>
          <w:tcPr>
            <w:tcW w:w="220" w:type="dxa"/>
            <w:vAlign w:val="bottom"/>
          </w:tcPr>
          <w:p>
            <w:pPr>
              <w:spacing w:after="0"/>
              <w:rPr>
                <w:sz w:val="13"/>
                <w:szCs w:val="13"/>
                <w:color w:val="auto"/>
              </w:rPr>
            </w:pPr>
          </w:p>
        </w:tc>
        <w:tc>
          <w:tcPr>
            <w:tcW w:w="96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(107)</w:t>
            </w:r>
          </w:p>
        </w:tc>
        <w:tc>
          <w:tcPr>
            <w:tcW w:w="132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49"/>
        </w:trPr>
        <w:tc>
          <w:tcPr>
            <w:tcW w:w="2580" w:type="dxa"/>
            <w:vAlign w:val="bottom"/>
          </w:tcPr>
          <w:p>
            <w:pPr>
              <w:ind w:left="460"/>
              <w:spacing w:after="0" w:line="149" w:lineRule="exact"/>
              <w:rPr>
                <w:sz w:val="20"/>
                <w:szCs w:val="20"/>
                <w:color w:val="auto"/>
              </w:rPr>
            </w:pPr>
            <w:r>
              <w:rPr>
                <w:rFonts w:ascii="Arial" w:cs="Arial" w:eastAsia="Arial" w:hAnsi="Arial"/>
                <w:sz w:val="14"/>
                <w:szCs w:val="14"/>
                <w:color w:val="auto"/>
              </w:rPr>
              <w:t>Total</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color w:val="auto"/>
              </w:rPr>
              <w:t>62</w:t>
            </w:r>
          </w:p>
        </w:tc>
        <w:tc>
          <w:tcPr>
            <w:tcW w:w="220" w:type="dxa"/>
            <w:vAlign w:val="bottom"/>
          </w:tcPr>
          <w:p>
            <w:pPr>
              <w:spacing w:after="0"/>
              <w:rPr>
                <w:sz w:val="12"/>
                <w:szCs w:val="12"/>
                <w:color w:val="auto"/>
              </w:rPr>
            </w:pPr>
          </w:p>
        </w:tc>
        <w:tc>
          <w:tcPr>
            <w:tcW w:w="960" w:type="dxa"/>
            <w:vAlign w:val="bottom"/>
            <w:tcBorders>
              <w:top w:val="single" w:sz="8" w:color="auto"/>
              <w:bottom w:val="single" w:sz="8" w:color="auto"/>
            </w:tcBorders>
            <w:gridSpan w:val="3"/>
          </w:tcPr>
          <w:p>
            <w:pPr>
              <w:jc w:val="right"/>
              <w:ind w:right="20"/>
              <w:spacing w:after="0" w:line="149" w:lineRule="exact"/>
              <w:rPr>
                <w:sz w:val="20"/>
                <w:szCs w:val="20"/>
                <w:color w:val="auto"/>
              </w:rPr>
            </w:pPr>
            <w:r>
              <w:rPr>
                <w:rFonts w:ascii="Arial" w:cs="Arial" w:eastAsia="Arial" w:hAnsi="Arial"/>
                <w:sz w:val="14"/>
                <w:szCs w:val="14"/>
                <w:color w:val="auto"/>
              </w:rPr>
              <w:t>1.7%</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bottom w:val="single" w:sz="8" w:color="auto"/>
            </w:tcBorders>
            <w:gridSpan w:val="2"/>
          </w:tcPr>
          <w:p>
            <w:pPr>
              <w:jc w:val="right"/>
              <w:ind w:right="8"/>
              <w:spacing w:after="0" w:line="149" w:lineRule="exact"/>
              <w:rPr>
                <w:sz w:val="20"/>
                <w:szCs w:val="20"/>
                <w:color w:val="auto"/>
              </w:rPr>
            </w:pPr>
            <w:r>
              <w:rPr>
                <w:rFonts w:ascii="Arial" w:cs="Arial" w:eastAsia="Arial" w:hAnsi="Arial"/>
                <w:sz w:val="14"/>
                <w:szCs w:val="14"/>
                <w:color w:val="auto"/>
              </w:rPr>
              <w:t>133</w:t>
            </w:r>
          </w:p>
        </w:tc>
        <w:tc>
          <w:tcPr>
            <w:tcW w:w="220" w:type="dxa"/>
            <w:vAlign w:val="bottom"/>
          </w:tcPr>
          <w:p>
            <w:pPr>
              <w:spacing w:after="0"/>
              <w:rPr>
                <w:sz w:val="12"/>
                <w:szCs w:val="12"/>
                <w:color w:val="auto"/>
              </w:rPr>
            </w:pPr>
          </w:p>
        </w:tc>
        <w:tc>
          <w:tcPr>
            <w:tcW w:w="1100" w:type="dxa"/>
            <w:vAlign w:val="bottom"/>
            <w:tcBorders>
              <w:top w:val="single" w:sz="8" w:color="auto"/>
              <w:bottom w:val="single" w:sz="8" w:color="auto"/>
            </w:tcBorders>
            <w:gridSpan w:val="2"/>
          </w:tcPr>
          <w:p>
            <w:pPr>
              <w:jc w:val="right"/>
              <w:ind w:right="4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Intercompany revenues between lines of business are eliminated within the Condensed Consolidated Financial Statements included herein.</w:t>
      </w:r>
    </w:p>
    <w:p>
      <w:pPr>
        <w:ind w:left="300" w:right="80" w:hanging="292"/>
        <w:spacing w:after="0" w:line="22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by dividing the increase or decrease for the current year period by the prior year period’s related business revenue adjusted to exclude the impacts of divestitures for the current year period.</w:t>
      </w:r>
    </w:p>
    <w:p>
      <w:pPr>
        <w:ind w:left="300" w:right="140" w:hanging="292"/>
        <w:spacing w:after="0" w:line="221" w:lineRule="auto"/>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Calculated by dividing the increase or decrease for the current year period by the prior year period’s total Company revenue adjusted to exclude the impacts of divestitures for the current year period.</w:t>
      </w:r>
    </w:p>
    <w:p>
      <w:pPr>
        <w:ind w:left="300" w:hanging="292"/>
        <w:spacing w:after="0"/>
        <w:tabs>
          <w:tab w:leader="none" w:pos="30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 amounts reported herein represent the changes in our revenue attributable to average yield for the total Company.</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4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Inc.</w:t>
      </w:r>
    </w:p>
    <w:p>
      <w:pPr>
        <w:spacing w:after="0" w:line="63"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Summary Data Sheet</w:t>
      </w:r>
    </w:p>
    <w:p>
      <w:pPr>
        <w:sectPr>
          <w:pgSz w:w="11900" w:h="16848" w:orient="portrait"/>
          <w:cols w:equalWidth="0" w:num="1">
            <w:col w:w="11420"/>
          </w:cols>
          <w:pgMar w:left="240" w:top="125" w:right="239" w:bottom="0" w:gutter="0" w:footer="0" w:header="0"/>
          <w:type w:val="continuous"/>
        </w:sectPr>
      </w:pPr>
    </w:p>
    <w:bookmarkStart w:id="7" w:name="page8"/>
    <w:bookmarkEnd w:id="7"/>
    <w:p>
      <w:pPr>
        <w:ind w:left="5200"/>
        <w:spacing w:after="0"/>
        <w:rPr>
          <w:sz w:val="20"/>
          <w:szCs w:val="20"/>
          <w:color w:val="auto"/>
        </w:rPr>
      </w:pPr>
      <w:r>
        <w:rPr>
          <w:rFonts w:ascii="Arial" w:cs="Arial" w:eastAsia="Arial" w:hAnsi="Arial"/>
          <w:sz w:val="19"/>
          <w:szCs w:val="19"/>
          <w:b w:val="1"/>
          <w:bCs w:val="1"/>
          <w:color w:val="auto"/>
        </w:rPr>
        <w:t>(In Millions)</w:t>
      </w:r>
    </w:p>
    <w:p>
      <w:pPr>
        <w:spacing w:after="0" w:line="53"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1420"/>
          </w:cols>
          <w:pgMar w:left="240" w:top="115" w:right="239" w:bottom="0" w:gutter="0" w:footer="0" w:header="0"/>
        </w:sectPr>
      </w:pP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Free Cash Flow Analysis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operating activities (b)</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Capital expenditures</w:t>
      </w:r>
    </w:p>
    <w:p>
      <w:pPr>
        <w:spacing w:after="0" w:line="22" w:lineRule="exact"/>
        <w:rPr>
          <w:sz w:val="20"/>
          <w:szCs w:val="20"/>
          <w:color w:val="auto"/>
        </w:rPr>
      </w:pPr>
    </w:p>
    <w:p>
      <w:pPr>
        <w:ind w:left="260" w:hanging="258"/>
        <w:spacing w:after="0" w:line="264" w:lineRule="auto"/>
        <w:rPr>
          <w:sz w:val="20"/>
          <w:szCs w:val="20"/>
          <w:color w:val="auto"/>
        </w:rPr>
      </w:pPr>
      <w:r>
        <w:rPr>
          <w:rFonts w:ascii="Arial" w:cs="Arial" w:eastAsia="Arial" w:hAnsi="Arial"/>
          <w:sz w:val="16"/>
          <w:szCs w:val="16"/>
          <w:color w:val="auto"/>
        </w:rPr>
        <w:t>Proceeds from divestitures of businesses and other assets (net of cash divested)</w:t>
      </w:r>
    </w:p>
    <w:p>
      <w:pPr>
        <w:spacing w:after="0"/>
        <w:rPr>
          <w:sz w:val="20"/>
          <w:szCs w:val="20"/>
          <w:color w:val="auto"/>
        </w:rPr>
      </w:pPr>
      <w:r>
        <w:rPr>
          <w:rFonts w:ascii="Arial" w:cs="Arial" w:eastAsia="Arial" w:hAnsi="Arial"/>
          <w:sz w:val="16"/>
          <w:szCs w:val="16"/>
          <w:color w:val="auto"/>
        </w:rPr>
        <w:t>Free cash flow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2580" w:type="dxa"/>
            <w:vAlign w:val="bottom"/>
            <w:gridSpan w:val="4"/>
          </w:tcPr>
          <w:p>
            <w:pPr>
              <w:jc w:val="right"/>
              <w:ind w:right="2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6"/>
                <w:szCs w:val="16"/>
                <w:b w:val="1"/>
                <w:bCs w:val="1"/>
                <w:color w:val="auto"/>
              </w:rPr>
              <w:t>Six Months Ended</w:t>
            </w:r>
          </w:p>
        </w:tc>
        <w:tc>
          <w:tcPr>
            <w:tcW w:w="860" w:type="dxa"/>
            <w:vAlign w:val="bottom"/>
          </w:tcPr>
          <w:p>
            <w:pPr>
              <w:spacing w:after="0"/>
              <w:rPr>
                <w:sz w:val="17"/>
                <w:szCs w:val="17"/>
                <w:color w:val="auto"/>
              </w:rPr>
            </w:pPr>
          </w:p>
        </w:tc>
      </w:tr>
      <w:tr>
        <w:trPr>
          <w:trHeight w:val="213"/>
        </w:trPr>
        <w:tc>
          <w:tcPr>
            <w:tcW w:w="9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699"/>
              <w:spacing w:after="0"/>
              <w:rPr>
                <w:sz w:val="20"/>
                <w:szCs w:val="20"/>
                <w:color w:val="auto"/>
              </w:rPr>
            </w:pPr>
            <w:r>
              <w:rPr>
                <w:rFonts w:ascii="Arial" w:cs="Arial" w:eastAsia="Arial" w:hAnsi="Arial"/>
                <w:sz w:val="16"/>
                <w:szCs w:val="16"/>
                <w:b w:val="1"/>
                <w:bCs w:val="1"/>
                <w:color w:val="auto"/>
              </w:rPr>
              <w:t>June 30,</w:t>
            </w:r>
          </w:p>
        </w:tc>
        <w:tc>
          <w:tcPr>
            <w:tcW w:w="44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right"/>
              <w:ind w:right="27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r>
      <w:tr>
        <w:trPr>
          <w:trHeight w:val="199"/>
        </w:trPr>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2017</w:t>
            </w:r>
          </w:p>
        </w:tc>
      </w:tr>
      <w:tr>
        <w:trPr>
          <w:trHeight w:val="186"/>
        </w:trPr>
        <w:tc>
          <w:tcPr>
            <w:tcW w:w="920" w:type="dxa"/>
            <w:vAlign w:val="bottom"/>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975</w:t>
            </w:r>
          </w:p>
        </w:tc>
        <w:tc>
          <w:tcPr>
            <w:tcW w:w="300" w:type="dxa"/>
            <w:vAlign w:val="bottom"/>
          </w:tcPr>
          <w:p>
            <w:pPr>
              <w:spacing w:after="0"/>
              <w:rPr>
                <w:sz w:val="16"/>
                <w:szCs w:val="16"/>
                <w:color w:val="auto"/>
              </w:rPr>
            </w:pPr>
          </w:p>
        </w:tc>
        <w:tc>
          <w:tcPr>
            <w:tcW w:w="920" w:type="dxa"/>
            <w:vAlign w:val="bottom"/>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813</w:t>
            </w:r>
          </w:p>
        </w:tc>
        <w:tc>
          <w:tcPr>
            <w:tcW w:w="280" w:type="dxa"/>
            <w:vAlign w:val="bottom"/>
          </w:tcPr>
          <w:p>
            <w:pPr>
              <w:spacing w:after="0"/>
              <w:rPr>
                <w:sz w:val="16"/>
                <w:szCs w:val="16"/>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1,784</w:t>
            </w:r>
          </w:p>
        </w:tc>
        <w:tc>
          <w:tcPr>
            <w:tcW w:w="280" w:type="dxa"/>
            <w:vAlign w:val="bottom"/>
          </w:tcPr>
          <w:p>
            <w:pPr>
              <w:spacing w:after="0"/>
              <w:rPr>
                <w:sz w:val="16"/>
                <w:szCs w:val="16"/>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1,535</w:t>
            </w:r>
          </w:p>
        </w:tc>
      </w:tr>
      <w:tr>
        <w:trPr>
          <w:trHeight w:val="206"/>
        </w:trPr>
        <w:tc>
          <w:tcPr>
            <w:tcW w:w="9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(436)</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(299)</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(836)</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(631)</w:t>
            </w:r>
          </w:p>
        </w:tc>
      </w:tr>
      <w:tr>
        <w:trPr>
          <w:trHeight w:val="408"/>
        </w:trPr>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3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2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96</w:t>
            </w:r>
          </w:p>
        </w:tc>
        <w:tc>
          <w:tcPr>
            <w:tcW w:w="28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w:t>
            </w:r>
          </w:p>
        </w:tc>
      </w:tr>
      <w:tr>
        <w:trPr>
          <w:trHeight w:val="199"/>
        </w:trPr>
        <w:tc>
          <w:tcPr>
            <w:tcW w:w="92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621</w:t>
            </w:r>
          </w:p>
        </w:tc>
        <w:tc>
          <w:tcPr>
            <w:tcW w:w="300" w:type="dxa"/>
            <w:vAlign w:val="bottom"/>
          </w:tcPr>
          <w:p>
            <w:pPr>
              <w:spacing w:after="0"/>
              <w:rPr>
                <w:sz w:val="17"/>
                <w:szCs w:val="17"/>
                <w:color w:val="auto"/>
              </w:rPr>
            </w:pPr>
          </w:p>
        </w:tc>
        <w:tc>
          <w:tcPr>
            <w:tcW w:w="920" w:type="dxa"/>
            <w:vAlign w:val="bottom"/>
            <w:tcBorders>
              <w:bottom w:val="single" w:sz="8" w:color="auto"/>
            </w:tcBorders>
          </w:tcPr>
          <w:p>
            <w:pPr>
              <w:jc w:val="right"/>
              <w:ind w:right="699"/>
              <w:spacing w:after="0"/>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520</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1,044</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917</w:t>
            </w:r>
          </w:p>
        </w:tc>
      </w:tr>
      <w:tr>
        <w:trPr>
          <w:trHeight w:val="20"/>
        </w:trPr>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500" w:space="500"/>
            <w:col w:w="6420"/>
          </w:cols>
          <w:pgMar w:left="240" w:top="115" w:right="239" w:bottom="0" w:gutter="0" w:footer="0" w:header="0"/>
          <w:type w:val="continuous"/>
        </w:sectPr>
      </w:pP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000" w:type="dxa"/>
            <w:vAlign w:val="bottom"/>
          </w:tcPr>
          <w:p>
            <w:pPr>
              <w:spacing w:after="0"/>
              <w:rPr>
                <w:sz w:val="17"/>
                <w:szCs w:val="17"/>
                <w:color w:val="auto"/>
              </w:rPr>
            </w:pPr>
          </w:p>
        </w:tc>
        <w:tc>
          <w:tcPr>
            <w:tcW w:w="25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2"/>
              </w:rPr>
              <w:t>Six Months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vMerge w:val="restart"/>
          </w:tcPr>
          <w:p>
            <w:pPr>
              <w:spacing w:after="0"/>
              <w:rPr>
                <w:sz w:val="20"/>
                <w:szCs w:val="20"/>
                <w:color w:val="auto"/>
              </w:rPr>
            </w:pPr>
            <w:r>
              <w:rPr>
                <w:rFonts w:ascii="Arial" w:cs="Arial" w:eastAsia="Arial" w:hAnsi="Arial"/>
                <w:sz w:val="16"/>
                <w:szCs w:val="16"/>
                <w:b w:val="1"/>
                <w:bCs w:val="1"/>
                <w:color w:val="auto"/>
              </w:rPr>
              <w:t>Supplemental Data</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177"/>
        </w:trPr>
        <w:tc>
          <w:tcPr>
            <w:tcW w:w="50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Internalization of waste, based on disposal costs</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6"/>
              </w:rPr>
              <w:t>68.5%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6"/>
              </w:rPr>
              <w:t>66.3%</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67.2%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66.0%</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Total landfill disposal volumes (tons in millions)</w:t>
            </w: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29.7</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29.0</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55.9</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54.3</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b w:val="1"/>
                <w:bCs w:val="1"/>
                <w:color w:val="auto"/>
              </w:rPr>
              <w:t>Acquisition Summary (c)</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Gross annualized revenue acquired</w:t>
            </w:r>
          </w:p>
        </w:tc>
        <w:tc>
          <w:tcPr>
            <w:tcW w:w="88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78"/>
              </w:rPr>
              <w:t>10</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202</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Total consideration</w:t>
            </w:r>
          </w:p>
        </w:tc>
        <w:tc>
          <w:tcPr>
            <w:tcW w:w="88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78"/>
              </w:rPr>
              <w:t>17</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48</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266</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405"/>
        </w:trPr>
        <w:tc>
          <w:tcPr>
            <w:tcW w:w="5000" w:type="dxa"/>
            <w:vAlign w:val="bottom"/>
          </w:tcPr>
          <w:p>
            <w:pPr>
              <w:spacing w:after="0"/>
              <w:rPr>
                <w:sz w:val="20"/>
                <w:szCs w:val="20"/>
                <w:color w:val="auto"/>
              </w:rPr>
            </w:pPr>
            <w:r>
              <w:rPr>
                <w:rFonts w:ascii="Arial" w:cs="Arial" w:eastAsia="Arial" w:hAnsi="Arial"/>
                <w:sz w:val="16"/>
                <w:szCs w:val="16"/>
                <w:color w:val="auto"/>
              </w:rPr>
              <w:t>Cash paid for acquisitions consumated during the period</w:t>
            </w:r>
          </w:p>
        </w:tc>
        <w:tc>
          <w:tcPr>
            <w:tcW w:w="880" w:type="dxa"/>
            <w:vAlign w:val="bottom"/>
          </w:tcPr>
          <w:p>
            <w:pPr>
              <w:spacing w:after="0"/>
              <w:rPr>
                <w:sz w:val="24"/>
                <w:szCs w:val="24"/>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78"/>
              </w:rPr>
              <w:t>15</w:t>
            </w: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41</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256</w:t>
            </w: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401"/>
        </w:trPr>
        <w:tc>
          <w:tcPr>
            <w:tcW w:w="5000" w:type="dxa"/>
            <w:vAlign w:val="bottom"/>
          </w:tcPr>
          <w:p>
            <w:pPr>
              <w:spacing w:after="0"/>
              <w:rPr>
                <w:sz w:val="20"/>
                <w:szCs w:val="20"/>
                <w:color w:val="auto"/>
              </w:rPr>
            </w:pPr>
            <w:r>
              <w:rPr>
                <w:rFonts w:ascii="Arial" w:cs="Arial" w:eastAsia="Arial" w:hAnsi="Arial"/>
                <w:sz w:val="16"/>
                <w:szCs w:val="16"/>
                <w:color w:val="auto"/>
                <w:w w:val="99"/>
              </w:rPr>
              <w:t>Cash paid for acquisitions including contingent consideration and other</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000" w:type="dxa"/>
            <w:vAlign w:val="bottom"/>
          </w:tcPr>
          <w:p>
            <w:pPr>
              <w:ind w:left="260"/>
              <w:spacing w:after="0"/>
              <w:rPr>
                <w:sz w:val="20"/>
                <w:szCs w:val="20"/>
                <w:color w:val="auto"/>
              </w:rPr>
            </w:pPr>
            <w:r>
              <w:rPr>
                <w:rFonts w:ascii="Arial" w:cs="Arial" w:eastAsia="Arial" w:hAnsi="Arial"/>
                <w:sz w:val="16"/>
                <w:szCs w:val="16"/>
                <w:color w:val="auto"/>
              </w:rPr>
              <w:t>items from prior periods</w:t>
            </w:r>
          </w:p>
        </w:tc>
        <w:tc>
          <w:tcPr>
            <w:tcW w:w="880" w:type="dxa"/>
            <w:vAlign w:val="bottom"/>
          </w:tcPr>
          <w:p>
            <w:pPr>
              <w:spacing w:after="0"/>
              <w:rPr>
                <w:sz w:val="17"/>
                <w:szCs w:val="17"/>
                <w:color w:val="auto"/>
              </w:rPr>
            </w:pPr>
          </w:p>
        </w:tc>
        <w:tc>
          <w:tcPr>
            <w:tcW w:w="480" w:type="dxa"/>
            <w:vAlign w:val="bottom"/>
          </w:tcPr>
          <w:p>
            <w:pPr>
              <w:ind w:left="320"/>
              <w:spacing w:after="0"/>
              <w:rPr>
                <w:sz w:val="20"/>
                <w:szCs w:val="20"/>
                <w:color w:val="auto"/>
              </w:rPr>
            </w:pPr>
            <w:r>
              <w:rPr>
                <w:rFonts w:ascii="Arial" w:cs="Arial" w:eastAsia="Arial" w:hAnsi="Arial"/>
                <w:sz w:val="16"/>
                <w:szCs w:val="16"/>
                <w:color w:val="auto"/>
                <w:w w:val="78"/>
              </w:rPr>
              <w:t>21</w:t>
            </w: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42</w:t>
            </w: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w:t>
            </w:r>
          </w:p>
        </w:tc>
        <w:tc>
          <w:tcPr>
            <w:tcW w:w="2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97"/>
        </w:trPr>
        <w:tc>
          <w:tcPr>
            <w:tcW w:w="5000" w:type="dxa"/>
            <w:vAlign w:val="bottom"/>
          </w:tcPr>
          <w:p>
            <w:pPr>
              <w:spacing w:after="0"/>
              <w:rPr>
                <w:sz w:val="20"/>
                <w:szCs w:val="20"/>
                <w:color w:val="auto"/>
              </w:rPr>
            </w:pPr>
            <w:r>
              <w:rPr>
                <w:rFonts w:ascii="Arial" w:cs="Arial" w:eastAsia="Arial" w:hAnsi="Arial"/>
                <w:sz w:val="16"/>
                <w:szCs w:val="16"/>
                <w:b w:val="1"/>
                <w:bCs w:val="1"/>
                <w:color w:val="auto"/>
              </w:rPr>
              <w:t>Amortization, Accretion and Other Expenses for</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180"/>
              <w:spacing w:after="0"/>
              <w:rPr>
                <w:sz w:val="20"/>
                <w:szCs w:val="20"/>
                <w:color w:val="auto"/>
              </w:rPr>
            </w:pPr>
            <w:r>
              <w:rPr>
                <w:rFonts w:ascii="Arial" w:cs="Arial" w:eastAsia="Arial" w:hAnsi="Arial"/>
                <w:sz w:val="16"/>
                <w:szCs w:val="16"/>
                <w:b w:val="1"/>
                <w:bCs w:val="1"/>
                <w:color w:val="auto"/>
              </w:rPr>
              <w:t>Landfills Included in Operating Groups:</w:t>
            </w:r>
          </w:p>
        </w:tc>
        <w:tc>
          <w:tcPr>
            <w:tcW w:w="2540" w:type="dxa"/>
            <w:vAlign w:val="bottom"/>
            <w:gridSpan w:val="4"/>
          </w:tcPr>
          <w:p>
            <w:pPr>
              <w:jc w:val="right"/>
              <w:ind w:right="219"/>
              <w:spacing w:after="0"/>
              <w:rPr>
                <w:sz w:val="20"/>
                <w:szCs w:val="20"/>
                <w:color w:val="auto"/>
              </w:rPr>
            </w:pPr>
            <w:r>
              <w:rPr>
                <w:rFonts w:ascii="Arial" w:cs="Arial" w:eastAsia="Arial" w:hAnsi="Arial"/>
                <w:sz w:val="16"/>
                <w:szCs w:val="16"/>
                <w:b w:val="1"/>
                <w:bCs w:val="1"/>
                <w:color w:val="auto"/>
              </w:rPr>
              <w:t>Three Months Ended</w:t>
            </w: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40" w:type="dxa"/>
            <w:vAlign w:val="bottom"/>
            <w:gridSpan w:val="3"/>
          </w:tcPr>
          <w:p>
            <w:pPr>
              <w:jc w:val="center"/>
              <w:ind w:left="439"/>
              <w:spacing w:after="0"/>
              <w:rPr>
                <w:sz w:val="20"/>
                <w:szCs w:val="20"/>
                <w:color w:val="auto"/>
              </w:rPr>
            </w:pPr>
            <w:r>
              <w:rPr>
                <w:rFonts w:ascii="Arial" w:cs="Arial" w:eastAsia="Arial" w:hAnsi="Arial"/>
                <w:sz w:val="16"/>
                <w:szCs w:val="16"/>
                <w:b w:val="1"/>
                <w:bCs w:val="1"/>
                <w:color w:val="auto"/>
                <w:w w:val="92"/>
              </w:rPr>
              <w:t>Six Months Ended</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00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340"/>
              <w:spacing w:after="0"/>
              <w:rPr>
                <w:sz w:val="20"/>
                <w:szCs w:val="20"/>
                <w:color w:val="auto"/>
              </w:rPr>
            </w:pPr>
            <w:r>
              <w:rPr>
                <w:rFonts w:ascii="Arial" w:cs="Arial" w:eastAsia="Arial" w:hAnsi="Arial"/>
                <w:sz w:val="16"/>
                <w:szCs w:val="16"/>
                <w:b w:val="1"/>
                <w:bCs w:val="1"/>
                <w:color w:val="auto"/>
              </w:rPr>
              <w:t>June 30,</w:t>
            </w:r>
          </w:p>
        </w:tc>
        <w:tc>
          <w:tcPr>
            <w:tcW w:w="48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3"/>
          </w:tcPr>
          <w:p>
            <w:pPr>
              <w:jc w:val="center"/>
              <w:ind w:left="459"/>
              <w:spacing w:after="0"/>
              <w:rPr>
                <w:sz w:val="20"/>
                <w:szCs w:val="20"/>
                <w:color w:val="auto"/>
              </w:rPr>
            </w:pPr>
            <w:r>
              <w:rPr>
                <w:rFonts w:ascii="Arial" w:cs="Arial" w:eastAsia="Arial" w:hAnsi="Arial"/>
                <w:sz w:val="16"/>
                <w:szCs w:val="16"/>
                <w:b w:val="1"/>
                <w:bCs w:val="1"/>
                <w:color w:val="auto"/>
                <w:w w:val="90"/>
              </w:rPr>
              <w:t>June 30,</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000" w:type="dxa"/>
            <w:vAlign w:val="bottom"/>
            <w:vMerge w:val="restart"/>
          </w:tcPr>
          <w:p>
            <w:pPr>
              <w:spacing w:after="0"/>
              <w:rPr>
                <w:sz w:val="20"/>
                <w:szCs w:val="20"/>
                <w:color w:val="auto"/>
              </w:rPr>
            </w:pPr>
            <w:r>
              <w:rPr>
                <w:rFonts w:ascii="Arial" w:cs="Arial" w:eastAsia="Arial" w:hAnsi="Arial"/>
                <w:sz w:val="16"/>
                <w:szCs w:val="16"/>
                <w:color w:val="auto"/>
              </w:rPr>
              <w:t>Landfill amortization expense</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2018</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89"/>
              </w:rPr>
              <w:t>2017</w:t>
            </w:r>
          </w:p>
        </w:tc>
        <w:tc>
          <w:tcPr>
            <w:tcW w:w="0" w:type="dxa"/>
            <w:vAlign w:val="bottom"/>
          </w:tcPr>
          <w:p>
            <w:pPr>
              <w:spacing w:after="0"/>
              <w:rPr>
                <w:sz w:val="1"/>
                <w:szCs w:val="1"/>
                <w:color w:val="auto"/>
              </w:rPr>
            </w:pPr>
          </w:p>
        </w:tc>
      </w:tr>
      <w:tr>
        <w:trPr>
          <w:trHeight w:val="173"/>
        </w:trPr>
        <w:tc>
          <w:tcPr>
            <w:tcW w:w="50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60"/>
              <w:spacing w:after="0"/>
              <w:rPr>
                <w:sz w:val="20"/>
                <w:szCs w:val="20"/>
                <w:color w:val="auto"/>
              </w:rPr>
            </w:pPr>
            <w:r>
              <w:rPr>
                <w:rFonts w:ascii="Arial" w:cs="Arial" w:eastAsia="Arial" w:hAnsi="Arial"/>
                <w:sz w:val="16"/>
                <w:szCs w:val="16"/>
                <w:color w:val="auto"/>
              </w:rPr>
              <w:t>Cost basis of landfill assets</w:t>
            </w:r>
          </w:p>
        </w:tc>
        <w:tc>
          <w:tcPr>
            <w:tcW w:w="880" w:type="dxa"/>
            <w:vAlign w:val="bottom"/>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112.6</w:t>
            </w:r>
          </w:p>
        </w:tc>
        <w:tc>
          <w:tcPr>
            <w:tcW w:w="300" w:type="dxa"/>
            <w:vAlign w:val="bottom"/>
          </w:tcPr>
          <w:p>
            <w:pPr>
              <w:spacing w:after="0"/>
              <w:rPr>
                <w:sz w:val="17"/>
                <w:szCs w:val="17"/>
                <w:color w:val="auto"/>
              </w:rPr>
            </w:pPr>
          </w:p>
        </w:tc>
        <w:tc>
          <w:tcPr>
            <w:tcW w:w="880" w:type="dxa"/>
            <w:vAlign w:val="bottom"/>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104.4</w:t>
            </w:r>
          </w:p>
        </w:tc>
        <w:tc>
          <w:tcPr>
            <w:tcW w:w="280" w:type="dxa"/>
            <w:vAlign w:val="bottom"/>
          </w:tcPr>
          <w:p>
            <w:pPr>
              <w:spacing w:after="0"/>
              <w:rPr>
                <w:sz w:val="17"/>
                <w:szCs w:val="17"/>
                <w:color w:val="auto"/>
              </w:rPr>
            </w:pPr>
          </w:p>
        </w:tc>
        <w:tc>
          <w:tcPr>
            <w:tcW w:w="3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212.3</w:t>
            </w:r>
          </w:p>
        </w:tc>
        <w:tc>
          <w:tcPr>
            <w:tcW w:w="280" w:type="dxa"/>
            <w:vAlign w:val="bottom"/>
          </w:tcPr>
          <w:p>
            <w:pPr>
              <w:spacing w:after="0"/>
              <w:rPr>
                <w:sz w:val="17"/>
                <w:szCs w:val="17"/>
                <w:color w:val="auto"/>
              </w:rPr>
            </w:pPr>
          </w:p>
        </w:tc>
        <w:tc>
          <w:tcPr>
            <w:tcW w:w="52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193.9</w:t>
            </w:r>
          </w:p>
        </w:tc>
        <w:tc>
          <w:tcPr>
            <w:tcW w:w="0" w:type="dxa"/>
            <w:vAlign w:val="bottom"/>
          </w:tcPr>
          <w:p>
            <w:pPr>
              <w:spacing w:after="0"/>
              <w:rPr>
                <w:sz w:val="1"/>
                <w:szCs w:val="1"/>
                <w:color w:val="auto"/>
              </w:rPr>
            </w:pPr>
          </w:p>
        </w:tc>
      </w:tr>
      <w:tr>
        <w:trPr>
          <w:trHeight w:val="206"/>
        </w:trPr>
        <w:tc>
          <w:tcPr>
            <w:tcW w:w="5000" w:type="dxa"/>
            <w:vAlign w:val="bottom"/>
          </w:tcPr>
          <w:p>
            <w:pPr>
              <w:ind w:left="260"/>
              <w:spacing w:after="0"/>
              <w:rPr>
                <w:sz w:val="20"/>
                <w:szCs w:val="20"/>
                <w:color w:val="auto"/>
              </w:rPr>
            </w:pPr>
            <w:r>
              <w:rPr>
                <w:rFonts w:ascii="Arial" w:cs="Arial" w:eastAsia="Arial" w:hAnsi="Arial"/>
                <w:sz w:val="16"/>
                <w:szCs w:val="16"/>
                <w:color w:val="auto"/>
              </w:rPr>
              <w:t>Asset retirement costs</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w:t>
            </w:r>
          </w:p>
        </w:tc>
        <w:tc>
          <w:tcPr>
            <w:tcW w:w="3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56.6</w:t>
            </w:r>
          </w:p>
        </w:tc>
        <w:tc>
          <w:tcPr>
            <w:tcW w:w="0" w:type="dxa"/>
            <w:vAlign w:val="bottom"/>
          </w:tcPr>
          <w:p>
            <w:pPr>
              <w:spacing w:after="0"/>
              <w:rPr>
                <w:sz w:val="1"/>
                <w:szCs w:val="1"/>
                <w:color w:val="auto"/>
              </w:rPr>
            </w:pPr>
          </w:p>
        </w:tc>
      </w:tr>
      <w:tr>
        <w:trPr>
          <w:trHeight w:val="192"/>
        </w:trPr>
        <w:tc>
          <w:tcPr>
            <w:tcW w:w="5000" w:type="dxa"/>
            <w:vAlign w:val="bottom"/>
          </w:tcPr>
          <w:p>
            <w:pPr>
              <w:ind w:left="420"/>
              <w:spacing w:after="0"/>
              <w:rPr>
                <w:sz w:val="20"/>
                <w:szCs w:val="20"/>
                <w:color w:val="auto"/>
              </w:rPr>
            </w:pPr>
            <w:r>
              <w:rPr>
                <w:rFonts w:ascii="Arial" w:cs="Arial" w:eastAsia="Arial" w:hAnsi="Arial"/>
                <w:sz w:val="16"/>
                <w:szCs w:val="16"/>
                <w:color w:val="auto"/>
              </w:rPr>
              <w:t>Total landfill amortization expense</w:t>
            </w: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145.0</w:t>
            </w: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w w:val="99"/>
              </w:rPr>
              <w:t>137.2</w:t>
            </w: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264.2</w:t>
            </w:r>
          </w:p>
        </w:tc>
        <w:tc>
          <w:tcPr>
            <w:tcW w:w="2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250.5</w:t>
            </w:r>
          </w:p>
        </w:tc>
        <w:tc>
          <w:tcPr>
            <w:tcW w:w="0" w:type="dxa"/>
            <w:vAlign w:val="bottom"/>
          </w:tcPr>
          <w:p>
            <w:pPr>
              <w:spacing w:after="0"/>
              <w:rPr>
                <w:sz w:val="1"/>
                <w:szCs w:val="1"/>
                <w:color w:val="auto"/>
              </w:rPr>
            </w:pPr>
          </w:p>
        </w:tc>
      </w:tr>
      <w:tr>
        <w:trPr>
          <w:trHeight w:val="206"/>
        </w:trPr>
        <w:tc>
          <w:tcPr>
            <w:tcW w:w="5000" w:type="dxa"/>
            <w:vAlign w:val="bottom"/>
          </w:tcPr>
          <w:p>
            <w:pPr>
              <w:spacing w:after="0"/>
              <w:rPr>
                <w:sz w:val="20"/>
                <w:szCs w:val="20"/>
                <w:color w:val="auto"/>
              </w:rPr>
            </w:pPr>
            <w:r>
              <w:rPr>
                <w:rFonts w:ascii="Arial" w:cs="Arial" w:eastAsia="Arial" w:hAnsi="Arial"/>
                <w:sz w:val="16"/>
                <w:szCs w:val="16"/>
                <w:color w:val="auto"/>
              </w:rPr>
              <w:t>Accretion and other related expense</w:t>
            </w: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30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19.5</w:t>
            </w:r>
          </w:p>
        </w:tc>
        <w:tc>
          <w:tcPr>
            <w:tcW w:w="2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39.8</w:t>
            </w:r>
          </w:p>
        </w:tc>
        <w:tc>
          <w:tcPr>
            <w:tcW w:w="280" w:type="dxa"/>
            <w:vAlign w:val="bottom"/>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02"/>
        </w:trPr>
        <w:tc>
          <w:tcPr>
            <w:tcW w:w="5000" w:type="dxa"/>
            <w:vAlign w:val="bottom"/>
          </w:tcPr>
          <w:p>
            <w:pPr>
              <w:ind w:left="260"/>
              <w:spacing w:after="0"/>
              <w:rPr>
                <w:sz w:val="20"/>
                <w:szCs w:val="20"/>
                <w:color w:val="auto"/>
              </w:rPr>
            </w:pPr>
            <w:r>
              <w:rPr>
                <w:rFonts w:ascii="Arial" w:cs="Arial" w:eastAsia="Arial" w:hAnsi="Arial"/>
                <w:sz w:val="16"/>
                <w:szCs w:val="16"/>
                <w:color w:val="auto"/>
              </w:rPr>
              <w:t>Landfill amortization, accretion and other related expense</w:t>
            </w:r>
          </w:p>
        </w:tc>
        <w:tc>
          <w:tcPr>
            <w:tcW w:w="88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165.1</w:t>
            </w:r>
          </w:p>
        </w:tc>
        <w:tc>
          <w:tcPr>
            <w:tcW w:w="300" w:type="dxa"/>
            <w:vAlign w:val="bottom"/>
          </w:tcPr>
          <w:p>
            <w:pPr>
              <w:spacing w:after="0"/>
              <w:rPr>
                <w:sz w:val="17"/>
                <w:szCs w:val="17"/>
                <w:color w:val="auto"/>
              </w:rPr>
            </w:pPr>
          </w:p>
        </w:tc>
        <w:tc>
          <w:tcPr>
            <w:tcW w:w="88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9"/>
              </w:rPr>
              <w:t>156.7</w:t>
            </w:r>
          </w:p>
        </w:tc>
        <w:tc>
          <w:tcPr>
            <w:tcW w:w="280" w:type="dxa"/>
            <w:vAlign w:val="bottom"/>
          </w:tcPr>
          <w:p>
            <w:pPr>
              <w:spacing w:after="0"/>
              <w:rPr>
                <w:sz w:val="17"/>
                <w:szCs w:val="17"/>
                <w:color w:val="auto"/>
              </w:rPr>
            </w:pPr>
          </w:p>
        </w:tc>
        <w:tc>
          <w:tcPr>
            <w:tcW w:w="3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304.0</w:t>
            </w:r>
          </w:p>
        </w:tc>
        <w:tc>
          <w:tcPr>
            <w:tcW w:w="280" w:type="dxa"/>
            <w:vAlign w:val="bottom"/>
          </w:tcPr>
          <w:p>
            <w:pPr>
              <w:spacing w:after="0"/>
              <w:rPr>
                <w:sz w:val="17"/>
                <w:szCs w:val="17"/>
                <w:color w:val="auto"/>
              </w:rPr>
            </w:pPr>
          </w:p>
        </w:tc>
        <w:tc>
          <w:tcPr>
            <w:tcW w:w="5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289.3</w:t>
            </w:r>
          </w:p>
        </w:tc>
        <w:tc>
          <w:tcPr>
            <w:tcW w:w="0" w:type="dxa"/>
            <w:vAlign w:val="bottom"/>
          </w:tcPr>
          <w:p>
            <w:pPr>
              <w:spacing w:after="0"/>
              <w:rPr>
                <w:sz w:val="1"/>
                <w:szCs w:val="1"/>
                <w:color w:val="auto"/>
              </w:rPr>
            </w:pPr>
          </w:p>
        </w:tc>
      </w:tr>
      <w:tr>
        <w:trPr>
          <w:trHeight w:val="20"/>
        </w:trPr>
        <w:tc>
          <w:tcPr>
            <w:tcW w:w="50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40" w:hanging="332"/>
        <w:spacing w:after="0" w:line="278" w:lineRule="auto"/>
        <w:tabs>
          <w:tab w:leader="none" w:pos="326"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The summary of free cash flow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8" w:lineRule="exact"/>
        <w:rPr>
          <w:rFonts w:ascii="Arial" w:cs="Arial" w:eastAsia="Arial" w:hAnsi="Arial"/>
          <w:sz w:val="16"/>
          <w:szCs w:val="16"/>
          <w:b w:val="1"/>
          <w:bCs w:val="1"/>
          <w:color w:val="auto"/>
        </w:rPr>
      </w:pPr>
    </w:p>
    <w:p>
      <w:pPr>
        <w:ind w:left="320" w:hanging="312"/>
        <w:spacing w:after="0"/>
        <w:tabs>
          <w:tab w:leader="none" w:pos="3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Prior year information has been revised to reflect the adoption of ASU 2016-18 and conform to our current year presentation.</w:t>
      </w:r>
    </w:p>
    <w:p>
      <w:pPr>
        <w:spacing w:after="0" w:line="59" w:lineRule="exact"/>
        <w:rPr>
          <w:rFonts w:ascii="Arial" w:cs="Arial" w:eastAsia="Arial" w:hAnsi="Arial"/>
          <w:sz w:val="16"/>
          <w:szCs w:val="16"/>
          <w:b w:val="1"/>
          <w:bCs w:val="1"/>
          <w:color w:val="auto"/>
        </w:rPr>
      </w:pPr>
    </w:p>
    <w:p>
      <w:pPr>
        <w:ind w:left="320" w:hanging="312"/>
        <w:spacing w:after="0"/>
        <w:tabs>
          <w:tab w:leader="none" w:pos="32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Represents amounts associated with business acquisitions consummated during the applicable period except where noted.</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Waste Management, Inc.</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Certain Non-GAAP Measures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Millions, Except Per Share Amounts)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4480"/>
        <w:spacing w:after="0"/>
        <w:rPr>
          <w:sz w:val="20"/>
          <w:szCs w:val="20"/>
          <w:color w:val="auto"/>
        </w:rPr>
      </w:pPr>
      <w:r>
        <w:rPr>
          <w:rFonts w:ascii="Arial" w:cs="Arial" w:eastAsia="Arial" w:hAnsi="Arial"/>
          <w:sz w:val="16"/>
          <w:szCs w:val="16"/>
          <w:b w:val="1"/>
          <w:bCs w:val="1"/>
          <w:color w:val="auto"/>
        </w:rPr>
        <w:t>Three Months Ended</w:t>
      </w:r>
    </w:p>
    <w:p>
      <w:pPr>
        <w:spacing w:after="0" w:line="26" w:lineRule="exact"/>
        <w:rPr>
          <w:sz w:val="20"/>
          <w:szCs w:val="20"/>
          <w:color w:val="auto"/>
        </w:rPr>
      </w:pPr>
    </w:p>
    <w:p>
      <w:pPr>
        <w:jc w:val="center"/>
        <w:ind w:left="4480"/>
        <w:spacing w:after="0"/>
        <w:rPr>
          <w:sz w:val="20"/>
          <w:szCs w:val="20"/>
          <w:color w:val="auto"/>
        </w:rPr>
      </w:pPr>
      <w:r>
        <w:rPr>
          <w:rFonts w:ascii="Arial" w:cs="Arial" w:eastAsia="Arial" w:hAnsi="Arial"/>
          <w:sz w:val="16"/>
          <w:szCs w:val="16"/>
          <w:b w:val="1"/>
          <w:bCs w:val="1"/>
          <w:color w:val="auto"/>
        </w:rPr>
        <w:t>June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15875</wp:posOffset>
            </wp:positionV>
            <wp:extent cx="42710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20" w:lineRule="exact"/>
        <w:rPr>
          <w:sz w:val="20"/>
          <w:szCs w:val="20"/>
          <w:color w:val="auto"/>
        </w:rPr>
      </w:pPr>
    </w:p>
    <w:tbl>
      <w:tblPr>
        <w:tblLayout w:type="fixed"/>
        <w:tblInd w:w="140" w:type="dxa"/>
        <w:tblCellMar>
          <w:top w:w="0" w:type="dxa"/>
          <w:left w:w="0" w:type="dxa"/>
          <w:bottom w:w="0" w:type="dxa"/>
          <w:right w:w="0" w:type="dxa"/>
        </w:tblCellMar>
      </w:tblPr>
      <w:tr>
        <w:trPr>
          <w:trHeight w:val="203"/>
        </w:trPr>
        <w:tc>
          <w:tcPr>
            <w:tcW w:w="4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1"/>
              </w:rPr>
              <w:t>Income from</w:t>
            </w:r>
          </w:p>
        </w:tc>
        <w:tc>
          <w:tcPr>
            <w:tcW w:w="220" w:type="dxa"/>
            <w:vAlign w:val="bottom"/>
          </w:tcPr>
          <w:p>
            <w:pPr>
              <w:spacing w:after="0"/>
              <w:rPr>
                <w:sz w:val="17"/>
                <w:szCs w:val="17"/>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Pre-tax</w:t>
            </w:r>
          </w:p>
        </w:tc>
        <w:tc>
          <w:tcPr>
            <w:tcW w:w="200" w:type="dxa"/>
            <w:vAlign w:val="bottom"/>
          </w:tcPr>
          <w:p>
            <w:pPr>
              <w:spacing w:after="0"/>
              <w:rPr>
                <w:sz w:val="17"/>
                <w:szCs w:val="17"/>
                <w:color w:val="auto"/>
              </w:rPr>
            </w:pPr>
          </w:p>
        </w:tc>
        <w:tc>
          <w:tcPr>
            <w:tcW w:w="1320" w:type="dxa"/>
            <w:vAlign w:val="bottom"/>
            <w:gridSpan w:val="2"/>
          </w:tcPr>
          <w:p>
            <w:pPr>
              <w:jc w:val="center"/>
              <w:ind w:right="600"/>
              <w:spacing w:after="0"/>
              <w:rPr>
                <w:sz w:val="20"/>
                <w:szCs w:val="20"/>
                <w:color w:val="auto"/>
              </w:rPr>
            </w:pPr>
            <w:r>
              <w:rPr>
                <w:rFonts w:ascii="Arial" w:cs="Arial" w:eastAsia="Arial" w:hAnsi="Arial"/>
                <w:sz w:val="16"/>
                <w:szCs w:val="16"/>
                <w:b w:val="1"/>
                <w:bCs w:val="1"/>
                <w:color w:val="auto"/>
                <w:w w:val="86"/>
              </w:rPr>
              <w:t>Tax</w:t>
            </w:r>
          </w:p>
        </w:tc>
        <w:tc>
          <w:tcPr>
            <w:tcW w:w="220" w:type="dxa"/>
            <w:vAlign w:val="bottom"/>
          </w:tcPr>
          <w:p>
            <w:pPr>
              <w:spacing w:after="0"/>
              <w:rPr>
                <w:sz w:val="17"/>
                <w:szCs w:val="17"/>
                <w:color w:val="auto"/>
              </w:rPr>
            </w:pPr>
          </w:p>
        </w:tc>
        <w:tc>
          <w:tcPr>
            <w:tcW w:w="10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Net</w:t>
            </w:r>
          </w:p>
        </w:tc>
        <w:tc>
          <w:tcPr>
            <w:tcW w:w="180" w:type="dxa"/>
            <w:vAlign w:val="bottom"/>
          </w:tcPr>
          <w:p>
            <w:pPr>
              <w:spacing w:after="0"/>
              <w:rPr>
                <w:sz w:val="17"/>
                <w:szCs w:val="17"/>
                <w:color w:val="auto"/>
              </w:rPr>
            </w:pPr>
          </w:p>
        </w:tc>
        <w:tc>
          <w:tcPr>
            <w:tcW w:w="960" w:type="dxa"/>
            <w:vAlign w:val="bottom"/>
          </w:tcPr>
          <w:p>
            <w:pPr>
              <w:jc w:val="right"/>
              <w:ind w:right="159"/>
              <w:spacing w:after="0"/>
              <w:rPr>
                <w:sz w:val="20"/>
                <w:szCs w:val="20"/>
                <w:color w:val="auto"/>
              </w:rPr>
            </w:pPr>
            <w:r>
              <w:rPr>
                <w:rFonts w:ascii="Arial" w:cs="Arial" w:eastAsia="Arial" w:hAnsi="Arial"/>
                <w:sz w:val="16"/>
                <w:szCs w:val="16"/>
                <w:b w:val="1"/>
                <w:bCs w:val="1"/>
                <w:color w:val="auto"/>
                <w:w w:val="93"/>
              </w:rPr>
              <w:t>Per Share</w:t>
            </w:r>
          </w:p>
        </w:tc>
      </w:tr>
      <w:tr>
        <w:trPr>
          <w:trHeight w:val="210"/>
        </w:trPr>
        <w:tc>
          <w:tcPr>
            <w:tcW w:w="4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9"/>
              </w:rPr>
              <w:t>Operations</w:t>
            </w:r>
          </w:p>
        </w:tc>
        <w:tc>
          <w:tcPr>
            <w:tcW w:w="22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6"/>
                <w:szCs w:val="16"/>
                <w:b w:val="1"/>
                <w:bCs w:val="1"/>
                <w:color w:val="auto"/>
              </w:rPr>
              <w:t>Income</w:t>
            </w:r>
          </w:p>
        </w:tc>
        <w:tc>
          <w:tcPr>
            <w:tcW w:w="200" w:type="dxa"/>
            <w:vAlign w:val="bottom"/>
          </w:tcPr>
          <w:p>
            <w:pPr>
              <w:spacing w:after="0"/>
              <w:rPr>
                <w:sz w:val="18"/>
                <w:szCs w:val="18"/>
                <w:color w:val="auto"/>
              </w:rPr>
            </w:pPr>
          </w:p>
        </w:tc>
        <w:tc>
          <w:tcPr>
            <w:tcW w:w="1320" w:type="dxa"/>
            <w:vAlign w:val="bottom"/>
            <w:gridSpan w:val="2"/>
          </w:tcPr>
          <w:p>
            <w:pPr>
              <w:jc w:val="center"/>
              <w:ind w:right="580"/>
              <w:spacing w:after="0"/>
              <w:rPr>
                <w:sz w:val="20"/>
                <w:szCs w:val="20"/>
                <w:color w:val="auto"/>
              </w:rPr>
            </w:pPr>
            <w:r>
              <w:rPr>
                <w:rFonts w:ascii="Arial" w:cs="Arial" w:eastAsia="Arial" w:hAnsi="Arial"/>
                <w:sz w:val="16"/>
                <w:szCs w:val="16"/>
                <w:b w:val="1"/>
                <w:bCs w:val="1"/>
                <w:color w:val="auto"/>
                <w:w w:val="88"/>
              </w:rPr>
              <w:t>Expense</w:t>
            </w:r>
          </w:p>
        </w:tc>
        <w:tc>
          <w:tcPr>
            <w:tcW w:w="22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9"/>
              </w:rPr>
              <w:t>Income</w:t>
            </w:r>
          </w:p>
        </w:tc>
        <w:tc>
          <w:tcPr>
            <w:tcW w:w="180" w:type="dxa"/>
            <w:vAlign w:val="bottom"/>
          </w:tcPr>
          <w:p>
            <w:pPr>
              <w:spacing w:after="0"/>
              <w:rPr>
                <w:sz w:val="18"/>
                <w:szCs w:val="18"/>
                <w:color w:val="auto"/>
              </w:rPr>
            </w:pPr>
          </w:p>
        </w:tc>
        <w:tc>
          <w:tcPr>
            <w:tcW w:w="960" w:type="dxa"/>
            <w:vAlign w:val="bottom"/>
          </w:tcPr>
          <w:p>
            <w:pPr>
              <w:jc w:val="right"/>
              <w:ind w:right="219"/>
              <w:spacing w:after="0"/>
              <w:rPr>
                <w:sz w:val="20"/>
                <w:szCs w:val="20"/>
                <w:color w:val="auto"/>
              </w:rPr>
            </w:pPr>
            <w:r>
              <w:rPr>
                <w:rFonts w:ascii="Arial" w:cs="Arial" w:eastAsia="Arial" w:hAnsi="Arial"/>
                <w:sz w:val="16"/>
                <w:szCs w:val="16"/>
                <w:b w:val="1"/>
                <w:bCs w:val="1"/>
                <w:color w:val="auto"/>
              </w:rPr>
              <w:t>Amount</w:t>
            </w:r>
          </w:p>
        </w:tc>
      </w:tr>
      <w:tr>
        <w:trPr>
          <w:trHeight w:val="210"/>
        </w:trPr>
        <w:tc>
          <w:tcPr>
            <w:tcW w:w="4440" w:type="dxa"/>
            <w:vAlign w:val="bottom"/>
          </w:tcPr>
          <w:p>
            <w:pPr>
              <w:spacing w:after="0"/>
              <w:rPr>
                <w:sz w:val="20"/>
                <w:szCs w:val="20"/>
                <w:color w:val="auto"/>
              </w:rPr>
            </w:pPr>
            <w:r>
              <w:rPr>
                <w:rFonts w:ascii="Arial" w:cs="Arial" w:eastAsia="Arial" w:hAnsi="Arial"/>
                <w:sz w:val="16"/>
                <w:szCs w:val="16"/>
                <w:b w:val="1"/>
                <w:bCs w:val="1"/>
                <w:color w:val="auto"/>
              </w:rPr>
              <w:t>As reported amounts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715</w:t>
            </w: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w:t>
            </w:r>
          </w:p>
        </w:tc>
        <w:tc>
          <w:tcPr>
            <w:tcW w:w="9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609</w:t>
            </w:r>
          </w:p>
        </w:tc>
        <w:tc>
          <w:tcPr>
            <w:tcW w:w="160" w:type="dxa"/>
            <w:vAlign w:val="bottom"/>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110</w:t>
            </w:r>
          </w:p>
        </w:tc>
        <w:tc>
          <w:tcPr>
            <w:tcW w:w="40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499</w:t>
            </w:r>
          </w:p>
        </w:tc>
        <w:tc>
          <w:tcPr>
            <w:tcW w:w="16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9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1.15</w:t>
            </w:r>
          </w:p>
        </w:tc>
      </w:tr>
      <w:tr>
        <w:trPr>
          <w:trHeight w:val="229"/>
        </w:trPr>
        <w:tc>
          <w:tcPr>
            <w:tcW w:w="4440" w:type="dxa"/>
            <w:vAlign w:val="bottom"/>
          </w:tcPr>
          <w:p>
            <w:pPr>
              <w:spacing w:after="0"/>
              <w:rPr>
                <w:sz w:val="20"/>
                <w:szCs w:val="20"/>
                <w:color w:val="auto"/>
              </w:rPr>
            </w:pPr>
            <w:r>
              <w:rPr>
                <w:rFonts w:ascii="Arial" w:cs="Arial" w:eastAsia="Arial" w:hAnsi="Arial"/>
                <w:sz w:val="16"/>
                <w:szCs w:val="16"/>
                <w:b w:val="1"/>
                <w:bCs w:val="1"/>
                <w:color w:val="auto"/>
              </w:rPr>
              <w:t>Adjustments:</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6"/>
        </w:trPr>
        <w:tc>
          <w:tcPr>
            <w:tcW w:w="4440" w:type="dxa"/>
            <w:vAlign w:val="bottom"/>
          </w:tcPr>
          <w:p>
            <w:pPr>
              <w:ind w:left="200"/>
              <w:spacing w:after="0"/>
              <w:rPr>
                <w:sz w:val="20"/>
                <w:szCs w:val="20"/>
                <w:color w:val="auto"/>
              </w:rPr>
            </w:pPr>
            <w:r>
              <w:rPr>
                <w:rFonts w:ascii="Arial" w:cs="Arial" w:eastAsia="Arial" w:hAnsi="Arial"/>
                <w:sz w:val="16"/>
                <w:szCs w:val="16"/>
                <w:color w:val="auto"/>
              </w:rPr>
              <w:t>Benefit primarily related to the gain on divestiture of an</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06"/>
        </w:trPr>
        <w:tc>
          <w:tcPr>
            <w:tcW w:w="4440" w:type="dxa"/>
            <w:vAlign w:val="bottom"/>
          </w:tcPr>
          <w:p>
            <w:pPr>
              <w:ind w:left="200"/>
              <w:spacing w:after="0"/>
              <w:rPr>
                <w:sz w:val="20"/>
                <w:szCs w:val="20"/>
                <w:color w:val="auto"/>
              </w:rPr>
            </w:pPr>
            <w:r>
              <w:rPr>
                <w:rFonts w:ascii="Arial" w:cs="Arial" w:eastAsia="Arial" w:hAnsi="Arial"/>
                <w:sz w:val="16"/>
                <w:szCs w:val="16"/>
                <w:color w:val="auto"/>
              </w:rPr>
              <w:t>ancillary business</w:t>
            </w:r>
          </w:p>
        </w:tc>
        <w:tc>
          <w:tcPr>
            <w:tcW w:w="16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(38)</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w:t>
            </w:r>
          </w:p>
        </w:tc>
        <w:tc>
          <w:tcPr>
            <w:tcW w:w="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(0.07)</w:t>
            </w:r>
          </w:p>
        </w:tc>
      </w:tr>
      <w:tr>
        <w:trPr>
          <w:trHeight w:val="230"/>
        </w:trPr>
        <w:tc>
          <w:tcPr>
            <w:tcW w:w="4440" w:type="dxa"/>
            <w:vAlign w:val="bottom"/>
          </w:tcPr>
          <w:p>
            <w:pPr>
              <w:ind w:left="200"/>
              <w:spacing w:after="0"/>
              <w:rPr>
                <w:sz w:val="20"/>
                <w:szCs w:val="20"/>
                <w:color w:val="auto"/>
              </w:rPr>
            </w:pPr>
            <w:r>
              <w:rPr>
                <w:rFonts w:ascii="Arial" w:cs="Arial" w:eastAsia="Arial" w:hAnsi="Arial"/>
                <w:sz w:val="16"/>
                <w:szCs w:val="16"/>
                <w:color w:val="auto"/>
              </w:rPr>
              <w:t>Tax benefit related to income tax audit settlements</w:t>
            </w:r>
          </w:p>
        </w:tc>
        <w:tc>
          <w:tcPr>
            <w:tcW w:w="16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(33)</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(0.07)</w:t>
            </w:r>
          </w:p>
        </w:tc>
      </w:tr>
    </w:tbl>
    <w:p>
      <w:pPr>
        <w:spacing w:after="0" w:line="20" w:lineRule="exact"/>
        <w:rPr>
          <w:sz w:val="20"/>
          <w:szCs w:val="20"/>
          <w:color w:val="auto"/>
        </w:rPr>
      </w:pPr>
    </w:p>
    <w:tbl>
      <w:tblPr>
        <w:tblLayout w:type="fixed"/>
        <w:tblInd w:w="140" w:type="dxa"/>
        <w:tblCellMar>
          <w:top w:w="0" w:type="dxa"/>
          <w:left w:w="0" w:type="dxa"/>
          <w:bottom w:w="0" w:type="dxa"/>
          <w:right w:w="0" w:type="dxa"/>
        </w:tblCellMar>
      </w:tblPr>
      <w:tr>
        <w:trPr>
          <w:trHeight w:val="20"/>
        </w:trPr>
        <w:tc>
          <w:tcPr>
            <w:tcW w:w="44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440" w:type="dxa"/>
            <w:vAlign w:val="bottom"/>
          </w:tcPr>
          <w:p>
            <w:pPr>
              <w:spacing w:after="0"/>
              <w:rPr>
                <w:sz w:val="20"/>
                <w:szCs w:val="20"/>
                <w:color w:val="auto"/>
              </w:rPr>
            </w:pPr>
            <w:r>
              <w:rPr>
                <w:rFonts w:ascii="Arial" w:cs="Arial" w:eastAsia="Arial" w:hAnsi="Arial"/>
                <w:sz w:val="16"/>
                <w:szCs w:val="16"/>
                <w:b w:val="1"/>
                <w:bCs w:val="1"/>
                <w:color w:val="auto"/>
              </w:rPr>
              <w:t>As adjusted amounts</w:t>
            </w:r>
          </w:p>
        </w:tc>
        <w:tc>
          <w:tcPr>
            <w:tcW w:w="48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800" w:type="dxa"/>
            <w:vAlign w:val="bottom"/>
          </w:tcPr>
          <w:p>
            <w:pPr>
              <w:jc w:val="right"/>
              <w:ind w:right="19"/>
              <w:spacing w:after="0"/>
              <w:rPr>
                <w:sz w:val="20"/>
                <w:szCs w:val="20"/>
                <w:color w:val="auto"/>
              </w:rPr>
            </w:pPr>
            <w:r>
              <w:rPr>
                <w:rFonts w:ascii="Arial" w:cs="Arial" w:eastAsia="Arial" w:hAnsi="Arial"/>
                <w:sz w:val="16"/>
                <w:szCs w:val="16"/>
                <w:b w:val="1"/>
                <w:bCs w:val="1"/>
                <w:color w:val="auto"/>
              </w:rPr>
              <w:t>677</w:t>
            </w:r>
          </w:p>
        </w:tc>
        <w:tc>
          <w:tcPr>
            <w:tcW w:w="180" w:type="dxa"/>
            <w:vAlign w:val="bottom"/>
          </w:tcPr>
          <w:p>
            <w:pPr>
              <w:spacing w:after="0"/>
              <w:rPr>
                <w:sz w:val="18"/>
                <w:szCs w:val="18"/>
                <w:color w:val="auto"/>
              </w:rPr>
            </w:pPr>
          </w:p>
        </w:tc>
        <w:tc>
          <w:tcPr>
            <w:tcW w:w="480" w:type="dxa"/>
            <w:vAlign w:val="bottom"/>
          </w:tcPr>
          <w:p>
            <w:pPr>
              <w:jc w:val="right"/>
              <w:ind w:right="279"/>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571</w:t>
            </w:r>
          </w:p>
        </w:tc>
        <w:tc>
          <w:tcPr>
            <w:tcW w:w="160" w:type="dxa"/>
            <w:vAlign w:val="bottom"/>
          </w:tcPr>
          <w:p>
            <w:pPr>
              <w:spacing w:after="0"/>
              <w:rPr>
                <w:sz w:val="18"/>
                <w:szCs w:val="18"/>
                <w:color w:val="auto"/>
              </w:rPr>
            </w:pPr>
          </w:p>
        </w:tc>
        <w:tc>
          <w:tcPr>
            <w:tcW w:w="460" w:type="dxa"/>
            <w:vAlign w:val="bottom"/>
          </w:tcPr>
          <w:p>
            <w:pPr>
              <w:jc w:val="right"/>
              <w:ind w:right="259"/>
              <w:spacing w:after="0"/>
              <w:rPr>
                <w:sz w:val="20"/>
                <w:szCs w:val="20"/>
                <w:color w:val="auto"/>
              </w:rPr>
            </w:pPr>
            <w:r>
              <w:rPr>
                <w:rFonts w:ascii="Arial" w:cs="Arial" w:eastAsia="Arial" w:hAnsi="Arial"/>
                <w:sz w:val="16"/>
                <w:szCs w:val="16"/>
                <w:b w:val="1"/>
                <w:bCs w:val="1"/>
                <w:color w:val="auto"/>
              </w:rPr>
              <w:t>$</w:t>
            </w:r>
          </w:p>
        </w:tc>
        <w:tc>
          <w:tcPr>
            <w:tcW w:w="1520" w:type="dxa"/>
            <w:vAlign w:val="bottom"/>
            <w:gridSpan w:val="3"/>
          </w:tcPr>
          <w:p>
            <w:pPr>
              <w:ind w:left="340"/>
              <w:spacing w:after="0"/>
              <w:rPr>
                <w:sz w:val="20"/>
                <w:szCs w:val="20"/>
                <w:color w:val="auto"/>
              </w:rPr>
            </w:pPr>
            <w:r>
              <w:rPr>
                <w:rFonts w:ascii="Arial" w:cs="Arial" w:eastAsia="Arial" w:hAnsi="Arial"/>
                <w:sz w:val="16"/>
                <w:szCs w:val="16"/>
                <w:b w:val="1"/>
                <w:bCs w:val="1"/>
                <w:color w:val="auto"/>
              </w:rPr>
              <w:t>133  (a)  $</w:t>
            </w:r>
          </w:p>
        </w:tc>
        <w:tc>
          <w:tcPr>
            <w:tcW w:w="680" w:type="dxa"/>
            <w:vAlign w:val="bottom"/>
          </w:tcPr>
          <w:p>
            <w:pPr>
              <w:jc w:val="right"/>
              <w:ind w:right="19"/>
              <w:spacing w:after="0"/>
              <w:rPr>
                <w:sz w:val="20"/>
                <w:szCs w:val="20"/>
                <w:color w:val="auto"/>
              </w:rPr>
            </w:pPr>
            <w:r>
              <w:rPr>
                <w:rFonts w:ascii="Arial" w:cs="Arial" w:eastAsia="Arial" w:hAnsi="Arial"/>
                <w:sz w:val="16"/>
                <w:szCs w:val="16"/>
                <w:b w:val="1"/>
                <w:bCs w:val="1"/>
                <w:color w:val="auto"/>
              </w:rPr>
              <w:t>438</w:t>
            </w:r>
          </w:p>
        </w:tc>
        <w:tc>
          <w:tcPr>
            <w:tcW w:w="160" w:type="dxa"/>
            <w:vAlign w:val="bottom"/>
          </w:tcPr>
          <w:p>
            <w:pPr>
              <w:spacing w:after="0"/>
              <w:rPr>
                <w:sz w:val="18"/>
                <w:szCs w:val="18"/>
                <w:color w:val="auto"/>
              </w:rPr>
            </w:pPr>
          </w:p>
        </w:tc>
        <w:tc>
          <w:tcPr>
            <w:tcW w:w="44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700" w:type="dxa"/>
            <w:vAlign w:val="bottom"/>
          </w:tcPr>
          <w:p>
            <w:pPr>
              <w:jc w:val="right"/>
              <w:ind w:right="19"/>
              <w:spacing w:after="0"/>
              <w:rPr>
                <w:sz w:val="20"/>
                <w:szCs w:val="20"/>
                <w:color w:val="auto"/>
              </w:rPr>
            </w:pPr>
            <w:r>
              <w:rPr>
                <w:rFonts w:ascii="Arial" w:cs="Arial" w:eastAsia="Arial" w:hAnsi="Arial"/>
                <w:sz w:val="16"/>
                <w:szCs w:val="16"/>
                <w:b w:val="1"/>
                <w:bCs w:val="1"/>
                <w:color w:val="auto"/>
              </w:rPr>
              <w:t>1.01</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0"/>
              <w:spacing w:after="0"/>
              <w:rPr>
                <w:sz w:val="20"/>
                <w:szCs w:val="20"/>
                <w:color w:val="auto"/>
              </w:rPr>
            </w:pPr>
            <w:r>
              <w:rPr>
                <w:rFonts w:ascii="Arial" w:cs="Arial" w:eastAsia="Arial" w:hAnsi="Arial"/>
                <w:sz w:val="16"/>
                <w:szCs w:val="16"/>
                <w:color w:val="auto"/>
              </w:rPr>
              <w:t>Depreciation and amortization</w:t>
            </w:r>
          </w:p>
        </w:tc>
        <w:tc>
          <w:tcPr>
            <w:tcW w:w="480" w:type="dxa"/>
            <w:vAlign w:val="bottom"/>
          </w:tcPr>
          <w:p>
            <w:pPr>
              <w:spacing w:after="0" w:line="20" w:lineRule="exact"/>
              <w:rPr>
                <w:sz w:val="1"/>
                <w:szCs w:val="1"/>
                <w:color w:val="auto"/>
              </w:rPr>
            </w:pPr>
          </w:p>
        </w:tc>
        <w:tc>
          <w:tcPr>
            <w:tcW w:w="800" w:type="dxa"/>
            <w:vAlign w:val="bottom"/>
            <w:vMerge w:val="restart"/>
          </w:tcPr>
          <w:p>
            <w:pPr>
              <w:jc w:val="right"/>
              <w:ind w:right="19"/>
              <w:spacing w:after="0"/>
              <w:rPr>
                <w:sz w:val="20"/>
                <w:szCs w:val="20"/>
                <w:color w:val="auto"/>
              </w:rPr>
            </w:pPr>
            <w:r>
              <w:rPr>
                <w:rFonts w:ascii="Arial" w:cs="Arial" w:eastAsia="Arial" w:hAnsi="Arial"/>
                <w:sz w:val="16"/>
                <w:szCs w:val="16"/>
                <w:color w:val="auto"/>
              </w:rPr>
              <w:t>384</w:t>
            </w:r>
          </w:p>
        </w:tc>
        <w:tc>
          <w:tcPr>
            <w:tcW w:w="1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40" w:type="dxa"/>
            <w:vAlign w:val="bottom"/>
            <w:vMerge w:val="continue"/>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7"/>
        </w:trPr>
        <w:tc>
          <w:tcPr>
            <w:tcW w:w="4440" w:type="dxa"/>
            <w:vAlign w:val="bottom"/>
          </w:tcPr>
          <w:p>
            <w:pPr>
              <w:spacing w:after="0"/>
              <w:rPr>
                <w:sz w:val="20"/>
                <w:szCs w:val="20"/>
                <w:color w:val="auto"/>
              </w:rPr>
            </w:pPr>
            <w:r>
              <w:rPr>
                <w:rFonts w:ascii="Arial" w:cs="Arial" w:eastAsia="Arial" w:hAnsi="Arial"/>
                <w:sz w:val="16"/>
                <w:szCs w:val="16"/>
                <w:b w:val="1"/>
                <w:bCs w:val="1"/>
                <w:color w:val="auto"/>
              </w:rPr>
              <w:t>Adjusted operating EBITDA</w:t>
            </w:r>
          </w:p>
        </w:tc>
        <w:tc>
          <w:tcPr>
            <w:tcW w:w="4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w:t>
            </w:r>
          </w:p>
        </w:tc>
        <w:tc>
          <w:tcPr>
            <w:tcW w:w="8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1,061</w:t>
            </w:r>
          </w:p>
        </w:tc>
        <w:tc>
          <w:tcPr>
            <w:tcW w:w="1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115" w:right="239" w:bottom="0" w:gutter="0" w:footer="0" w:header="0"/>
          <w:type w:val="continuous"/>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580" w:type="dxa"/>
            <w:vAlign w:val="bottom"/>
          </w:tcPr>
          <w:p>
            <w:pPr>
              <w:spacing w:after="0"/>
              <w:rPr>
                <w:sz w:val="20"/>
                <w:szCs w:val="20"/>
                <w:color w:val="auto"/>
              </w:rPr>
            </w:pPr>
            <w:r>
              <w:rPr>
                <w:rFonts w:ascii="Arial" w:cs="Arial" w:eastAsia="Arial" w:hAnsi="Arial"/>
                <w:sz w:val="16"/>
                <w:szCs w:val="16"/>
                <w:b w:val="1"/>
                <w:bCs w:val="1"/>
                <w:color w:val="auto"/>
              </w:rPr>
              <w:t>2018 Projected Free Cash Flow Reconciliation (b)</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45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ind w:left="80"/>
              <w:spacing w:after="0"/>
              <w:rPr>
                <w:sz w:val="20"/>
                <w:szCs w:val="20"/>
                <w:color w:val="auto"/>
              </w:rPr>
            </w:pPr>
            <w:r>
              <w:rPr>
                <w:rFonts w:ascii="Arial" w:cs="Arial" w:eastAsia="Arial" w:hAnsi="Arial"/>
                <w:sz w:val="16"/>
                <w:szCs w:val="16"/>
                <w:b w:val="1"/>
                <w:bCs w:val="1"/>
                <w:color w:val="auto"/>
              </w:rPr>
              <w:t>Scenario 1</w:t>
            </w:r>
          </w:p>
        </w:tc>
        <w:tc>
          <w:tcPr>
            <w:tcW w:w="160" w:type="dxa"/>
            <w:vAlign w:val="bottom"/>
          </w:tcPr>
          <w:p>
            <w:pPr>
              <w:spacing w:after="0"/>
              <w:rPr>
                <w:sz w:val="22"/>
                <w:szCs w:val="22"/>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b w:val="1"/>
                <w:bCs w:val="1"/>
                <w:color w:val="auto"/>
                <w:w w:val="93"/>
              </w:rPr>
              <w:t>Scenario 2</w:t>
            </w:r>
          </w:p>
        </w:tc>
        <w:tc>
          <w:tcPr>
            <w:tcW w:w="0" w:type="dxa"/>
            <w:vAlign w:val="bottom"/>
          </w:tcPr>
          <w:p>
            <w:pPr>
              <w:spacing w:after="0"/>
              <w:rPr>
                <w:sz w:val="1"/>
                <w:szCs w:val="1"/>
                <w:color w:val="auto"/>
              </w:rPr>
            </w:pPr>
          </w:p>
        </w:tc>
      </w:tr>
      <w:tr>
        <w:trPr>
          <w:trHeight w:val="251"/>
        </w:trPr>
        <w:tc>
          <w:tcPr>
            <w:tcW w:w="4580" w:type="dxa"/>
            <w:vAlign w:val="bottom"/>
          </w:tcPr>
          <w:p>
            <w:pPr>
              <w:ind w:left="26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3,500</w:t>
            </w:r>
          </w:p>
        </w:tc>
        <w:tc>
          <w:tcPr>
            <w:tcW w:w="18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3,600</w:t>
            </w:r>
          </w:p>
        </w:tc>
        <w:tc>
          <w:tcPr>
            <w:tcW w:w="0" w:type="dxa"/>
            <w:vAlign w:val="bottom"/>
          </w:tcPr>
          <w:p>
            <w:pPr>
              <w:spacing w:after="0"/>
              <w:rPr>
                <w:sz w:val="1"/>
                <w:szCs w:val="1"/>
                <w:color w:val="auto"/>
              </w:rPr>
            </w:pPr>
          </w:p>
        </w:tc>
      </w:tr>
      <w:tr>
        <w:trPr>
          <w:trHeight w:val="230"/>
        </w:trPr>
        <w:tc>
          <w:tcPr>
            <w:tcW w:w="4580" w:type="dxa"/>
            <w:vAlign w:val="bottom"/>
          </w:tcPr>
          <w:p>
            <w:pPr>
              <w:ind w:left="26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(1,650)</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(1,700)</w:t>
            </w:r>
          </w:p>
        </w:tc>
        <w:tc>
          <w:tcPr>
            <w:tcW w:w="0" w:type="dxa"/>
            <w:vAlign w:val="bottom"/>
          </w:tcPr>
          <w:p>
            <w:pPr>
              <w:spacing w:after="0"/>
              <w:rPr>
                <w:sz w:val="1"/>
                <w:szCs w:val="1"/>
                <w:color w:val="auto"/>
              </w:rPr>
            </w:pPr>
          </w:p>
        </w:tc>
      </w:tr>
      <w:tr>
        <w:trPr>
          <w:trHeight w:val="253"/>
        </w:trPr>
        <w:tc>
          <w:tcPr>
            <w:tcW w:w="4580" w:type="dxa"/>
            <w:vAlign w:val="bottom"/>
          </w:tcPr>
          <w:p>
            <w:pPr>
              <w:ind w:left="260"/>
              <w:spacing w:after="0"/>
              <w:rPr>
                <w:sz w:val="20"/>
                <w:szCs w:val="20"/>
                <w:color w:val="auto"/>
              </w:rPr>
            </w:pPr>
            <w:r>
              <w:rPr>
                <w:rFonts w:ascii="Arial" w:cs="Arial" w:eastAsia="Arial" w:hAnsi="Arial"/>
                <w:sz w:val="16"/>
                <w:szCs w:val="16"/>
                <w:color w:val="auto"/>
                <w:w w:val="96"/>
              </w:rPr>
              <w:t>Proceeds from divestitures of businesses and other assets (net</w:t>
            </w:r>
          </w:p>
        </w:tc>
        <w:tc>
          <w:tcPr>
            <w:tcW w:w="2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580" w:type="dxa"/>
            <w:vAlign w:val="bottom"/>
          </w:tcPr>
          <w:p>
            <w:pPr>
              <w:ind w:left="440"/>
              <w:spacing w:after="0"/>
              <w:rPr>
                <w:sz w:val="20"/>
                <w:szCs w:val="20"/>
                <w:color w:val="auto"/>
              </w:rPr>
            </w:pPr>
            <w:r>
              <w:rPr>
                <w:rFonts w:ascii="Arial" w:cs="Arial" w:eastAsia="Arial" w:hAnsi="Arial"/>
                <w:sz w:val="16"/>
                <w:szCs w:val="16"/>
                <w:color w:val="auto"/>
              </w:rPr>
              <w:t>of cash divested)</w:t>
            </w:r>
          </w:p>
        </w:tc>
        <w:tc>
          <w:tcPr>
            <w:tcW w:w="200" w:type="dxa"/>
            <w:vAlign w:val="bottom"/>
          </w:tcPr>
          <w:p>
            <w:pPr>
              <w:spacing w:after="0"/>
              <w:rPr>
                <w:sz w:val="17"/>
                <w:szCs w:val="17"/>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100</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right"/>
              <w:ind w:right="19"/>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33"/>
        </w:trPr>
        <w:tc>
          <w:tcPr>
            <w:tcW w:w="4580" w:type="dxa"/>
            <w:vAlign w:val="bottom"/>
            <w:vMerge w:val="restart"/>
          </w:tcPr>
          <w:p>
            <w:pPr>
              <w:ind w:left="140"/>
              <w:spacing w:after="0"/>
              <w:rPr>
                <w:sz w:val="20"/>
                <w:szCs w:val="20"/>
                <w:color w:val="auto"/>
              </w:rPr>
            </w:pPr>
            <w:r>
              <w:rPr>
                <w:rFonts w:ascii="Arial" w:cs="Arial" w:eastAsia="Arial" w:hAnsi="Arial"/>
                <w:sz w:val="16"/>
                <w:szCs w:val="16"/>
                <w:b w:val="1"/>
                <w:bCs w:val="1"/>
                <w:color w:val="auto"/>
              </w:rPr>
              <w:t>Free Cash Flow</w:t>
            </w: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7"/>
        </w:trPr>
        <w:tc>
          <w:tcPr>
            <w:tcW w:w="4580" w:type="dxa"/>
            <w:vAlign w:val="bottom"/>
            <w:vMerge w:val="continue"/>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1,950</w:t>
            </w:r>
          </w:p>
        </w:tc>
        <w:tc>
          <w:tcPr>
            <w:tcW w:w="18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10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2,050</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98" w:lineRule="exact"/>
        <w:rPr>
          <w:sz w:val="20"/>
          <w:szCs w:val="20"/>
          <w:color w:val="auto"/>
        </w:rPr>
      </w:pPr>
    </w:p>
    <w:p>
      <w:pPr>
        <w:ind w:left="340" w:hanging="332"/>
        <w:spacing w:after="0" w:line="278" w:lineRule="auto"/>
        <w:tabs>
          <w:tab w:leader="none" w:pos="34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Company calculates its effective tax rate based on actual dollars. When the effective tax rate is calculated by dividing the Tax Expense amount in the table above by the Pre-tax Income amount, differences occur due to rounding, as these items have been rounded in millions. The adjusted effective tax rate for the second quarter of 2018 is 23.2%.</w:t>
      </w:r>
    </w:p>
    <w:p>
      <w:pPr>
        <w:spacing w:after="0" w:line="373" w:lineRule="exact"/>
        <w:rPr>
          <w:rFonts w:ascii="Arial" w:cs="Arial" w:eastAsia="Arial" w:hAnsi="Arial"/>
          <w:sz w:val="16"/>
          <w:szCs w:val="16"/>
          <w:b w:val="1"/>
          <w:bCs w:val="1"/>
          <w:color w:val="auto"/>
        </w:rPr>
      </w:pPr>
    </w:p>
    <w:p>
      <w:pPr>
        <w:ind w:left="340" w:right="40" w:hanging="332"/>
        <w:spacing w:after="0" w:line="293" w:lineRule="auto"/>
        <w:tabs>
          <w:tab w:leader="none" w:pos="335"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The reconciliation includes two scenarios that illustrate our projected free cash flow range for 2018. The amounts used in the reconciliation are subject to many variables, some of which are not under our control and, therefore, are not necessarily indicative of actual results.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380"/>
      </w:cols>
      <w:pgMar w:left="240" w:top="120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2019-12-28T20:32:39Z</dcterms:created>
  <dcterms:modified xsi:type="dcterms:W3CDTF">2019-12-28T20:32:39Z</dcterms:modified>
</cp:coreProperties>
</file>