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24,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517"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517"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Name of each exchange on which registered</w:t>
            </w:r>
          </w:p>
        </w:tc>
      </w:tr>
      <w:tr>
        <w:trPr>
          <w:trHeight w:val="22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New York Stock Exchange</w:t>
            </w:r>
          </w:p>
        </w:tc>
      </w:tr>
      <w:tr>
        <w:trPr>
          <w:trHeight w:val="134"/>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Waste Management, Inc. (the “Company”) issued a press release today announcing its financial results for the third quarter of 2023, a copy of which is furnished as Exhibit 99.1 to this Form 8-K. The Company is conducting an audio webcast to discuss these results beginning at 9:00 a.m. Central Time on October 25, 2023. </w:t>
      </w:r>
      <w:r>
        <w:rPr>
          <w:rFonts w:ascii="Arial" w:cs="Arial" w:eastAsia="Arial" w:hAnsi="Arial"/>
          <w:sz w:val="18"/>
          <w:szCs w:val="18"/>
          <w:color w:val="0A0A0A"/>
        </w:rPr>
        <w:t>Listeners can access the live audio webcast by visiting investors.wm.com and selecting “Events &amp; Presentations” from the</w:t>
      </w:r>
      <w:r>
        <w:rPr>
          <w:rFonts w:ascii="Arial" w:cs="Arial" w:eastAsia="Arial" w:hAnsi="Arial"/>
          <w:sz w:val="18"/>
          <w:szCs w:val="18"/>
          <w:color w:val="auto"/>
        </w:rPr>
        <w:t xml:space="preserve"> </w:t>
      </w:r>
      <w:r>
        <w:rPr>
          <w:rFonts w:ascii="Arial" w:cs="Arial" w:eastAsia="Arial" w:hAnsi="Arial"/>
          <w:sz w:val="18"/>
          <w:szCs w:val="18"/>
          <w:color w:val="0A0A0A"/>
        </w:rPr>
        <w:t>website menu. A replay of the audio webcast will be available at the same location.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tabs>
          <w:tab w:leader="none" w:pos="13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October 24, 2023</w:t>
      </w:r>
    </w:p>
    <w:p>
      <w:pPr>
        <w:spacing w:after="0" w:line="23" w:lineRule="exact"/>
        <w:rPr>
          <w:sz w:val="20"/>
          <w:szCs w:val="20"/>
          <w:color w:val="auto"/>
        </w:rPr>
      </w:pPr>
    </w:p>
    <w:p>
      <w:pPr>
        <w:ind w:left="5580" w:right="3360" w:hanging="5572"/>
        <w:spacing w:after="0" w:line="761" w:lineRule="auto"/>
        <w:tabs>
          <w:tab w:leader="none" w:pos="13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24, 2023</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9"/>
              </w:rPr>
              <w:t>Executive Vice President, Corporate Development and Chief Legal</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1040"/>
        <w:spacing w:after="0"/>
        <w:rPr>
          <w:sz w:val="20"/>
          <w:szCs w:val="20"/>
          <w:color w:val="auto"/>
        </w:rPr>
      </w:pPr>
      <w:r>
        <w:rPr>
          <w:rFonts w:ascii="Arial" w:cs="Arial" w:eastAsia="Arial" w:hAnsi="Arial"/>
          <w:sz w:val="40"/>
          <w:szCs w:val="40"/>
          <w:color w:val="7AB800"/>
        </w:rPr>
        <w:t>WM Announces Third Quarter Earnings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Company Delivers Another Quarter of Strong Expansion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Operating EBITDA Margin</w:t>
      </w:r>
    </w:p>
    <w:p>
      <w:pPr>
        <w:spacing w:after="0" w:line="37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7"/>
          <w:szCs w:val="17"/>
          <w:b w:val="1"/>
          <w:bCs w:val="1"/>
          <w:color w:val="auto"/>
        </w:rPr>
        <w:t>— Oct. 24, 2023</w:t>
      </w:r>
      <w:r>
        <w:rPr>
          <w:rFonts w:ascii="Arial" w:cs="Arial" w:eastAsia="Arial" w:hAnsi="Arial"/>
          <w:sz w:val="16"/>
          <w:szCs w:val="16"/>
          <w:b w:val="1"/>
          <w:bCs w:val="1"/>
          <w:color w:val="auto"/>
        </w:rPr>
        <w:t xml:space="preserve"> </w:t>
      </w:r>
      <w:r>
        <w:rPr>
          <w:rFonts w:ascii="Arial" w:cs="Arial" w:eastAsia="Arial" w:hAnsi="Arial"/>
          <w:sz w:val="17"/>
          <w:szCs w:val="17"/>
          <w:color w:val="auto"/>
        </w:rPr>
        <w:t>— WM (NYSE: WM) today announced financial results for the quarter ended</w:t>
      </w:r>
      <w:r>
        <w:rPr>
          <w:rFonts w:ascii="Arial" w:cs="Arial" w:eastAsia="Arial" w:hAnsi="Arial"/>
          <w:sz w:val="16"/>
          <w:szCs w:val="16"/>
          <w:b w:val="1"/>
          <w:bCs w:val="1"/>
          <w:color w:val="auto"/>
        </w:rPr>
        <w:t xml:space="preserve"> </w:t>
      </w:r>
      <w:r>
        <w:rPr>
          <w:rFonts w:ascii="Arial" w:cs="Arial" w:eastAsia="Arial" w:hAnsi="Arial"/>
          <w:sz w:val="17"/>
          <w:szCs w:val="17"/>
          <w:color w:val="auto"/>
        </w:rPr>
        <w:t>September 30, 2023.</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40" w:type="dxa"/>
            <w:vAlign w:val="bottom"/>
            <w:gridSpan w:val="5"/>
          </w:tcPr>
          <w:p>
            <w:pPr>
              <w:jc w:val="center"/>
              <w:ind w:right="580"/>
              <w:spacing w:after="0"/>
              <w:rPr>
                <w:sz w:val="20"/>
                <w:szCs w:val="20"/>
                <w:color w:val="auto"/>
              </w:rPr>
            </w:pPr>
            <w:r>
              <w:rPr>
                <w:rFonts w:ascii="Arial" w:cs="Arial" w:eastAsia="Arial" w:hAnsi="Arial"/>
                <w:sz w:val="16"/>
                <w:szCs w:val="16"/>
                <w:color w:val="auto"/>
              </w:rPr>
              <w:t>Three Months Ended</w:t>
            </w:r>
          </w:p>
        </w:tc>
        <w:tc>
          <w:tcPr>
            <w:tcW w:w="2500" w:type="dxa"/>
            <w:vAlign w:val="bottom"/>
            <w:gridSpan w:val="5"/>
          </w:tcPr>
          <w:p>
            <w:pPr>
              <w:jc w:val="center"/>
              <w:ind w:right="20"/>
              <w:spacing w:after="0"/>
              <w:rPr>
                <w:sz w:val="20"/>
                <w:szCs w:val="20"/>
                <w:color w:val="auto"/>
              </w:rPr>
            </w:pPr>
            <w:r>
              <w:rPr>
                <w:rFonts w:ascii="Arial" w:cs="Arial" w:eastAsia="Arial" w:hAnsi="Arial"/>
                <w:sz w:val="16"/>
                <w:szCs w:val="16"/>
                <w:color w:val="auto"/>
              </w:rPr>
              <w:t>Three Months Ended</w:t>
            </w:r>
          </w:p>
        </w:tc>
      </w:tr>
      <w:tr>
        <w:trPr>
          <w:trHeight w:val="172"/>
        </w:trPr>
        <w:tc>
          <w:tcPr>
            <w:tcW w:w="2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gridSpan w:val="4"/>
          </w:tcPr>
          <w:p>
            <w:pPr>
              <w:jc w:val="center"/>
              <w:ind w:right="1080"/>
              <w:spacing w:after="0" w:line="172" w:lineRule="exact"/>
              <w:rPr>
                <w:sz w:val="20"/>
                <w:szCs w:val="20"/>
                <w:color w:val="auto"/>
              </w:rPr>
            </w:pPr>
            <w:r>
              <w:rPr>
                <w:rFonts w:ascii="Arial" w:cs="Arial" w:eastAsia="Arial" w:hAnsi="Arial"/>
                <w:sz w:val="16"/>
                <w:szCs w:val="16"/>
                <w:color w:val="auto"/>
              </w:rPr>
              <w:t>September 30, 2023</w:t>
            </w:r>
          </w:p>
        </w:tc>
        <w:tc>
          <w:tcPr>
            <w:tcW w:w="500" w:type="dxa"/>
            <w:vAlign w:val="bottom"/>
          </w:tcPr>
          <w:p>
            <w:pPr>
              <w:spacing w:after="0"/>
              <w:rPr>
                <w:sz w:val="14"/>
                <w:szCs w:val="14"/>
                <w:color w:val="auto"/>
              </w:rPr>
            </w:pPr>
          </w:p>
        </w:tc>
        <w:tc>
          <w:tcPr>
            <w:tcW w:w="2000" w:type="dxa"/>
            <w:vAlign w:val="bottom"/>
            <w:gridSpan w:val="4"/>
          </w:tcPr>
          <w:p>
            <w:pPr>
              <w:jc w:val="center"/>
              <w:ind w:right="540"/>
              <w:spacing w:after="0" w:line="172" w:lineRule="exact"/>
              <w:rPr>
                <w:sz w:val="20"/>
                <w:szCs w:val="20"/>
                <w:color w:val="auto"/>
              </w:rPr>
            </w:pPr>
            <w:r>
              <w:rPr>
                <w:rFonts w:ascii="Arial" w:cs="Arial" w:eastAsia="Arial" w:hAnsi="Arial"/>
                <w:sz w:val="16"/>
                <w:szCs w:val="16"/>
                <w:color w:val="auto"/>
              </w:rPr>
              <w:t>September 30, 2022</w:t>
            </w:r>
          </w:p>
        </w:tc>
      </w:tr>
      <w:tr>
        <w:trPr>
          <w:trHeight w:val="20"/>
        </w:trPr>
        <w:tc>
          <w:tcPr>
            <w:tcW w:w="2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520" w:type="dxa"/>
            <w:vAlign w:val="bottom"/>
          </w:tcPr>
          <w:p>
            <w:pPr>
              <w:spacing w:after="0"/>
              <w:rPr>
                <w:sz w:val="13"/>
                <w:szCs w:val="13"/>
                <w:color w:val="auto"/>
              </w:rPr>
            </w:pPr>
          </w:p>
        </w:tc>
        <w:tc>
          <w:tcPr>
            <w:tcW w:w="3660" w:type="dxa"/>
            <w:vAlign w:val="bottom"/>
            <w:gridSpan w:val="6"/>
          </w:tcPr>
          <w:p>
            <w:pPr>
              <w:jc w:val="center"/>
              <w:spacing w:after="0" w:line="155" w:lineRule="exact"/>
              <w:rPr>
                <w:sz w:val="20"/>
                <w:szCs w:val="20"/>
                <w:color w:val="auto"/>
              </w:rPr>
            </w:pPr>
            <w:r>
              <w:rPr>
                <w:rFonts w:ascii="Arial" w:cs="Arial" w:eastAsia="Arial" w:hAnsi="Arial"/>
                <w:sz w:val="14"/>
                <w:szCs w:val="14"/>
                <w:color w:val="auto"/>
              </w:rPr>
              <w:t>(in millions, except per share amounts)</w:t>
            </w:r>
          </w:p>
        </w:tc>
        <w:tc>
          <w:tcPr>
            <w:tcW w:w="2500" w:type="dxa"/>
            <w:vAlign w:val="bottom"/>
            <w:gridSpan w:val="5"/>
          </w:tcPr>
          <w:p>
            <w:pPr>
              <w:jc w:val="center"/>
              <w:ind w:right="40"/>
              <w:spacing w:after="0" w:line="155" w:lineRule="exact"/>
              <w:rPr>
                <w:sz w:val="20"/>
                <w:szCs w:val="20"/>
                <w:color w:val="auto"/>
              </w:rPr>
            </w:pPr>
            <w:r>
              <w:rPr>
                <w:rFonts w:ascii="Arial" w:cs="Arial" w:eastAsia="Arial" w:hAnsi="Arial"/>
                <w:sz w:val="14"/>
                <w:szCs w:val="14"/>
                <w:color w:val="auto"/>
              </w:rPr>
              <w:t>(in millions, except per share amounts)</w:t>
            </w:r>
          </w:p>
        </w:tc>
      </w:tr>
      <w:tr>
        <w:trPr>
          <w:trHeight w:val="20"/>
        </w:trPr>
        <w:tc>
          <w:tcPr>
            <w:tcW w:w="2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3"/>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As Reported</w:t>
            </w:r>
          </w:p>
        </w:tc>
        <w:tc>
          <w:tcPr>
            <w:tcW w:w="1840" w:type="dxa"/>
            <w:vAlign w:val="bottom"/>
            <w:gridSpan w:val="3"/>
          </w:tcPr>
          <w:p>
            <w:pPr>
              <w:ind w:left="28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As Reported</w:t>
            </w:r>
          </w:p>
        </w:tc>
        <w:tc>
          <w:tcPr>
            <w:tcW w:w="1300" w:type="dxa"/>
            <w:vAlign w:val="bottom"/>
            <w:gridSpan w:val="3"/>
          </w:tcPr>
          <w:p>
            <w:pPr>
              <w:ind w:left="280"/>
              <w:spacing w:after="0"/>
              <w:rPr>
                <w:sz w:val="20"/>
                <w:szCs w:val="20"/>
                <w:color w:val="auto"/>
              </w:rPr>
            </w:pPr>
            <w:r>
              <w:rPr>
                <w:rFonts w:ascii="Arial" w:cs="Arial" w:eastAsia="Arial" w:hAnsi="Arial"/>
                <w:sz w:val="16"/>
                <w:szCs w:val="16"/>
                <w:color w:val="auto"/>
                <w:w w:val="93"/>
              </w:rPr>
              <w:t>As Adjusted</w:t>
            </w:r>
            <w:r>
              <w:rPr>
                <w:rFonts w:ascii="Arial" w:cs="Arial" w:eastAsia="Arial" w:hAnsi="Arial"/>
                <w:sz w:val="26"/>
                <w:szCs w:val="26"/>
                <w:color w:val="auto"/>
                <w:w w:val="93"/>
                <w:vertAlign w:val="superscript"/>
              </w:rPr>
              <w:t>(a)</w:t>
            </w: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Revenue</w:t>
            </w:r>
          </w:p>
        </w:tc>
        <w:tc>
          <w:tcPr>
            <w:tcW w:w="1820" w:type="dxa"/>
            <w:vAlign w:val="bottom"/>
            <w:gridSpan w:val="3"/>
          </w:tcPr>
          <w:p>
            <w:pPr>
              <w:jc w:val="center"/>
              <w:ind w:left="360"/>
              <w:spacing w:after="0"/>
              <w:rPr>
                <w:sz w:val="20"/>
                <w:szCs w:val="20"/>
                <w:color w:val="auto"/>
              </w:rPr>
            </w:pPr>
            <w:r>
              <w:rPr>
                <w:rFonts w:ascii="Arial" w:cs="Arial" w:eastAsia="Arial" w:hAnsi="Arial"/>
                <w:sz w:val="16"/>
                <w:szCs w:val="16"/>
                <w:color w:val="auto"/>
              </w:rPr>
              <w:t>$5,198</w:t>
            </w:r>
          </w:p>
        </w:tc>
        <w:tc>
          <w:tcPr>
            <w:tcW w:w="1260" w:type="dxa"/>
            <w:vAlign w:val="bottom"/>
            <w:gridSpan w:val="2"/>
          </w:tcPr>
          <w:p>
            <w:pPr>
              <w:jc w:val="center"/>
              <w:ind w:left="359"/>
              <w:spacing w:after="0"/>
              <w:rPr>
                <w:sz w:val="20"/>
                <w:szCs w:val="20"/>
                <w:color w:val="auto"/>
              </w:rPr>
            </w:pPr>
            <w:r>
              <w:rPr>
                <w:rFonts w:ascii="Arial" w:cs="Arial" w:eastAsia="Arial" w:hAnsi="Arial"/>
                <w:sz w:val="16"/>
                <w:szCs w:val="16"/>
                <w:color w:val="auto"/>
              </w:rPr>
              <w:t>$5,198</w:t>
            </w:r>
          </w:p>
        </w:tc>
        <w:tc>
          <w:tcPr>
            <w:tcW w:w="580" w:type="dxa"/>
            <w:vAlign w:val="bottom"/>
          </w:tcPr>
          <w:p>
            <w:pPr>
              <w:spacing w:after="0"/>
              <w:rPr>
                <w:sz w:val="18"/>
                <w:szCs w:val="18"/>
                <w:color w:val="auto"/>
              </w:rPr>
            </w:pPr>
          </w:p>
        </w:tc>
        <w:tc>
          <w:tcPr>
            <w:tcW w:w="1200" w:type="dxa"/>
            <w:vAlign w:val="bottom"/>
            <w:gridSpan w:val="2"/>
          </w:tcPr>
          <w:p>
            <w:pPr>
              <w:jc w:val="center"/>
              <w:ind w:right="59"/>
              <w:spacing w:after="0"/>
              <w:rPr>
                <w:sz w:val="20"/>
                <w:szCs w:val="20"/>
                <w:color w:val="auto"/>
              </w:rPr>
            </w:pPr>
            <w:r>
              <w:rPr>
                <w:rFonts w:ascii="Arial" w:cs="Arial" w:eastAsia="Arial" w:hAnsi="Arial"/>
                <w:sz w:val="16"/>
                <w:szCs w:val="16"/>
                <w:color w:val="auto"/>
              </w:rPr>
              <w:t>$5,075</w:t>
            </w:r>
          </w:p>
        </w:tc>
        <w:tc>
          <w:tcPr>
            <w:tcW w:w="1260" w:type="dxa"/>
            <w:vAlign w:val="bottom"/>
            <w:gridSpan w:val="2"/>
          </w:tcPr>
          <w:p>
            <w:pPr>
              <w:jc w:val="center"/>
              <w:ind w:left="339"/>
              <w:spacing w:after="0"/>
              <w:rPr>
                <w:sz w:val="20"/>
                <w:szCs w:val="20"/>
                <w:color w:val="auto"/>
              </w:rPr>
            </w:pPr>
            <w:r>
              <w:rPr>
                <w:rFonts w:ascii="Arial" w:cs="Arial" w:eastAsia="Arial" w:hAnsi="Arial"/>
                <w:sz w:val="16"/>
                <w:szCs w:val="16"/>
                <w:color w:val="auto"/>
                <w:w w:val="98"/>
              </w:rPr>
              <w:t>$5,075</w:t>
            </w:r>
          </w:p>
        </w:tc>
        <w:tc>
          <w:tcPr>
            <w:tcW w:w="40" w:type="dxa"/>
            <w:vAlign w:val="bottom"/>
          </w:tcPr>
          <w:p>
            <w:pPr>
              <w:spacing w:after="0"/>
              <w:rPr>
                <w:sz w:val="18"/>
                <w:szCs w:val="18"/>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820" w:type="dxa"/>
            <w:vAlign w:val="bottom"/>
            <w:gridSpan w:val="3"/>
          </w:tcPr>
          <w:p>
            <w:pPr>
              <w:jc w:val="center"/>
              <w:ind w:left="360"/>
              <w:spacing w:after="0"/>
              <w:rPr>
                <w:sz w:val="20"/>
                <w:szCs w:val="20"/>
                <w:color w:val="auto"/>
              </w:rPr>
            </w:pPr>
            <w:r>
              <w:rPr>
                <w:rFonts w:ascii="Arial" w:cs="Arial" w:eastAsia="Arial" w:hAnsi="Arial"/>
                <w:sz w:val="16"/>
                <w:szCs w:val="16"/>
                <w:color w:val="auto"/>
              </w:rPr>
              <w:t>$1,021</w:t>
            </w:r>
          </w:p>
        </w:tc>
        <w:tc>
          <w:tcPr>
            <w:tcW w:w="1260" w:type="dxa"/>
            <w:vAlign w:val="bottom"/>
            <w:gridSpan w:val="2"/>
          </w:tcPr>
          <w:p>
            <w:pPr>
              <w:jc w:val="center"/>
              <w:ind w:left="359"/>
              <w:spacing w:after="0"/>
              <w:rPr>
                <w:sz w:val="20"/>
                <w:szCs w:val="20"/>
                <w:color w:val="auto"/>
              </w:rPr>
            </w:pPr>
            <w:r>
              <w:rPr>
                <w:rFonts w:ascii="Arial" w:cs="Arial" w:eastAsia="Arial" w:hAnsi="Arial"/>
                <w:sz w:val="16"/>
                <w:szCs w:val="16"/>
                <w:color w:val="auto"/>
              </w:rPr>
              <w:t>$1,022</w:t>
            </w:r>
          </w:p>
        </w:tc>
        <w:tc>
          <w:tcPr>
            <w:tcW w:w="580" w:type="dxa"/>
            <w:vAlign w:val="bottom"/>
          </w:tcPr>
          <w:p>
            <w:pPr>
              <w:spacing w:after="0"/>
              <w:rPr>
                <w:sz w:val="24"/>
                <w:szCs w:val="24"/>
                <w:color w:val="auto"/>
              </w:rPr>
            </w:pPr>
          </w:p>
        </w:tc>
        <w:tc>
          <w:tcPr>
            <w:tcW w:w="1200" w:type="dxa"/>
            <w:vAlign w:val="bottom"/>
            <w:gridSpan w:val="2"/>
          </w:tcPr>
          <w:p>
            <w:pPr>
              <w:jc w:val="center"/>
              <w:ind w:right="79"/>
              <w:spacing w:after="0"/>
              <w:rPr>
                <w:sz w:val="20"/>
                <w:szCs w:val="20"/>
                <w:color w:val="auto"/>
              </w:rPr>
            </w:pPr>
            <w:r>
              <w:rPr>
                <w:rFonts w:ascii="Arial" w:cs="Arial" w:eastAsia="Arial" w:hAnsi="Arial"/>
                <w:sz w:val="16"/>
                <w:szCs w:val="16"/>
                <w:color w:val="auto"/>
              </w:rPr>
              <w:t>$942</w:t>
            </w:r>
          </w:p>
        </w:tc>
        <w:tc>
          <w:tcPr>
            <w:tcW w:w="1260" w:type="dxa"/>
            <w:vAlign w:val="bottom"/>
            <w:gridSpan w:val="2"/>
          </w:tcPr>
          <w:p>
            <w:pPr>
              <w:jc w:val="center"/>
              <w:ind w:left="339"/>
              <w:spacing w:after="0"/>
              <w:rPr>
                <w:sz w:val="20"/>
                <w:szCs w:val="20"/>
                <w:color w:val="auto"/>
              </w:rPr>
            </w:pPr>
            <w:r>
              <w:rPr>
                <w:rFonts w:ascii="Arial" w:cs="Arial" w:eastAsia="Arial" w:hAnsi="Arial"/>
                <w:sz w:val="16"/>
                <w:szCs w:val="16"/>
                <w:color w:val="auto"/>
              </w:rPr>
              <w:t>$950</w:t>
            </w:r>
          </w:p>
        </w:tc>
        <w:tc>
          <w:tcPr>
            <w:tcW w:w="40" w:type="dxa"/>
            <w:vAlign w:val="bottom"/>
          </w:tcPr>
          <w:p>
            <w:pPr>
              <w:spacing w:after="0"/>
              <w:rPr>
                <w:sz w:val="24"/>
                <w:szCs w:val="24"/>
                <w:color w:val="auto"/>
              </w:rPr>
            </w:pPr>
          </w:p>
        </w:tc>
      </w:tr>
      <w:tr>
        <w:trPr>
          <w:trHeight w:val="472"/>
        </w:trPr>
        <w:tc>
          <w:tcPr>
            <w:tcW w:w="2520" w:type="dxa"/>
            <w:vAlign w:val="bottom"/>
          </w:tcPr>
          <w:p>
            <w:pPr>
              <w:spacing w:after="0"/>
              <w:rPr>
                <w:sz w:val="20"/>
                <w:szCs w:val="20"/>
                <w:color w:val="auto"/>
              </w:rPr>
            </w:pPr>
            <w:r>
              <w:rPr>
                <w:rFonts w:ascii="Arial" w:cs="Arial" w:eastAsia="Arial" w:hAnsi="Arial"/>
                <w:sz w:val="16"/>
                <w:szCs w:val="16"/>
                <w:color w:val="auto"/>
              </w:rPr>
              <w:t>Operating EBITDA</w:t>
            </w:r>
            <w:r>
              <w:rPr>
                <w:rFonts w:ascii="Arial" w:cs="Arial" w:eastAsia="Arial" w:hAnsi="Arial"/>
                <w:sz w:val="26"/>
                <w:szCs w:val="26"/>
                <w:color w:val="auto"/>
                <w:vertAlign w:val="superscript"/>
              </w:rPr>
              <w:t>(b)</w:t>
            </w:r>
          </w:p>
        </w:tc>
        <w:tc>
          <w:tcPr>
            <w:tcW w:w="1820" w:type="dxa"/>
            <w:vAlign w:val="bottom"/>
            <w:gridSpan w:val="3"/>
          </w:tcPr>
          <w:p>
            <w:pPr>
              <w:jc w:val="center"/>
              <w:ind w:left="360"/>
              <w:spacing w:after="0"/>
              <w:rPr>
                <w:sz w:val="20"/>
                <w:szCs w:val="20"/>
                <w:color w:val="auto"/>
              </w:rPr>
            </w:pPr>
            <w:r>
              <w:rPr>
                <w:rFonts w:ascii="Arial" w:cs="Arial" w:eastAsia="Arial" w:hAnsi="Arial"/>
                <w:sz w:val="16"/>
                <w:szCs w:val="16"/>
                <w:color w:val="auto"/>
              </w:rPr>
              <w:t>$1,540</w:t>
            </w:r>
          </w:p>
        </w:tc>
        <w:tc>
          <w:tcPr>
            <w:tcW w:w="1260" w:type="dxa"/>
            <w:vAlign w:val="bottom"/>
            <w:gridSpan w:val="2"/>
          </w:tcPr>
          <w:p>
            <w:pPr>
              <w:jc w:val="center"/>
              <w:ind w:left="359"/>
              <w:spacing w:after="0"/>
              <w:rPr>
                <w:sz w:val="20"/>
                <w:szCs w:val="20"/>
                <w:color w:val="auto"/>
              </w:rPr>
            </w:pPr>
            <w:r>
              <w:rPr>
                <w:rFonts w:ascii="Arial" w:cs="Arial" w:eastAsia="Arial" w:hAnsi="Arial"/>
                <w:sz w:val="16"/>
                <w:szCs w:val="16"/>
                <w:color w:val="auto"/>
              </w:rPr>
              <w:t>$1,541</w:t>
            </w:r>
          </w:p>
        </w:tc>
        <w:tc>
          <w:tcPr>
            <w:tcW w:w="580" w:type="dxa"/>
            <w:vAlign w:val="bottom"/>
          </w:tcPr>
          <w:p>
            <w:pPr>
              <w:spacing w:after="0"/>
              <w:rPr>
                <w:sz w:val="24"/>
                <w:szCs w:val="24"/>
                <w:color w:val="auto"/>
              </w:rPr>
            </w:pPr>
          </w:p>
        </w:tc>
        <w:tc>
          <w:tcPr>
            <w:tcW w:w="1200" w:type="dxa"/>
            <w:vAlign w:val="bottom"/>
            <w:gridSpan w:val="2"/>
          </w:tcPr>
          <w:p>
            <w:pPr>
              <w:jc w:val="center"/>
              <w:ind w:right="59"/>
              <w:spacing w:after="0"/>
              <w:rPr>
                <w:sz w:val="20"/>
                <w:szCs w:val="20"/>
                <w:color w:val="auto"/>
              </w:rPr>
            </w:pPr>
            <w:r>
              <w:rPr>
                <w:rFonts w:ascii="Arial" w:cs="Arial" w:eastAsia="Arial" w:hAnsi="Arial"/>
                <w:sz w:val="16"/>
                <w:szCs w:val="16"/>
                <w:color w:val="auto"/>
              </w:rPr>
              <w:t>$1,445</w:t>
            </w:r>
          </w:p>
        </w:tc>
        <w:tc>
          <w:tcPr>
            <w:tcW w:w="1260" w:type="dxa"/>
            <w:vAlign w:val="bottom"/>
            <w:gridSpan w:val="2"/>
          </w:tcPr>
          <w:p>
            <w:pPr>
              <w:jc w:val="center"/>
              <w:ind w:left="339"/>
              <w:spacing w:after="0"/>
              <w:rPr>
                <w:sz w:val="20"/>
                <w:szCs w:val="20"/>
                <w:color w:val="auto"/>
              </w:rPr>
            </w:pPr>
            <w:r>
              <w:rPr>
                <w:rFonts w:ascii="Arial" w:cs="Arial" w:eastAsia="Arial" w:hAnsi="Arial"/>
                <w:sz w:val="16"/>
                <w:szCs w:val="16"/>
                <w:color w:val="auto"/>
                <w:w w:val="98"/>
              </w:rPr>
              <w:t>$1,453</w:t>
            </w:r>
          </w:p>
        </w:tc>
        <w:tc>
          <w:tcPr>
            <w:tcW w:w="40" w:type="dxa"/>
            <w:vAlign w:val="bottom"/>
          </w:tcPr>
          <w:p>
            <w:pPr>
              <w:spacing w:after="0"/>
              <w:rPr>
                <w:sz w:val="24"/>
                <w:szCs w:val="2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Operating EBITDA Margin</w:t>
            </w:r>
          </w:p>
        </w:tc>
        <w:tc>
          <w:tcPr>
            <w:tcW w:w="1820" w:type="dxa"/>
            <w:vAlign w:val="bottom"/>
            <w:gridSpan w:val="3"/>
          </w:tcPr>
          <w:p>
            <w:pPr>
              <w:jc w:val="center"/>
              <w:ind w:left="360"/>
              <w:spacing w:after="0"/>
              <w:rPr>
                <w:sz w:val="20"/>
                <w:szCs w:val="20"/>
                <w:color w:val="auto"/>
              </w:rPr>
            </w:pPr>
            <w:r>
              <w:rPr>
                <w:rFonts w:ascii="Arial" w:cs="Arial" w:eastAsia="Arial" w:hAnsi="Arial"/>
                <w:sz w:val="16"/>
                <w:szCs w:val="16"/>
                <w:color w:val="auto"/>
              </w:rPr>
              <w:t>29.6%</w:t>
            </w:r>
          </w:p>
        </w:tc>
        <w:tc>
          <w:tcPr>
            <w:tcW w:w="1260" w:type="dxa"/>
            <w:vAlign w:val="bottom"/>
            <w:gridSpan w:val="2"/>
          </w:tcPr>
          <w:p>
            <w:pPr>
              <w:jc w:val="center"/>
              <w:ind w:left="359"/>
              <w:spacing w:after="0"/>
              <w:rPr>
                <w:sz w:val="20"/>
                <w:szCs w:val="20"/>
                <w:color w:val="auto"/>
              </w:rPr>
            </w:pPr>
            <w:r>
              <w:rPr>
                <w:rFonts w:ascii="Arial" w:cs="Arial" w:eastAsia="Arial" w:hAnsi="Arial"/>
                <w:sz w:val="16"/>
                <w:szCs w:val="16"/>
                <w:color w:val="auto"/>
              </w:rPr>
              <w:t>29.6%</w:t>
            </w:r>
          </w:p>
        </w:tc>
        <w:tc>
          <w:tcPr>
            <w:tcW w:w="580" w:type="dxa"/>
            <w:vAlign w:val="bottom"/>
          </w:tcPr>
          <w:p>
            <w:pPr>
              <w:spacing w:after="0"/>
              <w:rPr>
                <w:sz w:val="18"/>
                <w:szCs w:val="18"/>
                <w:color w:val="auto"/>
              </w:rPr>
            </w:pPr>
          </w:p>
        </w:tc>
        <w:tc>
          <w:tcPr>
            <w:tcW w:w="1200" w:type="dxa"/>
            <w:vAlign w:val="bottom"/>
            <w:gridSpan w:val="2"/>
          </w:tcPr>
          <w:p>
            <w:pPr>
              <w:jc w:val="center"/>
              <w:ind w:right="59"/>
              <w:spacing w:after="0"/>
              <w:rPr>
                <w:sz w:val="20"/>
                <w:szCs w:val="20"/>
                <w:color w:val="auto"/>
              </w:rPr>
            </w:pPr>
            <w:r>
              <w:rPr>
                <w:rFonts w:ascii="Arial" w:cs="Arial" w:eastAsia="Arial" w:hAnsi="Arial"/>
                <w:sz w:val="16"/>
                <w:szCs w:val="16"/>
                <w:color w:val="auto"/>
              </w:rPr>
              <w:t>28.5%</w:t>
            </w:r>
          </w:p>
        </w:tc>
        <w:tc>
          <w:tcPr>
            <w:tcW w:w="1260" w:type="dxa"/>
            <w:vAlign w:val="bottom"/>
            <w:gridSpan w:val="2"/>
          </w:tcPr>
          <w:p>
            <w:pPr>
              <w:jc w:val="center"/>
              <w:ind w:left="319"/>
              <w:spacing w:after="0"/>
              <w:rPr>
                <w:sz w:val="20"/>
                <w:szCs w:val="20"/>
                <w:color w:val="auto"/>
              </w:rPr>
            </w:pPr>
            <w:r>
              <w:rPr>
                <w:rFonts w:ascii="Arial" w:cs="Arial" w:eastAsia="Arial" w:hAnsi="Arial"/>
                <w:sz w:val="16"/>
                <w:szCs w:val="16"/>
                <w:color w:val="auto"/>
              </w:rPr>
              <w:t>28.6%</w:t>
            </w:r>
          </w:p>
        </w:tc>
        <w:tc>
          <w:tcPr>
            <w:tcW w:w="40" w:type="dxa"/>
            <w:vAlign w:val="bottom"/>
          </w:tcPr>
          <w:p>
            <w:pPr>
              <w:spacing w:after="0"/>
              <w:rPr>
                <w:sz w:val="18"/>
                <w:szCs w:val="18"/>
                <w:color w:val="auto"/>
              </w:rPr>
            </w:pPr>
          </w:p>
        </w:tc>
      </w:tr>
      <w:tr>
        <w:trPr>
          <w:trHeight w:val="472"/>
        </w:trPr>
        <w:tc>
          <w:tcPr>
            <w:tcW w:w="252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tc>
        <w:tc>
          <w:tcPr>
            <w:tcW w:w="1820" w:type="dxa"/>
            <w:vAlign w:val="bottom"/>
            <w:gridSpan w:val="3"/>
          </w:tcPr>
          <w:p>
            <w:pPr>
              <w:jc w:val="center"/>
              <w:ind w:left="340"/>
              <w:spacing w:after="0"/>
              <w:rPr>
                <w:sz w:val="20"/>
                <w:szCs w:val="20"/>
                <w:color w:val="auto"/>
              </w:rPr>
            </w:pPr>
            <w:r>
              <w:rPr>
                <w:rFonts w:ascii="Arial" w:cs="Arial" w:eastAsia="Arial" w:hAnsi="Arial"/>
                <w:sz w:val="16"/>
                <w:szCs w:val="16"/>
                <w:color w:val="auto"/>
              </w:rPr>
              <w:t>$663</w:t>
            </w:r>
          </w:p>
        </w:tc>
        <w:tc>
          <w:tcPr>
            <w:tcW w:w="1260" w:type="dxa"/>
            <w:vAlign w:val="bottom"/>
            <w:gridSpan w:val="2"/>
          </w:tcPr>
          <w:p>
            <w:pPr>
              <w:jc w:val="center"/>
              <w:ind w:left="339"/>
              <w:spacing w:after="0"/>
              <w:rPr>
                <w:sz w:val="20"/>
                <w:szCs w:val="20"/>
                <w:color w:val="auto"/>
              </w:rPr>
            </w:pPr>
            <w:r>
              <w:rPr>
                <w:rFonts w:ascii="Arial" w:cs="Arial" w:eastAsia="Arial" w:hAnsi="Arial"/>
                <w:sz w:val="16"/>
                <w:szCs w:val="16"/>
                <w:color w:val="auto"/>
              </w:rPr>
              <w:t>$664</w:t>
            </w:r>
          </w:p>
        </w:tc>
        <w:tc>
          <w:tcPr>
            <w:tcW w:w="580" w:type="dxa"/>
            <w:vAlign w:val="bottom"/>
          </w:tcPr>
          <w:p>
            <w:pPr>
              <w:spacing w:after="0"/>
              <w:rPr>
                <w:sz w:val="24"/>
                <w:szCs w:val="24"/>
                <w:color w:val="auto"/>
              </w:rPr>
            </w:pPr>
          </w:p>
        </w:tc>
        <w:tc>
          <w:tcPr>
            <w:tcW w:w="1200" w:type="dxa"/>
            <w:vAlign w:val="bottom"/>
            <w:gridSpan w:val="2"/>
          </w:tcPr>
          <w:p>
            <w:pPr>
              <w:jc w:val="center"/>
              <w:ind w:right="79"/>
              <w:spacing w:after="0"/>
              <w:rPr>
                <w:sz w:val="20"/>
                <w:szCs w:val="20"/>
                <w:color w:val="auto"/>
              </w:rPr>
            </w:pPr>
            <w:r>
              <w:rPr>
                <w:rFonts w:ascii="Arial" w:cs="Arial" w:eastAsia="Arial" w:hAnsi="Arial"/>
                <w:sz w:val="16"/>
                <w:szCs w:val="16"/>
                <w:color w:val="auto"/>
              </w:rPr>
              <w:t>$639</w:t>
            </w:r>
          </w:p>
        </w:tc>
        <w:tc>
          <w:tcPr>
            <w:tcW w:w="1260" w:type="dxa"/>
            <w:vAlign w:val="bottom"/>
            <w:gridSpan w:val="2"/>
          </w:tcPr>
          <w:p>
            <w:pPr>
              <w:jc w:val="center"/>
              <w:ind w:left="339"/>
              <w:spacing w:after="0"/>
              <w:rPr>
                <w:sz w:val="20"/>
                <w:szCs w:val="20"/>
                <w:color w:val="auto"/>
              </w:rPr>
            </w:pPr>
            <w:r>
              <w:rPr>
                <w:rFonts w:ascii="Arial" w:cs="Arial" w:eastAsia="Arial" w:hAnsi="Arial"/>
                <w:sz w:val="16"/>
                <w:szCs w:val="16"/>
                <w:color w:val="auto"/>
              </w:rPr>
              <w:t>$645</w:t>
            </w:r>
          </w:p>
        </w:tc>
        <w:tc>
          <w:tcPr>
            <w:tcW w:w="40" w:type="dxa"/>
            <w:vAlign w:val="bottom"/>
          </w:tcPr>
          <w:p>
            <w:pPr>
              <w:spacing w:after="0"/>
              <w:rPr>
                <w:sz w:val="24"/>
                <w:szCs w:val="2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Diluted EPS</w:t>
            </w:r>
          </w:p>
        </w:tc>
        <w:tc>
          <w:tcPr>
            <w:tcW w:w="1820" w:type="dxa"/>
            <w:vAlign w:val="bottom"/>
            <w:gridSpan w:val="3"/>
          </w:tcPr>
          <w:p>
            <w:pPr>
              <w:jc w:val="center"/>
              <w:ind w:left="360"/>
              <w:spacing w:after="0"/>
              <w:rPr>
                <w:sz w:val="20"/>
                <w:szCs w:val="20"/>
                <w:color w:val="auto"/>
              </w:rPr>
            </w:pPr>
            <w:r>
              <w:rPr>
                <w:rFonts w:ascii="Arial" w:cs="Arial" w:eastAsia="Arial" w:hAnsi="Arial"/>
                <w:sz w:val="16"/>
                <w:szCs w:val="16"/>
                <w:color w:val="auto"/>
              </w:rPr>
              <w:t>$1.63</w:t>
            </w:r>
          </w:p>
        </w:tc>
        <w:tc>
          <w:tcPr>
            <w:tcW w:w="1260" w:type="dxa"/>
            <w:vAlign w:val="bottom"/>
            <w:gridSpan w:val="2"/>
          </w:tcPr>
          <w:p>
            <w:pPr>
              <w:jc w:val="center"/>
              <w:ind w:left="359"/>
              <w:spacing w:after="0"/>
              <w:rPr>
                <w:sz w:val="20"/>
                <w:szCs w:val="20"/>
                <w:color w:val="auto"/>
              </w:rPr>
            </w:pPr>
            <w:r>
              <w:rPr>
                <w:rFonts w:ascii="Arial" w:cs="Arial" w:eastAsia="Arial" w:hAnsi="Arial"/>
                <w:sz w:val="16"/>
                <w:szCs w:val="16"/>
                <w:color w:val="auto"/>
              </w:rPr>
              <w:t>$1.63</w:t>
            </w:r>
          </w:p>
        </w:tc>
        <w:tc>
          <w:tcPr>
            <w:tcW w:w="580" w:type="dxa"/>
            <w:vAlign w:val="bottom"/>
          </w:tcPr>
          <w:p>
            <w:pPr>
              <w:spacing w:after="0"/>
              <w:rPr>
                <w:sz w:val="18"/>
                <w:szCs w:val="18"/>
                <w:color w:val="auto"/>
              </w:rPr>
            </w:pPr>
          </w:p>
        </w:tc>
        <w:tc>
          <w:tcPr>
            <w:tcW w:w="1200" w:type="dxa"/>
            <w:vAlign w:val="bottom"/>
            <w:gridSpan w:val="2"/>
          </w:tcPr>
          <w:p>
            <w:pPr>
              <w:jc w:val="center"/>
              <w:ind w:right="79"/>
              <w:spacing w:after="0"/>
              <w:rPr>
                <w:sz w:val="20"/>
                <w:szCs w:val="20"/>
                <w:color w:val="auto"/>
              </w:rPr>
            </w:pPr>
            <w:r>
              <w:rPr>
                <w:rFonts w:ascii="Arial" w:cs="Arial" w:eastAsia="Arial" w:hAnsi="Arial"/>
                <w:sz w:val="16"/>
                <w:szCs w:val="16"/>
                <w:color w:val="auto"/>
                <w:w w:val="99"/>
              </w:rPr>
              <w:t>$1.54</w:t>
            </w:r>
          </w:p>
        </w:tc>
        <w:tc>
          <w:tcPr>
            <w:tcW w:w="1260" w:type="dxa"/>
            <w:vAlign w:val="bottom"/>
            <w:gridSpan w:val="2"/>
          </w:tcPr>
          <w:p>
            <w:pPr>
              <w:jc w:val="center"/>
              <w:ind w:left="339"/>
              <w:spacing w:after="0"/>
              <w:rPr>
                <w:sz w:val="20"/>
                <w:szCs w:val="20"/>
                <w:color w:val="auto"/>
              </w:rPr>
            </w:pPr>
            <w:r>
              <w:rPr>
                <w:rFonts w:ascii="Arial" w:cs="Arial" w:eastAsia="Arial" w:hAnsi="Arial"/>
                <w:sz w:val="16"/>
                <w:szCs w:val="16"/>
                <w:color w:val="auto"/>
                <w:w w:val="99"/>
              </w:rPr>
              <w:t>$1.56</w:t>
            </w:r>
          </w:p>
        </w:tc>
        <w:tc>
          <w:tcPr>
            <w:tcW w:w="40" w:type="dxa"/>
            <w:vAlign w:val="bottom"/>
          </w:tcPr>
          <w:p>
            <w:pPr>
              <w:spacing w:after="0"/>
              <w:rPr>
                <w:sz w:val="18"/>
                <w:szCs w:val="18"/>
                <w:color w:val="auto"/>
              </w:rPr>
            </w:pPr>
          </w:p>
        </w:tc>
      </w:tr>
    </w:tbl>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“Over the course of the year, our team has consistently delivered strong results driven by our focus on pricing discipline and optimization of our cost structure,” said Jim Fish, WM’s President and Chief Executive Officer. “In the third quarter, organic growth in our collection and disposal business, operating cost improvements, and our commitment to SG&amp;A cost management translated into more than 6% growth in adjusted operating EBITDA and 100 basis points of adjusted operating EBITDA margin expansion.”</w:t>
      </w:r>
      <w:r>
        <w:rPr>
          <w:rFonts w:ascii="Arial" w:cs="Arial" w:eastAsia="Arial" w:hAnsi="Arial"/>
          <w:sz w:val="29"/>
          <w:szCs w:val="29"/>
          <w:color w:val="auto"/>
          <w:vertAlign w:val="superscript"/>
        </w:rPr>
        <w:t>(a)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OF 2023</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Revenue</w:t>
      </w:r>
    </w:p>
    <w:p>
      <w:pPr>
        <w:spacing w:after="0" w:line="210" w:lineRule="exact"/>
        <w:rPr>
          <w:sz w:val="20"/>
          <w:szCs w:val="20"/>
          <w:color w:val="auto"/>
        </w:rPr>
      </w:pPr>
    </w:p>
    <w:p>
      <w:pPr>
        <w:jc w:val="both"/>
        <w:ind w:left="660" w:right="20" w:hanging="328"/>
        <w:spacing w:after="0" w:line="190"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Core price for the third quarter of 2023 was 6.6% compared to 8.2% in the third quarter of 2022.</w:t>
      </w:r>
      <w:r>
        <w:rPr>
          <w:rFonts w:ascii="Arial" w:cs="Arial" w:eastAsia="Arial" w:hAnsi="Arial"/>
          <w:sz w:val="29"/>
          <w:szCs w:val="29"/>
          <w:color w:val="auto"/>
          <w:vertAlign w:val="superscript"/>
        </w:rPr>
        <w:t>(d)</w:t>
      </w:r>
      <w:r>
        <w:rPr>
          <w:rFonts w:ascii="Arial" w:cs="Arial" w:eastAsia="Arial" w:hAnsi="Arial"/>
          <w:sz w:val="18"/>
          <w:szCs w:val="18"/>
          <w:color w:val="auto"/>
        </w:rPr>
        <w:t xml:space="preserve"> Core price exceeded inflationary cost increases in the quarter by an estimated 100 basis points, contributing to margin and earnings growth.</w:t>
      </w:r>
    </w:p>
    <w:p>
      <w:pPr>
        <w:spacing w:after="0" w:line="2" w:lineRule="exact"/>
        <w:rPr>
          <w:rFonts w:ascii="Arial" w:cs="Arial" w:eastAsia="Arial" w:hAnsi="Arial"/>
          <w:sz w:val="36"/>
          <w:szCs w:val="36"/>
          <w:color w:val="auto"/>
          <w:vertAlign w:val="superscript"/>
        </w:rPr>
      </w:pPr>
    </w:p>
    <w:p>
      <w:pPr>
        <w:ind w:left="660" w:right="20" w:hanging="328"/>
        <w:spacing w:after="0" w:line="19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Collection and disposal yield was 5.0% in the third quarter of 2023 compared to 7.1% in the third quarter of 2022.</w:t>
      </w:r>
      <w:r>
        <w:rPr>
          <w:rFonts w:ascii="Arial" w:cs="Arial" w:eastAsia="Arial" w:hAnsi="Arial"/>
          <w:sz w:val="29"/>
          <w:szCs w:val="29"/>
          <w:color w:val="auto"/>
          <w:vertAlign w:val="superscript"/>
        </w:rPr>
        <w:t>(e)</w:t>
      </w:r>
    </w:p>
    <w:p>
      <w:pPr>
        <w:spacing w:after="0" w:line="1" w:lineRule="exact"/>
        <w:rPr>
          <w:rFonts w:ascii="Arial" w:cs="Arial" w:eastAsia="Arial" w:hAnsi="Arial"/>
          <w:sz w:val="18"/>
          <w:szCs w:val="18"/>
          <w:color w:val="auto"/>
        </w:rPr>
      </w:pPr>
    </w:p>
    <w:p>
      <w:pPr>
        <w:jc w:val="both"/>
        <w:ind w:left="660" w:right="20" w:hanging="328"/>
        <w:spacing w:after="0" w:line="23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 workday adjusted basis, total Company volumes increased 1.0% and collection and disposal volumes increased 0.7% in the third quarter of 2023. On a reported basis, total Company volumes increased 0.5% and collection and disposal volumes increased 0.3% in the third quarter of 2023 compared to 1.0% and 1.4%, respectively, in the third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0"/>
        <w:spacing w:after="0" w:line="338" w:lineRule="auto"/>
        <w:rPr>
          <w:sz w:val="20"/>
          <w:szCs w:val="20"/>
          <w:color w:val="auto"/>
        </w:rPr>
      </w:pPr>
      <w:r>
        <w:rPr>
          <w:rFonts w:ascii="Arial" w:cs="Arial" w:eastAsia="Arial" w:hAnsi="Arial"/>
          <w:sz w:val="15"/>
          <w:szCs w:val="15"/>
          <w:b w:val="1"/>
          <w:bCs w:val="1"/>
          <w:color w:val="00693C"/>
        </w:rPr>
        <w:t>FOR MORE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ind w:right="720"/>
        <w:spacing w:after="0" w:line="246" w:lineRule="auto"/>
        <w:rPr>
          <w:sz w:val="20"/>
          <w:szCs w:val="20"/>
          <w:color w:val="auto"/>
        </w:rPr>
      </w:pPr>
      <w:r>
        <w:rPr>
          <w:rFonts w:ascii="Arial" w:cs="Arial" w:eastAsia="Arial" w:hAnsi="Arial"/>
          <w:sz w:val="18"/>
          <w:szCs w:val="18"/>
          <w:color w:val="auto"/>
        </w:rPr>
        <w:t>713.265.1656 eegl@wm.com</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Toni Werner media@wm.com</w:t>
      </w:r>
    </w:p>
    <w:p>
      <w:pPr>
        <w:sectPr>
          <w:pgSz w:w="11900" w:h="16838" w:orient="portrait"/>
          <w:cols w:equalWidth="0" w:num="2">
            <w:col w:w="9000" w:space="320"/>
            <w:col w:w="1920"/>
          </w:cols>
          <w:pgMar w:left="320" w:top="118" w:right="339" w:bottom="1440" w:gutter="0" w:footer="0" w:header="0"/>
          <w:type w:val="continuous"/>
        </w:sectPr>
      </w:pPr>
    </w:p>
    <w:bookmarkStart w:id="4" w:name="page5"/>
    <w:bookmarkEnd w:id="4"/>
    <w:p>
      <w:pPr>
        <w:ind w:left="328"/>
        <w:spacing w:after="0"/>
        <w:rPr>
          <w:sz w:val="20"/>
          <w:szCs w:val="20"/>
          <w:color w:val="auto"/>
        </w:rPr>
      </w:pPr>
      <w:r>
        <w:rPr>
          <w:rFonts w:ascii="Arial" w:cs="Arial" w:eastAsia="Arial" w:hAnsi="Arial"/>
          <w:sz w:val="18"/>
          <w:szCs w:val="18"/>
          <w:b w:val="1"/>
          <w:bCs w:val="1"/>
          <w:u w:val="single" w:color="auto"/>
          <w:color w:val="auto"/>
        </w:rPr>
        <w:t>Cost Management</w:t>
      </w:r>
    </w:p>
    <w:p>
      <w:pPr>
        <w:spacing w:after="0" w:line="208" w:lineRule="exact"/>
        <w:rPr>
          <w:sz w:val="20"/>
          <w:szCs w:val="20"/>
          <w:color w:val="auto"/>
        </w:rPr>
      </w:pPr>
    </w:p>
    <w:p>
      <w:pPr>
        <w:ind w:left="328" w:right="1159" w:hanging="328"/>
        <w:spacing w:after="0" w:line="241"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as a percentage of revenue were 61.3% in the third quarter of 2023 compared to 62.2% in the third quarter of 2022.</w:t>
      </w:r>
    </w:p>
    <w:p>
      <w:pPr>
        <w:spacing w:after="0" w:line="1" w:lineRule="exact"/>
        <w:rPr>
          <w:rFonts w:ascii="Arial" w:cs="Arial" w:eastAsia="Arial" w:hAnsi="Arial"/>
          <w:sz w:val="18"/>
          <w:szCs w:val="18"/>
          <w:color w:val="auto"/>
        </w:rPr>
      </w:pPr>
    </w:p>
    <w:p>
      <w:pPr>
        <w:jc w:val="both"/>
        <w:ind w:left="328" w:right="1159"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were 9.0% of revenue in the third quarter of 2023 compared to 9.3% in the third quarter of 2022. SG&amp;A expenses as a percentage of revenue improved 20 basis points in the third quarter of 2023 from 9.2%, on an adjusted basis, in the third quarter of 2022.</w:t>
      </w:r>
      <w:r>
        <w:rPr>
          <w:rFonts w:ascii="Arial" w:cs="Arial" w:eastAsia="Arial" w:hAnsi="Arial"/>
          <w:sz w:val="29"/>
          <w:szCs w:val="29"/>
          <w:color w:val="auto"/>
          <w:vertAlign w:val="superscript"/>
        </w:rPr>
        <w:t>(a)</w:t>
      </w:r>
    </w:p>
    <w:p>
      <w:pPr>
        <w:spacing w:after="0" w:line="24"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Profitability</w:t>
      </w:r>
    </w:p>
    <w:p>
      <w:pPr>
        <w:spacing w:after="0" w:line="208" w:lineRule="exact"/>
        <w:rPr>
          <w:rFonts w:ascii="Arial" w:cs="Arial" w:eastAsia="Arial" w:hAnsi="Arial"/>
          <w:sz w:val="18"/>
          <w:szCs w:val="18"/>
          <w:color w:val="auto"/>
        </w:rPr>
      </w:pPr>
    </w:p>
    <w:p>
      <w:pPr>
        <w:jc w:val="both"/>
        <w:ind w:left="328" w:right="1159" w:hanging="328"/>
        <w:spacing w:after="0" w:line="22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EBITDA in the Company’s collection and disposal business, adjusted on the same basis as total Company operating EBITDA, increased by approximately $105 million to $1.70 billion for the third quarter of 2023. Operating EBITDA as a percentage of revenue in the Company’s collection and disposal business was 32.6% for the third quarter of 2023 compared to 31.9% for the third quarter of 2022.</w:t>
      </w:r>
      <w:r>
        <w:rPr>
          <w:rFonts w:ascii="Arial" w:cs="Arial" w:eastAsia="Arial" w:hAnsi="Arial"/>
          <w:sz w:val="29"/>
          <w:szCs w:val="29"/>
          <w:color w:val="auto"/>
          <w:vertAlign w:val="superscript"/>
        </w:rPr>
        <w:t>(f)</w:t>
      </w:r>
    </w:p>
    <w:p>
      <w:pPr>
        <w:jc w:val="both"/>
        <w:ind w:left="328" w:right="1159" w:hanging="328"/>
        <w:spacing w:after="0" w:line="21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EBITDA in the Company’s recycling line of business declined by $10 million compared to the third quarter of 2022, which was in line with the Company’s expectations. The decline was driven by the approximately 40% decrease in market prices for single-stream recycled commodities.</w:t>
      </w:r>
      <w:r>
        <w:rPr>
          <w:rFonts w:ascii="Arial" w:cs="Arial" w:eastAsia="Arial" w:hAnsi="Arial"/>
          <w:sz w:val="29"/>
          <w:szCs w:val="29"/>
          <w:color w:val="auto"/>
          <w:vertAlign w:val="superscript"/>
        </w:rPr>
        <w:t>(g)</w:t>
      </w:r>
      <w:r>
        <w:rPr>
          <w:rFonts w:ascii="Arial" w:cs="Arial" w:eastAsia="Arial" w:hAnsi="Arial"/>
          <w:sz w:val="18"/>
          <w:szCs w:val="18"/>
          <w:color w:val="auto"/>
        </w:rPr>
        <w:t xml:space="preserve"> WM’s automated facilities continue to see strong improvements in product quality, throughput, and labor costs, which is mitigating the commodity price pressure on earnings.</w:t>
      </w:r>
    </w:p>
    <w:p>
      <w:pPr>
        <w:spacing w:after="0" w:line="2" w:lineRule="exact"/>
        <w:rPr>
          <w:rFonts w:ascii="Arial" w:cs="Arial" w:eastAsia="Arial" w:hAnsi="Arial"/>
          <w:sz w:val="18"/>
          <w:szCs w:val="18"/>
          <w:color w:val="auto"/>
        </w:rPr>
      </w:pPr>
    </w:p>
    <w:p>
      <w:pPr>
        <w:jc w:val="both"/>
        <w:ind w:left="328" w:right="1159"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EBITDA in the Company’s renewable energy business declined by $13 million compared to the third quarter of 2022, which was in line with expectations and primarily driven by decreases in the value of energy prices and renewable fuel standard credits.</w:t>
      </w:r>
      <w:r>
        <w:rPr>
          <w:rFonts w:ascii="Arial" w:cs="Arial" w:eastAsia="Arial" w:hAnsi="Arial"/>
          <w:sz w:val="29"/>
          <w:szCs w:val="29"/>
          <w:color w:val="auto"/>
          <w:vertAlign w:val="superscript"/>
        </w:rPr>
        <w:t>(g)</w:t>
      </w:r>
    </w:p>
    <w:p>
      <w:pPr>
        <w:spacing w:after="0" w:line="24"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Free Cash Flow &amp; Capital Allocation</w:t>
      </w:r>
    </w:p>
    <w:p>
      <w:pPr>
        <w:spacing w:after="0" w:line="221" w:lineRule="exact"/>
        <w:rPr>
          <w:sz w:val="20"/>
          <w:szCs w:val="20"/>
          <w:color w:val="auto"/>
        </w:rPr>
      </w:pPr>
    </w:p>
    <w:tbl>
      <w:tblPr>
        <w:tblLayout w:type="fixed"/>
        <w:tblInd w:w="328"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40" w:type="dxa"/>
            <w:vAlign w:val="bottom"/>
            <w:gridSpan w:val="6"/>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4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4"/>
                <w:szCs w:val="14"/>
                <w:color w:val="auto"/>
              </w:rPr>
            </w:pPr>
          </w:p>
        </w:tc>
      </w:tr>
      <w:tr>
        <w:trPr>
          <w:trHeight w:val="175"/>
        </w:trPr>
        <w:tc>
          <w:tcPr>
            <w:tcW w:w="4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spacing w:after="0"/>
              <w:rPr>
                <w:sz w:val="15"/>
                <w:szCs w:val="15"/>
                <w:color w:val="auto"/>
              </w:rPr>
            </w:pPr>
          </w:p>
        </w:tc>
      </w:tr>
      <w:tr>
        <w:trPr>
          <w:trHeight w:val="196"/>
        </w:trPr>
        <w:tc>
          <w:tcPr>
            <w:tcW w:w="4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    </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211"/>
        </w:trPr>
        <w:tc>
          <w:tcPr>
            <w:tcW w:w="47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66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1,263</w:t>
            </w:r>
          </w:p>
        </w:tc>
        <w:tc>
          <w:tcPr>
            <w:tcW w:w="6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1,182</w:t>
            </w:r>
          </w:p>
        </w:tc>
      </w:tr>
      <w:tr>
        <w:trPr>
          <w:trHeight w:val="196"/>
        </w:trPr>
        <w:tc>
          <w:tcPr>
            <w:tcW w:w="4720" w:type="dxa"/>
            <w:vAlign w:val="bottom"/>
          </w:tcPr>
          <w:p>
            <w:pPr>
              <w:spacing w:after="0"/>
              <w:rPr>
                <w:sz w:val="20"/>
                <w:szCs w:val="20"/>
                <w:color w:val="auto"/>
              </w:rPr>
            </w:pPr>
            <w:r>
              <w:rPr>
                <w:rFonts w:ascii="Arial" w:cs="Arial" w:eastAsia="Arial" w:hAnsi="Arial"/>
                <w:sz w:val="14"/>
                <w:szCs w:val="14"/>
                <w:color w:val="auto"/>
              </w:rPr>
              <w:t>Capital expenditures to support the business</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w w:val="91"/>
              </w:rPr>
              <w:t>(493)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Proceeds from divestitures of businesses and other assets,</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720" w:type="dxa"/>
            <w:vAlign w:val="bottom"/>
          </w:tcPr>
          <w:p>
            <w:pPr>
              <w:ind w:left="80"/>
              <w:spacing w:after="0"/>
              <w:rPr>
                <w:sz w:val="20"/>
                <w:szCs w:val="20"/>
                <w:color w:val="auto"/>
              </w:rPr>
            </w:pPr>
            <w:r>
              <w:rPr>
                <w:rFonts w:ascii="Arial" w:cs="Arial" w:eastAsia="Arial" w:hAnsi="Arial"/>
                <w:sz w:val="14"/>
                <w:szCs w:val="14"/>
                <w:color w:val="auto"/>
              </w:rPr>
              <w:t>net of cash divested</w:t>
            </w:r>
          </w:p>
        </w:tc>
        <w:tc>
          <w:tcPr>
            <w:tcW w:w="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35"/>
        </w:trPr>
        <w:tc>
          <w:tcPr>
            <w:tcW w:w="4720" w:type="dxa"/>
            <w:vAlign w:val="bottom"/>
          </w:tcPr>
          <w:p>
            <w:pPr>
              <w:spacing w:after="0"/>
              <w:rPr>
                <w:sz w:val="20"/>
                <w:szCs w:val="20"/>
                <w:color w:val="auto"/>
              </w:rPr>
            </w:pPr>
            <w:r>
              <w:rPr>
                <w:rFonts w:ascii="Arial" w:cs="Arial" w:eastAsia="Arial" w:hAnsi="Arial"/>
                <w:sz w:val="14"/>
                <w:szCs w:val="14"/>
                <w:b w:val="1"/>
                <w:bCs w:val="1"/>
                <w:color w:val="auto"/>
              </w:rPr>
              <w:t>Free cash flow without sustainability growth investments</w:t>
            </w: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642</w:t>
            </w:r>
          </w:p>
        </w:tc>
      </w:tr>
      <w:tr>
        <w:trPr>
          <w:trHeight w:val="191"/>
        </w:trPr>
        <w:tc>
          <w:tcPr>
            <w:tcW w:w="4720" w:type="dxa"/>
            <w:vAlign w:val="bottom"/>
          </w:tcPr>
          <w:p>
            <w:pPr>
              <w:spacing w:after="0"/>
              <w:rPr>
                <w:sz w:val="20"/>
                <w:szCs w:val="20"/>
                <w:color w:val="auto"/>
              </w:rPr>
            </w:pPr>
            <w:r>
              <w:rPr>
                <w:rFonts w:ascii="Arial" w:cs="Arial" w:eastAsia="Arial" w:hAnsi="Arial"/>
                <w:sz w:val="14"/>
                <w:szCs w:val="14"/>
                <w:color w:val="auto"/>
              </w:rPr>
              <w:t>Capital expenditures - sustainability growth investments</w:t>
            </w:r>
          </w:p>
        </w:tc>
        <w:tc>
          <w:tcPr>
            <w:tcW w:w="8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w w:val="91"/>
              </w:rPr>
              <w:t>(180)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r>
      <w:tr>
        <w:trPr>
          <w:trHeight w:val="183"/>
        </w:trPr>
        <w:tc>
          <w:tcPr>
            <w:tcW w:w="472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166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612</w:t>
            </w:r>
          </w:p>
        </w:tc>
        <w:tc>
          <w:tcPr>
            <w:tcW w:w="6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432</w:t>
            </w:r>
          </w:p>
        </w:tc>
      </w:tr>
      <w:tr>
        <w:trPr>
          <w:trHeight w:val="20"/>
        </w:trPr>
        <w:tc>
          <w:tcPr>
            <w:tcW w:w="4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328" w:right="1159" w:hanging="328"/>
        <w:spacing w:after="0" w:line="241"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from operations increased 6.9% in the third quarter of 2023, driven by strong operating EBITDA growth.</w:t>
      </w:r>
    </w:p>
    <w:p>
      <w:pPr>
        <w:spacing w:after="0" w:line="1" w:lineRule="exact"/>
        <w:rPr>
          <w:rFonts w:ascii="Arial" w:cs="Arial" w:eastAsia="Arial" w:hAnsi="Arial"/>
          <w:sz w:val="18"/>
          <w:szCs w:val="18"/>
          <w:color w:val="auto"/>
        </w:rPr>
      </w:pPr>
    </w:p>
    <w:p>
      <w:pPr>
        <w:ind w:left="328" w:right="1159" w:hanging="328"/>
        <w:spacing w:after="0" w:line="246"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third quarter of 2023, $653 million was returned to shareholders, including $283 million of cash dividends and $370 million of share repurchases.</w:t>
      </w:r>
    </w:p>
    <w:p>
      <w:pPr>
        <w:spacing w:after="0" w:line="161"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Sustainability Update</w:t>
      </w:r>
    </w:p>
    <w:p>
      <w:pPr>
        <w:spacing w:after="0" w:line="208" w:lineRule="exact"/>
        <w:rPr>
          <w:rFonts w:ascii="Arial" w:cs="Arial" w:eastAsia="Arial" w:hAnsi="Arial"/>
          <w:sz w:val="18"/>
          <w:szCs w:val="18"/>
          <w:color w:val="auto"/>
        </w:rPr>
      </w:pPr>
    </w:p>
    <w:p>
      <w:pPr>
        <w:jc w:val="both"/>
        <w:ind w:left="328" w:right="1159" w:hanging="328"/>
        <w:spacing w:after="0" w:line="22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continues to advance its sustainability growth investments in both the renewable energy and recycling businesses, and management continues to expect that the previously announced investments will deliver approximately $740 million in incremental annual adjusted operating EBITDA contributions beginning in 2026, with approximately $500 million coming from renewable energy investments and approximately $240 million coming from recycling investments.</w:t>
      </w:r>
      <w:r>
        <w:rPr>
          <w:rFonts w:ascii="Arial" w:cs="Arial" w:eastAsia="Arial" w:hAnsi="Arial"/>
          <w:sz w:val="29"/>
          <w:szCs w:val="29"/>
          <w:color w:val="auto"/>
          <w:vertAlign w:val="superscript"/>
        </w:rPr>
        <w:t>(a)(h)</w:t>
      </w:r>
    </w:p>
    <w:p>
      <w:pPr>
        <w:jc w:val="both"/>
        <w:ind w:left="328" w:right="1159"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third quarter, technology and automation upgrades were completed at two of WM’s recycling facilities, and another two automation projects and a new market facility are expected to be in service by the end of the year. Additionally, the Company expects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591820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7"/>
          </w:cols>
          <w:pgMar w:left="652" w:top="1089" w:right="1440"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have its seventh renewable natural gas facility, the third in its growth program, in service in January.</w:t>
      </w:r>
    </w:p>
    <w:p>
      <w:pPr>
        <w:spacing w:after="0" w:line="8" w:lineRule="exact"/>
        <w:rPr>
          <w:sz w:val="20"/>
          <w:szCs w:val="20"/>
          <w:color w:val="auto"/>
        </w:rPr>
      </w:pPr>
    </w:p>
    <w:p>
      <w:pPr>
        <w:jc w:val="both"/>
        <w:ind w:left="660" w:right="1159" w:hanging="328"/>
        <w:spacing w:after="0" w:line="21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now expects sustainability growth capital spending of about $750 million in 2023. The decrease from prior expectations is based on a shift in the timing of spending across the next few quarters. As a result of lower anticipated capital spending, 2023 free cash flow is expected to be in the range of $1.825 and $1.925 billion.</w:t>
      </w:r>
      <w:r>
        <w:rPr>
          <w:rFonts w:ascii="Arial" w:cs="Arial" w:eastAsia="Arial" w:hAnsi="Arial"/>
          <w:sz w:val="29"/>
          <w:szCs w:val="29"/>
          <w:color w:val="auto"/>
          <w:vertAlign w:val="superscript"/>
        </w:rPr>
        <w:t>(a)</w:t>
      </w:r>
    </w:p>
    <w:p>
      <w:pPr>
        <w:spacing w:after="0" w:line="3" w:lineRule="exact"/>
        <w:rPr>
          <w:rFonts w:ascii="Arial" w:cs="Arial" w:eastAsia="Arial" w:hAnsi="Arial"/>
          <w:sz w:val="18"/>
          <w:szCs w:val="18"/>
          <w:color w:val="auto"/>
        </w:rPr>
      </w:pPr>
    </w:p>
    <w:p>
      <w:pPr>
        <w:ind w:left="660" w:right="1159"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WM released its </w:t>
      </w:r>
      <w:r>
        <w:rPr>
          <w:rFonts w:ascii="Arial" w:cs="Arial" w:eastAsia="Arial" w:hAnsi="Arial"/>
          <w:sz w:val="18"/>
          <w:szCs w:val="18"/>
          <w:u w:val="single" w:color="auto"/>
          <w:color w:val="auto"/>
        </w:rPr>
        <w:t>2023 Sustainability Report</w:t>
      </w:r>
      <w:r>
        <w:rPr>
          <w:rFonts w:ascii="Arial" w:cs="Arial" w:eastAsia="Arial" w:hAnsi="Arial"/>
          <w:sz w:val="18"/>
          <w:szCs w:val="18"/>
          <w:color w:val="auto"/>
        </w:rPr>
        <w:t xml:space="preserve"> during the third quarter, providing details about the Company’s sustainability ambitions, strategy, and progress toward its goals.</w:t>
      </w:r>
    </w:p>
    <w:p>
      <w:pPr>
        <w:spacing w:after="0" w:line="171" w:lineRule="exact"/>
        <w:rPr>
          <w:sz w:val="20"/>
          <w:szCs w:val="20"/>
          <w:color w:val="auto"/>
        </w:rPr>
      </w:pPr>
    </w:p>
    <w:p>
      <w:pPr>
        <w:jc w:val="both"/>
        <w:ind w:right="1159"/>
        <w:spacing w:after="0" w:line="243" w:lineRule="auto"/>
        <w:rPr>
          <w:sz w:val="20"/>
          <w:szCs w:val="20"/>
          <w:color w:val="auto"/>
        </w:rPr>
      </w:pPr>
      <w:r>
        <w:rPr>
          <w:rFonts w:ascii="Arial" w:cs="Arial" w:eastAsia="Arial" w:hAnsi="Arial"/>
          <w:sz w:val="18"/>
          <w:szCs w:val="18"/>
          <w:color w:val="auto"/>
        </w:rPr>
        <w:t>“We are pleased with our results in the initial three quarters of the year across all key financial metrics giving us confidence in our ability to deliver on the guidance we communicated in July. Our team remains focused on continuing to drive operating leverage in the business to deliver a strong finish to this year and lay the groundwork for further growth in 2024,” Fish concluded.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 w:lineRule="exact"/>
        <w:rPr>
          <w:sz w:val="20"/>
          <w:szCs w:val="20"/>
          <w:color w:val="auto"/>
        </w:rPr>
      </w:pPr>
    </w:p>
    <w:p>
      <w:pPr>
        <w:ind w:left="660" w:right="1159" w:hanging="328"/>
        <w:spacing w:after="0" w:line="25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29" w:lineRule="exact"/>
        <w:rPr>
          <w:rFonts w:ascii="Arial" w:cs="Arial" w:eastAsia="Arial" w:hAnsi="Arial"/>
          <w:sz w:val="14"/>
          <w:szCs w:val="14"/>
          <w:color w:val="auto"/>
        </w:rPr>
      </w:pPr>
    </w:p>
    <w:p>
      <w:pPr>
        <w:ind w:left="660" w:right="1159" w:hanging="328"/>
        <w:spacing w:after="0" w:line="27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19" w:lineRule="exact"/>
        <w:rPr>
          <w:rFonts w:ascii="Arial" w:cs="Arial" w:eastAsia="Arial" w:hAnsi="Arial"/>
          <w:sz w:val="14"/>
          <w:szCs w:val="14"/>
          <w:color w:val="auto"/>
        </w:rPr>
      </w:pPr>
    </w:p>
    <w:p>
      <w:pPr>
        <w:ind w:left="660" w:right="1159" w:hanging="328"/>
        <w:spacing w:after="0" w:line="27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19" w:lineRule="exact"/>
        <w:rPr>
          <w:rFonts w:ascii="Arial" w:cs="Arial" w:eastAsia="Arial" w:hAnsi="Arial"/>
          <w:sz w:val="14"/>
          <w:szCs w:val="14"/>
          <w:color w:val="auto"/>
        </w:rPr>
      </w:pPr>
    </w:p>
    <w:p>
      <w:pPr>
        <w:jc w:val="both"/>
        <w:ind w:left="660" w:right="1159" w:hanging="328"/>
        <w:spacing w:after="0" w:line="249"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Core price is a performance metric measuring cumulative price changes net of churn plus price changes from ancillary fees excluding fuel surcharges. It is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36" w:lineRule="exact"/>
        <w:rPr>
          <w:rFonts w:ascii="Arial" w:cs="Arial" w:eastAsia="Arial" w:hAnsi="Arial"/>
          <w:sz w:val="14"/>
          <w:szCs w:val="14"/>
          <w:color w:val="auto"/>
        </w:rPr>
      </w:pPr>
    </w:p>
    <w:p>
      <w:pPr>
        <w:jc w:val="both"/>
        <w:ind w:left="660" w:right="1159" w:hanging="328"/>
        <w:spacing w:after="0" w:line="257"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Collection and disposal yield reflects the effect on revenue from the pricing activities of collection, transfer and landfill operations, exclusive of volume changes. It is calculated by dividing the increase or decrease for the current year period by the prior year period’s related business revenue, adjusted to exclude the impacts of divestitures for the current year period.</w:t>
      </w:r>
    </w:p>
    <w:p>
      <w:pPr>
        <w:spacing w:after="0" w:line="130" w:lineRule="exact"/>
        <w:rPr>
          <w:rFonts w:ascii="Arial" w:cs="Arial" w:eastAsia="Arial" w:hAnsi="Arial"/>
          <w:sz w:val="14"/>
          <w:szCs w:val="14"/>
          <w:color w:val="auto"/>
        </w:rPr>
      </w:pPr>
    </w:p>
    <w:p>
      <w:pPr>
        <w:jc w:val="both"/>
        <w:ind w:left="660" w:right="1159" w:hanging="328"/>
        <w:spacing w:after="0" w:line="257"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first quarter of 2023, the Company updated its collection and disposal operating EBITDA calculation with a more accurate allocation of costs to this line of business. The Company has restated the prior periods to be consistent with the current year presentation.</w:t>
      </w:r>
    </w:p>
    <w:p>
      <w:pPr>
        <w:spacing w:after="0" w:line="130" w:lineRule="exact"/>
        <w:rPr>
          <w:rFonts w:ascii="Arial" w:cs="Arial" w:eastAsia="Arial" w:hAnsi="Arial"/>
          <w:sz w:val="14"/>
          <w:szCs w:val="14"/>
          <w:color w:val="auto"/>
        </w:rPr>
      </w:pPr>
    </w:p>
    <w:p>
      <w:pPr>
        <w:jc w:val="both"/>
        <w:ind w:left="660" w:right="1159" w:hanging="328"/>
        <w:spacing w:after="0" w:line="249"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third quarter of 2023, the Company’s average recycled commodity price was $58 per ton compared to $94 per ton in the third quarter of 2022. The blended average value of renewable fuel standard credits was $2.65 in the third quarter compared to $2.86 in the prior year period. The average natural gas price was $2.11 per MMBtu in the third quarter compared to $7.21 per MMBtu in the prior year period, and the average electricity price was $65 per megawatt hour in the third quarter compared to about $81 per megawatt hour in the prior year period.</w:t>
      </w:r>
    </w:p>
    <w:p>
      <w:pPr>
        <w:spacing w:after="0" w:line="136" w:lineRule="exact"/>
        <w:rPr>
          <w:rFonts w:ascii="Arial" w:cs="Arial" w:eastAsia="Arial" w:hAnsi="Arial"/>
          <w:sz w:val="14"/>
          <w:szCs w:val="14"/>
          <w:color w:val="auto"/>
        </w:rPr>
      </w:pPr>
    </w:p>
    <w:p>
      <w:pPr>
        <w:jc w:val="both"/>
        <w:ind w:left="660" w:right="1159" w:hanging="328"/>
        <w:spacing w:after="0" w:line="257"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Projections are based on commodity price assumptions of $26 per MMBtu for renewable natural gas and $125 per ton for the blended average value of single-stream recycled commodities. In the recycling business, projected incremental annual operating EBITDA by 2026 ranges from $200 to $260 million assuming commodity prices range from $75 to $150 per ton.</w:t>
      </w:r>
    </w:p>
    <w:p>
      <w:pPr>
        <w:spacing w:after="0" w:line="123" w:lineRule="exact"/>
        <w:rPr>
          <w:sz w:val="20"/>
          <w:szCs w:val="20"/>
          <w:color w:val="auto"/>
        </w:rPr>
      </w:pPr>
    </w:p>
    <w:p>
      <w:pPr>
        <w:jc w:val="both"/>
        <w:ind w:right="1159"/>
        <w:spacing w:after="0" w:line="247" w:lineRule="auto"/>
        <w:rPr>
          <w:sz w:val="20"/>
          <w:szCs w:val="20"/>
          <w:color w:val="auto"/>
        </w:rPr>
      </w:pPr>
      <w:r>
        <w:rPr>
          <w:rFonts w:ascii="Arial" w:cs="Arial" w:eastAsia="Arial" w:hAnsi="Arial"/>
          <w:sz w:val="18"/>
          <w:szCs w:val="18"/>
          <w:color w:val="auto"/>
        </w:rPr>
        <w:t>The Company will host a conference call at 10 a.m. ET on October 25, 2023 to discuss the third quarter results. Information contained within this press release will be referenced and should be considered in conjunction with the call.</w:t>
      </w:r>
    </w:p>
    <w:p>
      <w:pPr>
        <w:spacing w:after="0" w:line="171" w:lineRule="exact"/>
        <w:rPr>
          <w:sz w:val="20"/>
          <w:szCs w:val="20"/>
          <w:color w:val="auto"/>
        </w:rPr>
      </w:pPr>
    </w:p>
    <w:p>
      <w:pPr>
        <w:jc w:val="both"/>
        <w:ind w:right="1139"/>
        <w:spacing w:after="0" w:line="247" w:lineRule="auto"/>
        <w:rPr>
          <w:sz w:val="20"/>
          <w:szCs w:val="20"/>
          <w:color w:val="auto"/>
        </w:rPr>
      </w:pPr>
      <w:r>
        <w:rPr>
          <w:rFonts w:ascii="Arial" w:cs="Arial" w:eastAsia="Arial" w:hAnsi="Arial"/>
          <w:sz w:val="18"/>
          <w:szCs w:val="18"/>
          <w:color w:val="auto"/>
        </w:rPr>
        <w:t xml:space="preserve">Listeners can access a live audio webcast of the conference call by visiting </w:t>
      </w:r>
      <w:r>
        <w:rPr>
          <w:rFonts w:ascii="Arial" w:cs="Arial" w:eastAsia="Arial" w:hAnsi="Arial"/>
          <w:sz w:val="18"/>
          <w:szCs w:val="18"/>
          <w:u w:val="single" w:color="auto"/>
          <w:color w:val="auto"/>
        </w:rPr>
        <w:t>investors.wm.com</w:t>
      </w:r>
      <w:r>
        <w:rPr>
          <w:rFonts w:ascii="Arial" w:cs="Arial" w:eastAsia="Arial" w:hAnsi="Arial"/>
          <w:sz w:val="18"/>
          <w:szCs w:val="18"/>
          <w:color w:val="auto"/>
        </w:rPr>
        <w:t xml:space="preserve"> and selecting “Events &amp; Presentations” from the website menu. A replay of the audio webcast will be available at the same location following the conclusion of the call.</w:t>
      </w:r>
    </w:p>
    <w:p>
      <w:pPr>
        <w:spacing w:after="0" w:line="171" w:lineRule="exact"/>
        <w:rPr>
          <w:sz w:val="20"/>
          <w:szCs w:val="20"/>
          <w:color w:val="auto"/>
        </w:rPr>
      </w:pPr>
    </w:p>
    <w:p>
      <w:pPr>
        <w:jc w:val="both"/>
        <w:ind w:right="1159"/>
        <w:spacing w:after="0" w:line="260" w:lineRule="auto"/>
        <w:rPr>
          <w:sz w:val="20"/>
          <w:szCs w:val="20"/>
          <w:color w:val="auto"/>
        </w:rPr>
      </w:pPr>
      <w:r>
        <w:rPr>
          <w:rFonts w:ascii="Arial" w:cs="Arial" w:eastAsia="Arial" w:hAnsi="Arial"/>
          <w:sz w:val="18"/>
          <w:szCs w:val="18"/>
          <w:color w:val="auto"/>
        </w:rPr>
        <w:t xml:space="preserve">Conference call participants must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to obtain their dial in and passcode details. This streamlined process improves security and eliminates wait times when joining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7" w:right="1440"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ABOUT WM</w:t>
      </w:r>
    </w:p>
    <w:p>
      <w:pPr>
        <w:spacing w:after="0" w:line="22" w:lineRule="exact"/>
        <w:rPr>
          <w:sz w:val="20"/>
          <w:szCs w:val="20"/>
          <w:color w:val="auto"/>
        </w:rPr>
      </w:pPr>
    </w:p>
    <w:p>
      <w:pPr>
        <w:jc w:val="both"/>
        <w:ind w:right="1139"/>
        <w:spacing w:after="0"/>
        <w:rPr>
          <w:sz w:val="20"/>
          <w:szCs w:val="20"/>
          <w:color w:val="auto"/>
        </w:rPr>
      </w:pPr>
      <w:r>
        <w:rPr>
          <w:rFonts w:ascii="Arial" w:cs="Arial" w:eastAsia="Arial" w:hAnsi="Arial"/>
          <w:sz w:val="18"/>
          <w:szCs w:val="18"/>
          <w:color w:val="auto"/>
        </w:rPr>
        <w:t>WM (</w:t>
      </w:r>
      <w:r>
        <w:rPr>
          <w:rFonts w:ascii="Arial" w:cs="Arial" w:eastAsia="Arial" w:hAnsi="Arial"/>
          <w:sz w:val="18"/>
          <w:szCs w:val="18"/>
          <w:u w:val="single" w:color="auto"/>
          <w:color w:val="auto"/>
        </w:rPr>
        <w:t>WM.com</w:t>
      </w:r>
      <w:r>
        <w:rPr>
          <w:rFonts w:ascii="Arial" w:cs="Arial" w:eastAsia="Arial" w:hAnsi="Arial"/>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nearly 11,000 natural gas trucks – the largest heavy-duty natural gas truck fleet of its kind in North America. To learn more about WM and the company's sustainability progress and solutions, visit </w:t>
      </w:r>
      <w:r>
        <w:rPr>
          <w:rFonts w:ascii="Arial" w:cs="Arial" w:eastAsia="Arial" w:hAnsi="Arial"/>
          <w:sz w:val="18"/>
          <w:szCs w:val="18"/>
          <w:u w:val="single" w:color="auto"/>
          <w:color w:val="auto"/>
        </w:rPr>
        <w:t>Sustainability.WM.com</w:t>
      </w:r>
      <w:r>
        <w:rPr>
          <w:rFonts w:ascii="Arial" w:cs="Arial" w:eastAsia="Arial" w:hAnsi="Arial"/>
          <w:sz w:val="18"/>
          <w:szCs w:val="18"/>
          <w:color w:val="auto"/>
        </w:rPr>
        <w:t>.</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 w:lineRule="exact"/>
        <w:rPr>
          <w:sz w:val="20"/>
          <w:szCs w:val="20"/>
          <w:color w:val="auto"/>
        </w:rPr>
      </w:pPr>
    </w:p>
    <w:p>
      <w:pPr>
        <w:jc w:val="both"/>
        <w:ind w:right="1139"/>
        <w:spacing w:after="0" w:line="235" w:lineRule="auto"/>
        <w:rPr>
          <w:sz w:val="20"/>
          <w:szCs w:val="20"/>
          <w:color w:val="auto"/>
        </w:rPr>
      </w:pPr>
      <w:r>
        <w:rPr>
          <w:rFonts w:ascii="Arial" w:cs="Arial" w:eastAsia="Arial" w:hAnsi="Arial"/>
          <w:sz w:val="18"/>
          <w:szCs w:val="18"/>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but not limited to statements under the heading “Sustainability Update” and all statements regarding future performance or financial results of our business; achievement of our full-year financial guidance; 2023 free cash flow; future capital expenditures; pricing results; commodity price assumptions; costs management and cost reduction; future execution of and investment in strategic priorities, including technology, automation, and sustainability projects; and timing, outcomes and benefits from investment in such strategic priorities.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and environmental, social, and governance performance and disclosure; increasing attention to sustainability matters and heightened scrutiny of sustainability measurements, objectives and disclosures, which could lead to increased litigation risk related to our sustainability efforts;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extreme weather and destructive climate events; failure to achieve our sustainability goals or execute on our sustainability-related strategy and initiatives; public health risk, increased costs and disruption due to a future resurgence of pandemic conditions and restrictions; macroeconomic conditions, geopolitical conflict and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7" w:name="page8"/>
    <w:bookmarkEnd w:id="7"/>
    <w:p>
      <w:pPr>
        <w:jc w:val="both"/>
        <w:ind w:right="1159"/>
        <w:spacing w:after="0" w:line="243" w:lineRule="auto"/>
        <w:rPr>
          <w:sz w:val="20"/>
          <w:szCs w:val="20"/>
          <w:color w:val="auto"/>
        </w:rPr>
      </w:pPr>
      <w:r>
        <w:rPr>
          <w:rFonts w:ascii="Arial" w:cs="Arial" w:eastAsia="Arial" w:hAnsi="Arial"/>
          <w:sz w:val="18"/>
          <w:szCs w:val="18"/>
          <w:color w:val="auto"/>
        </w:rPr>
        <w:t>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ind w:right="1139"/>
        <w:spacing w:after="0" w:line="248" w:lineRule="auto"/>
        <w:rPr>
          <w:sz w:val="20"/>
          <w:szCs w:val="20"/>
          <w:color w:val="auto"/>
        </w:rPr>
      </w:pPr>
      <w:r>
        <w:rPr>
          <w:rFonts w:ascii="Arial" w:cs="Arial" w:eastAsia="Arial" w:hAnsi="Arial"/>
          <w:sz w:val="16"/>
          <w:szCs w:val="16"/>
          <w:color w:val="auto"/>
        </w:rPr>
        <w:t>To supplement its financial information, the Company has presented, and/or may discuss on the conference call, adjusted earnings per diluted share, adjusted net income, adjusted income from operations, adjusted operating EBITDA, adjusted operating EBITDA margin, adjusted SG&amp;A expenses, and free cash flow, as well as projections of adjusted operating EBITDA and free cash flow.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357" w:lineRule="exact"/>
        <w:rPr>
          <w:sz w:val="20"/>
          <w:szCs w:val="20"/>
          <w:color w:val="auto"/>
        </w:rPr>
      </w:pPr>
    </w:p>
    <w:p>
      <w:pPr>
        <w:jc w:val="both"/>
        <w:ind w:right="1139"/>
        <w:spacing w:after="0" w:line="252" w:lineRule="auto"/>
        <w:rPr>
          <w:sz w:val="20"/>
          <w:szCs w:val="20"/>
          <w:color w:val="auto"/>
        </w:rPr>
      </w:pPr>
      <w:r>
        <w:rPr>
          <w:rFonts w:ascii="Arial" w:cs="Arial" w:eastAsia="Arial" w:hAnsi="Arial"/>
          <w:sz w:val="16"/>
          <w:szCs w:val="16"/>
          <w:color w:val="auto"/>
        </w:rPr>
        <w:t>In addition, the Company’s projected future operating EBITDA is anticipated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64" w:lineRule="exact"/>
        <w:rPr>
          <w:sz w:val="20"/>
          <w:szCs w:val="20"/>
          <w:color w:val="auto"/>
        </w:rPr>
      </w:pPr>
    </w:p>
    <w:p>
      <w:pPr>
        <w:jc w:val="both"/>
        <w:ind w:right="1139"/>
        <w:spacing w:after="0" w:line="250" w:lineRule="auto"/>
        <w:rPr>
          <w:sz w:val="20"/>
          <w:szCs w:val="20"/>
          <w:color w:val="auto"/>
        </w:rPr>
      </w:pPr>
      <w:r>
        <w:rPr>
          <w:rFonts w:ascii="Arial" w:cs="Arial" w:eastAsia="Arial" w:hAnsi="Arial"/>
          <w:sz w:val="16"/>
          <w:szCs w:val="16"/>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65" w:lineRule="exact"/>
        <w:rPr>
          <w:sz w:val="20"/>
          <w:szCs w:val="20"/>
          <w:color w:val="auto"/>
        </w:rPr>
      </w:pPr>
    </w:p>
    <w:p>
      <w:pPr>
        <w:jc w:val="both"/>
        <w:ind w:right="1159"/>
        <w:spacing w:after="0" w:line="261" w:lineRule="auto"/>
        <w:rPr>
          <w:sz w:val="20"/>
          <w:szCs w:val="20"/>
          <w:color w:val="auto"/>
        </w:rPr>
      </w:pPr>
      <w:r>
        <w:rPr>
          <w:rFonts w:ascii="Arial" w:cs="Arial" w:eastAsia="Arial" w:hAnsi="Arial"/>
          <w:sz w:val="16"/>
          <w:szCs w:val="16"/>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16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6"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5"/>
          </w:tcPr>
          <w:p>
            <w:pPr>
              <w:jc w:val="right"/>
              <w:ind w:right="47"/>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6"/>
          </w:tcPr>
          <w:p>
            <w:pPr>
              <w:jc w:val="right"/>
              <w:ind w:right="60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4"/>
          </w:tcPr>
          <w:p>
            <w:pPr>
              <w:jc w:val="right"/>
              <w:ind w:right="307"/>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82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5,075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3,188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8"/>
              </w:rPr>
              <w:t>3,156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(Gain) loss from divestitures, asset impairments and unusual items, net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4,177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4,133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Equity in net losses of unconsolidated entities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Weighted average basic common shares outstanding</w:t>
            </w: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404.0</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412.0</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diluted common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405.9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414.3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Cash and cash equivalents Receivables, net Other</w:t>
      </w:r>
    </w:p>
    <w:p>
      <w:pPr>
        <w:spacing w:after="0" w:line="1" w:lineRule="exact"/>
        <w:rPr>
          <w:sz w:val="20"/>
          <w:szCs w:val="20"/>
          <w:color w:val="auto"/>
        </w:rPr>
      </w:pPr>
    </w:p>
    <w:p>
      <w:pPr>
        <w:ind w:right="260" w:firstLine="216"/>
        <w:spacing w:after="0" w:line="255" w:lineRule="auto"/>
        <w:rPr>
          <w:sz w:val="20"/>
          <w:szCs w:val="20"/>
          <w:color w:val="auto"/>
        </w:rPr>
      </w:pPr>
      <w:r>
        <w:rPr>
          <w:rFonts w:ascii="Arial" w:cs="Arial" w:eastAsia="Arial" w:hAnsi="Arial"/>
          <w:sz w:val="18"/>
          <w:szCs w:val="18"/>
          <w:color w:val="auto"/>
        </w:rPr>
        <w:t>Total current assets Property and equipment, net Goodwill</w:t>
      </w:r>
    </w:p>
    <w:p>
      <w:pPr>
        <w:spacing w:after="0" w:line="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Other intangible assets, net Other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4"/>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rPr>
              <w:t>WASTE MANAGEMENT, INC.</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5"/>
              </w:rPr>
              <w:t>(In Millions)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960" w:type="dxa"/>
            <w:vAlign w:val="bottom"/>
          </w:tcPr>
          <w:p>
            <w:pPr>
              <w:spacing w:after="0"/>
              <w:rPr>
                <w:sz w:val="24"/>
                <w:szCs w:val="2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2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15,719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-1560195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-1276985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-1002665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-711200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-436880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-154305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-127635</wp:posOffset>
            </wp:positionV>
            <wp:extent cx="170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2300" w:space="720"/>
            <w:col w:w="822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Accounts payable, accrued liabilities and deferred revenues</w:t>
            </w:r>
          </w:p>
        </w:tc>
        <w:tc>
          <w:tcPr>
            <w:tcW w:w="24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3,921</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3,980</w:t>
            </w:r>
          </w:p>
        </w:tc>
        <w:tc>
          <w:tcPr>
            <w:tcW w:w="80" w:type="dxa"/>
            <w:vAlign w:val="bottom"/>
          </w:tcPr>
          <w:p>
            <w:pPr>
              <w:spacing w:after="0"/>
              <w:rPr>
                <w:sz w:val="18"/>
                <w:szCs w:val="18"/>
                <w:color w:val="auto"/>
              </w:rPr>
            </w:pPr>
          </w:p>
        </w:tc>
      </w:tr>
      <w:tr>
        <w:trPr>
          <w:trHeight w:val="229"/>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9"/>
                <w:szCs w:val="19"/>
                <w:color w:val="auto"/>
              </w:rPr>
            </w:pPr>
          </w:p>
        </w:tc>
      </w:tr>
      <w:tr>
        <w:trPr>
          <w:trHeight w:val="210"/>
        </w:trPr>
        <w:tc>
          <w:tcPr>
            <w:tcW w:w="64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14,570</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5,618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5,539</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8"/>
                <w:szCs w:val="18"/>
                <w:color w:val="auto"/>
              </w:rPr>
              <w:t>Equity:</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Waste Management, Inc. stockholders’ equity</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6,849</w:t>
            </w:r>
          </w:p>
        </w:tc>
        <w:tc>
          <w:tcPr>
            <w:tcW w:w="80" w:type="dxa"/>
            <w:vAlign w:val="bottom"/>
            <w:shd w:val="clear" w:color="auto" w:fill="CCEEFF"/>
          </w:tcPr>
          <w:p>
            <w:pPr>
              <w:spacing w:after="0"/>
              <w:rPr>
                <w:sz w:val="18"/>
                <w:szCs w:val="18"/>
                <w:color w:val="auto"/>
              </w:rPr>
            </w:pPr>
          </w:p>
        </w:tc>
      </w:tr>
      <w:tr>
        <w:trPr>
          <w:trHeight w:val="229"/>
        </w:trPr>
        <w:tc>
          <w:tcPr>
            <w:tcW w:w="642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2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1,807</w:t>
            </w:r>
          </w:p>
        </w:tc>
        <w:tc>
          <w:tcPr>
            <w:tcW w:w="440" w:type="dxa"/>
            <w:vAlign w:val="bottom"/>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1,545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(1,725)</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29"/>
        </w:trPr>
        <w:tc>
          <w:tcPr>
            <w:tcW w:w="77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(122)</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borrowings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17,319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(16,991)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(5,429)</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(990)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(811)</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rPr>
              <w:t>(Decrease) increase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445</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11"/>
          </w:tcPr>
          <w:p>
            <w:pPr>
              <w:jc w:val="center"/>
              <w:spacing w:after="0"/>
              <w:rPr>
                <w:sz w:val="20"/>
                <w:szCs w:val="20"/>
                <w:color w:val="auto"/>
              </w:rPr>
            </w:pPr>
            <w:r>
              <w:rPr>
                <w:rFonts w:ascii="Arial" w:cs="Arial" w:eastAsia="Arial" w:hAnsi="Arial"/>
                <w:sz w:val="18"/>
                <w:szCs w:val="18"/>
                <w:b w:val="1"/>
                <w:bCs w:val="1"/>
                <w:color w:val="auto"/>
              </w:rPr>
              <w:t>WASTE MANAGEMENT, INC.</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SUMMARY DATA SHEET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5"/>
              </w:rPr>
              <w:t>(In Millions)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280" w:type="dxa"/>
            <w:vAlign w:val="bottom"/>
          </w:tcPr>
          <w:p>
            <w:pPr>
              <w:spacing w:after="0"/>
              <w:rPr>
                <w:sz w:val="20"/>
                <w:szCs w:val="20"/>
                <w:color w:val="auto"/>
              </w:rPr>
            </w:pPr>
            <w:r>
              <w:rPr>
                <w:rFonts w:ascii="Arial" w:cs="Arial" w:eastAsia="Arial" w:hAnsi="Arial"/>
                <w:sz w:val="18"/>
                <w:szCs w:val="18"/>
                <w:b w:val="1"/>
                <w:bCs w:val="1"/>
                <w:color w:val="auto"/>
                <w:w w:val="93"/>
              </w:rPr>
              <w:t>Operating Revenues by Line of Business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1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780" w:type="dxa"/>
            <w:vAlign w:val="bottom"/>
            <w:gridSpan w:val="13"/>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8"/>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gridSpan w:val="11"/>
          </w:tcPr>
          <w:p>
            <w:pPr>
              <w:jc w:val="right"/>
              <w:ind w:right="900"/>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right"/>
              <w:ind w:right="254"/>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Other collection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4"/>
          </w:tcPr>
          <w:p>
            <w:pPr>
              <w:jc w:val="right"/>
              <w:ind w:right="12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10,340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70"/>
        </w:trPr>
        <w:tc>
          <w:tcPr>
            <w:tcW w:w="3280" w:type="dxa"/>
            <w:vAlign w:val="bottom"/>
          </w:tcPr>
          <w:p>
            <w:pPr>
              <w:spacing w:after="0" w:line="270" w:lineRule="exact"/>
              <w:rPr>
                <w:sz w:val="20"/>
                <w:szCs w:val="20"/>
                <w:color w:val="auto"/>
              </w:rPr>
            </w:pPr>
            <w:r>
              <w:rPr>
                <w:rFonts w:ascii="Arial" w:cs="Arial" w:eastAsia="Arial" w:hAnsi="Arial"/>
                <w:sz w:val="18"/>
                <w:szCs w:val="18"/>
                <w:color w:val="auto"/>
              </w:rPr>
              <w:t xml:space="preserve">Intercompany </w:t>
            </w:r>
            <w:r>
              <w:rPr>
                <w:rFonts w:ascii="Arial" w:cs="Arial" w:eastAsia="Arial" w:hAnsi="Arial"/>
                <w:sz w:val="29"/>
                <w:szCs w:val="29"/>
                <w:color w:val="auto"/>
                <w:vertAlign w:val="superscript"/>
              </w:rPr>
              <w:t>(a)</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(1,215)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(3,566)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2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15,209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gridSpan w:val="14"/>
          </w:tcPr>
          <w:p>
            <w:pPr>
              <w:jc w:val="right"/>
              <w:ind w:right="260"/>
              <w:spacing w:after="0"/>
              <w:rPr>
                <w:sz w:val="20"/>
                <w:szCs w:val="20"/>
                <w:color w:val="auto"/>
              </w:rPr>
            </w:pPr>
            <w:r>
              <w:rPr>
                <w:rFonts w:ascii="Arial" w:cs="Arial" w:eastAsia="Arial" w:hAnsi="Arial"/>
                <w:sz w:val="14"/>
                <w:szCs w:val="14"/>
                <w:b w:val="1"/>
                <w:bCs w:val="1"/>
                <w:color w:val="auto"/>
                <w:w w:val="96"/>
              </w:rPr>
              <w:t>Period-to-Period Change for the Three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gridSpan w:val="17"/>
          </w:tcPr>
          <w:p>
            <w:pPr>
              <w:jc w:val="right"/>
              <w:ind w:right="580"/>
              <w:spacing w:after="0"/>
              <w:rPr>
                <w:sz w:val="20"/>
                <w:szCs w:val="20"/>
                <w:color w:val="auto"/>
              </w:rPr>
            </w:pPr>
            <w:r>
              <w:rPr>
                <w:rFonts w:ascii="Arial" w:cs="Arial" w:eastAsia="Arial" w:hAnsi="Arial"/>
                <w:sz w:val="14"/>
                <w:szCs w:val="14"/>
                <w:b w:val="1"/>
                <w:bCs w:val="1"/>
                <w:color w:val="auto"/>
              </w:rPr>
              <w:t>Period-to-Period Change for the Nine Months</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Ended September 30, 2023 vs. 2022</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2"/>
          </w:tcPr>
          <w:p>
            <w:pPr>
              <w:jc w:val="right"/>
              <w:ind w:right="20"/>
              <w:spacing w:after="0"/>
              <w:rPr>
                <w:sz w:val="20"/>
                <w:szCs w:val="20"/>
                <w:color w:val="auto"/>
              </w:rPr>
            </w:pPr>
            <w:r>
              <w:rPr>
                <w:rFonts w:ascii="Arial" w:cs="Arial" w:eastAsia="Arial" w:hAnsi="Arial"/>
                <w:sz w:val="14"/>
                <w:szCs w:val="14"/>
                <w:b w:val="1"/>
                <w:bCs w:val="1"/>
                <w:color w:val="auto"/>
                <w:w w:val="91"/>
              </w:rPr>
              <w:t>Ended September 30, 2023 vs. 2022</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4"/>
          </w:tcPr>
          <w:p>
            <w:pPr>
              <w:jc w:val="center"/>
              <w:ind w:right="288"/>
              <w:spacing w:after="0" w:line="119" w:lineRule="exact"/>
              <w:rPr>
                <w:sz w:val="20"/>
                <w:szCs w:val="20"/>
                <w:color w:val="auto"/>
              </w:rPr>
            </w:pPr>
            <w:r>
              <w:rPr>
                <w:rFonts w:ascii="Arial" w:cs="Arial" w:eastAsia="Arial" w:hAnsi="Arial"/>
                <w:sz w:val="13"/>
                <w:szCs w:val="13"/>
                <w:b w:val="1"/>
                <w:bCs w:val="1"/>
                <w:color w:val="auto"/>
              </w:rPr>
              <w:t>As a %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4"/>
          </w:tcPr>
          <w:p>
            <w:pPr>
              <w:jc w:val="center"/>
              <w:ind w:right="308"/>
              <w:spacing w:after="0" w:line="159" w:lineRule="exact"/>
              <w:rPr>
                <w:sz w:val="20"/>
                <w:szCs w:val="20"/>
                <w:color w:val="auto"/>
              </w:rPr>
            </w:pPr>
            <w:r>
              <w:rPr>
                <w:rFonts w:ascii="Arial" w:cs="Arial" w:eastAsia="Arial" w:hAnsi="Arial"/>
                <w:sz w:val="14"/>
                <w:szCs w:val="14"/>
                <w:b w:val="1"/>
                <w:bCs w:val="1"/>
                <w:color w:val="auto"/>
                <w:w w:val="90"/>
              </w:rPr>
              <w:t>Related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center"/>
              <w:ind w:left="150"/>
              <w:spacing w:after="0" w:line="15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0"/>
              </w:rPr>
              <w:t>Related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jc w:val="center"/>
              <w:ind w:right="100"/>
              <w:spacing w:after="0" w:line="15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2"/>
        </w:trPr>
        <w:tc>
          <w:tcPr>
            <w:tcW w:w="3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0"/>
              </w:rPr>
              <w:t>Business</w:t>
            </w:r>
            <w:r>
              <w:rPr>
                <w:rFonts w:ascii="Arial" w:cs="Arial" w:eastAsia="Arial" w:hAnsi="Arial"/>
                <w:sz w:val="23"/>
                <w:szCs w:val="23"/>
                <w:b w:val="1"/>
                <w:bCs w:val="1"/>
                <w:color w:val="auto"/>
                <w:w w:val="80"/>
                <w:vertAlign w:val="superscript"/>
              </w:rPr>
              <w:t>(b)</w:t>
            </w:r>
          </w:p>
        </w:tc>
        <w:tc>
          <w:tcPr>
            <w:tcW w:w="2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4"/>
          </w:tcPr>
          <w:p>
            <w:pPr>
              <w:jc w:val="center"/>
              <w:spacing w:after="0" w:line="202" w:lineRule="exact"/>
              <w:rPr>
                <w:sz w:val="20"/>
                <w:szCs w:val="20"/>
                <w:color w:val="auto"/>
              </w:rPr>
            </w:pPr>
            <w:r>
              <w:rPr>
                <w:rFonts w:ascii="Arial" w:cs="Arial" w:eastAsia="Arial" w:hAnsi="Arial"/>
                <w:sz w:val="14"/>
                <w:szCs w:val="14"/>
                <w:b w:val="1"/>
                <w:bCs w:val="1"/>
                <w:color w:val="auto"/>
                <w:w w:val="89"/>
              </w:rPr>
              <w:t>Company</w:t>
            </w:r>
            <w:r>
              <w:rPr>
                <w:rFonts w:ascii="Arial" w:cs="Arial" w:eastAsia="Arial" w:hAnsi="Arial"/>
                <w:sz w:val="23"/>
                <w:szCs w:val="23"/>
                <w:b w:val="1"/>
                <w:bCs w:val="1"/>
                <w:color w:val="auto"/>
                <w:w w:val="89"/>
                <w:vertAlign w:val="superscript"/>
              </w:rPr>
              <w:t>(c)</w:t>
            </w:r>
          </w:p>
        </w:tc>
        <w:tc>
          <w:tcPr>
            <w:tcW w:w="24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CEEFF"/>
            </w:tcBorders>
            <w:gridSpan w:val="2"/>
          </w:tcPr>
          <w:p>
            <w:pPr>
              <w:spacing w:after="0"/>
              <w:rPr>
                <w:sz w:val="17"/>
                <w:szCs w:val="17"/>
                <w:color w:val="auto"/>
              </w:rPr>
            </w:pPr>
          </w:p>
        </w:tc>
        <w:tc>
          <w:tcPr>
            <w:tcW w:w="78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80"/>
              </w:rPr>
              <w:t>Business</w:t>
            </w:r>
            <w:r>
              <w:rPr>
                <w:rFonts w:ascii="Arial" w:cs="Arial" w:eastAsia="Arial" w:hAnsi="Arial"/>
                <w:sz w:val="23"/>
                <w:szCs w:val="23"/>
                <w:b w:val="1"/>
                <w:bCs w:val="1"/>
                <w:color w:val="auto"/>
                <w:w w:val="80"/>
                <w:vertAlign w:val="superscript"/>
              </w:rPr>
              <w:t>(b)</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89"/>
              </w:rPr>
              <w:t>Company</w:t>
            </w:r>
            <w:r>
              <w:rPr>
                <w:rFonts w:ascii="Arial" w:cs="Arial" w:eastAsia="Arial" w:hAnsi="Arial"/>
                <w:sz w:val="23"/>
                <w:szCs w:val="23"/>
                <w:b w:val="1"/>
                <w:bCs w:val="1"/>
                <w:color w:val="auto"/>
                <w:w w:val="89"/>
                <w:vertAlign w:val="superscript"/>
              </w:rPr>
              <w:t>(c)</w:t>
            </w:r>
          </w:p>
        </w:tc>
        <w:tc>
          <w:tcPr>
            <w:tcW w:w="12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Collection and disposal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line="189" w:lineRule="exact"/>
              <w:rPr>
                <w:sz w:val="20"/>
                <w:szCs w:val="20"/>
                <w:color w:val="auto"/>
              </w:rPr>
            </w:pPr>
            <w:r>
              <w:rPr>
                <w:rFonts w:ascii="Arial" w:cs="Arial" w:eastAsia="Arial" w:hAnsi="Arial"/>
                <w:sz w:val="13"/>
                <w:szCs w:val="13"/>
                <w:color w:val="auto"/>
              </w:rPr>
              <w:t>Recycling and WM Renewable Energy</w:t>
            </w:r>
            <w:r>
              <w:rPr>
                <w:rFonts w:ascii="Arial" w:cs="Arial" w:eastAsia="Arial" w:hAnsi="Arial"/>
                <w:sz w:val="21"/>
                <w:szCs w:val="21"/>
                <w:color w:val="auto"/>
                <w:vertAlign w:val="superscript"/>
              </w:rPr>
              <w:t>(d) (e)</w:t>
            </w:r>
          </w:p>
        </w:tc>
        <w:tc>
          <w:tcPr>
            <w:tcW w:w="1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(108)</w:t>
            </w:r>
          </w:p>
        </w:tc>
        <w:tc>
          <w:tcPr>
            <w:tcW w:w="1200" w:type="dxa"/>
            <w:vAlign w:val="bottom"/>
            <w:gridSpan w:val="3"/>
          </w:tcPr>
          <w:p>
            <w:pPr>
              <w:jc w:val="right"/>
              <w:ind w:right="70"/>
              <w:spacing w:after="0"/>
              <w:rPr>
                <w:sz w:val="20"/>
                <w:szCs w:val="20"/>
                <w:color w:val="auto"/>
              </w:rPr>
            </w:pPr>
            <w:r>
              <w:rPr>
                <w:rFonts w:ascii="Arial" w:cs="Arial" w:eastAsia="Arial" w:hAnsi="Arial"/>
                <w:sz w:val="14"/>
                <w:szCs w:val="14"/>
                <w:color w:val="auto"/>
              </w:rPr>
              <w:t>(23.3)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(26.8)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Energy surcharge and mandated fees</w:t>
            </w:r>
            <w:r>
              <w:rPr>
                <w:rFonts w:ascii="Arial" w:cs="Arial" w:eastAsia="Arial" w:hAnsi="Arial"/>
                <w:sz w:val="23"/>
                <w:szCs w:val="23"/>
                <w:color w:val="auto"/>
                <w:vertAlign w:val="superscript"/>
              </w:rPr>
              <w:t>(e) (f)</w:t>
            </w: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(18.4)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120"/>
              <w:spacing w:after="0" w:line="169" w:lineRule="exact"/>
              <w:rPr>
                <w:sz w:val="20"/>
                <w:szCs w:val="20"/>
                <w:color w:val="auto"/>
              </w:rPr>
            </w:pPr>
            <w:r>
              <w:rPr>
                <w:rFonts w:ascii="Arial" w:cs="Arial" w:eastAsia="Arial" w:hAnsi="Arial"/>
                <w:sz w:val="12"/>
                <w:szCs w:val="12"/>
                <w:color w:val="auto"/>
              </w:rPr>
              <w:t>Total average yield</w:t>
            </w:r>
            <w:r>
              <w:rPr>
                <w:rFonts w:ascii="Arial" w:cs="Arial" w:eastAsia="Arial" w:hAnsi="Arial"/>
                <w:sz w:val="19"/>
                <w:szCs w:val="19"/>
                <w:color w:val="auto"/>
                <w:vertAlign w:val="superscript"/>
              </w:rPr>
              <w:t>(g)</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14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230</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Volume</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94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120"/>
              <w:spacing w:after="0" w:line="142" w:lineRule="exact"/>
              <w:rPr>
                <w:sz w:val="20"/>
                <w:szCs w:val="20"/>
                <w:color w:val="auto"/>
              </w:rPr>
            </w:pPr>
            <w:r>
              <w:rPr>
                <w:rFonts w:ascii="Arial" w:cs="Arial" w:eastAsia="Arial" w:hAnsi="Arial"/>
                <w:sz w:val="14"/>
                <w:szCs w:val="14"/>
                <w:color w:val="auto"/>
              </w:rPr>
              <w:t>Internal revenue growth</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324</w:t>
            </w:r>
          </w:p>
        </w:tc>
        <w:tc>
          <w:tcPr>
            <w:tcW w:w="20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20"/>
              <w:spacing w:after="0" w:line="149" w:lineRule="exact"/>
              <w:rPr>
                <w:sz w:val="20"/>
                <w:szCs w:val="20"/>
                <w:color w:val="auto"/>
              </w:rPr>
            </w:pPr>
            <w:r>
              <w:rPr>
                <w:rFonts w:ascii="Arial" w:cs="Arial" w:eastAsia="Arial" w:hAnsi="Arial"/>
                <w:sz w:val="14"/>
                <w:szCs w:val="14"/>
                <w:color w:val="auto"/>
              </w:rPr>
              <w:t>Divestitures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5"/>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90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w w:val="90"/>
              </w:rPr>
              <w:t>(0.1)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(29)</w:t>
            </w: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5"/>
        </w:trPr>
        <w:tc>
          <w:tcPr>
            <w:tcW w:w="3280" w:type="dxa"/>
            <w:vAlign w:val="bottom"/>
          </w:tcPr>
          <w:p>
            <w:pPr>
              <w:ind w:left="220"/>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123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2"/>
              </w:rPr>
              <w:t>2.4</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446</w:t>
            </w:r>
          </w:p>
        </w:tc>
        <w:tc>
          <w:tcPr>
            <w:tcW w:w="200" w:type="dxa"/>
            <w:vAlign w:val="bottom"/>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3.0</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19"/>
          </w:tcPr>
          <w:p>
            <w:pPr>
              <w:jc w:val="center"/>
              <w:ind w:right="88"/>
              <w:spacing w:after="0"/>
              <w:rPr>
                <w:sz w:val="20"/>
                <w:szCs w:val="20"/>
                <w:color w:val="auto"/>
              </w:rPr>
            </w:pPr>
            <w:r>
              <w:rPr>
                <w:rFonts w:ascii="Arial" w:cs="Arial" w:eastAsia="Arial" w:hAnsi="Arial"/>
                <w:sz w:val="18"/>
                <w:szCs w:val="18"/>
                <w:b w:val="1"/>
                <w:bCs w:val="1"/>
                <w:color w:val="auto"/>
                <w:w w:val="91"/>
              </w:rPr>
              <w:t>Period-to-Period Change for the Three Months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gridSpan w:val="17"/>
          </w:tcPr>
          <w:p>
            <w:pPr>
              <w:jc w:val="center"/>
              <w:ind w:right="180"/>
              <w:spacing w:after="0"/>
              <w:rPr>
                <w:sz w:val="20"/>
                <w:szCs w:val="20"/>
                <w:color w:val="auto"/>
              </w:rPr>
            </w:pPr>
            <w:r>
              <w:rPr>
                <w:rFonts w:ascii="Arial" w:cs="Arial" w:eastAsia="Arial" w:hAnsi="Arial"/>
                <w:sz w:val="18"/>
                <w:szCs w:val="18"/>
                <w:b w:val="1"/>
                <w:bCs w:val="1"/>
                <w:color w:val="auto"/>
                <w:w w:val="91"/>
              </w:rPr>
              <w:t>Period-to-Period Change for the Nine Months</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40" w:type="dxa"/>
            <w:vAlign w:val="bottom"/>
            <w:gridSpan w:val="13"/>
          </w:tcPr>
          <w:p>
            <w:pPr>
              <w:jc w:val="center"/>
              <w:ind w:right="60"/>
              <w:spacing w:after="0"/>
              <w:rPr>
                <w:sz w:val="20"/>
                <w:szCs w:val="20"/>
                <w:color w:val="auto"/>
              </w:rPr>
            </w:pPr>
            <w:r>
              <w:rPr>
                <w:rFonts w:ascii="Arial" w:cs="Arial" w:eastAsia="Arial" w:hAnsi="Arial"/>
                <w:sz w:val="18"/>
                <w:szCs w:val="18"/>
                <w:b w:val="1"/>
                <w:bCs w:val="1"/>
                <w:color w:val="auto"/>
                <w:w w:val="89"/>
              </w:rPr>
              <w:t>Ended September 30, 2023 vs. 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00" w:type="dxa"/>
            <w:vAlign w:val="bottom"/>
            <w:gridSpan w:val="17"/>
          </w:tcPr>
          <w:p>
            <w:pPr>
              <w:jc w:val="center"/>
              <w:ind w:right="200"/>
              <w:spacing w:after="0"/>
              <w:rPr>
                <w:sz w:val="20"/>
                <w:szCs w:val="20"/>
                <w:color w:val="auto"/>
              </w:rPr>
            </w:pPr>
            <w:r>
              <w:rPr>
                <w:rFonts w:ascii="Arial" w:cs="Arial" w:eastAsia="Arial" w:hAnsi="Arial"/>
                <w:sz w:val="18"/>
                <w:szCs w:val="18"/>
                <w:b w:val="1"/>
                <w:bCs w:val="1"/>
                <w:color w:val="auto"/>
                <w:w w:val="89"/>
              </w:rPr>
              <w:t>Ended September 30, 2023 vs. 2022</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600" w:type="dxa"/>
            <w:vAlign w:val="bottom"/>
            <w:tcBorders>
              <w:top w:val="single" w:sz="8" w:color="auto"/>
              <w:bottom w:val="single" w:sz="8" w:color="auto"/>
            </w:tcBorders>
            <w:gridSpan w:val="11"/>
          </w:tcPr>
          <w:p>
            <w:pPr>
              <w:jc w:val="center"/>
              <w:ind w:right="300"/>
              <w:spacing w:after="0" w:line="250" w:lineRule="exact"/>
              <w:rPr>
                <w:sz w:val="20"/>
                <w:szCs w:val="20"/>
                <w:color w:val="auto"/>
              </w:rPr>
            </w:pPr>
            <w:r>
              <w:rPr>
                <w:rFonts w:ascii="Arial" w:cs="Arial" w:eastAsia="Arial" w:hAnsi="Arial"/>
                <w:sz w:val="17"/>
                <w:szCs w:val="17"/>
                <w:b w:val="1"/>
                <w:bCs w:val="1"/>
                <w:color w:val="auto"/>
                <w:w w:val="91"/>
              </w:rPr>
              <w:t>As a % of Related Business</w:t>
            </w:r>
            <w:r>
              <w:rPr>
                <w:rFonts w:ascii="Arial" w:cs="Arial" w:eastAsia="Arial" w:hAnsi="Arial"/>
                <w:sz w:val="28"/>
                <w:szCs w:val="28"/>
                <w:b w:val="1"/>
                <w:bCs w:val="1"/>
                <w:color w:val="auto"/>
                <w:w w:val="91"/>
                <w:vertAlign w:val="superscript"/>
              </w:rPr>
              <w:t>(b)</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80" w:type="dxa"/>
            <w:vAlign w:val="bottom"/>
            <w:tcBorders>
              <w:top w:val="single" w:sz="8" w:color="auto"/>
              <w:bottom w:val="single" w:sz="8" w:color="auto"/>
            </w:tcBorders>
            <w:gridSpan w:val="14"/>
          </w:tcPr>
          <w:p>
            <w:pPr>
              <w:jc w:val="center"/>
              <w:spacing w:after="0" w:line="250" w:lineRule="exact"/>
              <w:rPr>
                <w:sz w:val="20"/>
                <w:szCs w:val="20"/>
                <w:color w:val="auto"/>
              </w:rPr>
            </w:pPr>
            <w:r>
              <w:rPr>
                <w:rFonts w:ascii="Arial" w:cs="Arial" w:eastAsia="Arial" w:hAnsi="Arial"/>
                <w:sz w:val="17"/>
                <w:szCs w:val="17"/>
                <w:b w:val="1"/>
                <w:bCs w:val="1"/>
                <w:color w:val="auto"/>
                <w:w w:val="92"/>
              </w:rPr>
              <w:t>As a % of Related Business</w:t>
            </w:r>
            <w:r>
              <w:rPr>
                <w:rFonts w:ascii="Arial" w:cs="Arial" w:eastAsia="Arial" w:hAnsi="Arial"/>
                <w:sz w:val="28"/>
                <w:szCs w:val="28"/>
                <w:b w:val="1"/>
                <w:bCs w:val="1"/>
                <w:color w:val="auto"/>
                <w:w w:val="92"/>
                <w:vertAlign w:val="superscript"/>
              </w:rPr>
              <w:t>(b)</w:t>
            </w:r>
          </w:p>
        </w:tc>
        <w:tc>
          <w:tcPr>
            <w:tcW w:w="2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Yield</w:t>
            </w:r>
          </w:p>
        </w:tc>
        <w:tc>
          <w:tcPr>
            <w:tcW w:w="160" w:type="dxa"/>
            <w:vAlign w:val="bottom"/>
            <w:tcBorders>
              <w:bottom w:val="single" w:sz="8" w:color="CCEEFF"/>
            </w:tcBorders>
            <w:gridSpan w:val="2"/>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5"/>
          </w:tcPr>
          <w:p>
            <w:pPr>
              <w:ind w:left="460"/>
              <w:spacing w:after="0" w:line="250" w:lineRule="exact"/>
              <w:rPr>
                <w:sz w:val="20"/>
                <w:szCs w:val="20"/>
                <w:color w:val="auto"/>
              </w:rPr>
            </w:pPr>
            <w:r>
              <w:rPr>
                <w:rFonts w:ascii="Arial" w:cs="Arial" w:eastAsia="Arial" w:hAnsi="Arial"/>
                <w:sz w:val="17"/>
                <w:szCs w:val="17"/>
                <w:b w:val="1"/>
                <w:bCs w:val="1"/>
                <w:color w:val="auto"/>
                <w:w w:val="96"/>
              </w:rPr>
              <w:t>Volume</w:t>
            </w:r>
            <w:r>
              <w:rPr>
                <w:rFonts w:ascii="Arial" w:cs="Arial" w:eastAsia="Arial" w:hAnsi="Arial"/>
                <w:sz w:val="28"/>
                <w:szCs w:val="28"/>
                <w:b w:val="1"/>
                <w:bCs w:val="1"/>
                <w:color w:val="auto"/>
                <w:w w:val="96"/>
                <w:vertAlign w:val="superscript"/>
              </w:rPr>
              <w:t>(h)</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Yield</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right"/>
              <w:ind w:right="316"/>
              <w:spacing w:after="0" w:line="250" w:lineRule="exact"/>
              <w:rPr>
                <w:sz w:val="20"/>
                <w:szCs w:val="20"/>
                <w:color w:val="auto"/>
              </w:rPr>
            </w:pPr>
            <w:r>
              <w:rPr>
                <w:rFonts w:ascii="Arial" w:cs="Arial" w:eastAsia="Arial" w:hAnsi="Arial"/>
                <w:sz w:val="17"/>
                <w:szCs w:val="17"/>
                <w:b w:val="1"/>
                <w:bCs w:val="1"/>
                <w:color w:val="auto"/>
                <w:w w:val="93"/>
              </w:rPr>
              <w:t>Volume</w:t>
            </w:r>
            <w:r>
              <w:rPr>
                <w:rFonts w:ascii="Arial" w:cs="Arial" w:eastAsia="Arial" w:hAnsi="Arial"/>
                <w:sz w:val="28"/>
                <w:szCs w:val="28"/>
                <w:b w:val="1"/>
                <w:bCs w:val="1"/>
                <w:color w:val="auto"/>
                <w:w w:val="93"/>
                <w:vertAlign w:val="superscript"/>
              </w:rPr>
              <w:t>(h)</w:t>
            </w:r>
          </w:p>
        </w:tc>
        <w:tc>
          <w:tcPr>
            <w:tcW w:w="220" w:type="dxa"/>
            <w:vAlign w:val="bottom"/>
            <w:tcBorders>
              <w:bottom w:val="single" w:sz="8" w:color="CCEEFF"/>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ind w:left="960"/>
              <w:spacing w:after="0"/>
              <w:rPr>
                <w:sz w:val="20"/>
                <w:szCs w:val="20"/>
                <w:color w:val="auto"/>
              </w:rPr>
            </w:pPr>
            <w:r>
              <w:rPr>
                <w:rFonts w:ascii="Arial" w:cs="Arial" w:eastAsia="Arial" w:hAnsi="Arial"/>
                <w:sz w:val="18"/>
                <w:szCs w:val="18"/>
                <w:color w:val="auto"/>
                <w:w w:val="92"/>
              </w:rPr>
              <w:t>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ind w:left="96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96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Total collection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ind w:left="9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9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ind w:left="96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4"/>
          </w:tcPr>
          <w:p>
            <w:pPr>
              <w:jc w:val="right"/>
              <w:ind w:right="10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collection and disposal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ind w:left="960"/>
              <w:spacing w:after="0"/>
              <w:rPr>
                <w:sz w:val="20"/>
                <w:szCs w:val="20"/>
                <w:color w:val="auto"/>
              </w:rPr>
            </w:pPr>
            <w:r>
              <w:rPr>
                <w:rFonts w:ascii="Arial" w:cs="Arial" w:eastAsia="Arial" w:hAnsi="Arial"/>
                <w:sz w:val="18"/>
                <w:szCs w:val="18"/>
                <w:color w:val="auto"/>
                <w:w w:val="92"/>
              </w:rPr>
              <w:t>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in both our recycling and WM Renewable Energy businesses, as well as changes in fees in our recycling business.</w:t>
      </w:r>
    </w:p>
    <w:p>
      <w:pPr>
        <w:jc w:val="both"/>
        <w:ind w:left="340" w:right="2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Beginning in 2023, Recycling and WM Renewable Energy includes changes in our revenue attributable to our WM Renewable Energy business. Previously these changes in revenues were included in fuel surcharges and mandated fees. We have revised our prior year results to conform with the current year presentation.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energy surcharge was revised in the second quarter of 2023 to incorporate market prices for both diesel and compressed natural gas.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98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rPr>
              <w:t>WASTE MANAGEMENT, INC.</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20" w:type="dxa"/>
            <w:vAlign w:val="bottom"/>
          </w:tcPr>
          <w:p>
            <w:pPr>
              <w:spacing w:after="0"/>
              <w:rPr>
                <w:sz w:val="24"/>
                <w:szCs w:val="24"/>
                <w:color w:val="auto"/>
              </w:rPr>
            </w:pPr>
          </w:p>
        </w:tc>
        <w:tc>
          <w:tcPr>
            <w:tcW w:w="298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99"/>
              </w:rPr>
              <w:t>SUMMARY DATA SHEET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98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95"/>
              </w:rPr>
              <w:t>(In Millions)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298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Landfill depletable tons (in millions)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Acquisition Summary</w:t>
            </w:r>
            <w:r>
              <w:rPr>
                <w:rFonts w:ascii="Arial" w:cs="Arial" w:eastAsia="Arial" w:hAnsi="Arial"/>
                <w:sz w:val="29"/>
                <w:szCs w:val="29"/>
                <w:b w:val="1"/>
                <w:bCs w:val="1"/>
                <w:color w:val="auto"/>
                <w:vertAlign w:val="superscript"/>
              </w:rPr>
              <w:t>(a)</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47"/>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net of cash acquired</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Cash paid for acquisitions consummated during the period, net of cash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Cash paid for acquisitions including contingent consideration and 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items from prior periods, net of cash acquired</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b w:val="1"/>
                <w:bCs w:val="1"/>
                <w:color w:val="auto"/>
              </w:rPr>
              <w:t>Landfill Depletion and Accretion Expenses: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Landfill depletion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Cost basis of landfill assets</w:t>
            </w: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155</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453</w:t>
            </w:r>
          </w:p>
        </w:tc>
        <w:tc>
          <w:tcPr>
            <w:tcW w:w="420" w:type="dxa"/>
            <w:vAlign w:val="bottom"/>
            <w:gridSpan w:val="3"/>
          </w:tcPr>
          <w:p>
            <w:pPr>
              <w:jc w:val="right"/>
              <w:ind w:right="207"/>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retirement costs</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220"/>
              <w:spacing w:after="0" w:line="256" w:lineRule="exact"/>
              <w:rPr>
                <w:sz w:val="20"/>
                <w:szCs w:val="20"/>
                <w:color w:val="auto"/>
              </w:rPr>
            </w:pPr>
            <w:r>
              <w:rPr>
                <w:rFonts w:ascii="Arial" w:cs="Arial" w:eastAsia="Arial" w:hAnsi="Arial"/>
                <w:sz w:val="18"/>
                <w:szCs w:val="18"/>
                <w:color w:val="auto"/>
              </w:rPr>
              <w:t>Total landfill depletion expense</w:t>
            </w:r>
            <w:r>
              <w:rPr>
                <w:rFonts w:ascii="Arial" w:cs="Arial" w:eastAsia="Arial" w:hAnsi="Arial"/>
                <w:sz w:val="29"/>
                <w:szCs w:val="29"/>
                <w:color w:val="auto"/>
                <w:vertAlign w:val="superscript"/>
              </w:rPr>
              <w:t>(b)</w:t>
            </w: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554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120"/>
              <w:spacing w:after="0"/>
              <w:rPr>
                <w:sz w:val="20"/>
                <w:szCs w:val="20"/>
                <w:color w:val="auto"/>
              </w:rPr>
            </w:pPr>
            <w:r>
              <w:rPr>
                <w:rFonts w:ascii="Arial" w:cs="Arial" w:eastAsia="Arial" w:hAnsi="Arial"/>
                <w:sz w:val="18"/>
                <w:szCs w:val="18"/>
                <w:color w:val="auto"/>
              </w:rPr>
              <w:t>Landfill depletion and accretion expense</w:t>
            </w:r>
          </w:p>
        </w:tc>
        <w:tc>
          <w:tcPr>
            <w:tcW w:w="160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23"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in landfill depletion for the nine months ended September 30, 2023, as compared with the prior year period, was primarily driven by the reopening of previously closed landfill in our East 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rPr>
              <w:t>Three Months Ended September 30, 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360" w:type="dxa"/>
            <w:vAlign w:val="bottom"/>
            <w:gridSpan w:val="4"/>
          </w:tcPr>
          <w:p>
            <w:pPr>
              <w:jc w:val="center"/>
              <w:ind w:right="220"/>
              <w:spacing w:after="0" w:line="195" w:lineRule="exact"/>
              <w:rPr>
                <w:sz w:val="20"/>
                <w:szCs w:val="20"/>
                <w:color w:val="auto"/>
              </w:rPr>
            </w:pPr>
            <w:r>
              <w:rPr>
                <w:rFonts w:ascii="Arial" w:cs="Arial" w:eastAsia="Arial" w:hAnsi="Arial"/>
                <w:sz w:val="18"/>
                <w:szCs w:val="18"/>
                <w:b w:val="1"/>
                <w:bCs w:val="1"/>
                <w:color w:val="auto"/>
                <w:w w:val="90"/>
              </w:rPr>
              <w:t>Income from</w:t>
            </w:r>
          </w:p>
        </w:tc>
        <w:tc>
          <w:tcPr>
            <w:tcW w:w="180" w:type="dxa"/>
            <w:vAlign w:val="bottom"/>
          </w:tcPr>
          <w:p>
            <w:pPr>
              <w:spacing w:after="0"/>
              <w:rPr>
                <w:sz w:val="16"/>
                <w:szCs w:val="16"/>
                <w:color w:val="auto"/>
              </w:rPr>
            </w:pPr>
          </w:p>
        </w:tc>
        <w:tc>
          <w:tcPr>
            <w:tcW w:w="1140" w:type="dxa"/>
            <w:vAlign w:val="bottom"/>
            <w:gridSpan w:val="2"/>
          </w:tcPr>
          <w:p>
            <w:pPr>
              <w:jc w:val="right"/>
              <w:ind w:right="480"/>
              <w:spacing w:after="0" w:line="195" w:lineRule="exact"/>
              <w:rPr>
                <w:sz w:val="20"/>
                <w:szCs w:val="20"/>
                <w:color w:val="auto"/>
              </w:rPr>
            </w:pPr>
            <w:r>
              <w:rPr>
                <w:rFonts w:ascii="Arial" w:cs="Arial" w:eastAsia="Arial" w:hAnsi="Arial"/>
                <w:sz w:val="18"/>
                <w:szCs w:val="18"/>
                <w:b w:val="1"/>
                <w:bCs w:val="1"/>
                <w:color w:val="auto"/>
              </w:rPr>
              <w:t>Pre-tax</w:t>
            </w:r>
          </w:p>
        </w:tc>
        <w:tc>
          <w:tcPr>
            <w:tcW w:w="160" w:type="dxa"/>
            <w:vAlign w:val="bottom"/>
          </w:tcPr>
          <w:p>
            <w:pPr>
              <w:spacing w:after="0"/>
              <w:rPr>
                <w:sz w:val="16"/>
                <w:szCs w:val="16"/>
                <w:color w:val="auto"/>
              </w:rPr>
            </w:pPr>
          </w:p>
        </w:tc>
        <w:tc>
          <w:tcPr>
            <w:tcW w:w="1220" w:type="dxa"/>
            <w:vAlign w:val="bottom"/>
            <w:gridSpan w:val="2"/>
          </w:tcPr>
          <w:p>
            <w:pPr>
              <w:jc w:val="center"/>
              <w:ind w:right="365"/>
              <w:spacing w:after="0" w:line="195" w:lineRule="exact"/>
              <w:rPr>
                <w:sz w:val="20"/>
                <w:szCs w:val="20"/>
                <w:color w:val="auto"/>
              </w:rPr>
            </w:pPr>
            <w:r>
              <w:rPr>
                <w:rFonts w:ascii="Arial" w:cs="Arial" w:eastAsia="Arial" w:hAnsi="Arial"/>
                <w:sz w:val="18"/>
                <w:szCs w:val="18"/>
                <w:b w:val="1"/>
                <w:bCs w:val="1"/>
                <w:color w:val="auto"/>
                <w:w w:val="96"/>
              </w:rPr>
              <w:t>Tax</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5" w:lineRule="exact"/>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Income</w:t>
            </w:r>
          </w:p>
        </w:tc>
        <w:tc>
          <w:tcPr>
            <w:tcW w:w="160" w:type="dxa"/>
            <w:vAlign w:val="bottom"/>
          </w:tcPr>
          <w:p>
            <w:pPr>
              <w:spacing w:after="0"/>
              <w:rPr>
                <w:sz w:val="23"/>
                <w:szCs w:val="23"/>
                <w:color w:val="auto"/>
              </w:rPr>
            </w:pPr>
          </w:p>
        </w:tc>
        <w:tc>
          <w:tcPr>
            <w:tcW w:w="1220" w:type="dxa"/>
            <w:vAlign w:val="bottom"/>
            <w:gridSpan w:val="2"/>
          </w:tcPr>
          <w:p>
            <w:pPr>
              <w:jc w:val="center"/>
              <w:ind w:right="345"/>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3"/>
                <w:szCs w:val="23"/>
                <w:color w:val="auto"/>
              </w:rPr>
            </w:pPr>
          </w:p>
        </w:tc>
        <w:tc>
          <w:tcPr>
            <w:tcW w:w="1080" w:type="dxa"/>
            <w:vAlign w:val="bottom"/>
            <w:gridSpan w:val="2"/>
          </w:tcPr>
          <w:p>
            <w:pPr>
              <w:jc w:val="center"/>
              <w:ind w:right="240"/>
              <w:spacing w:after="0" w:line="271" w:lineRule="exact"/>
              <w:rPr>
                <w:sz w:val="20"/>
                <w:szCs w:val="20"/>
                <w:color w:val="auto"/>
              </w:rPr>
            </w:pPr>
            <w:r>
              <w:rPr>
                <w:rFonts w:ascii="Arial" w:cs="Arial" w:eastAsia="Arial" w:hAnsi="Arial"/>
                <w:sz w:val="18"/>
                <w:szCs w:val="18"/>
                <w:b w:val="1"/>
                <w:bCs w:val="1"/>
                <w:color w:val="auto"/>
                <w:w w:val="87"/>
              </w:rPr>
              <w:t>Income</w:t>
            </w:r>
            <w:r>
              <w:rPr>
                <w:rFonts w:ascii="Arial" w:cs="Arial" w:eastAsia="Arial" w:hAnsi="Arial"/>
                <w:sz w:val="29"/>
                <w:szCs w:val="29"/>
                <w:b w:val="1"/>
                <w:bCs w:val="1"/>
                <w:color w:val="auto"/>
                <w:w w:val="87"/>
                <w:vertAlign w:val="superscript"/>
              </w:rPr>
              <w:t>(a)</w:t>
            </w: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w w:val="97"/>
              </w:rPr>
              <w:t>Share Amount</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Business readiness costs for collective bargaining agreement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negotiations</w:t>
            </w: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 adjusted amounts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bottom w:val="single" w:sz="8" w:color="CCEEFF"/>
            </w:tcBorders>
          </w:tcPr>
          <w:p>
            <w:pPr>
              <w:jc w:val="right"/>
              <w:ind w:right="25"/>
              <w:spacing w:after="0"/>
              <w:rPr>
                <w:sz w:val="20"/>
                <w:szCs w:val="20"/>
                <w:color w:val="auto"/>
              </w:rPr>
            </w:pPr>
            <w:r>
              <w:rPr>
                <w:rFonts w:ascii="Arial" w:cs="Arial" w:eastAsia="Arial" w:hAnsi="Arial"/>
                <w:sz w:val="15"/>
                <w:szCs w:val="15"/>
                <w:color w:val="auto"/>
                <w:w w:val="87"/>
              </w:rPr>
              <w:t>(b)</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ind w:left="120"/>
              <w:spacing w:after="0" w:line="190" w:lineRule="exact"/>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Adjusted operating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40" w:type="dxa"/>
            <w:vAlign w:val="bottom"/>
            <w:gridSpan w:val="8"/>
            <w:vMerge w:val="restart"/>
          </w:tcPr>
          <w:p>
            <w:pPr>
              <w:ind w:left="120"/>
              <w:spacing w:after="0"/>
              <w:rPr>
                <w:sz w:val="20"/>
                <w:szCs w:val="20"/>
                <w:color w:val="auto"/>
              </w:rPr>
            </w:pPr>
            <w:r>
              <w:rPr>
                <w:rFonts w:ascii="Arial" w:cs="Arial" w:eastAsia="Arial" w:hAnsi="Arial"/>
                <w:sz w:val="18"/>
                <w:szCs w:val="18"/>
                <w:b w:val="1"/>
                <w:bCs w:val="1"/>
                <w:color w:val="auto"/>
              </w:rPr>
              <w:t>Three Months Ended September 30, 2022</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360" w:type="dxa"/>
            <w:vAlign w:val="bottom"/>
            <w:gridSpan w:val="4"/>
          </w:tcPr>
          <w:p>
            <w:pPr>
              <w:jc w:val="center"/>
              <w:ind w:right="220"/>
              <w:spacing w:after="0" w:line="195" w:lineRule="exact"/>
              <w:rPr>
                <w:sz w:val="20"/>
                <w:szCs w:val="20"/>
                <w:color w:val="auto"/>
              </w:rPr>
            </w:pPr>
            <w:r>
              <w:rPr>
                <w:rFonts w:ascii="Arial" w:cs="Arial" w:eastAsia="Arial" w:hAnsi="Arial"/>
                <w:sz w:val="18"/>
                <w:szCs w:val="18"/>
                <w:b w:val="1"/>
                <w:bCs w:val="1"/>
                <w:color w:val="auto"/>
                <w:w w:val="90"/>
              </w:rPr>
              <w:t>Income from</w:t>
            </w:r>
          </w:p>
        </w:tc>
        <w:tc>
          <w:tcPr>
            <w:tcW w:w="180" w:type="dxa"/>
            <w:vAlign w:val="bottom"/>
          </w:tcPr>
          <w:p>
            <w:pPr>
              <w:spacing w:after="0"/>
              <w:rPr>
                <w:sz w:val="16"/>
                <w:szCs w:val="16"/>
                <w:color w:val="auto"/>
              </w:rPr>
            </w:pPr>
          </w:p>
        </w:tc>
        <w:tc>
          <w:tcPr>
            <w:tcW w:w="1140" w:type="dxa"/>
            <w:vAlign w:val="bottom"/>
            <w:gridSpan w:val="2"/>
          </w:tcPr>
          <w:p>
            <w:pPr>
              <w:jc w:val="right"/>
              <w:ind w:right="480"/>
              <w:spacing w:after="0" w:line="195" w:lineRule="exact"/>
              <w:rPr>
                <w:sz w:val="20"/>
                <w:szCs w:val="20"/>
                <w:color w:val="auto"/>
              </w:rPr>
            </w:pPr>
            <w:r>
              <w:rPr>
                <w:rFonts w:ascii="Arial" w:cs="Arial" w:eastAsia="Arial" w:hAnsi="Arial"/>
                <w:sz w:val="18"/>
                <w:szCs w:val="18"/>
                <w:b w:val="1"/>
                <w:bCs w:val="1"/>
                <w:color w:val="auto"/>
              </w:rPr>
              <w:t>Pre-tax</w:t>
            </w:r>
          </w:p>
        </w:tc>
        <w:tc>
          <w:tcPr>
            <w:tcW w:w="160" w:type="dxa"/>
            <w:vAlign w:val="bottom"/>
          </w:tcPr>
          <w:p>
            <w:pPr>
              <w:spacing w:after="0"/>
              <w:rPr>
                <w:sz w:val="16"/>
                <w:szCs w:val="16"/>
                <w:color w:val="auto"/>
              </w:rPr>
            </w:pPr>
          </w:p>
        </w:tc>
        <w:tc>
          <w:tcPr>
            <w:tcW w:w="1220" w:type="dxa"/>
            <w:vAlign w:val="bottom"/>
            <w:gridSpan w:val="2"/>
          </w:tcPr>
          <w:p>
            <w:pPr>
              <w:jc w:val="center"/>
              <w:ind w:right="365"/>
              <w:spacing w:after="0" w:line="195" w:lineRule="exact"/>
              <w:rPr>
                <w:sz w:val="20"/>
                <w:szCs w:val="20"/>
                <w:color w:val="auto"/>
              </w:rPr>
            </w:pPr>
            <w:r>
              <w:rPr>
                <w:rFonts w:ascii="Arial" w:cs="Arial" w:eastAsia="Arial" w:hAnsi="Arial"/>
                <w:sz w:val="18"/>
                <w:szCs w:val="18"/>
                <w:b w:val="1"/>
                <w:bCs w:val="1"/>
                <w:color w:val="auto"/>
                <w:w w:val="96"/>
              </w:rPr>
              <w:t>Tax</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5" w:lineRule="exact"/>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Income</w:t>
            </w:r>
          </w:p>
        </w:tc>
        <w:tc>
          <w:tcPr>
            <w:tcW w:w="160" w:type="dxa"/>
            <w:vAlign w:val="bottom"/>
          </w:tcPr>
          <w:p>
            <w:pPr>
              <w:spacing w:after="0"/>
              <w:rPr>
                <w:sz w:val="23"/>
                <w:szCs w:val="23"/>
                <w:color w:val="auto"/>
              </w:rPr>
            </w:pPr>
          </w:p>
        </w:tc>
        <w:tc>
          <w:tcPr>
            <w:tcW w:w="1220" w:type="dxa"/>
            <w:vAlign w:val="bottom"/>
            <w:gridSpan w:val="2"/>
          </w:tcPr>
          <w:p>
            <w:pPr>
              <w:jc w:val="center"/>
              <w:ind w:right="345"/>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3"/>
                <w:szCs w:val="23"/>
                <w:color w:val="auto"/>
              </w:rPr>
            </w:pPr>
          </w:p>
        </w:tc>
        <w:tc>
          <w:tcPr>
            <w:tcW w:w="1080" w:type="dxa"/>
            <w:vAlign w:val="bottom"/>
            <w:gridSpan w:val="2"/>
          </w:tcPr>
          <w:p>
            <w:pPr>
              <w:jc w:val="center"/>
              <w:ind w:right="240"/>
              <w:spacing w:after="0" w:line="271" w:lineRule="exact"/>
              <w:rPr>
                <w:sz w:val="20"/>
                <w:szCs w:val="20"/>
                <w:color w:val="auto"/>
              </w:rPr>
            </w:pPr>
            <w:r>
              <w:rPr>
                <w:rFonts w:ascii="Arial" w:cs="Arial" w:eastAsia="Arial" w:hAnsi="Arial"/>
                <w:sz w:val="18"/>
                <w:szCs w:val="18"/>
                <w:b w:val="1"/>
                <w:bCs w:val="1"/>
                <w:color w:val="auto"/>
                <w:w w:val="87"/>
              </w:rPr>
              <w:t>Income</w:t>
            </w:r>
            <w:r>
              <w:rPr>
                <w:rFonts w:ascii="Arial" w:cs="Arial" w:eastAsia="Arial" w:hAnsi="Arial"/>
                <w:sz w:val="29"/>
                <w:szCs w:val="29"/>
                <w:b w:val="1"/>
                <w:bCs w:val="1"/>
                <w:color w:val="auto"/>
                <w:w w:val="87"/>
                <w:vertAlign w:val="superscript"/>
              </w:rPr>
              <w:t>(a)</w:t>
            </w: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w w:val="97"/>
              </w:rPr>
              <w:t>Share Amount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Enterprise resource planning system implementation-related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 adjusted amounts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Borders>
              <w:bottom w:val="single" w:sz="8" w:color="CCEEFF"/>
            </w:tcBorders>
            <w:gridSpan w:val="2"/>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Borders>
              <w:bottom w:val="single" w:sz="8" w:color="CCEEFF"/>
            </w:tcBorders>
          </w:tcPr>
          <w:p>
            <w:pPr>
              <w:jc w:val="right"/>
              <w:ind w:right="25"/>
              <w:spacing w:after="0"/>
              <w:rPr>
                <w:sz w:val="20"/>
                <w:szCs w:val="20"/>
                <w:color w:val="auto"/>
              </w:rPr>
            </w:pPr>
            <w:r>
              <w:rPr>
                <w:rFonts w:ascii="Arial" w:cs="Arial" w:eastAsia="Arial" w:hAnsi="Arial"/>
                <w:sz w:val="15"/>
                <w:szCs w:val="15"/>
                <w:color w:val="auto"/>
                <w:w w:val="87"/>
              </w:rPr>
              <w:t>(b)</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ind w:left="120"/>
              <w:spacing w:after="0" w:line="190" w:lineRule="exact"/>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w:t>
            </w:r>
          </w:p>
        </w:tc>
        <w:tc>
          <w:tcPr>
            <w:tcW w:w="22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Adjusted operating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340" w:right="20" w:hanging="332"/>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third quarter 2023 and 2022 adjusted effective tax rates were 24.1% and 22.8%,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10"/>
          </w:tcPr>
          <w:p>
            <w:pPr>
              <w:jc w:val="right"/>
              <w:ind w:right="84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19"/>
                <w:szCs w:val="19"/>
                <w:color w:val="auto"/>
              </w:rPr>
            </w:pPr>
          </w:p>
        </w:tc>
        <w:tc>
          <w:tcPr>
            <w:tcW w:w="24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50"/>
              <w:spacing w:after="0" w:line="205" w:lineRule="exact"/>
              <w:rPr>
                <w:sz w:val="20"/>
                <w:szCs w:val="20"/>
                <w:color w:val="auto"/>
              </w:rPr>
            </w:pPr>
            <w:r>
              <w:rPr>
                <w:rFonts w:ascii="Arial" w:cs="Arial" w:eastAsia="Arial" w:hAnsi="Arial"/>
                <w:sz w:val="18"/>
                <w:szCs w:val="18"/>
                <w:b w:val="1"/>
                <w:bCs w:val="1"/>
                <w:color w:val="auto"/>
                <w:w w:val="93"/>
              </w:rPr>
              <w:t>As a % of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50"/>
              <w:spacing w:after="0" w:line="205" w:lineRule="exact"/>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86"/>
              </w:rPr>
              <w:t>Revenues</w:t>
            </w:r>
          </w:p>
        </w:tc>
        <w:tc>
          <w:tcPr>
            <w:tcW w:w="2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98"/>
              </w:rPr>
              <w:t>Adjusted SG&amp;A Expenses and Adjusted SG&amp;A Expenses Margin</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 as reported</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5,075</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as reported</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Adjustments: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Business readiness costs for collective bargaining agreement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negotiations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Enterprise resource planning system implementation-related costs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SG&amp;A expenses</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2023 Projected Free Cash Flow Reconciliation</w:t>
            </w:r>
            <w:r>
              <w:rPr>
                <w:rFonts w:ascii="Arial" w:cs="Arial" w:eastAsia="Arial" w:hAnsi="Arial"/>
                <w:sz w:val="29"/>
                <w:szCs w:val="29"/>
                <w:b w:val="1"/>
                <w:bCs w:val="1"/>
                <w:i w:val="1"/>
                <w:iCs w:val="1"/>
                <w:color w:val="auto"/>
                <w:vertAlign w:val="superscript"/>
              </w:rPr>
              <w:t>(a)</w:t>
            </w: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Scenario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8"/>
              </w:rPr>
              <w:t>Scenario 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Capital expenditures to support the business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(2,075)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Proceeds from divestitures of businesses and other assets, net of cash</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divested</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Free cash flow without sustainability growth investments</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 sustainability growth investments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Free cash flow</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-1036955</wp:posOffset>
            </wp:positionV>
            <wp:extent cx="183451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-753745</wp:posOffset>
            </wp:positionV>
            <wp:extent cx="1834515"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34515" cy="28257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-325120</wp:posOffset>
            </wp:positionV>
            <wp:extent cx="183451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reconciliation includes two scenarios that illustrate our projected free cash flow range for 2023.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PROVIDED FOR ILLUSTRATIVE PURPOSES ONLY</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8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19"/>
                <w:szCs w:val="19"/>
                <w:color w:val="auto"/>
              </w:rPr>
            </w:pPr>
          </w:p>
        </w:tc>
        <w:tc>
          <w:tcPr>
            <w:tcW w:w="2560" w:type="dxa"/>
            <w:vAlign w:val="bottom"/>
            <w:gridSpan w:val="4"/>
          </w:tcPr>
          <w:p>
            <w:pPr>
              <w:ind w:left="44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Change in</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Operating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EBITDA Margin</w:t>
            </w:r>
          </w:p>
        </w:tc>
        <w:tc>
          <w:tcPr>
            <w:tcW w:w="1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5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EBITDA Margin</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Recycling commodity rebates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vMerge w:val="continue"/>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Accretion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458"/>
        </w:trPr>
        <w:tc>
          <w:tcPr>
            <w:tcW w:w="5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19"/>
                <w:szCs w:val="19"/>
                <w:color w:val="auto"/>
              </w:rPr>
            </w:pPr>
          </w:p>
        </w:tc>
        <w:tc>
          <w:tcPr>
            <w:tcW w:w="2560" w:type="dxa"/>
            <w:vAlign w:val="bottom"/>
            <w:gridSpan w:val="4"/>
          </w:tcPr>
          <w:p>
            <w:pPr>
              <w:ind w:left="44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Change in</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Operating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EBITDA Margin</w:t>
            </w:r>
          </w:p>
        </w:tc>
        <w:tc>
          <w:tcPr>
            <w:tcW w:w="1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5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EBITDA Margin</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Recycling commodity rebates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20" w:type="dxa"/>
            <w:vAlign w:val="bottom"/>
            <w:vMerge w:val="continue"/>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Accretion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418"/>
        </w:trPr>
        <w:tc>
          <w:tcPr>
            <w:tcW w:w="5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0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2023-10-24T16:22:41Z</dcterms:created>
  <dcterms:modified xsi:type="dcterms:W3CDTF">2023-10-24T16:22:41Z</dcterms:modified>
</cp:coreProperties>
</file>