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fourth quarter and full year ended December 31, 2024, a copy of which is furnished as Exhibit 99.1 to this Form 8-K. The Company is conducting an audio webcast to discuss these results beginning at 9:00 a.m. Central Time on January 30, 2025. </w:t>
      </w:r>
      <w:r>
        <w:rPr>
          <w:rFonts w:ascii="Times New Roman" w:cs="Times New Roman" w:eastAsia="Times New Roman" w:hAnsi="Times New Roman"/>
          <w:sz w:val="18"/>
          <w:szCs w:val="18"/>
          <w:color w:val="0A0A0A"/>
        </w:rPr>
        <w:t>Listeners can access the live audio webcast by visiting investors.wm.com and selecting “Events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&amp; Presentations” from the 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 Exhibits</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Index</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January 29, 2025</w:t>
      </w:r>
    </w:p>
    <w:p>
      <w:pPr>
        <w:spacing w:after="0" w:line="225" w:lineRule="exact"/>
        <w:rPr>
          <w:sz w:val="20"/>
          <w:szCs w:val="20"/>
          <w:color w:val="auto"/>
        </w:rPr>
      </w:pPr>
    </w:p>
    <w:p>
      <w:pPr>
        <w:ind w:left="5580" w:right="3360" w:hanging="5572"/>
        <w:spacing w:after="0" w:line="814" w:lineRule="auto"/>
        <w:tabs>
          <w:tab w:leader="none" w:pos="135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-313690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January 29, 2025</w:t>
            </w:r>
          </w:p>
        </w:tc>
        <w:tc>
          <w:tcPr>
            <w:tcW w:w="75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7"/>
          <w:szCs w:val="17"/>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WM Announces Fourth Quarter and</w:t>
      </w:r>
    </w:p>
    <w:p>
      <w:pPr>
        <w:spacing w:after="0" w:line="37" w:lineRule="exact"/>
        <w:rPr>
          <w:sz w:val="20"/>
          <w:szCs w:val="20"/>
          <w:color w:val="auto"/>
        </w:rPr>
      </w:pPr>
    </w:p>
    <w:p>
      <w:pPr>
        <w:jc w:val="center"/>
        <w:spacing w:after="0"/>
        <w:rPr>
          <w:sz w:val="20"/>
          <w:szCs w:val="20"/>
          <w:color w:val="auto"/>
        </w:rPr>
      </w:pPr>
      <w:r>
        <w:rPr>
          <w:rFonts w:ascii="Arial" w:cs="Arial" w:eastAsia="Arial" w:hAnsi="Arial"/>
          <w:sz w:val="40"/>
          <w:szCs w:val="40"/>
          <w:color w:val="7AB800"/>
        </w:rPr>
        <w:t>Full-Year 2024 Earnings</w:t>
      </w:r>
    </w:p>
    <w:p>
      <w:pPr>
        <w:spacing w:after="0" w:line="187"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Solid Waste Business Growth Drives Company-Best Full-Year Operating EBITDA and Margin</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9"/>
          <w:szCs w:val="19"/>
          <w:color w:val="auto"/>
        </w:rPr>
        <w:t>Four Renewable Natural Gas Facilities Commissioned in the Fourth Quarter; Overall Production Expected to More Than Double</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from 2024 to 2025</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Actively Integrating and Optimizing Stericycle for Growth and Now Expecting $250 Million in Synergies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2025 Expected to Deliver a Step Change in the Company’s Revenue and Earnings</w:t>
      </w:r>
    </w:p>
    <w:p>
      <w:pPr>
        <w:spacing w:after="0" w:line="200" w:lineRule="exact"/>
        <w:rPr>
          <w:sz w:val="20"/>
          <w:szCs w:val="20"/>
          <w:color w:val="auto"/>
        </w:rPr>
      </w:pPr>
    </w:p>
    <w:p>
      <w:pPr>
        <w:jc w:val="both"/>
        <w:ind w:right="20"/>
        <w:spacing w:after="0" w:line="259" w:lineRule="auto"/>
        <w:rPr>
          <w:sz w:val="20"/>
          <w:szCs w:val="20"/>
          <w:color w:val="auto"/>
        </w:rPr>
      </w:pPr>
      <w:r>
        <w:rPr>
          <w:rFonts w:ascii="Arial" w:cs="Arial" w:eastAsia="Arial" w:hAnsi="Arial"/>
          <w:sz w:val="20"/>
          <w:szCs w:val="20"/>
          <w:b w:val="1"/>
          <w:bCs w:val="1"/>
          <w:color w:val="auto"/>
        </w:rPr>
        <w:t xml:space="preserve">HOUSTON — Jan. 29, 2025 </w:t>
      </w:r>
      <w:r>
        <w:rPr>
          <w:rFonts w:ascii="Arial" w:cs="Arial" w:eastAsia="Arial" w:hAnsi="Arial"/>
          <w:sz w:val="20"/>
          <w:szCs w:val="20"/>
          <w:color w:val="auto"/>
        </w:rPr>
        <w:t>— WM (NYSE: WM) today announced financial results for the fourth quarter and year ended</w:t>
      </w:r>
      <w:r>
        <w:rPr>
          <w:rFonts w:ascii="Arial" w:cs="Arial" w:eastAsia="Arial" w:hAnsi="Arial"/>
          <w:sz w:val="20"/>
          <w:szCs w:val="20"/>
          <w:b w:val="1"/>
          <w:bCs w:val="1"/>
          <w:color w:val="auto"/>
        </w:rPr>
        <w:t xml:space="preserve"> </w:t>
      </w:r>
      <w:r>
        <w:rPr>
          <w:rFonts w:ascii="Arial" w:cs="Arial" w:eastAsia="Arial" w:hAnsi="Arial"/>
          <w:sz w:val="20"/>
          <w:szCs w:val="20"/>
          <w:color w:val="auto"/>
        </w:rPr>
        <w:t>Dec. 31, 2024.</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8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b w:val="1"/>
                <w:bCs w:val="1"/>
                <w:color w:val="auto"/>
              </w:rPr>
              <w:t>Year Ended</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76"/>
        </w:trPr>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140" w:type="dxa"/>
            <w:vAlign w:val="bottom"/>
            <w:gridSpan w:val="4"/>
          </w:tcPr>
          <w:p>
            <w:pPr>
              <w:jc w:val="right"/>
              <w:ind w:right="680"/>
              <w:spacing w:after="0" w:line="176" w:lineRule="exact"/>
              <w:rPr>
                <w:sz w:val="20"/>
                <w:szCs w:val="20"/>
                <w:color w:val="auto"/>
              </w:rPr>
            </w:pPr>
            <w:r>
              <w:rPr>
                <w:rFonts w:ascii="Arial" w:cs="Arial" w:eastAsia="Arial" w:hAnsi="Arial"/>
                <w:sz w:val="16"/>
                <w:szCs w:val="16"/>
                <w:b w:val="1"/>
                <w:bCs w:val="1"/>
                <w:color w:val="272727"/>
                <w:w w:val="99"/>
              </w:rPr>
              <w:t>December 31, 2024</w:t>
            </w:r>
          </w:p>
        </w:tc>
        <w:tc>
          <w:tcPr>
            <w:tcW w:w="2620" w:type="dxa"/>
            <w:vAlign w:val="bottom"/>
            <w:gridSpan w:val="6"/>
          </w:tcPr>
          <w:p>
            <w:pPr>
              <w:jc w:val="right"/>
              <w:ind w:right="700"/>
              <w:spacing w:after="0" w:line="176" w:lineRule="exact"/>
              <w:rPr>
                <w:sz w:val="20"/>
                <w:szCs w:val="20"/>
                <w:color w:val="auto"/>
              </w:rPr>
            </w:pPr>
            <w:r>
              <w:rPr>
                <w:rFonts w:ascii="Arial" w:cs="Arial" w:eastAsia="Arial" w:hAnsi="Arial"/>
                <w:sz w:val="16"/>
                <w:szCs w:val="16"/>
                <w:b w:val="1"/>
                <w:bCs w:val="1"/>
                <w:color w:val="auto"/>
              </w:rPr>
              <w:t>December 31, 2023</w:t>
            </w:r>
          </w:p>
        </w:tc>
        <w:tc>
          <w:tcPr>
            <w:tcW w:w="480" w:type="dxa"/>
            <w:vAlign w:val="bottom"/>
          </w:tcPr>
          <w:p>
            <w:pPr>
              <w:spacing w:after="0"/>
              <w:rPr>
                <w:sz w:val="15"/>
                <w:szCs w:val="15"/>
                <w:color w:val="auto"/>
              </w:rPr>
            </w:pPr>
          </w:p>
        </w:tc>
        <w:tc>
          <w:tcPr>
            <w:tcW w:w="2340" w:type="dxa"/>
            <w:vAlign w:val="bottom"/>
            <w:gridSpan w:val="4"/>
          </w:tcPr>
          <w:p>
            <w:pPr>
              <w:jc w:val="right"/>
              <w:ind w:right="880"/>
              <w:spacing w:after="0" w:line="176" w:lineRule="exact"/>
              <w:rPr>
                <w:sz w:val="20"/>
                <w:szCs w:val="20"/>
                <w:color w:val="auto"/>
              </w:rPr>
            </w:pPr>
            <w:r>
              <w:rPr>
                <w:rFonts w:ascii="Arial" w:cs="Arial" w:eastAsia="Arial" w:hAnsi="Arial"/>
                <w:sz w:val="16"/>
                <w:szCs w:val="16"/>
                <w:b w:val="1"/>
                <w:bCs w:val="1"/>
                <w:color w:val="auto"/>
                <w:w w:val="99"/>
              </w:rPr>
              <w:t>December 31, 2024</w:t>
            </w:r>
          </w:p>
        </w:tc>
        <w:tc>
          <w:tcPr>
            <w:tcW w:w="140" w:type="dxa"/>
            <w:vAlign w:val="bottom"/>
          </w:tcPr>
          <w:p>
            <w:pPr>
              <w:spacing w:after="0"/>
              <w:rPr>
                <w:sz w:val="15"/>
                <w:szCs w:val="15"/>
                <w:color w:val="auto"/>
              </w:rPr>
            </w:pPr>
          </w:p>
        </w:tc>
        <w:tc>
          <w:tcPr>
            <w:tcW w:w="1780" w:type="dxa"/>
            <w:vAlign w:val="bottom"/>
            <w:gridSpan w:val="3"/>
          </w:tcPr>
          <w:p>
            <w:pPr>
              <w:jc w:val="right"/>
              <w:ind w:right="320"/>
              <w:spacing w:after="0" w:line="176" w:lineRule="exact"/>
              <w:rPr>
                <w:sz w:val="20"/>
                <w:szCs w:val="20"/>
                <w:color w:val="auto"/>
              </w:rPr>
            </w:pPr>
            <w:r>
              <w:rPr>
                <w:rFonts w:ascii="Arial" w:cs="Arial" w:eastAsia="Arial" w:hAnsi="Arial"/>
                <w:sz w:val="16"/>
                <w:szCs w:val="16"/>
                <w:b w:val="1"/>
                <w:bCs w:val="1"/>
                <w:color w:val="auto"/>
                <w:w w:val="99"/>
              </w:rPr>
              <w:t>December 31, 2023</w:t>
            </w:r>
          </w:p>
        </w:tc>
      </w:tr>
      <w:tr>
        <w:trPr>
          <w:trHeight w:val="20"/>
        </w:trPr>
        <w:tc>
          <w:tcPr>
            <w:tcW w:w="1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shd w:val="clear" w:color="auto" w:fill="272727"/>
          </w:tcPr>
          <w:p>
            <w:pPr>
              <w:spacing w:after="0" w:line="20" w:lineRule="exact"/>
              <w:rPr>
                <w:sz w:val="1"/>
                <w:szCs w:val="1"/>
                <w:color w:val="auto"/>
              </w:rPr>
            </w:pPr>
          </w:p>
        </w:tc>
        <w:tc>
          <w:tcPr>
            <w:tcW w:w="920" w:type="dxa"/>
            <w:vAlign w:val="bottom"/>
            <w:gridSpan w:val="2"/>
            <w:shd w:val="clear" w:color="auto" w:fill="27272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3"/>
        </w:trPr>
        <w:tc>
          <w:tcPr>
            <w:tcW w:w="1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20" w:type="dxa"/>
            <w:vAlign w:val="bottom"/>
            <w:tcBorders>
              <w:bottom w:val="single" w:sz="8" w:color="auto"/>
            </w:tcBorders>
            <w:gridSpan w:val="5"/>
          </w:tcPr>
          <w:p>
            <w:pPr>
              <w:jc w:val="center"/>
              <w:spacing w:after="0" w:line="183" w:lineRule="exact"/>
              <w:rPr>
                <w:sz w:val="20"/>
                <w:szCs w:val="20"/>
                <w:color w:val="auto"/>
              </w:rPr>
            </w:pPr>
            <w:r>
              <w:rPr>
                <w:rFonts w:ascii="Arial" w:cs="Arial" w:eastAsia="Arial" w:hAnsi="Arial"/>
                <w:sz w:val="16"/>
                <w:szCs w:val="16"/>
                <w:b w:val="1"/>
                <w:bCs w:val="1"/>
                <w:color w:val="auto"/>
              </w:rPr>
              <w:t>(in millions, except per share amounts)</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20" w:type="dxa"/>
            <w:vAlign w:val="bottom"/>
            <w:tcBorders>
              <w:bottom w:val="single" w:sz="8" w:color="auto"/>
            </w:tcBorders>
            <w:gridSpan w:val="5"/>
          </w:tcPr>
          <w:p>
            <w:pPr>
              <w:jc w:val="right"/>
              <w:spacing w:after="0" w:line="183" w:lineRule="exact"/>
              <w:rPr>
                <w:sz w:val="20"/>
                <w:szCs w:val="20"/>
                <w:color w:val="auto"/>
              </w:rPr>
            </w:pPr>
            <w:r>
              <w:rPr>
                <w:rFonts w:ascii="Arial" w:cs="Arial" w:eastAsia="Arial" w:hAnsi="Arial"/>
                <w:sz w:val="16"/>
                <w:szCs w:val="16"/>
                <w:b w:val="1"/>
                <w:bCs w:val="1"/>
                <w:color w:val="auto"/>
              </w:rPr>
              <w:t>(in millions, except per share amounts)</w:t>
            </w: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331"/>
        </w:trPr>
        <w:tc>
          <w:tcPr>
            <w:tcW w:w="1300" w:type="dxa"/>
            <w:vAlign w:val="bottom"/>
          </w:tcPr>
          <w:p>
            <w:pPr>
              <w:spacing w:after="0"/>
              <w:rPr>
                <w:sz w:val="24"/>
                <w:szCs w:val="24"/>
                <w:color w:val="auto"/>
              </w:rPr>
            </w:pPr>
          </w:p>
        </w:tc>
        <w:tc>
          <w:tcPr>
            <w:tcW w:w="1240" w:type="dxa"/>
            <w:vAlign w:val="bottom"/>
            <w:gridSpan w:val="3"/>
          </w:tcPr>
          <w:p>
            <w:pPr>
              <w:jc w:val="right"/>
              <w:ind w:right="539"/>
              <w:spacing w:after="0"/>
              <w:rPr>
                <w:sz w:val="20"/>
                <w:szCs w:val="20"/>
                <w:color w:val="auto"/>
              </w:rPr>
            </w:pPr>
            <w:r>
              <w:rPr>
                <w:rFonts w:ascii="Arial" w:cs="Arial" w:eastAsia="Arial" w:hAnsi="Arial"/>
                <w:sz w:val="16"/>
                <w:szCs w:val="16"/>
                <w:color w:val="auto"/>
              </w:rPr>
              <w:t>As</w:t>
            </w:r>
          </w:p>
        </w:tc>
        <w:tc>
          <w:tcPr>
            <w:tcW w:w="1340" w:type="dxa"/>
            <w:vAlign w:val="bottom"/>
            <w:gridSpan w:val="2"/>
          </w:tcPr>
          <w:p>
            <w:pPr>
              <w:jc w:val="right"/>
              <w:ind w:right="660"/>
              <w:spacing w:after="0"/>
              <w:rPr>
                <w:sz w:val="20"/>
                <w:szCs w:val="20"/>
                <w:color w:val="auto"/>
              </w:rPr>
            </w:pPr>
            <w:r>
              <w:rPr>
                <w:rFonts w:ascii="Arial" w:cs="Arial" w:eastAsia="Arial" w:hAnsi="Arial"/>
                <w:sz w:val="16"/>
                <w:szCs w:val="16"/>
                <w:color w:val="auto"/>
              </w:rPr>
              <w:t>As</w:t>
            </w:r>
          </w:p>
        </w:tc>
        <w:tc>
          <w:tcPr>
            <w:tcW w:w="1440" w:type="dxa"/>
            <w:vAlign w:val="bottom"/>
            <w:gridSpan w:val="3"/>
          </w:tcPr>
          <w:p>
            <w:pPr>
              <w:jc w:val="center"/>
              <w:ind w:right="360"/>
              <w:spacing w:after="0"/>
              <w:rPr>
                <w:sz w:val="20"/>
                <w:szCs w:val="20"/>
                <w:color w:val="auto"/>
              </w:rPr>
            </w:pPr>
            <w:r>
              <w:rPr>
                <w:rFonts w:ascii="Arial" w:cs="Arial" w:eastAsia="Arial" w:hAnsi="Arial"/>
                <w:sz w:val="16"/>
                <w:szCs w:val="16"/>
                <w:color w:val="auto"/>
              </w:rPr>
              <w:t>As</w:t>
            </w:r>
          </w:p>
        </w:tc>
        <w:tc>
          <w:tcPr>
            <w:tcW w:w="1180" w:type="dxa"/>
            <w:vAlign w:val="bottom"/>
            <w:gridSpan w:val="3"/>
          </w:tcPr>
          <w:p>
            <w:pPr>
              <w:jc w:val="right"/>
              <w:ind w:right="680"/>
              <w:spacing w:after="0"/>
              <w:rPr>
                <w:sz w:val="20"/>
                <w:szCs w:val="20"/>
                <w:color w:val="auto"/>
              </w:rPr>
            </w:pPr>
            <w:r>
              <w:rPr>
                <w:rFonts w:ascii="Arial" w:cs="Arial" w:eastAsia="Arial" w:hAnsi="Arial"/>
                <w:sz w:val="16"/>
                <w:szCs w:val="16"/>
                <w:color w:val="auto"/>
              </w:rPr>
              <w:t>As</w:t>
            </w:r>
          </w:p>
        </w:tc>
        <w:tc>
          <w:tcPr>
            <w:tcW w:w="1280" w:type="dxa"/>
            <w:vAlign w:val="bottom"/>
            <w:gridSpan w:val="3"/>
          </w:tcPr>
          <w:p>
            <w:pPr>
              <w:jc w:val="right"/>
              <w:ind w:right="559"/>
              <w:spacing w:after="0"/>
              <w:rPr>
                <w:sz w:val="20"/>
                <w:szCs w:val="20"/>
                <w:color w:val="auto"/>
              </w:rPr>
            </w:pPr>
            <w:r>
              <w:rPr>
                <w:rFonts w:ascii="Arial" w:cs="Arial" w:eastAsia="Arial" w:hAnsi="Arial"/>
                <w:sz w:val="16"/>
                <w:szCs w:val="16"/>
                <w:color w:val="auto"/>
              </w:rPr>
              <w:t>As</w:t>
            </w:r>
          </w:p>
        </w:tc>
        <w:tc>
          <w:tcPr>
            <w:tcW w:w="1540" w:type="dxa"/>
            <w:vAlign w:val="bottom"/>
            <w:gridSpan w:val="2"/>
          </w:tcPr>
          <w:p>
            <w:pPr>
              <w:jc w:val="right"/>
              <w:ind w:right="860"/>
              <w:spacing w:after="0"/>
              <w:rPr>
                <w:sz w:val="20"/>
                <w:szCs w:val="20"/>
                <w:color w:val="auto"/>
              </w:rPr>
            </w:pPr>
            <w:r>
              <w:rPr>
                <w:rFonts w:ascii="Arial" w:cs="Arial" w:eastAsia="Arial" w:hAnsi="Arial"/>
                <w:sz w:val="16"/>
                <w:szCs w:val="16"/>
                <w:color w:val="auto"/>
              </w:rPr>
              <w:t>As</w:t>
            </w:r>
          </w:p>
        </w:tc>
        <w:tc>
          <w:tcPr>
            <w:tcW w:w="140" w:type="dxa"/>
            <w:vAlign w:val="bottom"/>
          </w:tcPr>
          <w:p>
            <w:pPr>
              <w:spacing w:after="0"/>
              <w:rPr>
                <w:sz w:val="24"/>
                <w:szCs w:val="24"/>
                <w:color w:val="auto"/>
              </w:rPr>
            </w:pPr>
          </w:p>
        </w:tc>
        <w:tc>
          <w:tcPr>
            <w:tcW w:w="920" w:type="dxa"/>
            <w:vAlign w:val="bottom"/>
          </w:tcPr>
          <w:p>
            <w:pPr>
              <w:jc w:val="right"/>
              <w:ind w:right="519"/>
              <w:spacing w:after="0"/>
              <w:rPr>
                <w:sz w:val="20"/>
                <w:szCs w:val="20"/>
                <w:color w:val="auto"/>
              </w:rPr>
            </w:pPr>
            <w:r>
              <w:rPr>
                <w:rFonts w:ascii="Arial" w:cs="Arial" w:eastAsia="Arial" w:hAnsi="Arial"/>
                <w:sz w:val="16"/>
                <w:szCs w:val="16"/>
                <w:color w:val="auto"/>
              </w:rPr>
              <w:t>As</w:t>
            </w:r>
          </w:p>
        </w:tc>
        <w:tc>
          <w:tcPr>
            <w:tcW w:w="860" w:type="dxa"/>
            <w:vAlign w:val="bottom"/>
            <w:gridSpan w:val="2"/>
          </w:tcPr>
          <w:p>
            <w:pPr>
              <w:jc w:val="right"/>
              <w:ind w:right="300"/>
              <w:spacing w:after="0"/>
              <w:rPr>
                <w:sz w:val="20"/>
                <w:szCs w:val="20"/>
                <w:color w:val="auto"/>
              </w:rPr>
            </w:pPr>
            <w:r>
              <w:rPr>
                <w:rFonts w:ascii="Arial" w:cs="Arial" w:eastAsia="Arial" w:hAnsi="Arial"/>
                <w:sz w:val="16"/>
                <w:szCs w:val="16"/>
                <w:color w:val="auto"/>
              </w:rPr>
              <w:t>As</w:t>
            </w:r>
          </w:p>
        </w:tc>
      </w:tr>
      <w:tr>
        <w:trPr>
          <w:trHeight w:val="229"/>
        </w:trPr>
        <w:tc>
          <w:tcPr>
            <w:tcW w:w="1300" w:type="dxa"/>
            <w:vAlign w:val="bottom"/>
          </w:tcPr>
          <w:p>
            <w:pPr>
              <w:spacing w:after="0"/>
              <w:rPr>
                <w:sz w:val="19"/>
                <w:szCs w:val="19"/>
                <w:color w:val="auto"/>
              </w:rPr>
            </w:pPr>
          </w:p>
        </w:tc>
        <w:tc>
          <w:tcPr>
            <w:tcW w:w="1240" w:type="dxa"/>
            <w:vAlign w:val="bottom"/>
            <w:gridSpan w:val="3"/>
          </w:tcPr>
          <w:p>
            <w:pPr>
              <w:jc w:val="right"/>
              <w:ind w:right="299"/>
              <w:spacing w:after="0"/>
              <w:rPr>
                <w:sz w:val="20"/>
                <w:szCs w:val="20"/>
                <w:color w:val="auto"/>
              </w:rPr>
            </w:pPr>
            <w:r>
              <w:rPr>
                <w:rFonts w:ascii="Arial" w:cs="Arial" w:eastAsia="Arial" w:hAnsi="Arial"/>
                <w:sz w:val="16"/>
                <w:szCs w:val="16"/>
                <w:color w:val="auto"/>
              </w:rPr>
              <w:t>Reported</w:t>
            </w:r>
          </w:p>
        </w:tc>
        <w:tc>
          <w:tcPr>
            <w:tcW w:w="1340" w:type="dxa"/>
            <w:vAlign w:val="bottom"/>
            <w:gridSpan w:val="2"/>
          </w:tcPr>
          <w:p>
            <w:pPr>
              <w:jc w:val="right"/>
              <w:ind w:right="360"/>
              <w:spacing w:after="0" w:line="230" w:lineRule="exact"/>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(a)</w:t>
            </w:r>
          </w:p>
        </w:tc>
        <w:tc>
          <w:tcPr>
            <w:tcW w:w="1440" w:type="dxa"/>
            <w:vAlign w:val="bottom"/>
            <w:gridSpan w:val="3"/>
          </w:tcPr>
          <w:p>
            <w:pPr>
              <w:jc w:val="center"/>
              <w:ind w:right="380"/>
              <w:spacing w:after="0"/>
              <w:rPr>
                <w:sz w:val="20"/>
                <w:szCs w:val="20"/>
                <w:color w:val="auto"/>
              </w:rPr>
            </w:pPr>
            <w:r>
              <w:rPr>
                <w:rFonts w:ascii="Arial" w:cs="Arial" w:eastAsia="Arial" w:hAnsi="Arial"/>
                <w:sz w:val="16"/>
                <w:szCs w:val="16"/>
                <w:color w:val="auto"/>
              </w:rPr>
              <w:t>Reported</w:t>
            </w:r>
          </w:p>
        </w:tc>
        <w:tc>
          <w:tcPr>
            <w:tcW w:w="1180" w:type="dxa"/>
            <w:vAlign w:val="bottom"/>
            <w:gridSpan w:val="3"/>
          </w:tcPr>
          <w:p>
            <w:pPr>
              <w:jc w:val="right"/>
              <w:ind w:right="380"/>
              <w:spacing w:after="0" w:line="230" w:lineRule="exact"/>
              <w:rPr>
                <w:sz w:val="20"/>
                <w:szCs w:val="20"/>
                <w:color w:val="auto"/>
              </w:rPr>
            </w:pPr>
            <w:r>
              <w:rPr>
                <w:rFonts w:ascii="Arial" w:cs="Arial" w:eastAsia="Arial" w:hAnsi="Arial"/>
                <w:sz w:val="16"/>
                <w:szCs w:val="16"/>
                <w:color w:val="auto"/>
                <w:w w:val="93"/>
              </w:rPr>
              <w:t>Adjusted</w:t>
            </w:r>
            <w:r>
              <w:rPr>
                <w:rFonts w:ascii="Arial" w:cs="Arial" w:eastAsia="Arial" w:hAnsi="Arial"/>
                <w:sz w:val="26"/>
                <w:szCs w:val="26"/>
                <w:color w:val="auto"/>
                <w:w w:val="93"/>
                <w:vertAlign w:val="superscript"/>
              </w:rPr>
              <w:t>(a)</w:t>
            </w:r>
          </w:p>
        </w:tc>
        <w:tc>
          <w:tcPr>
            <w:tcW w:w="1280" w:type="dxa"/>
            <w:vAlign w:val="bottom"/>
            <w:gridSpan w:val="3"/>
          </w:tcPr>
          <w:p>
            <w:pPr>
              <w:jc w:val="right"/>
              <w:ind w:right="319"/>
              <w:spacing w:after="0"/>
              <w:rPr>
                <w:sz w:val="20"/>
                <w:szCs w:val="20"/>
                <w:color w:val="auto"/>
              </w:rPr>
            </w:pPr>
            <w:r>
              <w:rPr>
                <w:rFonts w:ascii="Arial" w:cs="Arial" w:eastAsia="Arial" w:hAnsi="Arial"/>
                <w:sz w:val="16"/>
                <w:szCs w:val="16"/>
                <w:color w:val="auto"/>
              </w:rPr>
              <w:t>Reported</w:t>
            </w:r>
          </w:p>
        </w:tc>
        <w:tc>
          <w:tcPr>
            <w:tcW w:w="1540" w:type="dxa"/>
            <w:vAlign w:val="bottom"/>
            <w:gridSpan w:val="2"/>
          </w:tcPr>
          <w:p>
            <w:pPr>
              <w:jc w:val="right"/>
              <w:ind w:right="560"/>
              <w:spacing w:after="0" w:line="230" w:lineRule="exact"/>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(a)</w:t>
            </w:r>
          </w:p>
        </w:tc>
        <w:tc>
          <w:tcPr>
            <w:tcW w:w="1060" w:type="dxa"/>
            <w:vAlign w:val="bottom"/>
            <w:gridSpan w:val="2"/>
          </w:tcPr>
          <w:p>
            <w:pPr>
              <w:jc w:val="right"/>
              <w:ind w:right="279"/>
              <w:spacing w:after="0"/>
              <w:rPr>
                <w:sz w:val="20"/>
                <w:szCs w:val="20"/>
                <w:color w:val="auto"/>
              </w:rPr>
            </w:pPr>
            <w:r>
              <w:rPr>
                <w:rFonts w:ascii="Arial" w:cs="Arial" w:eastAsia="Arial" w:hAnsi="Arial"/>
                <w:sz w:val="16"/>
                <w:szCs w:val="16"/>
                <w:color w:val="auto"/>
              </w:rPr>
              <w:t>Reported</w:t>
            </w:r>
          </w:p>
        </w:tc>
        <w:tc>
          <w:tcPr>
            <w:tcW w:w="860" w:type="dxa"/>
            <w:vAlign w:val="bottom"/>
            <w:gridSpan w:val="2"/>
          </w:tcPr>
          <w:p>
            <w:pPr>
              <w:jc w:val="right"/>
              <w:spacing w:after="0" w:line="230" w:lineRule="exact"/>
              <w:rPr>
                <w:sz w:val="20"/>
                <w:szCs w:val="20"/>
                <w:color w:val="auto"/>
              </w:rPr>
            </w:pPr>
            <w:r>
              <w:rPr>
                <w:rFonts w:ascii="Arial" w:cs="Arial" w:eastAsia="Arial" w:hAnsi="Arial"/>
                <w:sz w:val="16"/>
                <w:szCs w:val="16"/>
                <w:color w:val="auto"/>
              </w:rPr>
              <w:t>Adjusted</w:t>
            </w:r>
            <w:r>
              <w:rPr>
                <w:rFonts w:ascii="Arial" w:cs="Arial" w:eastAsia="Arial" w:hAnsi="Arial"/>
                <w:sz w:val="26"/>
                <w:szCs w:val="26"/>
                <w:color w:val="auto"/>
                <w:vertAlign w:val="superscript"/>
              </w:rPr>
              <w:t>(a)</w:t>
            </w:r>
          </w:p>
        </w:tc>
      </w:tr>
      <w:tr>
        <w:trPr>
          <w:trHeight w:val="397"/>
        </w:trPr>
        <w:tc>
          <w:tcPr>
            <w:tcW w:w="1300" w:type="dxa"/>
            <w:vAlign w:val="bottom"/>
          </w:tcPr>
          <w:p>
            <w:pPr>
              <w:spacing w:after="0"/>
              <w:rPr>
                <w:sz w:val="20"/>
                <w:szCs w:val="20"/>
                <w:color w:val="auto"/>
              </w:rPr>
            </w:pPr>
            <w:r>
              <w:rPr>
                <w:rFonts w:ascii="Arial" w:cs="Arial" w:eastAsia="Arial" w:hAnsi="Arial"/>
                <w:sz w:val="16"/>
                <w:szCs w:val="16"/>
                <w:color w:val="auto"/>
              </w:rPr>
              <w:t>Revenue</w:t>
            </w:r>
          </w:p>
        </w:tc>
        <w:tc>
          <w:tcPr>
            <w:tcW w:w="1240" w:type="dxa"/>
            <w:vAlign w:val="bottom"/>
            <w:tcBorders>
              <w:top w:val="single" w:sz="8" w:color="auto"/>
            </w:tcBorders>
            <w:gridSpan w:val="3"/>
          </w:tcPr>
          <w:p>
            <w:pPr>
              <w:jc w:val="right"/>
              <w:ind w:right="79"/>
              <w:spacing w:after="0"/>
              <w:rPr>
                <w:sz w:val="20"/>
                <w:szCs w:val="20"/>
                <w:color w:val="auto"/>
              </w:rPr>
            </w:pPr>
            <w:r>
              <w:rPr>
                <w:rFonts w:ascii="Arial" w:cs="Arial" w:eastAsia="Arial" w:hAnsi="Arial"/>
                <w:sz w:val="16"/>
                <w:szCs w:val="16"/>
                <w:color w:val="auto"/>
              </w:rPr>
              <w:t>$5,893</w:t>
            </w:r>
          </w:p>
        </w:tc>
        <w:tc>
          <w:tcPr>
            <w:tcW w:w="134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color w:val="auto"/>
              </w:rPr>
              <w:t>$5,893</w:t>
            </w:r>
          </w:p>
        </w:tc>
        <w:tc>
          <w:tcPr>
            <w:tcW w:w="142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color w:val="auto"/>
              </w:rPr>
              <w:t>$5,217</w:t>
            </w:r>
          </w:p>
        </w:tc>
        <w:tc>
          <w:tcPr>
            <w:tcW w:w="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$5,217</w:t>
            </w:r>
          </w:p>
        </w:tc>
        <w:tc>
          <w:tcPr>
            <w:tcW w:w="220" w:type="dxa"/>
            <w:vAlign w:val="bottom"/>
          </w:tcPr>
          <w:p>
            <w:pPr>
              <w:spacing w:after="0"/>
              <w:rPr>
                <w:sz w:val="24"/>
                <w:szCs w:val="24"/>
                <w:color w:val="auto"/>
              </w:rPr>
            </w:pPr>
          </w:p>
        </w:tc>
        <w:tc>
          <w:tcPr>
            <w:tcW w:w="1280" w:type="dxa"/>
            <w:vAlign w:val="bottom"/>
            <w:tcBorders>
              <w:top w:val="single" w:sz="8" w:color="auto"/>
            </w:tcBorders>
            <w:gridSpan w:val="3"/>
          </w:tcPr>
          <w:p>
            <w:pPr>
              <w:jc w:val="right"/>
              <w:ind w:right="99"/>
              <w:spacing w:after="0"/>
              <w:rPr>
                <w:sz w:val="20"/>
                <w:szCs w:val="20"/>
                <w:color w:val="auto"/>
              </w:rPr>
            </w:pPr>
            <w:r>
              <w:rPr>
                <w:rFonts w:ascii="Arial" w:cs="Arial" w:eastAsia="Arial" w:hAnsi="Arial"/>
                <w:sz w:val="16"/>
                <w:szCs w:val="16"/>
                <w:color w:val="auto"/>
              </w:rPr>
              <w:t>$22,063</w:t>
            </w:r>
          </w:p>
        </w:tc>
        <w:tc>
          <w:tcPr>
            <w:tcW w:w="1540" w:type="dxa"/>
            <w:vAlign w:val="bottom"/>
            <w:tcBorders>
              <w:top w:val="single" w:sz="8" w:color="auto"/>
            </w:tcBorders>
            <w:gridSpan w:val="2"/>
          </w:tcPr>
          <w:p>
            <w:pPr>
              <w:jc w:val="right"/>
              <w:ind w:right="400"/>
              <w:spacing w:after="0"/>
              <w:rPr>
                <w:sz w:val="20"/>
                <w:szCs w:val="20"/>
                <w:color w:val="auto"/>
              </w:rPr>
            </w:pPr>
            <w:r>
              <w:rPr>
                <w:rFonts w:ascii="Arial" w:cs="Arial" w:eastAsia="Arial" w:hAnsi="Arial"/>
                <w:sz w:val="16"/>
                <w:szCs w:val="16"/>
                <w:color w:val="auto"/>
              </w:rPr>
              <w:t>$22,063</w:t>
            </w:r>
          </w:p>
        </w:tc>
        <w:tc>
          <w:tcPr>
            <w:tcW w:w="1060" w:type="dxa"/>
            <w:vAlign w:val="bottom"/>
            <w:tcBorders>
              <w:top w:val="single" w:sz="8" w:color="auto"/>
            </w:tcBorders>
            <w:gridSpan w:val="2"/>
          </w:tcPr>
          <w:p>
            <w:pPr>
              <w:jc w:val="right"/>
              <w:ind w:right="79"/>
              <w:spacing w:after="0"/>
              <w:rPr>
                <w:sz w:val="20"/>
                <w:szCs w:val="20"/>
                <w:color w:val="auto"/>
              </w:rPr>
            </w:pPr>
            <w:r>
              <w:rPr>
                <w:rFonts w:ascii="Arial" w:cs="Arial" w:eastAsia="Arial" w:hAnsi="Arial"/>
                <w:sz w:val="16"/>
                <w:szCs w:val="16"/>
                <w:color w:val="auto"/>
              </w:rPr>
              <w:t>$20,426</w:t>
            </w: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$20,426</w:t>
            </w:r>
          </w:p>
        </w:tc>
      </w:tr>
      <w:tr>
        <w:trPr>
          <w:trHeight w:val="366"/>
        </w:trPr>
        <w:tc>
          <w:tcPr>
            <w:tcW w:w="1300" w:type="dxa"/>
            <w:vAlign w:val="bottom"/>
          </w:tcPr>
          <w:p>
            <w:pPr>
              <w:spacing w:after="0"/>
              <w:rPr>
                <w:sz w:val="20"/>
                <w:szCs w:val="20"/>
                <w:color w:val="auto"/>
              </w:rPr>
            </w:pPr>
            <w:r>
              <w:rPr>
                <w:rFonts w:ascii="Arial" w:cs="Arial" w:eastAsia="Arial" w:hAnsi="Arial"/>
                <w:sz w:val="16"/>
                <w:szCs w:val="16"/>
                <w:color w:val="auto"/>
              </w:rPr>
              <w:t>Income from</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6"/>
                <w:szCs w:val="16"/>
                <w:color w:val="auto"/>
              </w:rPr>
              <w:t>Operations</w:t>
            </w:r>
          </w:p>
        </w:tc>
        <w:tc>
          <w:tcPr>
            <w:tcW w:w="1240" w:type="dxa"/>
            <w:vAlign w:val="bottom"/>
            <w:gridSpan w:val="3"/>
          </w:tcPr>
          <w:p>
            <w:pPr>
              <w:jc w:val="right"/>
              <w:ind w:right="79"/>
              <w:spacing w:after="0"/>
              <w:rPr>
                <w:sz w:val="20"/>
                <w:szCs w:val="20"/>
                <w:color w:val="auto"/>
              </w:rPr>
            </w:pPr>
            <w:r>
              <w:rPr>
                <w:rFonts w:ascii="Arial" w:cs="Arial" w:eastAsia="Arial" w:hAnsi="Arial"/>
                <w:sz w:val="16"/>
                <w:szCs w:val="16"/>
                <w:color w:val="auto"/>
              </w:rPr>
              <w:t>$919</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$1,054</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$785</w:t>
            </w:r>
          </w:p>
        </w:tc>
        <w:tc>
          <w:tcPr>
            <w:tcW w:w="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$1,032</w:t>
            </w:r>
          </w:p>
        </w:tc>
        <w:tc>
          <w:tcPr>
            <w:tcW w:w="220" w:type="dxa"/>
            <w:vAlign w:val="bottom"/>
          </w:tcPr>
          <w:p>
            <w:pPr>
              <w:spacing w:after="0"/>
              <w:rPr>
                <w:sz w:val="18"/>
                <w:szCs w:val="18"/>
                <w:color w:val="auto"/>
              </w:rPr>
            </w:pP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$4,063</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$4,296</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$3,575</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$3,828</w:t>
            </w:r>
          </w:p>
        </w:tc>
      </w:tr>
      <w:tr>
        <w:trPr>
          <w:trHeight w:val="367"/>
        </w:trPr>
        <w:tc>
          <w:tcPr>
            <w:tcW w:w="1300" w:type="dxa"/>
            <w:vAlign w:val="bottom"/>
          </w:tcPr>
          <w:p>
            <w:pPr>
              <w:spacing w:after="0"/>
              <w:rPr>
                <w:sz w:val="20"/>
                <w:szCs w:val="20"/>
                <w:color w:val="auto"/>
              </w:rPr>
            </w:pPr>
            <w:r>
              <w:rPr>
                <w:rFonts w:ascii="Arial" w:cs="Arial" w:eastAsia="Arial" w:hAnsi="Arial"/>
                <w:sz w:val="16"/>
                <w:szCs w:val="16"/>
                <w:color w:val="auto"/>
              </w:rPr>
              <w:t>Operating</w:t>
            </w: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59"/>
        </w:trPr>
        <w:tc>
          <w:tcPr>
            <w:tcW w:w="1300" w:type="dxa"/>
            <w:vAlign w:val="bottom"/>
          </w:tcPr>
          <w:p>
            <w:pPr>
              <w:spacing w:after="0"/>
              <w:rPr>
                <w:sz w:val="20"/>
                <w:szCs w:val="20"/>
                <w:color w:val="auto"/>
              </w:rPr>
            </w:pPr>
            <w:r>
              <w:rPr>
                <w:rFonts w:ascii="Arial" w:cs="Arial" w:eastAsia="Arial" w:hAnsi="Arial"/>
                <w:sz w:val="16"/>
                <w:szCs w:val="16"/>
                <w:color w:val="auto"/>
              </w:rPr>
              <w:t>EBITDA</w:t>
            </w:r>
            <w:r>
              <w:rPr>
                <w:rFonts w:ascii="Arial" w:cs="Arial" w:eastAsia="Arial" w:hAnsi="Arial"/>
                <w:sz w:val="26"/>
                <w:szCs w:val="26"/>
                <w:color w:val="auto"/>
                <w:vertAlign w:val="superscript"/>
              </w:rPr>
              <w:t>(b)</w:t>
            </w:r>
          </w:p>
        </w:tc>
        <w:tc>
          <w:tcPr>
            <w:tcW w:w="1240" w:type="dxa"/>
            <w:vAlign w:val="bottom"/>
            <w:gridSpan w:val="3"/>
          </w:tcPr>
          <w:p>
            <w:pPr>
              <w:jc w:val="right"/>
              <w:ind w:right="79"/>
              <w:spacing w:after="0"/>
              <w:rPr>
                <w:sz w:val="20"/>
                <w:szCs w:val="20"/>
                <w:color w:val="auto"/>
              </w:rPr>
            </w:pPr>
            <w:r>
              <w:rPr>
                <w:rFonts w:ascii="Arial" w:cs="Arial" w:eastAsia="Arial" w:hAnsi="Arial"/>
                <w:sz w:val="16"/>
                <w:szCs w:val="16"/>
                <w:color w:val="auto"/>
              </w:rPr>
              <w:t>$1,571</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$1,706</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$1,311</w:t>
            </w:r>
          </w:p>
        </w:tc>
        <w:tc>
          <w:tcPr>
            <w:tcW w:w="2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$1,558</w:t>
            </w:r>
          </w:p>
        </w:tc>
        <w:tc>
          <w:tcPr>
            <w:tcW w:w="220" w:type="dxa"/>
            <w:vAlign w:val="bottom"/>
          </w:tcPr>
          <w:p>
            <w:pPr>
              <w:spacing w:after="0"/>
              <w:rPr>
                <w:sz w:val="24"/>
                <w:szCs w:val="24"/>
                <w:color w:val="auto"/>
              </w:rPr>
            </w:pP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$6,330</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$6,563</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$5,646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$5,899</w:t>
            </w:r>
          </w:p>
        </w:tc>
      </w:tr>
      <w:tr>
        <w:trPr>
          <w:trHeight w:val="260"/>
        </w:trPr>
        <w:tc>
          <w:tcPr>
            <w:tcW w:w="1300" w:type="dxa"/>
            <w:vAlign w:val="bottom"/>
          </w:tcPr>
          <w:p>
            <w:pPr>
              <w:spacing w:after="0"/>
              <w:rPr>
                <w:sz w:val="20"/>
                <w:szCs w:val="20"/>
                <w:color w:val="auto"/>
              </w:rPr>
            </w:pPr>
            <w:r>
              <w:rPr>
                <w:rFonts w:ascii="Arial" w:cs="Arial" w:eastAsia="Arial" w:hAnsi="Arial"/>
                <w:sz w:val="16"/>
                <w:szCs w:val="16"/>
                <w:color w:val="auto"/>
              </w:rPr>
              <w:t>Operating</w:t>
            </w: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Pr>
          <w:p>
            <w:pPr>
              <w:spacing w:after="0"/>
              <w:rPr>
                <w:sz w:val="22"/>
                <w:szCs w:val="22"/>
                <w:color w:val="auto"/>
              </w:rPr>
            </w:pPr>
          </w:p>
        </w:tc>
      </w:tr>
      <w:tr>
        <w:trPr>
          <w:trHeight w:val="189"/>
        </w:trPr>
        <w:tc>
          <w:tcPr>
            <w:tcW w:w="1300" w:type="dxa"/>
            <w:vAlign w:val="bottom"/>
          </w:tcPr>
          <w:p>
            <w:pPr>
              <w:spacing w:after="0"/>
              <w:rPr>
                <w:sz w:val="20"/>
                <w:szCs w:val="20"/>
                <w:color w:val="auto"/>
              </w:rPr>
            </w:pPr>
            <w:r>
              <w:rPr>
                <w:rFonts w:ascii="Arial" w:cs="Arial" w:eastAsia="Arial" w:hAnsi="Arial"/>
                <w:sz w:val="16"/>
                <w:szCs w:val="16"/>
                <w:color w:val="auto"/>
              </w:rPr>
              <w:t>EBITDA</w:t>
            </w: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r>
      <w:tr>
        <w:trPr>
          <w:trHeight w:val="215"/>
        </w:trPr>
        <w:tc>
          <w:tcPr>
            <w:tcW w:w="1300" w:type="dxa"/>
            <w:vAlign w:val="bottom"/>
          </w:tcPr>
          <w:p>
            <w:pPr>
              <w:spacing w:after="0"/>
              <w:rPr>
                <w:sz w:val="20"/>
                <w:szCs w:val="20"/>
                <w:color w:val="auto"/>
              </w:rPr>
            </w:pPr>
            <w:r>
              <w:rPr>
                <w:rFonts w:ascii="Arial" w:cs="Arial" w:eastAsia="Arial" w:hAnsi="Arial"/>
                <w:sz w:val="16"/>
                <w:szCs w:val="16"/>
                <w:color w:val="auto"/>
              </w:rPr>
              <w:t>Margin</w:t>
            </w:r>
          </w:p>
        </w:tc>
        <w:tc>
          <w:tcPr>
            <w:tcW w:w="1240" w:type="dxa"/>
            <w:vAlign w:val="bottom"/>
            <w:gridSpan w:val="3"/>
          </w:tcPr>
          <w:p>
            <w:pPr>
              <w:jc w:val="right"/>
              <w:ind w:right="79"/>
              <w:spacing w:after="0"/>
              <w:rPr>
                <w:sz w:val="20"/>
                <w:szCs w:val="20"/>
                <w:color w:val="auto"/>
              </w:rPr>
            </w:pPr>
            <w:r>
              <w:rPr>
                <w:rFonts w:ascii="Arial" w:cs="Arial" w:eastAsia="Arial" w:hAnsi="Arial"/>
                <w:sz w:val="16"/>
                <w:szCs w:val="16"/>
                <w:color w:val="auto"/>
              </w:rPr>
              <w:t>26.7%</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28.9%</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8"/>
                <w:szCs w:val="18"/>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29.9%</w:t>
            </w: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28.7%</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29.7%</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27.6%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28.9%</w:t>
            </w:r>
          </w:p>
        </w:tc>
      </w:tr>
      <w:tr>
        <w:trPr>
          <w:trHeight w:val="538"/>
        </w:trPr>
        <w:tc>
          <w:tcPr>
            <w:tcW w:w="1300" w:type="dxa"/>
            <w:vAlign w:val="bottom"/>
          </w:tcPr>
          <w:p>
            <w:pPr>
              <w:spacing w:after="0"/>
              <w:rPr>
                <w:sz w:val="20"/>
                <w:szCs w:val="20"/>
                <w:color w:val="auto"/>
              </w:rPr>
            </w:pPr>
            <w:r>
              <w:rPr>
                <w:rFonts w:ascii="Arial" w:cs="Arial" w:eastAsia="Arial" w:hAnsi="Arial"/>
                <w:sz w:val="16"/>
                <w:szCs w:val="16"/>
                <w:color w:val="auto"/>
              </w:rPr>
              <w:t>Net Income</w:t>
            </w:r>
            <w:r>
              <w:rPr>
                <w:rFonts w:ascii="Arial" w:cs="Arial" w:eastAsia="Arial" w:hAnsi="Arial"/>
                <w:sz w:val="26"/>
                <w:szCs w:val="26"/>
                <w:color w:val="auto"/>
                <w:vertAlign w:val="superscript"/>
              </w:rPr>
              <w:t>(c)</w:t>
            </w:r>
          </w:p>
        </w:tc>
        <w:tc>
          <w:tcPr>
            <w:tcW w:w="1240" w:type="dxa"/>
            <w:vAlign w:val="bottom"/>
            <w:gridSpan w:val="3"/>
          </w:tcPr>
          <w:p>
            <w:pPr>
              <w:jc w:val="right"/>
              <w:ind w:right="79"/>
              <w:spacing w:after="0"/>
              <w:rPr>
                <w:sz w:val="20"/>
                <w:szCs w:val="20"/>
                <w:color w:val="auto"/>
              </w:rPr>
            </w:pPr>
            <w:r>
              <w:rPr>
                <w:rFonts w:ascii="Arial" w:cs="Arial" w:eastAsia="Arial" w:hAnsi="Arial"/>
                <w:sz w:val="16"/>
                <w:szCs w:val="16"/>
                <w:color w:val="auto"/>
              </w:rPr>
              <w:t>$598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$688</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$493</w:t>
            </w:r>
          </w:p>
        </w:tc>
        <w:tc>
          <w:tcPr>
            <w:tcW w:w="2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$703</w:t>
            </w: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$2,746</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$2,916</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$2,304</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$2,519</w:t>
            </w:r>
          </w:p>
        </w:tc>
      </w:tr>
      <w:tr>
        <w:trPr>
          <w:trHeight w:val="286"/>
        </w:trPr>
        <w:tc>
          <w:tcPr>
            <w:tcW w:w="1300" w:type="dxa"/>
            <w:vAlign w:val="bottom"/>
          </w:tcPr>
          <w:p>
            <w:pPr>
              <w:spacing w:after="0"/>
              <w:rPr>
                <w:sz w:val="20"/>
                <w:szCs w:val="20"/>
                <w:color w:val="auto"/>
              </w:rPr>
            </w:pPr>
            <w:r>
              <w:rPr>
                <w:rFonts w:ascii="Arial" w:cs="Arial" w:eastAsia="Arial" w:hAnsi="Arial"/>
                <w:sz w:val="16"/>
                <w:szCs w:val="16"/>
                <w:color w:val="auto"/>
              </w:rPr>
              <w:t>Diluted EPS</w:t>
            </w:r>
          </w:p>
        </w:tc>
        <w:tc>
          <w:tcPr>
            <w:tcW w:w="1240" w:type="dxa"/>
            <w:vAlign w:val="bottom"/>
            <w:gridSpan w:val="3"/>
          </w:tcPr>
          <w:p>
            <w:pPr>
              <w:jc w:val="right"/>
              <w:ind w:right="79"/>
              <w:spacing w:after="0"/>
              <w:rPr>
                <w:sz w:val="20"/>
                <w:szCs w:val="20"/>
                <w:color w:val="auto"/>
              </w:rPr>
            </w:pPr>
            <w:r>
              <w:rPr>
                <w:rFonts w:ascii="Arial" w:cs="Arial" w:eastAsia="Arial" w:hAnsi="Arial"/>
                <w:sz w:val="16"/>
                <w:szCs w:val="16"/>
                <w:color w:val="auto"/>
              </w:rPr>
              <w:t>$1.48</w:t>
            </w:r>
          </w:p>
        </w:tc>
        <w:tc>
          <w:tcPr>
            <w:tcW w:w="1340" w:type="dxa"/>
            <w:vAlign w:val="bottom"/>
            <w:gridSpan w:val="2"/>
          </w:tcPr>
          <w:p>
            <w:pPr>
              <w:jc w:val="right"/>
              <w:ind w:right="220"/>
              <w:spacing w:after="0"/>
              <w:rPr>
                <w:sz w:val="20"/>
                <w:szCs w:val="20"/>
                <w:color w:val="auto"/>
              </w:rPr>
            </w:pPr>
            <w:r>
              <w:rPr>
                <w:rFonts w:ascii="Arial" w:cs="Arial" w:eastAsia="Arial" w:hAnsi="Arial"/>
                <w:sz w:val="16"/>
                <w:szCs w:val="16"/>
                <w:color w:val="auto"/>
              </w:rPr>
              <w:t>$1.70</w:t>
            </w:r>
          </w:p>
        </w:tc>
        <w:tc>
          <w:tcPr>
            <w:tcW w:w="1420" w:type="dxa"/>
            <w:vAlign w:val="bottom"/>
            <w:gridSpan w:val="2"/>
          </w:tcPr>
          <w:p>
            <w:pPr>
              <w:jc w:val="right"/>
              <w:ind w:right="340"/>
              <w:spacing w:after="0"/>
              <w:rPr>
                <w:sz w:val="20"/>
                <w:szCs w:val="20"/>
                <w:color w:val="auto"/>
              </w:rPr>
            </w:pPr>
            <w:r>
              <w:rPr>
                <w:rFonts w:ascii="Arial" w:cs="Arial" w:eastAsia="Arial" w:hAnsi="Arial"/>
                <w:sz w:val="16"/>
                <w:szCs w:val="16"/>
                <w:color w:val="auto"/>
              </w:rPr>
              <w:t>$1.22</w:t>
            </w:r>
          </w:p>
        </w:tc>
        <w:tc>
          <w:tcPr>
            <w:tcW w:w="20" w:type="dxa"/>
            <w:vAlign w:val="bottom"/>
          </w:tcPr>
          <w:p>
            <w:pPr>
              <w:spacing w:after="0"/>
              <w:rPr>
                <w:sz w:val="24"/>
                <w:szCs w:val="24"/>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6"/>
                <w:szCs w:val="16"/>
                <w:color w:val="auto"/>
              </w:rPr>
              <w:t>$1.74</w:t>
            </w:r>
          </w:p>
        </w:tc>
        <w:tc>
          <w:tcPr>
            <w:tcW w:w="1280" w:type="dxa"/>
            <w:vAlign w:val="bottom"/>
            <w:gridSpan w:val="3"/>
          </w:tcPr>
          <w:p>
            <w:pPr>
              <w:jc w:val="right"/>
              <w:ind w:right="99"/>
              <w:spacing w:after="0"/>
              <w:rPr>
                <w:sz w:val="20"/>
                <w:szCs w:val="20"/>
                <w:color w:val="auto"/>
              </w:rPr>
            </w:pPr>
            <w:r>
              <w:rPr>
                <w:rFonts w:ascii="Arial" w:cs="Arial" w:eastAsia="Arial" w:hAnsi="Arial"/>
                <w:sz w:val="16"/>
                <w:szCs w:val="16"/>
                <w:color w:val="auto"/>
              </w:rPr>
              <w:t>$6.81</w:t>
            </w:r>
          </w:p>
        </w:tc>
        <w:tc>
          <w:tcPr>
            <w:tcW w:w="1540" w:type="dxa"/>
            <w:vAlign w:val="bottom"/>
            <w:gridSpan w:val="2"/>
          </w:tcPr>
          <w:p>
            <w:pPr>
              <w:jc w:val="right"/>
              <w:ind w:right="400"/>
              <w:spacing w:after="0"/>
              <w:rPr>
                <w:sz w:val="20"/>
                <w:szCs w:val="20"/>
                <w:color w:val="auto"/>
              </w:rPr>
            </w:pPr>
            <w:r>
              <w:rPr>
                <w:rFonts w:ascii="Arial" w:cs="Arial" w:eastAsia="Arial" w:hAnsi="Arial"/>
                <w:sz w:val="16"/>
                <w:szCs w:val="16"/>
                <w:color w:val="auto"/>
              </w:rPr>
              <w:t>$7.23</w:t>
            </w:r>
          </w:p>
        </w:tc>
        <w:tc>
          <w:tcPr>
            <w:tcW w:w="1060" w:type="dxa"/>
            <w:vAlign w:val="bottom"/>
            <w:gridSpan w:val="2"/>
          </w:tcPr>
          <w:p>
            <w:pPr>
              <w:jc w:val="right"/>
              <w:ind w:right="79"/>
              <w:spacing w:after="0"/>
              <w:rPr>
                <w:sz w:val="20"/>
                <w:szCs w:val="20"/>
                <w:color w:val="auto"/>
              </w:rPr>
            </w:pPr>
            <w:r>
              <w:rPr>
                <w:rFonts w:ascii="Arial" w:cs="Arial" w:eastAsia="Arial" w:hAnsi="Arial"/>
                <w:sz w:val="16"/>
                <w:szCs w:val="16"/>
                <w:color w:val="auto"/>
              </w:rPr>
              <w:t>$5.66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$6.19</w:t>
            </w:r>
          </w:p>
        </w:tc>
      </w:tr>
    </w:tbl>
    <w:p>
      <w:pPr>
        <w:spacing w:after="0" w:line="385"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“The WM team achieved another year of exceptional results by continuously improving our core business, expanding our sustainability platforms, and adding medical waste and secure information destruction solutions for our customers,” said Jim Fish, WM’s President and CEO. “We delivered over 11% growth in adjusted operating EBITDA for the year as we advanced cost optimization efforts across our operations and executed on disciplined pricing programs in the collection and disposal</w:t>
      </w:r>
    </w:p>
    <w:p>
      <w:pPr>
        <w:spacing w:after="0" w:line="3" w:lineRule="exact"/>
        <w:rPr>
          <w:sz w:val="20"/>
          <w:szCs w:val="20"/>
          <w:color w:val="auto"/>
        </w:rPr>
      </w:pPr>
    </w:p>
    <w:p>
      <w:pPr>
        <w:jc w:val="both"/>
        <w:spacing w:after="0" w:line="211" w:lineRule="auto"/>
        <w:rPr>
          <w:sz w:val="20"/>
          <w:szCs w:val="20"/>
          <w:color w:val="auto"/>
        </w:rPr>
      </w:pPr>
      <w:r>
        <w:rPr>
          <w:rFonts w:ascii="Arial" w:cs="Arial" w:eastAsia="Arial" w:hAnsi="Arial"/>
          <w:sz w:val="20"/>
          <w:szCs w:val="20"/>
          <w:color w:val="auto"/>
        </w:rPr>
        <w:t>business.</w:t>
      </w:r>
      <w:r>
        <w:rPr>
          <w:rFonts w:ascii="Arial" w:cs="Arial" w:eastAsia="Arial" w:hAnsi="Arial"/>
          <w:sz w:val="29"/>
          <w:szCs w:val="29"/>
          <w:color w:val="auto"/>
          <w:vertAlign w:val="superscript"/>
        </w:rPr>
        <w:t>(a)</w:t>
      </w:r>
      <w:r>
        <w:rPr>
          <w:rFonts w:ascii="Arial" w:cs="Arial" w:eastAsia="Arial" w:hAnsi="Arial"/>
          <w:sz w:val="20"/>
          <w:szCs w:val="20"/>
          <w:color w:val="auto"/>
        </w:rPr>
        <w:t xml:space="preserve"> The year also saw the advancement of our sustainability growth investments, expansion of our solid waste business through tuck-in acquisitions, and the acquisition of Stericycle, the largest provider of medical waste services in North America. The momentum across all of these areas is WM’s foundation for success in 2025.”</w:t>
      </w:r>
    </w:p>
    <w:p>
      <w:pPr>
        <w:spacing w:after="0" w:line="22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Fish continued, “We expect to deliver a second consecutive year of double-digit growth in adjusted operating EBITDA in 2025. This year has started off strong and we are confident in our ability to maintain this trajectory as we continue to focus on strong operational performance and service delivery, strategic investments in growth, and delivering superior value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KEY HIGHLIGHTS FOR THE FOURTH QUARTER AND FULL-YEAR 2024</w:t>
      </w:r>
    </w:p>
    <w:p>
      <w:pPr>
        <w:spacing w:after="0" w:line="191" w:lineRule="exact"/>
        <w:rPr>
          <w:sz w:val="20"/>
          <w:szCs w:val="20"/>
          <w:color w:val="auto"/>
        </w:rPr>
      </w:pPr>
    </w:p>
    <w:p>
      <w:pPr>
        <w:jc w:val="both"/>
        <w:ind w:left="660" w:hanging="328"/>
        <w:spacing w:after="0" w:line="241" w:lineRule="auto"/>
        <w:tabs>
          <w:tab w:leader="none" w:pos="660" w:val="left"/>
        </w:tabs>
        <w:numPr>
          <w:ilvl w:val="0"/>
          <w:numId w:val="3"/>
        </w:numPr>
        <w:rPr>
          <w:rFonts w:ascii="Arial" w:cs="Arial" w:eastAsia="Arial" w:hAnsi="Arial"/>
          <w:sz w:val="20"/>
          <w:szCs w:val="20"/>
          <w:color w:val="auto"/>
        </w:rPr>
      </w:pPr>
      <w:r>
        <w:rPr>
          <w:rFonts w:ascii="Arial" w:cs="Arial" w:eastAsia="Arial" w:hAnsi="Arial"/>
          <w:sz w:val="20"/>
          <w:szCs w:val="20"/>
          <w:color w:val="auto"/>
        </w:rPr>
        <w:t>On Nov. 4, the Company completed the $7.2 billion acquisition of Stericycle, expanding its comprehensive environmental solutions into the growing healthcare market while advancing its recycling platform. The Company will report the medical waste and secure information destruction businesses together as WM Healthcare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4972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Operating EBITDA</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12"/>
          </w:tcPr>
          <w:p>
            <w:pPr>
              <w:jc w:val="right"/>
              <w:ind w:right="700"/>
              <w:spacing w:after="0"/>
              <w:rPr>
                <w:sz w:val="20"/>
                <w:szCs w:val="20"/>
                <w:color w:val="auto"/>
              </w:rPr>
            </w:pPr>
            <w:r>
              <w:rPr>
                <w:rFonts w:ascii="Arial" w:cs="Arial" w:eastAsia="Arial" w:hAnsi="Arial"/>
                <w:sz w:val="16"/>
                <w:szCs w:val="16"/>
                <w:color w:val="auto"/>
                <w:w w:val="99"/>
              </w:rPr>
              <w:t>Fourth Quarter 2024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10"/>
          </w:tcPr>
          <w:p>
            <w:pPr>
              <w:ind w:left="60"/>
              <w:spacing w:after="0"/>
              <w:rPr>
                <w:sz w:val="20"/>
                <w:szCs w:val="20"/>
                <w:color w:val="auto"/>
              </w:rPr>
            </w:pPr>
            <w:r>
              <w:rPr>
                <w:rFonts w:ascii="Arial" w:cs="Arial" w:eastAsia="Arial" w:hAnsi="Arial"/>
                <w:sz w:val="16"/>
                <w:szCs w:val="16"/>
                <w:color w:val="auto"/>
              </w:rPr>
              <w:t>Full Year 2024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3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6"/>
          </w:tcPr>
          <w:p>
            <w:pPr>
              <w:jc w:val="right"/>
              <w:ind w:right="16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1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gridSpan w:val="9"/>
          </w:tcPr>
          <w:p>
            <w:pPr>
              <w:ind w:left="100"/>
              <w:spacing w:after="0" w:line="155" w:lineRule="exact"/>
              <w:rPr>
                <w:sz w:val="20"/>
                <w:szCs w:val="20"/>
                <w:color w:val="auto"/>
              </w:rPr>
            </w:pPr>
            <w:r>
              <w:rPr>
                <w:rFonts w:ascii="Arial" w:cs="Arial" w:eastAsia="Arial" w:hAnsi="Arial"/>
                <w:sz w:val="16"/>
                <w:szCs w:val="16"/>
                <w:color w:val="auto"/>
              </w:rPr>
              <w:t>Total Company</w:t>
            </w:r>
          </w:p>
        </w:tc>
        <w:tc>
          <w:tcPr>
            <w:tcW w:w="3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7"/>
            <w:vMerge w:val="restart"/>
          </w:tcPr>
          <w:p>
            <w:pPr>
              <w:spacing w:after="0" w:line="344" w:lineRule="exact"/>
              <w:rPr>
                <w:sz w:val="20"/>
                <w:szCs w:val="20"/>
                <w:color w:val="auto"/>
              </w:rPr>
            </w:pPr>
            <w:r>
              <w:rPr>
                <w:rFonts w:ascii="Arial" w:cs="Arial" w:eastAsia="Arial" w:hAnsi="Arial"/>
                <w:sz w:val="16"/>
                <w:szCs w:val="16"/>
                <w:color w:val="auto"/>
              </w:rPr>
              <w:t>As Adjusted</w:t>
            </w:r>
            <w:r>
              <w:rPr>
                <w:rFonts w:ascii="Arial" w:cs="Arial" w:eastAsia="Arial" w:hAnsi="Arial"/>
                <w:sz w:val="32"/>
                <w:szCs w:val="32"/>
                <w:color w:val="auto"/>
                <w:vertAlign w:val="superscript"/>
              </w:rPr>
              <w:t>(a)</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7"/>
          </w:tcPr>
          <w:p>
            <w:pPr>
              <w:jc w:val="center"/>
              <w:ind w:right="88"/>
              <w:spacing w:after="0" w:line="155" w:lineRule="exact"/>
              <w:rPr>
                <w:sz w:val="20"/>
                <w:szCs w:val="20"/>
                <w:color w:val="auto"/>
              </w:rPr>
            </w:pPr>
            <w:r>
              <w:rPr>
                <w:rFonts w:ascii="Arial" w:cs="Arial" w:eastAsia="Arial" w:hAnsi="Arial"/>
                <w:sz w:val="16"/>
                <w:szCs w:val="16"/>
                <w:color w:val="auto"/>
                <w:w w:val="99"/>
              </w:rPr>
              <w:t>Total Company</w:t>
            </w: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4"/>
            <w:vMerge w:val="restart"/>
          </w:tcPr>
          <w:p>
            <w:pPr>
              <w:jc w:val="right"/>
              <w:ind w:right="379"/>
              <w:spacing w:after="0" w:line="344" w:lineRule="exact"/>
              <w:rPr>
                <w:sz w:val="20"/>
                <w:szCs w:val="20"/>
                <w:color w:val="auto"/>
              </w:rPr>
            </w:pPr>
            <w:r>
              <w:rPr>
                <w:rFonts w:ascii="Arial" w:cs="Arial" w:eastAsia="Arial" w:hAnsi="Arial"/>
                <w:sz w:val="16"/>
                <w:szCs w:val="16"/>
                <w:color w:val="auto"/>
                <w:w w:val="95"/>
              </w:rPr>
              <w:t>As Adjusted</w:t>
            </w:r>
            <w:r>
              <w:rPr>
                <w:rFonts w:ascii="Arial" w:cs="Arial" w:eastAsia="Arial" w:hAnsi="Arial"/>
                <w:sz w:val="32"/>
                <w:szCs w:val="32"/>
                <w:color w:val="auto"/>
                <w:w w:val="95"/>
                <w:vertAlign w:val="superscript"/>
              </w:rPr>
              <w:t>(a)</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4"/>
          </w:tcPr>
          <w:p>
            <w:pPr>
              <w:spacing w:after="0" w:line="169" w:lineRule="exact"/>
              <w:rPr>
                <w:sz w:val="20"/>
                <w:szCs w:val="20"/>
                <w:color w:val="auto"/>
              </w:rPr>
            </w:pPr>
            <w:r>
              <w:rPr>
                <w:rFonts w:ascii="Arial" w:cs="Arial" w:eastAsia="Arial" w:hAnsi="Arial"/>
                <w:sz w:val="16"/>
                <w:szCs w:val="16"/>
                <w:color w:val="auto"/>
              </w:rPr>
              <w:t>Breakout</w:t>
            </w: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7"/>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180"/>
              <w:spacing w:after="0" w:line="169" w:lineRule="exact"/>
              <w:rPr>
                <w:sz w:val="20"/>
                <w:szCs w:val="20"/>
                <w:color w:val="auto"/>
              </w:rPr>
            </w:pPr>
            <w:r>
              <w:rPr>
                <w:rFonts w:ascii="Arial" w:cs="Arial" w:eastAsia="Arial" w:hAnsi="Arial"/>
                <w:sz w:val="16"/>
                <w:szCs w:val="16"/>
                <w:color w:val="auto"/>
              </w:rPr>
              <w:t>Breakout</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380" w:type="dxa"/>
            <w:vAlign w:val="bottom"/>
          </w:tcPr>
          <w:p>
            <w:pPr>
              <w:spacing w:after="0"/>
              <w:rPr>
                <w:sz w:val="24"/>
                <w:szCs w:val="24"/>
                <w:color w:val="auto"/>
              </w:rPr>
            </w:pPr>
          </w:p>
        </w:tc>
        <w:tc>
          <w:tcPr>
            <w:tcW w:w="1600" w:type="dxa"/>
            <w:vAlign w:val="bottom"/>
            <w:gridSpan w:val="7"/>
          </w:tcPr>
          <w:p>
            <w:pPr>
              <w:ind w:left="56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Arial" w:cs="Arial" w:eastAsia="Arial" w:hAnsi="Arial"/>
                <w:sz w:val="16"/>
                <w:szCs w:val="16"/>
                <w:color w:val="auto"/>
              </w:rPr>
              <w:t>Margin</w:t>
            </w:r>
          </w:p>
        </w:tc>
        <w:tc>
          <w:tcPr>
            <w:tcW w:w="260" w:type="dxa"/>
            <w:vAlign w:val="bottom"/>
          </w:tcPr>
          <w:p>
            <w:pPr>
              <w:spacing w:after="0"/>
              <w:rPr>
                <w:sz w:val="24"/>
                <w:szCs w:val="24"/>
                <w:color w:val="auto"/>
              </w:rPr>
            </w:pPr>
          </w:p>
        </w:tc>
        <w:tc>
          <w:tcPr>
            <w:tcW w:w="1020" w:type="dxa"/>
            <w:vAlign w:val="bottom"/>
            <w:gridSpan w:val="6"/>
          </w:tcPr>
          <w:p>
            <w:pPr>
              <w:jc w:val="right"/>
              <w:ind w:right="440"/>
              <w:spacing w:after="0"/>
              <w:rPr>
                <w:sz w:val="20"/>
                <w:szCs w:val="20"/>
                <w:color w:val="auto"/>
              </w:rPr>
            </w:pPr>
            <w:r>
              <w:rPr>
                <w:rFonts w:ascii="Arial" w:cs="Arial" w:eastAsia="Arial" w:hAnsi="Arial"/>
                <w:sz w:val="16"/>
                <w:szCs w:val="16"/>
                <w:color w:val="auto"/>
              </w:rPr>
              <w:t>Amount</w:t>
            </w:r>
          </w:p>
        </w:tc>
        <w:tc>
          <w:tcPr>
            <w:tcW w:w="180" w:type="dxa"/>
            <w:vAlign w:val="bottom"/>
          </w:tcPr>
          <w:p>
            <w:pPr>
              <w:spacing w:after="0"/>
              <w:rPr>
                <w:sz w:val="24"/>
                <w:szCs w:val="24"/>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Margin</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6"/>
          </w:tcPr>
          <w:p>
            <w:pPr>
              <w:ind w:left="40"/>
              <w:spacing w:after="0"/>
              <w:rPr>
                <w:sz w:val="20"/>
                <w:szCs w:val="20"/>
                <w:color w:val="auto"/>
              </w:rPr>
            </w:pPr>
            <w:r>
              <w:rPr>
                <w:rFonts w:ascii="Arial" w:cs="Arial" w:eastAsia="Arial" w:hAnsi="Arial"/>
                <w:sz w:val="16"/>
                <w:szCs w:val="16"/>
                <w:color w:val="auto"/>
              </w:rPr>
              <w:t>Amount</w:t>
            </w:r>
          </w:p>
        </w:tc>
        <w:tc>
          <w:tcPr>
            <w:tcW w:w="820" w:type="dxa"/>
            <w:vAlign w:val="bottom"/>
            <w:gridSpan w:val="5"/>
          </w:tcPr>
          <w:p>
            <w:pPr>
              <w:jc w:val="right"/>
              <w:ind w:right="340"/>
              <w:spacing w:after="0"/>
              <w:rPr>
                <w:sz w:val="20"/>
                <w:szCs w:val="20"/>
                <w:color w:val="auto"/>
              </w:rPr>
            </w:pPr>
            <w:r>
              <w:rPr>
                <w:rFonts w:ascii="Arial" w:cs="Arial" w:eastAsia="Arial" w:hAnsi="Arial"/>
                <w:sz w:val="16"/>
                <w:szCs w:val="16"/>
                <w:color w:val="auto"/>
                <w:w w:val="93"/>
              </w:rPr>
              <w:t>Margin</w:t>
            </w:r>
          </w:p>
        </w:tc>
        <w:tc>
          <w:tcPr>
            <w:tcW w:w="200" w:type="dxa"/>
            <w:vAlign w:val="bottom"/>
          </w:tcPr>
          <w:p>
            <w:pPr>
              <w:spacing w:after="0"/>
              <w:rPr>
                <w:sz w:val="24"/>
                <w:szCs w:val="24"/>
                <w:color w:val="auto"/>
              </w:rPr>
            </w:pPr>
          </w:p>
        </w:tc>
        <w:tc>
          <w:tcPr>
            <w:tcW w:w="1020" w:type="dxa"/>
            <w:vAlign w:val="bottom"/>
            <w:gridSpan w:val="5"/>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Margin</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6"/>
                <w:szCs w:val="16"/>
                <w:color w:val="auto"/>
              </w:rPr>
              <w:t>WM Legacy Business</w:t>
            </w:r>
            <w:r>
              <w:rPr>
                <w:rFonts w:ascii="Arial" w:cs="Arial" w:eastAsia="Arial" w:hAnsi="Arial"/>
                <w:sz w:val="26"/>
                <w:szCs w:val="26"/>
                <w:color w:val="auto"/>
                <w:vertAlign w:val="superscript"/>
              </w:rPr>
              <w:t>(f)</w:t>
            </w:r>
          </w:p>
        </w:tc>
        <w:tc>
          <w:tcPr>
            <w:tcW w:w="560" w:type="dxa"/>
            <w:vAlign w:val="bottom"/>
          </w:tcPr>
          <w:p>
            <w:pPr>
              <w:spacing w:after="0" w:line="20" w:lineRule="exact"/>
              <w:rPr>
                <w:sz w:val="1"/>
                <w:szCs w:val="1"/>
                <w:color w:val="auto"/>
              </w:rPr>
            </w:pPr>
          </w:p>
        </w:tc>
        <w:tc>
          <w:tcPr>
            <w:tcW w:w="460" w:type="dxa"/>
            <w:vAlign w:val="bottom"/>
            <w:gridSpan w:val="3"/>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6"/>
        </w:trPr>
        <w:tc>
          <w:tcPr>
            <w:tcW w:w="23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$ 1,567</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28.5%</w:t>
            </w:r>
          </w:p>
        </w:tc>
        <w:tc>
          <w:tcPr>
            <w:tcW w:w="260" w:type="dxa"/>
            <w:vAlign w:val="bottom"/>
          </w:tcPr>
          <w:p>
            <w:pPr>
              <w:spacing w:after="0"/>
              <w:rPr>
                <w:sz w:val="24"/>
                <w:szCs w:val="24"/>
                <w:color w:val="auto"/>
              </w:rPr>
            </w:pP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440"/>
              <w:spacing w:after="0"/>
              <w:rPr>
                <w:sz w:val="20"/>
                <w:szCs w:val="20"/>
                <w:color w:val="auto"/>
              </w:rPr>
            </w:pPr>
            <w:r>
              <w:rPr>
                <w:rFonts w:ascii="Arial" w:cs="Arial" w:eastAsia="Arial" w:hAnsi="Arial"/>
                <w:sz w:val="16"/>
                <w:szCs w:val="16"/>
                <w:color w:val="auto"/>
                <w:w w:val="99"/>
              </w:rPr>
              <w:t>1,645</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30.0%</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440"/>
              <w:spacing w:after="0"/>
              <w:rPr>
                <w:sz w:val="20"/>
                <w:szCs w:val="20"/>
                <w:color w:val="auto"/>
              </w:rPr>
            </w:pPr>
            <w:r>
              <w:rPr>
                <w:rFonts w:ascii="Arial" w:cs="Arial" w:eastAsia="Arial" w:hAnsi="Arial"/>
                <w:sz w:val="16"/>
                <w:szCs w:val="16"/>
                <w:color w:val="auto"/>
              </w:rPr>
              <w:t>6,326</w:t>
            </w:r>
          </w:p>
        </w:tc>
        <w:tc>
          <w:tcPr>
            <w:tcW w:w="180" w:type="dxa"/>
            <w:vAlign w:val="bottom"/>
          </w:tcPr>
          <w:p>
            <w:pPr>
              <w:spacing w:after="0"/>
              <w:rPr>
                <w:sz w:val="24"/>
                <w:szCs w:val="24"/>
                <w:color w:val="auto"/>
              </w:rPr>
            </w:pPr>
          </w:p>
        </w:tc>
        <w:tc>
          <w:tcPr>
            <w:tcW w:w="820" w:type="dxa"/>
            <w:vAlign w:val="bottom"/>
            <w:gridSpan w:val="5"/>
          </w:tcPr>
          <w:p>
            <w:pPr>
              <w:jc w:val="right"/>
              <w:ind w:right="340"/>
              <w:spacing w:after="0"/>
              <w:rPr>
                <w:sz w:val="20"/>
                <w:szCs w:val="20"/>
                <w:color w:val="auto"/>
              </w:rPr>
            </w:pPr>
            <w:r>
              <w:rPr>
                <w:rFonts w:ascii="Arial" w:cs="Arial" w:eastAsia="Arial" w:hAnsi="Arial"/>
                <w:sz w:val="16"/>
                <w:szCs w:val="16"/>
                <w:color w:val="auto"/>
              </w:rPr>
              <w:t>29.2%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6,502</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247"/>
        </w:trPr>
        <w:tc>
          <w:tcPr>
            <w:tcW w:w="2380" w:type="dxa"/>
            <w:vAlign w:val="bottom"/>
          </w:tcPr>
          <w:p>
            <w:pPr>
              <w:spacing w:after="0"/>
              <w:rPr>
                <w:sz w:val="20"/>
                <w:szCs w:val="20"/>
                <w:color w:val="auto"/>
              </w:rPr>
            </w:pPr>
            <w:r>
              <w:rPr>
                <w:rFonts w:ascii="Arial" w:cs="Arial" w:eastAsia="Arial" w:hAnsi="Arial"/>
                <w:sz w:val="16"/>
                <w:szCs w:val="16"/>
                <w:color w:val="auto"/>
              </w:rPr>
              <w:t>WM Healthcare Solutions</w:t>
            </w:r>
          </w:p>
        </w:tc>
        <w:tc>
          <w:tcPr>
            <w:tcW w:w="1020" w:type="dxa"/>
            <w:vAlign w:val="bottom"/>
            <w:gridSpan w:val="4"/>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gridSpan w:val="5"/>
          </w:tcPr>
          <w:p>
            <w:pPr>
              <w:jc w:val="right"/>
              <w:ind w:right="260"/>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gridSpan w:val="2"/>
          </w:tcPr>
          <w:p>
            <w:pPr>
              <w:spacing w:after="0"/>
              <w:rPr>
                <w:sz w:val="21"/>
                <w:szCs w:val="21"/>
                <w:color w:val="auto"/>
              </w:rPr>
            </w:pPr>
          </w:p>
        </w:tc>
        <w:tc>
          <w:tcPr>
            <w:tcW w:w="620" w:type="dxa"/>
            <w:vAlign w:val="bottom"/>
            <w:gridSpan w:val="2"/>
          </w:tcPr>
          <w:p>
            <w:pPr>
              <w:jc w:val="right"/>
              <w:ind w:right="440"/>
              <w:spacing w:after="0"/>
              <w:rPr>
                <w:sz w:val="20"/>
                <w:szCs w:val="20"/>
                <w:color w:val="auto"/>
              </w:rPr>
            </w:pPr>
            <w:r>
              <w:rPr>
                <w:rFonts w:ascii="Arial" w:cs="Arial" w:eastAsia="Arial" w:hAnsi="Arial"/>
                <w:sz w:val="16"/>
                <w:szCs w:val="16"/>
                <w:color w:val="auto"/>
                <w:w w:val="89"/>
              </w:rPr>
              <w:t>61</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15.1%</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gridSpan w:val="5"/>
          </w:tcPr>
          <w:p>
            <w:pPr>
              <w:jc w:val="right"/>
              <w:ind w:right="440"/>
              <w:spacing w:after="0"/>
              <w:rPr>
                <w:sz w:val="20"/>
                <w:szCs w:val="20"/>
                <w:color w:val="auto"/>
              </w:rPr>
            </w:pPr>
            <w:r>
              <w:rPr>
                <w:rFonts w:ascii="Arial" w:cs="Arial" w:eastAsia="Arial" w:hAnsi="Arial"/>
                <w:sz w:val="16"/>
                <w:szCs w:val="16"/>
                <w:color w:val="auto"/>
              </w:rPr>
              <w:t>4</w:t>
            </w:r>
          </w:p>
        </w:tc>
        <w:tc>
          <w:tcPr>
            <w:tcW w:w="180" w:type="dxa"/>
            <w:vAlign w:val="bottom"/>
          </w:tcPr>
          <w:p>
            <w:pPr>
              <w:spacing w:after="0"/>
              <w:rPr>
                <w:sz w:val="21"/>
                <w:szCs w:val="21"/>
                <w:color w:val="auto"/>
              </w:rPr>
            </w:pPr>
          </w:p>
        </w:tc>
        <w:tc>
          <w:tcPr>
            <w:tcW w:w="820" w:type="dxa"/>
            <w:vAlign w:val="bottom"/>
            <w:gridSpan w:val="5"/>
          </w:tcPr>
          <w:p>
            <w:pPr>
              <w:jc w:val="right"/>
              <w:ind w:right="340"/>
              <w:spacing w:after="0"/>
              <w:rPr>
                <w:sz w:val="20"/>
                <w:szCs w:val="20"/>
                <w:color w:val="auto"/>
              </w:rPr>
            </w:pPr>
            <w:r>
              <w:rPr>
                <w:rFonts w:ascii="Arial" w:cs="Arial" w:eastAsia="Arial" w:hAnsi="Arial"/>
                <w:sz w:val="16"/>
                <w:szCs w:val="16"/>
                <w:color w:val="auto"/>
              </w:rPr>
              <w:t>1.0%</w:t>
            </w:r>
          </w:p>
        </w:tc>
        <w:tc>
          <w:tcPr>
            <w:tcW w:w="200" w:type="dxa"/>
            <w:vAlign w:val="bottom"/>
          </w:tcPr>
          <w:p>
            <w:pPr>
              <w:spacing w:after="0"/>
              <w:rPr>
                <w:sz w:val="21"/>
                <w:szCs w:val="21"/>
                <w:color w:val="auto"/>
              </w:rPr>
            </w:pP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61</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380" w:type="dxa"/>
            <w:vAlign w:val="bottom"/>
          </w:tcPr>
          <w:p>
            <w:pPr>
              <w:ind w:left="320"/>
              <w:spacing w:after="0"/>
              <w:rPr>
                <w:sz w:val="20"/>
                <w:szCs w:val="20"/>
                <w:color w:val="auto"/>
              </w:rPr>
            </w:pPr>
            <w:r>
              <w:rPr>
                <w:rFonts w:ascii="Arial" w:cs="Arial" w:eastAsia="Arial" w:hAnsi="Arial"/>
                <w:sz w:val="16"/>
                <w:szCs w:val="16"/>
                <w:color w:val="auto"/>
              </w:rPr>
              <w:t>Total Company</w:t>
            </w: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$ 1,571</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5"/>
          </w:tcPr>
          <w:p>
            <w:pPr>
              <w:jc w:val="right"/>
              <w:ind w:right="260"/>
              <w:spacing w:after="0"/>
              <w:rPr>
                <w:sz w:val="20"/>
                <w:szCs w:val="20"/>
                <w:color w:val="auto"/>
              </w:rPr>
            </w:pPr>
            <w:r>
              <w:rPr>
                <w:rFonts w:ascii="Arial" w:cs="Arial" w:eastAsia="Arial" w:hAnsi="Arial"/>
                <w:sz w:val="16"/>
                <w:szCs w:val="16"/>
                <w:color w:val="auto"/>
              </w:rPr>
              <w:t>26.7%</w:t>
            </w:r>
          </w:p>
        </w:tc>
        <w:tc>
          <w:tcPr>
            <w:tcW w:w="42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gridSpan w:val="4"/>
          </w:tcPr>
          <w:p>
            <w:pPr>
              <w:jc w:val="right"/>
              <w:ind w:right="440"/>
              <w:spacing w:after="0"/>
              <w:rPr>
                <w:sz w:val="20"/>
                <w:szCs w:val="20"/>
                <w:color w:val="auto"/>
              </w:rPr>
            </w:pPr>
            <w:r>
              <w:rPr>
                <w:rFonts w:ascii="Arial" w:cs="Arial" w:eastAsia="Arial" w:hAnsi="Arial"/>
                <w:sz w:val="16"/>
                <w:szCs w:val="16"/>
                <w:color w:val="auto"/>
                <w:w w:val="99"/>
              </w:rPr>
              <w:t>1,706</w:t>
            </w:r>
          </w:p>
        </w:tc>
        <w:tc>
          <w:tcPr>
            <w:tcW w:w="860" w:type="dxa"/>
            <w:vAlign w:val="bottom"/>
            <w:gridSpan w:val="3"/>
          </w:tcPr>
          <w:p>
            <w:pPr>
              <w:jc w:val="right"/>
              <w:ind w:right="180"/>
              <w:spacing w:after="0"/>
              <w:rPr>
                <w:sz w:val="20"/>
                <w:szCs w:val="20"/>
                <w:color w:val="auto"/>
              </w:rPr>
            </w:pPr>
            <w:r>
              <w:rPr>
                <w:rFonts w:ascii="Arial" w:cs="Arial" w:eastAsia="Arial" w:hAnsi="Arial"/>
                <w:sz w:val="16"/>
                <w:szCs w:val="16"/>
                <w:color w:val="auto"/>
              </w:rPr>
              <w:t>28.9%</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gridSpan w:val="5"/>
          </w:tcPr>
          <w:p>
            <w:pPr>
              <w:jc w:val="right"/>
              <w:ind w:right="440"/>
              <w:spacing w:after="0"/>
              <w:rPr>
                <w:sz w:val="20"/>
                <w:szCs w:val="20"/>
                <w:color w:val="auto"/>
              </w:rPr>
            </w:pPr>
            <w:r>
              <w:rPr>
                <w:rFonts w:ascii="Arial" w:cs="Arial" w:eastAsia="Arial" w:hAnsi="Arial"/>
                <w:sz w:val="16"/>
                <w:szCs w:val="16"/>
                <w:color w:val="auto"/>
              </w:rPr>
              <w:t>6,330</w:t>
            </w:r>
          </w:p>
        </w:tc>
        <w:tc>
          <w:tcPr>
            <w:tcW w:w="180" w:type="dxa"/>
            <w:vAlign w:val="bottom"/>
          </w:tcPr>
          <w:p>
            <w:pPr>
              <w:spacing w:after="0"/>
              <w:rPr>
                <w:sz w:val="24"/>
                <w:szCs w:val="24"/>
                <w:color w:val="auto"/>
              </w:rPr>
            </w:pPr>
          </w:p>
        </w:tc>
        <w:tc>
          <w:tcPr>
            <w:tcW w:w="820" w:type="dxa"/>
            <w:vAlign w:val="bottom"/>
            <w:gridSpan w:val="5"/>
          </w:tcPr>
          <w:p>
            <w:pPr>
              <w:jc w:val="right"/>
              <w:ind w:right="340"/>
              <w:spacing w:after="0"/>
              <w:rPr>
                <w:sz w:val="20"/>
                <w:szCs w:val="20"/>
                <w:color w:val="auto"/>
              </w:rPr>
            </w:pPr>
            <w:r>
              <w:rPr>
                <w:rFonts w:ascii="Arial" w:cs="Arial" w:eastAsia="Arial" w:hAnsi="Arial"/>
                <w:sz w:val="16"/>
                <w:szCs w:val="16"/>
                <w:color w:val="auto"/>
              </w:rPr>
              <w:t>28.7%</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6,563</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60" w:hanging="328"/>
        <w:spacing w:after="0" w:line="216"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Adjusted operating EBITDA for the WM Legacy Business grew more than 10% in 2024 and achieved 30% margin for the first time in the Company’s history.</w:t>
      </w:r>
      <w:r>
        <w:rPr>
          <w:rFonts w:ascii="Arial" w:cs="Arial" w:eastAsia="Arial" w:hAnsi="Arial"/>
          <w:sz w:val="32"/>
          <w:szCs w:val="32"/>
          <w:color w:val="auto"/>
          <w:vertAlign w:val="superscript"/>
        </w:rPr>
        <w:t>(a)</w:t>
      </w:r>
      <w:r>
        <w:rPr>
          <w:rFonts w:ascii="Arial" w:cs="Arial" w:eastAsia="Arial" w:hAnsi="Arial"/>
          <w:sz w:val="20"/>
          <w:szCs w:val="20"/>
          <w:color w:val="auto"/>
        </w:rPr>
        <w:t xml:space="preserve"> The Company’s Collection and Disposal business led the way, driven by organic revenue growth from price, disciplined cost initiatives, and a continued focus on optimizing business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4972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Revenue</w:t>
            </w:r>
          </w:p>
        </w:tc>
        <w:tc>
          <w:tcPr>
            <w:tcW w:w="1480" w:type="dxa"/>
            <w:vAlign w:val="bottom"/>
            <w:gridSpan w:val="5"/>
          </w:tcPr>
          <w:p>
            <w:pPr>
              <w:jc w:val="center"/>
              <w:spacing w:after="0"/>
              <w:rPr>
                <w:sz w:val="20"/>
                <w:szCs w:val="20"/>
                <w:color w:val="auto"/>
              </w:rPr>
            </w:pPr>
            <w:r>
              <w:rPr>
                <w:rFonts w:ascii="Arial" w:cs="Arial" w:eastAsia="Arial" w:hAnsi="Arial"/>
                <w:sz w:val="16"/>
                <w:szCs w:val="16"/>
                <w:color w:val="auto"/>
              </w:rPr>
              <w:t>Fourth Quarter 2024</w:t>
            </w:r>
          </w:p>
        </w:tc>
        <w:tc>
          <w:tcPr>
            <w:tcW w:w="340" w:type="dxa"/>
            <w:vAlign w:val="bottom"/>
            <w:gridSpan w:val="2"/>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4"/>
          </w:tcPr>
          <w:p>
            <w:pPr>
              <w:jc w:val="right"/>
              <w:ind w:right="199"/>
              <w:spacing w:after="0"/>
              <w:rPr>
                <w:sz w:val="20"/>
                <w:szCs w:val="20"/>
                <w:color w:val="auto"/>
              </w:rPr>
            </w:pPr>
            <w:r>
              <w:rPr>
                <w:rFonts w:ascii="Arial" w:cs="Arial" w:eastAsia="Arial" w:hAnsi="Arial"/>
                <w:sz w:val="16"/>
                <w:szCs w:val="16"/>
                <w:color w:val="auto"/>
                <w:w w:val="92"/>
              </w:rPr>
              <w:t>Full Year 2024</w:t>
            </w: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800" w:type="dxa"/>
            <w:vAlign w:val="bottom"/>
            <w:tcBorders>
              <w:right w:val="single" w:sz="8" w:color="auto"/>
            </w:tcBorders>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gridSpan w:val="3"/>
          </w:tcPr>
          <w:p>
            <w:pPr>
              <w:jc w:val="center"/>
              <w:ind w:right="239"/>
              <w:spacing w:after="0" w:line="155"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 in millions)</w:t>
            </w:r>
          </w:p>
        </w:tc>
        <w:tc>
          <w:tcPr>
            <w:tcW w:w="340" w:type="dxa"/>
            <w:vAlign w:val="bottom"/>
            <w:gridSpan w:val="2"/>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gridSpan w:val="3"/>
          </w:tcPr>
          <w:p>
            <w:pPr>
              <w:jc w:val="right"/>
              <w:ind w:right="139"/>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 in millions)</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200" w:type="dxa"/>
            <w:vAlign w:val="bottom"/>
            <w:vMerge w:val="restart"/>
          </w:tcPr>
          <w:p>
            <w:pPr>
              <w:spacing w:after="0"/>
              <w:rPr>
                <w:sz w:val="20"/>
                <w:szCs w:val="20"/>
                <w:color w:val="auto"/>
              </w:rPr>
            </w:pPr>
            <w:r>
              <w:rPr>
                <w:rFonts w:ascii="Arial" w:cs="Arial" w:eastAsia="Arial" w:hAnsi="Arial"/>
                <w:sz w:val="16"/>
                <w:szCs w:val="16"/>
                <w:color w:val="auto"/>
              </w:rPr>
              <w:t>WM Legacy Business</w:t>
            </w:r>
            <w:r>
              <w:rPr>
                <w:rFonts w:ascii="Arial" w:cs="Arial" w:eastAsia="Arial" w:hAnsi="Arial"/>
                <w:sz w:val="26"/>
                <w:szCs w:val="26"/>
                <w:color w:val="auto"/>
                <w:vertAlign w:val="superscript"/>
              </w:rPr>
              <w:t>(f)</w:t>
            </w:r>
          </w:p>
        </w:tc>
        <w:tc>
          <w:tcPr>
            <w:tcW w:w="60" w:type="dxa"/>
            <w:vAlign w:val="bottom"/>
          </w:tcPr>
          <w:p>
            <w:pPr>
              <w:spacing w:after="0"/>
              <w:rPr>
                <w:sz w:val="24"/>
                <w:szCs w:val="24"/>
                <w:color w:val="auto"/>
              </w:rPr>
            </w:pPr>
          </w:p>
        </w:tc>
        <w:tc>
          <w:tcPr>
            <w:tcW w:w="560" w:type="dxa"/>
            <w:vAlign w:val="bottom"/>
            <w:gridSpan w:val="2"/>
          </w:tcPr>
          <w:p>
            <w:pPr>
              <w:jc w:val="right"/>
              <w:spacing w:after="0"/>
              <w:rPr>
                <w:sz w:val="20"/>
                <w:szCs w:val="20"/>
                <w:color w:val="auto"/>
              </w:rPr>
            </w:pPr>
            <w:r>
              <w:rPr>
                <w:rFonts w:ascii="Arial" w:cs="Arial" w:eastAsia="Arial" w:hAnsi="Arial"/>
                <w:sz w:val="16"/>
                <w:szCs w:val="16"/>
                <w:color w:val="auto"/>
                <w:w w:val="97"/>
              </w:rPr>
              <w:t>Amount</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Growth</w:t>
            </w:r>
          </w:p>
        </w:tc>
        <w:tc>
          <w:tcPr>
            <w:tcW w:w="280" w:type="dxa"/>
            <w:vAlign w:val="bottom"/>
          </w:tcPr>
          <w:p>
            <w:pPr>
              <w:spacing w:after="0"/>
              <w:rPr>
                <w:sz w:val="24"/>
                <w:szCs w:val="24"/>
                <w:color w:val="auto"/>
              </w:rPr>
            </w:pPr>
          </w:p>
        </w:tc>
        <w:tc>
          <w:tcPr>
            <w:tcW w:w="1040" w:type="dxa"/>
            <w:vAlign w:val="bottom"/>
            <w:gridSpan w:val="3"/>
          </w:tcPr>
          <w:p>
            <w:pPr>
              <w:jc w:val="right"/>
              <w:ind w:right="408"/>
              <w:spacing w:after="0"/>
              <w:rPr>
                <w:sz w:val="20"/>
                <w:szCs w:val="20"/>
                <w:color w:val="auto"/>
              </w:rPr>
            </w:pPr>
            <w:r>
              <w:rPr>
                <w:rFonts w:ascii="Arial" w:cs="Arial" w:eastAsia="Arial" w:hAnsi="Arial"/>
                <w:sz w:val="16"/>
                <w:szCs w:val="16"/>
                <w:color w:val="auto"/>
                <w:w w:val="97"/>
              </w:rPr>
              <w:t>Amount</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96"/>
              </w:rPr>
              <w:t>Growth</w:t>
            </w:r>
          </w:p>
        </w:tc>
        <w:tc>
          <w:tcPr>
            <w:tcW w:w="0" w:type="dxa"/>
            <w:vAlign w:val="bottom"/>
          </w:tcPr>
          <w:p>
            <w:pPr>
              <w:spacing w:after="0"/>
              <w:rPr>
                <w:sz w:val="1"/>
                <w:szCs w:val="1"/>
                <w:color w:val="auto"/>
              </w:rPr>
            </w:pPr>
          </w:p>
        </w:tc>
      </w:tr>
      <w:tr>
        <w:trPr>
          <w:trHeight w:val="20"/>
        </w:trPr>
        <w:tc>
          <w:tcPr>
            <w:tcW w:w="4200" w:type="dxa"/>
            <w:vAlign w:val="bottom"/>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4200" w:type="dxa"/>
            <w:vAlign w:val="bottom"/>
            <w:vMerge w:val="continue"/>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$ 5,490</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5.2%</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8"/>
              <w:spacing w:after="0"/>
              <w:rPr>
                <w:sz w:val="20"/>
                <w:szCs w:val="20"/>
                <w:color w:val="auto"/>
              </w:rPr>
            </w:pPr>
            <w:r>
              <w:rPr>
                <w:rFonts w:ascii="Arial" w:cs="Arial" w:eastAsia="Arial" w:hAnsi="Arial"/>
                <w:sz w:val="16"/>
                <w:szCs w:val="16"/>
                <w:color w:val="auto"/>
              </w:rPr>
              <w:t>21,660</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47"/>
        </w:trPr>
        <w:tc>
          <w:tcPr>
            <w:tcW w:w="4200" w:type="dxa"/>
            <w:vAlign w:val="bottom"/>
          </w:tcPr>
          <w:p>
            <w:pPr>
              <w:spacing w:after="0"/>
              <w:rPr>
                <w:sz w:val="20"/>
                <w:szCs w:val="20"/>
                <w:color w:val="auto"/>
              </w:rPr>
            </w:pPr>
            <w:r>
              <w:rPr>
                <w:rFonts w:ascii="Arial" w:cs="Arial" w:eastAsia="Arial" w:hAnsi="Arial"/>
                <w:sz w:val="16"/>
                <w:szCs w:val="16"/>
                <w:color w:val="auto"/>
              </w:rPr>
              <w:t>WM Healthcare Solutions</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403</w:t>
            </w:r>
          </w:p>
        </w:tc>
        <w:tc>
          <w:tcPr>
            <w:tcW w:w="540" w:type="dxa"/>
            <w:vAlign w:val="bottom"/>
          </w:tcPr>
          <w:p>
            <w:pPr>
              <w:spacing w:after="0"/>
              <w:rPr>
                <w:sz w:val="21"/>
                <w:szCs w:val="21"/>
                <w:color w:val="auto"/>
              </w:rPr>
            </w:pPr>
          </w:p>
        </w:tc>
        <w:tc>
          <w:tcPr>
            <w:tcW w:w="660" w:type="dxa"/>
            <w:vAlign w:val="bottom"/>
            <w:gridSpan w:val="3"/>
          </w:tcPr>
          <w:p>
            <w:pPr>
              <w:jc w:val="right"/>
              <w:ind w:right="160"/>
              <w:spacing w:after="0"/>
              <w:rPr>
                <w:sz w:val="20"/>
                <w:szCs w:val="20"/>
                <w:color w:val="auto"/>
              </w:rPr>
            </w:pPr>
            <w:r>
              <w:rPr>
                <w:rFonts w:ascii="Arial" w:cs="Arial" w:eastAsia="Arial" w:hAnsi="Arial"/>
                <w:sz w:val="16"/>
                <w:szCs w:val="16"/>
                <w:color w:val="auto"/>
              </w:rPr>
              <w:t>N/A</w:t>
            </w:r>
          </w:p>
        </w:tc>
        <w:tc>
          <w:tcPr>
            <w:tcW w:w="280" w:type="dxa"/>
            <w:vAlign w:val="bottom"/>
          </w:tcPr>
          <w:p>
            <w:pPr>
              <w:spacing w:after="0"/>
              <w:rPr>
                <w:sz w:val="21"/>
                <w:szCs w:val="21"/>
                <w:color w:val="auto"/>
              </w:rPr>
            </w:pPr>
          </w:p>
        </w:tc>
        <w:tc>
          <w:tcPr>
            <w:tcW w:w="1040" w:type="dxa"/>
            <w:vAlign w:val="bottom"/>
            <w:gridSpan w:val="3"/>
          </w:tcPr>
          <w:p>
            <w:pPr>
              <w:jc w:val="right"/>
              <w:ind w:right="408"/>
              <w:spacing w:after="0"/>
              <w:rPr>
                <w:sz w:val="20"/>
                <w:szCs w:val="20"/>
                <w:color w:val="auto"/>
              </w:rPr>
            </w:pPr>
            <w:r>
              <w:rPr>
                <w:rFonts w:ascii="Arial" w:cs="Arial" w:eastAsia="Arial" w:hAnsi="Arial"/>
                <w:sz w:val="16"/>
                <w:szCs w:val="16"/>
                <w:color w:val="auto"/>
              </w:rPr>
              <w:t>403</w:t>
            </w:r>
          </w:p>
        </w:tc>
        <w:tc>
          <w:tcPr>
            <w:tcW w:w="2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0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righ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4200" w:type="dxa"/>
            <w:vAlign w:val="bottom"/>
          </w:tcPr>
          <w:p>
            <w:pPr>
              <w:ind w:left="320"/>
              <w:spacing w:after="0"/>
              <w:rPr>
                <w:sz w:val="20"/>
                <w:szCs w:val="20"/>
                <w:color w:val="auto"/>
              </w:rPr>
            </w:pPr>
            <w:r>
              <w:rPr>
                <w:rFonts w:ascii="Arial" w:cs="Arial" w:eastAsia="Arial" w:hAnsi="Arial"/>
                <w:sz w:val="16"/>
                <w:szCs w:val="16"/>
                <w:color w:val="auto"/>
              </w:rPr>
              <w:t>Total Company</w:t>
            </w:r>
          </w:p>
        </w:tc>
        <w:tc>
          <w:tcPr>
            <w:tcW w:w="620" w:type="dxa"/>
            <w:vAlign w:val="bottom"/>
            <w:gridSpan w:val="3"/>
          </w:tcPr>
          <w:p>
            <w:pPr>
              <w:jc w:val="right"/>
              <w:spacing w:after="0"/>
              <w:rPr>
                <w:sz w:val="20"/>
                <w:szCs w:val="20"/>
                <w:color w:val="auto"/>
              </w:rPr>
            </w:pPr>
            <w:r>
              <w:rPr>
                <w:rFonts w:ascii="Arial" w:cs="Arial" w:eastAsia="Arial" w:hAnsi="Arial"/>
                <w:sz w:val="16"/>
                <w:szCs w:val="16"/>
                <w:color w:val="auto"/>
              </w:rPr>
              <w:t>$ 5,893</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13.0%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3"/>
          </w:tcPr>
          <w:p>
            <w:pPr>
              <w:jc w:val="right"/>
              <w:ind w:right="408"/>
              <w:spacing w:after="0"/>
              <w:rPr>
                <w:sz w:val="20"/>
                <w:szCs w:val="20"/>
                <w:color w:val="auto"/>
              </w:rPr>
            </w:pPr>
            <w:r>
              <w:rPr>
                <w:rFonts w:ascii="Arial" w:cs="Arial" w:eastAsia="Arial" w:hAnsi="Arial"/>
                <w:sz w:val="16"/>
                <w:szCs w:val="16"/>
                <w:color w:val="auto"/>
              </w:rPr>
              <w:t>22,063</w:t>
            </w: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660" w:hanging="328"/>
        <w:spacing w:after="0" w:line="212" w:lineRule="auto"/>
        <w:tabs>
          <w:tab w:leader="none" w:pos="660" w:val="left"/>
        </w:tabs>
        <w:numPr>
          <w:ilvl w:val="0"/>
          <w:numId w:val="5"/>
        </w:numPr>
        <w:rPr>
          <w:rFonts w:ascii="Arial" w:cs="Arial" w:eastAsia="Arial" w:hAnsi="Arial"/>
          <w:sz w:val="39"/>
          <w:szCs w:val="39"/>
          <w:color w:val="auto"/>
          <w:vertAlign w:val="superscript"/>
        </w:rPr>
      </w:pPr>
      <w:r>
        <w:rPr>
          <w:rFonts w:ascii="Arial" w:cs="Arial" w:eastAsia="Arial" w:hAnsi="Arial"/>
          <w:sz w:val="19"/>
          <w:szCs w:val="19"/>
          <w:color w:val="auto"/>
        </w:rPr>
        <w:t>Revenue growth in 2024 was driven by core price of 6.7%.</w:t>
      </w:r>
      <w:r>
        <w:rPr>
          <w:rFonts w:ascii="Arial" w:cs="Arial" w:eastAsia="Arial" w:hAnsi="Arial"/>
          <w:sz w:val="31"/>
          <w:szCs w:val="31"/>
          <w:color w:val="auto"/>
          <w:vertAlign w:val="superscript"/>
        </w:rPr>
        <w:t>(d)</w:t>
      </w:r>
      <w:r>
        <w:rPr>
          <w:rFonts w:ascii="Arial" w:cs="Arial" w:eastAsia="Arial" w:hAnsi="Arial"/>
          <w:sz w:val="19"/>
          <w:szCs w:val="19"/>
          <w:color w:val="auto"/>
        </w:rPr>
        <w:t xml:space="preserve"> An increase in completed acquisitions, including Stericycle, and higher market prices for recycled commodities also contributed to the outsized revenue growth in the year.</w:t>
      </w:r>
      <w:r>
        <w:rPr>
          <w:rFonts w:ascii="Arial" w:cs="Arial" w:eastAsia="Arial" w:hAnsi="Arial"/>
          <w:sz w:val="31"/>
          <w:szCs w:val="31"/>
          <w:color w:val="auto"/>
          <w:vertAlign w:val="superscript"/>
        </w:rPr>
        <w: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4972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60" w:type="dxa"/>
            <w:vAlign w:val="bottom"/>
            <w:gridSpan w:val="11"/>
          </w:tcPr>
          <w:p>
            <w:pPr>
              <w:jc w:val="center"/>
              <w:ind w:right="700"/>
              <w:spacing w:after="0"/>
              <w:rPr>
                <w:sz w:val="20"/>
                <w:szCs w:val="20"/>
                <w:color w:val="auto"/>
              </w:rPr>
            </w:pPr>
            <w:r>
              <w:rPr>
                <w:rFonts w:ascii="Arial" w:cs="Arial" w:eastAsia="Arial" w:hAnsi="Arial"/>
                <w:sz w:val="16"/>
                <w:szCs w:val="16"/>
                <w:color w:val="auto"/>
              </w:rPr>
              <w:t>Fourth Quarter 2024</w:t>
            </w: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10"/>
          </w:tcPr>
          <w:p>
            <w:pPr>
              <w:ind w:left="60"/>
              <w:spacing w:after="0"/>
              <w:rPr>
                <w:sz w:val="20"/>
                <w:szCs w:val="20"/>
                <w:color w:val="auto"/>
              </w:rPr>
            </w:pPr>
            <w:r>
              <w:rPr>
                <w:rFonts w:ascii="Arial" w:cs="Arial" w:eastAsia="Arial" w:hAnsi="Arial"/>
                <w:sz w:val="16"/>
                <w:szCs w:val="16"/>
                <w:color w:val="auto"/>
              </w:rPr>
              <w:t>Full Year 2024</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38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4"/>
          </w:tcPr>
          <w:p>
            <w:pPr>
              <w:jc w:val="center"/>
              <w:ind w:left="48"/>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1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40" w:type="dxa"/>
            <w:vAlign w:val="bottom"/>
            <w:tcBorders>
              <w:top w:val="single" w:sz="8" w:color="auto"/>
            </w:tcBorders>
            <w:gridSpan w:val="4"/>
          </w:tcPr>
          <w:p>
            <w:pPr>
              <w:jc w:val="right"/>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3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8"/>
          </w:tcPr>
          <w:p>
            <w:pPr>
              <w:jc w:val="center"/>
              <w:ind w:right="68"/>
              <w:spacing w:after="0" w:line="155" w:lineRule="exact"/>
              <w:rPr>
                <w:sz w:val="20"/>
                <w:szCs w:val="20"/>
                <w:color w:val="auto"/>
              </w:rPr>
            </w:pPr>
            <w:r>
              <w:rPr>
                <w:rFonts w:ascii="Arial" w:cs="Arial" w:eastAsia="Arial" w:hAnsi="Arial"/>
                <w:sz w:val="16"/>
                <w:szCs w:val="16"/>
                <w:color w:val="auto"/>
                <w:w w:val="99"/>
              </w:rPr>
              <w:t>Total Company</w:t>
            </w:r>
          </w:p>
        </w:tc>
        <w:tc>
          <w:tcPr>
            <w:tcW w:w="3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7"/>
            <w:vMerge w:val="restart"/>
          </w:tcPr>
          <w:p>
            <w:pPr>
              <w:spacing w:after="0" w:line="344" w:lineRule="exact"/>
              <w:rPr>
                <w:sz w:val="20"/>
                <w:szCs w:val="20"/>
                <w:color w:val="auto"/>
              </w:rPr>
            </w:pPr>
            <w:r>
              <w:rPr>
                <w:rFonts w:ascii="Arial" w:cs="Arial" w:eastAsia="Arial" w:hAnsi="Arial"/>
                <w:sz w:val="16"/>
                <w:szCs w:val="16"/>
                <w:color w:val="auto"/>
              </w:rPr>
              <w:t>As Adjusted</w:t>
            </w:r>
            <w:r>
              <w:rPr>
                <w:rFonts w:ascii="Arial" w:cs="Arial" w:eastAsia="Arial" w:hAnsi="Arial"/>
                <w:sz w:val="32"/>
                <w:szCs w:val="32"/>
                <w:color w:val="auto"/>
                <w:vertAlign w:val="superscript"/>
              </w:rPr>
              <w:t>(a)</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7"/>
          </w:tcPr>
          <w:p>
            <w:pPr>
              <w:jc w:val="center"/>
              <w:ind w:right="88"/>
              <w:spacing w:after="0" w:line="155" w:lineRule="exact"/>
              <w:rPr>
                <w:sz w:val="20"/>
                <w:szCs w:val="20"/>
                <w:color w:val="auto"/>
              </w:rPr>
            </w:pPr>
            <w:r>
              <w:rPr>
                <w:rFonts w:ascii="Arial" w:cs="Arial" w:eastAsia="Arial" w:hAnsi="Arial"/>
                <w:sz w:val="16"/>
                <w:szCs w:val="16"/>
                <w:color w:val="auto"/>
                <w:w w:val="99"/>
              </w:rPr>
              <w:t>Total Company</w:t>
            </w:r>
          </w:p>
        </w:tc>
        <w:tc>
          <w:tcPr>
            <w:tcW w:w="3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540" w:type="dxa"/>
            <w:vAlign w:val="bottom"/>
            <w:gridSpan w:val="4"/>
            <w:vMerge w:val="restart"/>
          </w:tcPr>
          <w:p>
            <w:pPr>
              <w:jc w:val="right"/>
              <w:ind w:right="379"/>
              <w:spacing w:after="0" w:line="344" w:lineRule="exact"/>
              <w:rPr>
                <w:sz w:val="20"/>
                <w:szCs w:val="20"/>
                <w:color w:val="auto"/>
              </w:rPr>
            </w:pPr>
            <w:r>
              <w:rPr>
                <w:rFonts w:ascii="Arial" w:cs="Arial" w:eastAsia="Arial" w:hAnsi="Arial"/>
                <w:sz w:val="16"/>
                <w:szCs w:val="16"/>
                <w:color w:val="auto"/>
                <w:w w:val="95"/>
              </w:rPr>
              <w:t>As Adjusted</w:t>
            </w:r>
            <w:r>
              <w:rPr>
                <w:rFonts w:ascii="Arial" w:cs="Arial" w:eastAsia="Arial" w:hAnsi="Arial"/>
                <w:sz w:val="32"/>
                <w:szCs w:val="32"/>
                <w:color w:val="auto"/>
                <w:w w:val="95"/>
                <w:vertAlign w:val="superscript"/>
              </w:rPr>
              <w:t>(a)</w:t>
            </w:r>
          </w:p>
        </w:tc>
        <w:tc>
          <w:tcPr>
            <w:tcW w:w="0" w:type="dxa"/>
            <w:vAlign w:val="bottom"/>
          </w:tcPr>
          <w:p>
            <w:pPr>
              <w:spacing w:after="0"/>
              <w:rPr>
                <w:sz w:val="1"/>
                <w:szCs w:val="1"/>
                <w:color w:val="auto"/>
              </w:rPr>
            </w:pPr>
          </w:p>
        </w:tc>
      </w:tr>
      <w:tr>
        <w:trPr>
          <w:trHeight w:val="169"/>
        </w:trPr>
        <w:tc>
          <w:tcPr>
            <w:tcW w:w="2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gridSpan w:val="3"/>
          </w:tcPr>
          <w:p>
            <w:pPr>
              <w:jc w:val="center"/>
              <w:ind w:right="60"/>
              <w:spacing w:after="0" w:line="169" w:lineRule="exact"/>
              <w:rPr>
                <w:sz w:val="20"/>
                <w:szCs w:val="20"/>
                <w:color w:val="auto"/>
              </w:rPr>
            </w:pPr>
            <w:r>
              <w:rPr>
                <w:rFonts w:ascii="Arial" w:cs="Arial" w:eastAsia="Arial" w:hAnsi="Arial"/>
                <w:sz w:val="16"/>
                <w:szCs w:val="16"/>
                <w:color w:val="auto"/>
                <w:w w:val="99"/>
              </w:rPr>
              <w:t>Breakout</w:t>
            </w:r>
          </w:p>
        </w:tc>
        <w:tc>
          <w:tcPr>
            <w:tcW w:w="1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7"/>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gridSpan w:val="3"/>
          </w:tcPr>
          <w:p>
            <w:pPr>
              <w:jc w:val="center"/>
              <w:ind w:right="180"/>
              <w:spacing w:after="0" w:line="169" w:lineRule="exact"/>
              <w:rPr>
                <w:sz w:val="20"/>
                <w:szCs w:val="20"/>
                <w:color w:val="auto"/>
              </w:rPr>
            </w:pPr>
            <w:r>
              <w:rPr>
                <w:rFonts w:ascii="Arial" w:cs="Arial" w:eastAsia="Arial" w:hAnsi="Arial"/>
                <w:sz w:val="16"/>
                <w:szCs w:val="16"/>
                <w:color w:val="auto"/>
              </w:rPr>
              <w:t>Breakout</w:t>
            </w:r>
          </w:p>
        </w:tc>
        <w:tc>
          <w:tcPr>
            <w:tcW w:w="2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80" w:type="dxa"/>
            <w:vAlign w:val="bottom"/>
            <w:vMerge w:val="restart"/>
          </w:tcPr>
          <w:p>
            <w:pPr>
              <w:spacing w:after="0"/>
              <w:rPr>
                <w:sz w:val="20"/>
                <w:szCs w:val="20"/>
                <w:color w:val="auto"/>
              </w:rPr>
            </w:pPr>
            <w:r>
              <w:rPr>
                <w:rFonts w:ascii="Arial" w:cs="Arial" w:eastAsia="Arial" w:hAnsi="Arial"/>
                <w:sz w:val="16"/>
                <w:szCs w:val="16"/>
                <w:color w:val="auto"/>
              </w:rPr>
              <w:t>WM Legacy Business</w:t>
            </w:r>
            <w:r>
              <w:rPr>
                <w:rFonts w:ascii="Arial" w:cs="Arial" w:eastAsia="Arial" w:hAnsi="Arial"/>
                <w:sz w:val="26"/>
                <w:szCs w:val="26"/>
                <w:color w:val="auto"/>
                <w:vertAlign w:val="superscript"/>
              </w:rPr>
              <w:t>(f)</w:t>
            </w:r>
          </w:p>
        </w:tc>
        <w:tc>
          <w:tcPr>
            <w:tcW w:w="1600" w:type="dxa"/>
            <w:vAlign w:val="bottom"/>
            <w:gridSpan w:val="7"/>
          </w:tcPr>
          <w:p>
            <w:pPr>
              <w:ind w:left="560"/>
              <w:spacing w:after="0"/>
              <w:rPr>
                <w:sz w:val="20"/>
                <w:szCs w:val="20"/>
                <w:color w:val="auto"/>
              </w:rPr>
            </w:pPr>
            <w:r>
              <w:rPr>
                <w:rFonts w:ascii="Arial" w:cs="Arial" w:eastAsia="Arial" w:hAnsi="Arial"/>
                <w:sz w:val="16"/>
                <w:szCs w:val="16"/>
                <w:color w:val="auto"/>
              </w:rPr>
              <w:t>Amount</w:t>
            </w:r>
          </w:p>
        </w:tc>
        <w:tc>
          <w:tcPr>
            <w:tcW w:w="120" w:type="dxa"/>
            <w:vAlign w:val="bottom"/>
          </w:tcPr>
          <w:p>
            <w:pPr>
              <w:spacing w:after="0"/>
              <w:rPr>
                <w:sz w:val="24"/>
                <w:szCs w:val="24"/>
                <w:color w:val="auto"/>
              </w:rPr>
            </w:pPr>
          </w:p>
        </w:tc>
        <w:tc>
          <w:tcPr>
            <w:tcW w:w="1040" w:type="dxa"/>
            <w:vAlign w:val="bottom"/>
            <w:gridSpan w:val="5"/>
          </w:tcPr>
          <w:p>
            <w:pPr>
              <w:jc w:val="right"/>
              <w:ind w:right="540"/>
              <w:spacing w:after="0"/>
              <w:rPr>
                <w:sz w:val="20"/>
                <w:szCs w:val="20"/>
                <w:color w:val="auto"/>
              </w:rPr>
            </w:pPr>
            <w:r>
              <w:rPr>
                <w:rFonts w:ascii="Arial" w:cs="Arial" w:eastAsia="Arial" w:hAnsi="Arial"/>
                <w:sz w:val="16"/>
                <w:szCs w:val="16"/>
                <w:color w:val="auto"/>
                <w:w w:val="98"/>
              </w:rPr>
              <w:t>Margin</w:t>
            </w:r>
          </w:p>
        </w:tc>
        <w:tc>
          <w:tcPr>
            <w:tcW w:w="1000" w:type="dxa"/>
            <w:vAlign w:val="bottom"/>
            <w:gridSpan w:val="5"/>
          </w:tcPr>
          <w:p>
            <w:pPr>
              <w:jc w:val="right"/>
              <w:ind w:right="440"/>
              <w:spacing w:after="0"/>
              <w:rPr>
                <w:sz w:val="20"/>
                <w:szCs w:val="20"/>
                <w:color w:val="auto"/>
              </w:rPr>
            </w:pPr>
            <w:r>
              <w:rPr>
                <w:rFonts w:ascii="Arial" w:cs="Arial" w:eastAsia="Arial" w:hAnsi="Arial"/>
                <w:sz w:val="16"/>
                <w:szCs w:val="16"/>
                <w:color w:val="auto"/>
                <w:w w:val="97"/>
              </w:rPr>
              <w:t>Amount</w:t>
            </w:r>
          </w:p>
        </w:tc>
        <w:tc>
          <w:tcPr>
            <w:tcW w:w="1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w w:val="98"/>
              </w:rPr>
              <w:t>Margin</w:t>
            </w:r>
          </w:p>
        </w:tc>
        <w:tc>
          <w:tcPr>
            <w:tcW w:w="1480" w:type="dxa"/>
            <w:vAlign w:val="bottom"/>
            <w:gridSpan w:val="6"/>
          </w:tcPr>
          <w:p>
            <w:pPr>
              <w:ind w:left="300"/>
              <w:spacing w:after="0"/>
              <w:rPr>
                <w:sz w:val="20"/>
                <w:szCs w:val="20"/>
                <w:color w:val="auto"/>
              </w:rPr>
            </w:pPr>
            <w:r>
              <w:rPr>
                <w:rFonts w:ascii="Arial" w:cs="Arial" w:eastAsia="Arial" w:hAnsi="Arial"/>
                <w:sz w:val="16"/>
                <w:szCs w:val="16"/>
                <w:color w:val="auto"/>
              </w:rPr>
              <w:t>Amount</w:t>
            </w:r>
          </w:p>
        </w:tc>
        <w:tc>
          <w:tcPr>
            <w:tcW w:w="740" w:type="dxa"/>
            <w:vAlign w:val="bottom"/>
            <w:gridSpan w:val="5"/>
          </w:tcPr>
          <w:p>
            <w:pPr>
              <w:jc w:val="right"/>
              <w:ind w:right="260"/>
              <w:spacing w:after="0"/>
              <w:rPr>
                <w:sz w:val="20"/>
                <w:szCs w:val="20"/>
                <w:color w:val="auto"/>
              </w:rPr>
            </w:pPr>
            <w:r>
              <w:rPr>
                <w:rFonts w:ascii="Arial" w:cs="Arial" w:eastAsia="Arial" w:hAnsi="Arial"/>
                <w:sz w:val="16"/>
                <w:szCs w:val="16"/>
                <w:color w:val="auto"/>
                <w:w w:val="93"/>
              </w:rPr>
              <w:t>Margin</w:t>
            </w:r>
          </w:p>
        </w:tc>
        <w:tc>
          <w:tcPr>
            <w:tcW w:w="280" w:type="dxa"/>
            <w:vAlign w:val="bottom"/>
          </w:tcPr>
          <w:p>
            <w:pPr>
              <w:spacing w:after="0"/>
              <w:rPr>
                <w:sz w:val="24"/>
                <w:szCs w:val="24"/>
                <w:color w:val="auto"/>
              </w:rPr>
            </w:pPr>
          </w:p>
        </w:tc>
        <w:tc>
          <w:tcPr>
            <w:tcW w:w="1020" w:type="dxa"/>
            <w:vAlign w:val="bottom"/>
            <w:gridSpan w:val="5"/>
          </w:tcPr>
          <w:p>
            <w:pPr>
              <w:ind w:left="2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Margin</w:t>
            </w:r>
          </w:p>
        </w:tc>
        <w:tc>
          <w:tcPr>
            <w:tcW w:w="0" w:type="dxa"/>
            <w:vAlign w:val="bottom"/>
          </w:tcPr>
          <w:p>
            <w:pPr>
              <w:spacing w:after="0"/>
              <w:rPr>
                <w:sz w:val="1"/>
                <w:szCs w:val="1"/>
                <w:color w:val="auto"/>
              </w:rPr>
            </w:pPr>
          </w:p>
        </w:tc>
      </w:tr>
      <w:tr>
        <w:trPr>
          <w:trHeight w:val="20"/>
        </w:trPr>
        <w:tc>
          <w:tcPr>
            <w:tcW w:w="2380" w:type="dxa"/>
            <w:vAlign w:val="bottom"/>
            <w:vMerge w:val="continu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gridSpan w:val="4"/>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4"/>
        </w:trPr>
        <w:tc>
          <w:tcPr>
            <w:tcW w:w="23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gridSpan w:val="4"/>
          </w:tcPr>
          <w:p>
            <w:pPr>
              <w:jc w:val="right"/>
              <w:spacing w:after="0"/>
              <w:rPr>
                <w:sz w:val="20"/>
                <w:szCs w:val="20"/>
                <w:color w:val="auto"/>
              </w:rPr>
            </w:pPr>
            <w:r>
              <w:rPr>
                <w:rFonts w:ascii="Arial" w:cs="Arial" w:eastAsia="Arial" w:hAnsi="Arial"/>
                <w:sz w:val="16"/>
                <w:szCs w:val="16"/>
                <w:color w:val="auto"/>
              </w:rPr>
              <w:t>$ 3,309</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gridSpan w:val="3"/>
          </w:tcPr>
          <w:p>
            <w:pPr>
              <w:jc w:val="right"/>
              <w:spacing w:after="0"/>
              <w:rPr>
                <w:sz w:val="20"/>
                <w:szCs w:val="20"/>
                <w:color w:val="auto"/>
              </w:rPr>
            </w:pPr>
            <w:r>
              <w:rPr>
                <w:rFonts w:ascii="Arial" w:cs="Arial" w:eastAsia="Arial" w:hAnsi="Arial"/>
                <w:sz w:val="16"/>
                <w:szCs w:val="16"/>
                <w:color w:val="auto"/>
              </w:rPr>
              <w:t>60.3%</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gridSpan w:val="5"/>
          </w:tcPr>
          <w:p>
            <w:pPr>
              <w:jc w:val="right"/>
              <w:ind w:right="440"/>
              <w:spacing w:after="0"/>
              <w:rPr>
                <w:sz w:val="20"/>
                <w:szCs w:val="20"/>
                <w:color w:val="auto"/>
              </w:rPr>
            </w:pPr>
            <w:r>
              <w:rPr>
                <w:rFonts w:ascii="Arial" w:cs="Arial" w:eastAsia="Arial" w:hAnsi="Arial"/>
                <w:sz w:val="16"/>
                <w:szCs w:val="16"/>
                <w:color w:val="auto"/>
              </w:rPr>
              <w:t>$ 3,309</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60.3%</w:t>
            </w:r>
          </w:p>
        </w:tc>
        <w:tc>
          <w:tcPr>
            <w:tcW w:w="1300" w:type="dxa"/>
            <w:vAlign w:val="bottom"/>
            <w:gridSpan w:val="5"/>
          </w:tcPr>
          <w:p>
            <w:pPr>
              <w:jc w:val="right"/>
              <w:ind w:right="440"/>
              <w:spacing w:after="0"/>
              <w:rPr>
                <w:sz w:val="20"/>
                <w:szCs w:val="20"/>
                <w:color w:val="auto"/>
              </w:rPr>
            </w:pPr>
            <w:r>
              <w:rPr>
                <w:rFonts w:ascii="Arial" w:cs="Arial" w:eastAsia="Arial" w:hAnsi="Arial"/>
                <w:sz w:val="16"/>
                <w:szCs w:val="16"/>
                <w:color w:val="auto"/>
              </w:rPr>
              <w:t>$ 13,139</w:t>
            </w:r>
          </w:p>
        </w:tc>
        <w:tc>
          <w:tcPr>
            <w:tcW w:w="180" w:type="dxa"/>
            <w:vAlign w:val="bottom"/>
          </w:tcPr>
          <w:p>
            <w:pPr>
              <w:spacing w:after="0"/>
              <w:rPr>
                <w:sz w:val="24"/>
                <w:szCs w:val="24"/>
                <w:color w:val="auto"/>
              </w:rPr>
            </w:pPr>
          </w:p>
        </w:tc>
        <w:tc>
          <w:tcPr>
            <w:tcW w:w="740" w:type="dxa"/>
            <w:vAlign w:val="bottom"/>
            <w:gridSpan w:val="5"/>
          </w:tcPr>
          <w:p>
            <w:pPr>
              <w:jc w:val="right"/>
              <w:ind w:right="260"/>
              <w:spacing w:after="0"/>
              <w:rPr>
                <w:sz w:val="20"/>
                <w:szCs w:val="20"/>
                <w:color w:val="auto"/>
              </w:rPr>
            </w:pPr>
            <w:r>
              <w:rPr>
                <w:rFonts w:ascii="Arial" w:cs="Arial" w:eastAsia="Arial" w:hAnsi="Arial"/>
                <w:sz w:val="16"/>
                <w:szCs w:val="16"/>
                <w:color w:val="auto"/>
              </w:rPr>
              <w:t>60.7%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13,138</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r>
        <w:trPr>
          <w:trHeight w:val="247"/>
        </w:trPr>
        <w:tc>
          <w:tcPr>
            <w:tcW w:w="2380" w:type="dxa"/>
            <w:vAlign w:val="bottom"/>
          </w:tcPr>
          <w:p>
            <w:pPr>
              <w:spacing w:after="0"/>
              <w:rPr>
                <w:sz w:val="20"/>
                <w:szCs w:val="20"/>
                <w:color w:val="auto"/>
              </w:rPr>
            </w:pPr>
            <w:r>
              <w:rPr>
                <w:rFonts w:ascii="Arial" w:cs="Arial" w:eastAsia="Arial" w:hAnsi="Arial"/>
                <w:sz w:val="16"/>
                <w:szCs w:val="16"/>
                <w:color w:val="auto"/>
              </w:rPr>
              <w:t>WM Healthcare Solutions</w:t>
            </w:r>
          </w:p>
        </w:tc>
        <w:tc>
          <w:tcPr>
            <w:tcW w:w="840" w:type="dxa"/>
            <w:vAlign w:val="bottom"/>
            <w:gridSpan w:val="3"/>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97"/>
              </w:rPr>
              <w:t>244</w:t>
            </w:r>
          </w:p>
        </w:tc>
        <w:tc>
          <w:tcPr>
            <w:tcW w:w="4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5"/>
          </w:tcPr>
          <w:p>
            <w:pPr>
              <w:jc w:val="right"/>
              <w:ind w:right="520"/>
              <w:spacing w:after="0"/>
              <w:rPr>
                <w:sz w:val="20"/>
                <w:szCs w:val="20"/>
                <w:color w:val="auto"/>
              </w:rPr>
            </w:pPr>
            <w:r>
              <w:rPr>
                <w:rFonts w:ascii="Arial" w:cs="Arial" w:eastAsia="Arial" w:hAnsi="Arial"/>
                <w:sz w:val="16"/>
                <w:szCs w:val="16"/>
                <w:color w:val="auto"/>
              </w:rPr>
              <w:t>60.5%</w:t>
            </w:r>
          </w:p>
        </w:tc>
        <w:tc>
          <w:tcPr>
            <w:tcW w:w="20" w:type="dxa"/>
            <w:vAlign w:val="bottom"/>
          </w:tcPr>
          <w:p>
            <w:pPr>
              <w:spacing w:after="0"/>
              <w:rPr>
                <w:sz w:val="21"/>
                <w:szCs w:val="21"/>
                <w:color w:val="auto"/>
              </w:rPr>
            </w:pPr>
          </w:p>
        </w:tc>
        <w:tc>
          <w:tcPr>
            <w:tcW w:w="1000" w:type="dxa"/>
            <w:vAlign w:val="bottom"/>
            <w:gridSpan w:val="5"/>
          </w:tcPr>
          <w:p>
            <w:pPr>
              <w:jc w:val="right"/>
              <w:ind w:right="440"/>
              <w:spacing w:after="0"/>
              <w:rPr>
                <w:sz w:val="20"/>
                <w:szCs w:val="20"/>
                <w:color w:val="auto"/>
              </w:rPr>
            </w:pPr>
            <w:r>
              <w:rPr>
                <w:rFonts w:ascii="Arial" w:cs="Arial" w:eastAsia="Arial" w:hAnsi="Arial"/>
                <w:sz w:val="16"/>
                <w:szCs w:val="16"/>
                <w:color w:val="auto"/>
              </w:rPr>
              <w:t>244</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60.5%</w:t>
            </w:r>
          </w:p>
        </w:tc>
        <w:tc>
          <w:tcPr>
            <w:tcW w:w="1300" w:type="dxa"/>
            <w:vAlign w:val="bottom"/>
            <w:gridSpan w:val="5"/>
          </w:tcPr>
          <w:p>
            <w:pPr>
              <w:jc w:val="right"/>
              <w:ind w:right="440"/>
              <w:spacing w:after="0"/>
              <w:rPr>
                <w:sz w:val="20"/>
                <w:szCs w:val="20"/>
                <w:color w:val="auto"/>
              </w:rPr>
            </w:pPr>
            <w:r>
              <w:rPr>
                <w:rFonts w:ascii="Arial" w:cs="Arial" w:eastAsia="Arial" w:hAnsi="Arial"/>
                <w:sz w:val="16"/>
                <w:szCs w:val="16"/>
                <w:color w:val="auto"/>
              </w:rPr>
              <w:t>244</w:t>
            </w:r>
          </w:p>
        </w:tc>
        <w:tc>
          <w:tcPr>
            <w:tcW w:w="180" w:type="dxa"/>
            <w:vAlign w:val="bottom"/>
          </w:tcPr>
          <w:p>
            <w:pPr>
              <w:spacing w:after="0"/>
              <w:rPr>
                <w:sz w:val="21"/>
                <w:szCs w:val="21"/>
                <w:color w:val="auto"/>
              </w:rPr>
            </w:pPr>
          </w:p>
        </w:tc>
        <w:tc>
          <w:tcPr>
            <w:tcW w:w="740" w:type="dxa"/>
            <w:vAlign w:val="bottom"/>
            <w:gridSpan w:val="5"/>
          </w:tcPr>
          <w:p>
            <w:pPr>
              <w:jc w:val="right"/>
              <w:ind w:right="260"/>
              <w:spacing w:after="0"/>
              <w:rPr>
                <w:sz w:val="20"/>
                <w:szCs w:val="20"/>
                <w:color w:val="auto"/>
              </w:rPr>
            </w:pPr>
            <w:r>
              <w:rPr>
                <w:rFonts w:ascii="Arial" w:cs="Arial" w:eastAsia="Arial" w:hAnsi="Arial"/>
                <w:sz w:val="16"/>
                <w:szCs w:val="16"/>
                <w:color w:val="auto"/>
              </w:rPr>
              <w:t>60.5%</w:t>
            </w:r>
          </w:p>
        </w:tc>
        <w:tc>
          <w:tcPr>
            <w:tcW w:w="280" w:type="dxa"/>
            <w:vAlign w:val="bottom"/>
          </w:tcPr>
          <w:p>
            <w:pPr>
              <w:spacing w:after="0"/>
              <w:rPr>
                <w:sz w:val="21"/>
                <w:szCs w:val="21"/>
                <w:color w:val="auto"/>
              </w:rPr>
            </w:pP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244</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60.5%</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86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gridSpan w:val="4"/>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380" w:type="dxa"/>
            <w:vAlign w:val="bottom"/>
          </w:tcPr>
          <w:p>
            <w:pPr>
              <w:ind w:left="320"/>
              <w:spacing w:after="0"/>
              <w:rPr>
                <w:sz w:val="20"/>
                <w:szCs w:val="20"/>
                <w:color w:val="auto"/>
              </w:rPr>
            </w:pPr>
            <w:r>
              <w:rPr>
                <w:rFonts w:ascii="Arial" w:cs="Arial" w:eastAsia="Arial" w:hAnsi="Arial"/>
                <w:sz w:val="16"/>
                <w:szCs w:val="16"/>
                <w:color w:val="auto"/>
              </w:rPr>
              <w:t>Total Company</w:t>
            </w:r>
          </w:p>
        </w:tc>
        <w:tc>
          <w:tcPr>
            <w:tcW w:w="1120" w:type="dxa"/>
            <w:vAlign w:val="bottom"/>
            <w:gridSpan w:val="5"/>
          </w:tcPr>
          <w:p>
            <w:pPr>
              <w:jc w:val="right"/>
              <w:spacing w:after="0"/>
              <w:rPr>
                <w:sz w:val="20"/>
                <w:szCs w:val="20"/>
                <w:color w:val="auto"/>
              </w:rPr>
            </w:pPr>
            <w:r>
              <w:rPr>
                <w:rFonts w:ascii="Arial" w:cs="Arial" w:eastAsia="Arial" w:hAnsi="Arial"/>
                <w:sz w:val="16"/>
                <w:szCs w:val="16"/>
                <w:color w:val="auto"/>
              </w:rPr>
              <w:t>$ 3,553</w:t>
            </w: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5"/>
          </w:tcPr>
          <w:p>
            <w:pPr>
              <w:jc w:val="right"/>
              <w:ind w:right="520"/>
              <w:spacing w:after="0"/>
              <w:rPr>
                <w:sz w:val="20"/>
                <w:szCs w:val="20"/>
                <w:color w:val="auto"/>
              </w:rPr>
            </w:pPr>
            <w:r>
              <w:rPr>
                <w:rFonts w:ascii="Arial" w:cs="Arial" w:eastAsia="Arial" w:hAnsi="Arial"/>
                <w:sz w:val="16"/>
                <w:szCs w:val="16"/>
                <w:color w:val="auto"/>
              </w:rPr>
              <w:t>60.3%</w:t>
            </w:r>
          </w:p>
        </w:tc>
        <w:tc>
          <w:tcPr>
            <w:tcW w:w="20" w:type="dxa"/>
            <w:vAlign w:val="bottom"/>
          </w:tcPr>
          <w:p>
            <w:pPr>
              <w:spacing w:after="0"/>
              <w:rPr>
                <w:sz w:val="24"/>
                <w:szCs w:val="24"/>
                <w:color w:val="auto"/>
              </w:rPr>
            </w:pPr>
          </w:p>
        </w:tc>
        <w:tc>
          <w:tcPr>
            <w:tcW w:w="1000" w:type="dxa"/>
            <w:vAlign w:val="bottom"/>
            <w:gridSpan w:val="5"/>
          </w:tcPr>
          <w:p>
            <w:pPr>
              <w:jc w:val="right"/>
              <w:ind w:right="440"/>
              <w:spacing w:after="0"/>
              <w:rPr>
                <w:sz w:val="20"/>
                <w:szCs w:val="20"/>
                <w:color w:val="auto"/>
              </w:rPr>
            </w:pPr>
            <w:r>
              <w:rPr>
                <w:rFonts w:ascii="Arial" w:cs="Arial" w:eastAsia="Arial" w:hAnsi="Arial"/>
                <w:sz w:val="16"/>
                <w:szCs w:val="16"/>
                <w:color w:val="auto"/>
              </w:rPr>
              <w:t>$ 3,553</w:t>
            </w:r>
          </w:p>
        </w:tc>
        <w:tc>
          <w:tcPr>
            <w:tcW w:w="920" w:type="dxa"/>
            <w:vAlign w:val="bottom"/>
            <w:gridSpan w:val="3"/>
          </w:tcPr>
          <w:p>
            <w:pPr>
              <w:jc w:val="right"/>
              <w:ind w:right="240"/>
              <w:spacing w:after="0"/>
              <w:rPr>
                <w:sz w:val="20"/>
                <w:szCs w:val="20"/>
                <w:color w:val="auto"/>
              </w:rPr>
            </w:pPr>
            <w:r>
              <w:rPr>
                <w:rFonts w:ascii="Arial" w:cs="Arial" w:eastAsia="Arial" w:hAnsi="Arial"/>
                <w:sz w:val="16"/>
                <w:szCs w:val="16"/>
                <w:color w:val="auto"/>
              </w:rPr>
              <w:t>60.3%</w:t>
            </w:r>
          </w:p>
        </w:tc>
        <w:tc>
          <w:tcPr>
            <w:tcW w:w="1300" w:type="dxa"/>
            <w:vAlign w:val="bottom"/>
            <w:gridSpan w:val="5"/>
          </w:tcPr>
          <w:p>
            <w:pPr>
              <w:jc w:val="right"/>
              <w:ind w:right="440"/>
              <w:spacing w:after="0"/>
              <w:rPr>
                <w:sz w:val="20"/>
                <w:szCs w:val="20"/>
                <w:color w:val="auto"/>
              </w:rPr>
            </w:pPr>
            <w:r>
              <w:rPr>
                <w:rFonts w:ascii="Arial" w:cs="Arial" w:eastAsia="Arial" w:hAnsi="Arial"/>
                <w:sz w:val="16"/>
                <w:szCs w:val="16"/>
                <w:color w:val="auto"/>
              </w:rPr>
              <w:t>$ 13,383</w:t>
            </w:r>
          </w:p>
        </w:tc>
        <w:tc>
          <w:tcPr>
            <w:tcW w:w="180" w:type="dxa"/>
            <w:vAlign w:val="bottom"/>
          </w:tcPr>
          <w:p>
            <w:pPr>
              <w:spacing w:after="0"/>
              <w:rPr>
                <w:sz w:val="24"/>
                <w:szCs w:val="24"/>
                <w:color w:val="auto"/>
              </w:rPr>
            </w:pPr>
          </w:p>
        </w:tc>
        <w:tc>
          <w:tcPr>
            <w:tcW w:w="740" w:type="dxa"/>
            <w:vAlign w:val="bottom"/>
            <w:gridSpan w:val="5"/>
          </w:tcPr>
          <w:p>
            <w:pPr>
              <w:jc w:val="right"/>
              <w:ind w:right="260"/>
              <w:spacing w:after="0"/>
              <w:rPr>
                <w:sz w:val="20"/>
                <w:szCs w:val="20"/>
                <w:color w:val="auto"/>
              </w:rPr>
            </w:pPr>
            <w:r>
              <w:rPr>
                <w:rFonts w:ascii="Arial" w:cs="Arial" w:eastAsia="Arial" w:hAnsi="Arial"/>
                <w:sz w:val="16"/>
                <w:szCs w:val="16"/>
                <w:color w:val="auto"/>
              </w:rPr>
              <w:t>60.7%</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5"/>
          </w:tcPr>
          <w:p>
            <w:pPr>
              <w:jc w:val="right"/>
              <w:ind w:right="440"/>
              <w:spacing w:after="0"/>
              <w:rPr>
                <w:sz w:val="20"/>
                <w:szCs w:val="20"/>
                <w:color w:val="auto"/>
              </w:rPr>
            </w:pPr>
            <w:r>
              <w:rPr>
                <w:rFonts w:ascii="Arial" w:cs="Arial" w:eastAsia="Arial" w:hAnsi="Arial"/>
                <w:sz w:val="16"/>
                <w:szCs w:val="16"/>
                <w:color w:val="auto"/>
              </w:rPr>
              <w:t>13,382</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60.7%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60" w:hanging="328"/>
        <w:spacing w:after="0" w:line="257" w:lineRule="auto"/>
        <w:tabs>
          <w:tab w:leader="none" w:pos="660" w:val="left"/>
        </w:tabs>
        <w:numPr>
          <w:ilvl w:val="0"/>
          <w:numId w:val="6"/>
        </w:numPr>
        <w:rPr>
          <w:rFonts w:ascii="Arial" w:cs="Arial" w:eastAsia="Arial" w:hAnsi="Arial"/>
          <w:sz w:val="20"/>
          <w:szCs w:val="20"/>
          <w:color w:val="auto"/>
        </w:rPr>
      </w:pPr>
      <w:r>
        <w:rPr>
          <w:rFonts w:ascii="Arial" w:cs="Arial" w:eastAsia="Arial" w:hAnsi="Arial"/>
          <w:sz w:val="20"/>
          <w:szCs w:val="20"/>
          <w:color w:val="auto"/>
        </w:rPr>
        <w:t>The Company continues to prioritize operational excellence by improving frontline retention, leveraging technology and automation to optimize the cost structure, and shedding low-margin volumes in the residential collection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7"/>
        </w:trPr>
        <w:tc>
          <w:tcPr>
            <w:tcW w:w="2340" w:type="dxa"/>
            <w:vAlign w:val="bottom"/>
          </w:tcPr>
          <w:p>
            <w:pPr>
              <w:spacing w:after="0"/>
              <w:rPr>
                <w:sz w:val="20"/>
                <w:szCs w:val="20"/>
                <w:color w:val="auto"/>
              </w:rPr>
            </w:pPr>
            <w:r>
              <w:rPr>
                <w:rFonts w:ascii="Arial" w:cs="Arial" w:eastAsia="Arial" w:hAnsi="Arial"/>
                <w:sz w:val="18"/>
                <w:szCs w:val="18"/>
                <w:b w:val="1"/>
                <w:bCs w:val="1"/>
                <w:color w:val="auto"/>
              </w:rPr>
              <w:t>SG&amp;A Expenses</w:t>
            </w: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8"/>
          </w:tcPr>
          <w:p>
            <w:pPr>
              <w:spacing w:after="0"/>
              <w:rPr>
                <w:sz w:val="20"/>
                <w:szCs w:val="20"/>
                <w:color w:val="auto"/>
              </w:rPr>
            </w:pPr>
            <w:r>
              <w:rPr>
                <w:rFonts w:ascii="Arial" w:cs="Arial" w:eastAsia="Arial" w:hAnsi="Arial"/>
                <w:sz w:val="16"/>
                <w:szCs w:val="16"/>
                <w:color w:val="auto"/>
              </w:rPr>
              <w:t>Fourth Quarter 2024</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8"/>
          </w:tcPr>
          <w:p>
            <w:pPr>
              <w:jc w:val="center"/>
              <w:ind w:right="140"/>
              <w:spacing w:after="0"/>
              <w:rPr>
                <w:sz w:val="20"/>
                <w:szCs w:val="20"/>
                <w:color w:val="auto"/>
              </w:rPr>
            </w:pPr>
            <w:r>
              <w:rPr>
                <w:rFonts w:ascii="Arial" w:cs="Arial" w:eastAsia="Arial" w:hAnsi="Arial"/>
                <w:sz w:val="16"/>
                <w:szCs w:val="16"/>
                <w:color w:val="auto"/>
                <w:w w:val="99"/>
              </w:rPr>
              <w:t>Full Year 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2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4"/>
          </w:tcPr>
          <w:p>
            <w:pPr>
              <w:spacing w:after="0" w:line="155"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 in millions)</w:t>
            </w:r>
          </w:p>
        </w:tc>
        <w:tc>
          <w:tcPr>
            <w:tcW w:w="300" w:type="dxa"/>
            <w:vAlign w:val="bottom"/>
            <w:tcBorders>
              <w:top w:val="single" w:sz="8" w:color="auto"/>
            </w:tcBorders>
            <w:gridSpan w:val="2"/>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6"/>
          </w:tcPr>
          <w:p>
            <w:pPr>
              <w:jc w:val="center"/>
              <w:ind w:right="80"/>
              <w:spacing w:after="0" w:line="155"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 in millions)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gridSpan w:val="9"/>
          </w:tcPr>
          <w:p>
            <w:pPr>
              <w:jc w:val="center"/>
              <w:ind w:right="620"/>
              <w:spacing w:after="0"/>
              <w:rPr>
                <w:sz w:val="20"/>
                <w:szCs w:val="20"/>
                <w:color w:val="auto"/>
              </w:rPr>
            </w:pPr>
            <w:r>
              <w:rPr>
                <w:rFonts w:ascii="Arial" w:cs="Arial" w:eastAsia="Arial" w:hAnsi="Arial"/>
                <w:sz w:val="16"/>
                <w:szCs w:val="16"/>
                <w:color w:val="auto"/>
                <w:w w:val="99"/>
              </w:rPr>
              <w:t>Total Company</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8"/>
            <w:vMerge w:val="restart"/>
          </w:tcPr>
          <w:p>
            <w:pPr>
              <w:spacing w:after="0"/>
              <w:rPr>
                <w:sz w:val="20"/>
                <w:szCs w:val="20"/>
                <w:color w:val="auto"/>
              </w:rPr>
            </w:pPr>
            <w:r>
              <w:rPr>
                <w:rFonts w:ascii="Arial" w:cs="Arial" w:eastAsia="Arial" w:hAnsi="Arial"/>
                <w:sz w:val="16"/>
                <w:szCs w:val="16"/>
                <w:color w:val="auto"/>
              </w:rPr>
              <w:t>As Adjusted</w:t>
            </w:r>
            <w:r>
              <w:rPr>
                <w:rFonts w:ascii="Arial" w:cs="Arial" w:eastAsia="Arial" w:hAnsi="Arial"/>
                <w:sz w:val="32"/>
                <w:szCs w:val="32"/>
                <w:color w:val="auto"/>
                <w:vertAlign w:val="superscript"/>
              </w:rPr>
              <w:t>(a)</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11"/>
          </w:tcPr>
          <w:p>
            <w:pPr>
              <w:jc w:val="center"/>
              <w:ind w:right="900"/>
              <w:spacing w:after="0"/>
              <w:rPr>
                <w:sz w:val="20"/>
                <w:szCs w:val="20"/>
                <w:color w:val="auto"/>
              </w:rPr>
            </w:pPr>
            <w:r>
              <w:rPr>
                <w:rFonts w:ascii="Arial" w:cs="Arial" w:eastAsia="Arial" w:hAnsi="Arial"/>
                <w:sz w:val="16"/>
                <w:szCs w:val="16"/>
                <w:color w:val="auto"/>
                <w:w w:val="99"/>
              </w:rPr>
              <w:t>Total Company</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gridSpan w:val="4"/>
            <w:vMerge w:val="restart"/>
          </w:tcPr>
          <w:p>
            <w:pPr>
              <w:jc w:val="right"/>
              <w:ind w:right="379"/>
              <w:spacing w:after="0"/>
              <w:rPr>
                <w:sz w:val="20"/>
                <w:szCs w:val="20"/>
                <w:color w:val="auto"/>
              </w:rPr>
            </w:pPr>
            <w:r>
              <w:rPr>
                <w:rFonts w:ascii="Arial" w:cs="Arial" w:eastAsia="Arial" w:hAnsi="Arial"/>
                <w:sz w:val="16"/>
                <w:szCs w:val="16"/>
                <w:color w:val="auto"/>
                <w:w w:val="95"/>
              </w:rPr>
              <w:t>As Adjusted</w:t>
            </w:r>
            <w:r>
              <w:rPr>
                <w:rFonts w:ascii="Arial" w:cs="Arial" w:eastAsia="Arial" w:hAnsi="Arial"/>
                <w:sz w:val="32"/>
                <w:szCs w:val="32"/>
                <w:color w:val="auto"/>
                <w:w w:val="95"/>
                <w:vertAlign w:val="superscript"/>
              </w:rPr>
              <w:t>(a)</w:t>
            </w:r>
          </w:p>
        </w:tc>
        <w:tc>
          <w:tcPr>
            <w:tcW w:w="0" w:type="dxa"/>
            <w:vAlign w:val="bottom"/>
          </w:tcPr>
          <w:p>
            <w:pPr>
              <w:spacing w:after="0"/>
              <w:rPr>
                <w:sz w:val="1"/>
                <w:szCs w:val="1"/>
                <w:color w:val="auto"/>
              </w:rPr>
            </w:pPr>
          </w:p>
        </w:tc>
      </w:tr>
      <w:tr>
        <w:trPr>
          <w:trHeight w:val="169"/>
        </w:trPr>
        <w:tc>
          <w:tcPr>
            <w:tcW w:w="2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gridSpan w:val="3"/>
          </w:tcPr>
          <w:p>
            <w:pPr>
              <w:jc w:val="center"/>
              <w:ind w:right="180"/>
              <w:spacing w:after="0" w:line="169" w:lineRule="exact"/>
              <w:rPr>
                <w:sz w:val="20"/>
                <w:szCs w:val="20"/>
                <w:color w:val="auto"/>
              </w:rPr>
            </w:pPr>
            <w:r>
              <w:rPr>
                <w:rFonts w:ascii="Arial" w:cs="Arial" w:eastAsia="Arial" w:hAnsi="Arial"/>
                <w:sz w:val="16"/>
                <w:szCs w:val="16"/>
                <w:color w:val="auto"/>
                <w:w w:val="99"/>
              </w:rPr>
              <w:t>Breakout</w:t>
            </w:r>
          </w:p>
        </w:tc>
        <w:tc>
          <w:tcPr>
            <w:tcW w:w="6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8"/>
            <w:vMerge w:val="continue"/>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gridSpan w:val="6"/>
          </w:tcPr>
          <w:p>
            <w:pPr>
              <w:jc w:val="center"/>
              <w:ind w:right="119"/>
              <w:spacing w:after="0" w:line="169" w:lineRule="exact"/>
              <w:rPr>
                <w:sz w:val="20"/>
                <w:szCs w:val="20"/>
                <w:color w:val="auto"/>
              </w:rPr>
            </w:pPr>
            <w:r>
              <w:rPr>
                <w:rFonts w:ascii="Arial" w:cs="Arial" w:eastAsia="Arial" w:hAnsi="Arial"/>
                <w:sz w:val="16"/>
                <w:szCs w:val="16"/>
                <w:color w:val="auto"/>
              </w:rPr>
              <w:t>Breakout</w:t>
            </w:r>
          </w:p>
        </w:tc>
        <w:tc>
          <w:tcPr>
            <w:tcW w:w="460" w:type="dxa"/>
            <w:vAlign w:val="bottom"/>
          </w:tcPr>
          <w:p>
            <w:pPr>
              <w:spacing w:after="0"/>
              <w:rPr>
                <w:sz w:val="14"/>
                <w:szCs w:val="14"/>
                <w:color w:val="auto"/>
              </w:rPr>
            </w:pPr>
          </w:p>
        </w:tc>
        <w:tc>
          <w:tcPr>
            <w:tcW w:w="440" w:type="dxa"/>
            <w:vAlign w:val="bottom"/>
            <w:gridSpan w:val="3"/>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2340" w:type="dxa"/>
            <w:vAlign w:val="bottom"/>
            <w:vMerge w:val="restart"/>
          </w:tcPr>
          <w:p>
            <w:pPr>
              <w:spacing w:after="0"/>
              <w:rPr>
                <w:sz w:val="20"/>
                <w:szCs w:val="20"/>
                <w:color w:val="auto"/>
              </w:rPr>
            </w:pPr>
            <w:r>
              <w:rPr>
                <w:rFonts w:ascii="Arial" w:cs="Arial" w:eastAsia="Arial" w:hAnsi="Arial"/>
                <w:sz w:val="16"/>
                <w:szCs w:val="16"/>
                <w:color w:val="auto"/>
              </w:rPr>
              <w:t>WM Legacy Business</w:t>
            </w:r>
            <w:r>
              <w:rPr>
                <w:rFonts w:ascii="Arial" w:cs="Arial" w:eastAsia="Arial" w:hAnsi="Arial"/>
                <w:sz w:val="26"/>
                <w:szCs w:val="26"/>
                <w:color w:val="auto"/>
                <w:vertAlign w:val="superscript"/>
              </w:rPr>
              <w:t>(f)</w:t>
            </w:r>
          </w:p>
        </w:tc>
        <w:tc>
          <w:tcPr>
            <w:tcW w:w="660" w:type="dxa"/>
            <w:vAlign w:val="bottom"/>
          </w:tcPr>
          <w:p>
            <w:pPr>
              <w:spacing w:after="0"/>
              <w:rPr>
                <w:sz w:val="24"/>
                <w:szCs w:val="24"/>
                <w:color w:val="auto"/>
              </w:rPr>
            </w:pPr>
          </w:p>
        </w:tc>
        <w:tc>
          <w:tcPr>
            <w:tcW w:w="500" w:type="dxa"/>
            <w:vAlign w:val="bottom"/>
            <w:gridSpan w:val="4"/>
          </w:tcPr>
          <w:p>
            <w:pPr>
              <w:jc w:val="right"/>
              <w:spacing w:after="0"/>
              <w:rPr>
                <w:sz w:val="20"/>
                <w:szCs w:val="20"/>
                <w:color w:val="auto"/>
              </w:rPr>
            </w:pPr>
            <w:r>
              <w:rPr>
                <w:rFonts w:ascii="Arial" w:cs="Arial" w:eastAsia="Arial" w:hAnsi="Arial"/>
                <w:sz w:val="16"/>
                <w:szCs w:val="16"/>
                <w:color w:val="auto"/>
                <w:w w:val="86"/>
              </w:rPr>
              <w:t>Amount</w:t>
            </w:r>
          </w:p>
        </w:tc>
        <w:tc>
          <w:tcPr>
            <w:tcW w:w="600" w:type="dxa"/>
            <w:vAlign w:val="bottom"/>
            <w:gridSpan w:val="2"/>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6"/>
                <w:szCs w:val="16"/>
                <w:color w:val="auto"/>
                <w:w w:val="98"/>
              </w:rPr>
              <w:t>Margin</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gridSpan w:val="7"/>
          </w:tcPr>
          <w:p>
            <w:pPr>
              <w:spacing w:after="0"/>
              <w:rPr>
                <w:sz w:val="20"/>
                <w:szCs w:val="20"/>
                <w:color w:val="auto"/>
              </w:rPr>
            </w:pPr>
            <w:r>
              <w:rPr>
                <w:rFonts w:ascii="Arial" w:cs="Arial" w:eastAsia="Arial" w:hAnsi="Arial"/>
                <w:sz w:val="16"/>
                <w:szCs w:val="16"/>
                <w:color w:val="auto"/>
              </w:rPr>
              <w:t>Amount</w:t>
            </w:r>
          </w:p>
        </w:tc>
        <w:tc>
          <w:tcPr>
            <w:tcW w:w="740" w:type="dxa"/>
            <w:vAlign w:val="bottom"/>
            <w:gridSpan w:val="2"/>
          </w:tcPr>
          <w:p>
            <w:pPr>
              <w:spacing w:after="0"/>
              <w:rPr>
                <w:sz w:val="20"/>
                <w:szCs w:val="20"/>
                <w:color w:val="auto"/>
              </w:rPr>
            </w:pPr>
            <w:r>
              <w:rPr>
                <w:rFonts w:ascii="Arial" w:cs="Arial" w:eastAsia="Arial" w:hAnsi="Arial"/>
                <w:sz w:val="16"/>
                <w:szCs w:val="16"/>
                <w:color w:val="auto"/>
              </w:rPr>
              <w:t>Margin</w:t>
            </w:r>
          </w:p>
        </w:tc>
        <w:tc>
          <w:tcPr>
            <w:tcW w:w="280" w:type="dxa"/>
            <w:vAlign w:val="bottom"/>
          </w:tcPr>
          <w:p>
            <w:pPr>
              <w:spacing w:after="0"/>
              <w:rPr>
                <w:sz w:val="24"/>
                <w:szCs w:val="24"/>
                <w:color w:val="auto"/>
              </w:rPr>
            </w:pPr>
          </w:p>
        </w:tc>
        <w:tc>
          <w:tcPr>
            <w:tcW w:w="940" w:type="dxa"/>
            <w:vAlign w:val="bottom"/>
            <w:gridSpan w:val="5"/>
          </w:tcPr>
          <w:p>
            <w:pPr>
              <w:ind w:left="20"/>
              <w:spacing w:after="0"/>
              <w:rPr>
                <w:sz w:val="20"/>
                <w:szCs w:val="20"/>
                <w:color w:val="auto"/>
              </w:rPr>
            </w:pPr>
            <w:r>
              <w:rPr>
                <w:rFonts w:ascii="Arial" w:cs="Arial" w:eastAsia="Arial" w:hAnsi="Arial"/>
                <w:sz w:val="16"/>
                <w:szCs w:val="16"/>
                <w:color w:val="auto"/>
              </w:rPr>
              <w:t>Amount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5"/>
          </w:tcPr>
          <w:p>
            <w:pPr>
              <w:jc w:val="center"/>
              <w:ind w:right="440"/>
              <w:spacing w:after="0"/>
              <w:rPr>
                <w:sz w:val="20"/>
                <w:szCs w:val="20"/>
                <w:color w:val="auto"/>
              </w:rPr>
            </w:pPr>
            <w:r>
              <w:rPr>
                <w:rFonts w:ascii="Arial" w:cs="Arial" w:eastAsia="Arial" w:hAnsi="Arial"/>
                <w:sz w:val="16"/>
                <w:szCs w:val="16"/>
                <w:color w:val="auto"/>
                <w:w w:val="98"/>
              </w:rPr>
              <w:t>Margin</w:t>
            </w:r>
          </w:p>
        </w:tc>
        <w:tc>
          <w:tcPr>
            <w:tcW w:w="1120" w:type="dxa"/>
            <w:vAlign w:val="bottom"/>
            <w:gridSpan w:val="4"/>
          </w:tcPr>
          <w:p>
            <w:pPr>
              <w:ind w:left="120"/>
              <w:spacing w:after="0"/>
              <w:rPr>
                <w:sz w:val="20"/>
                <w:szCs w:val="20"/>
                <w:color w:val="auto"/>
              </w:rPr>
            </w:pPr>
            <w:r>
              <w:rPr>
                <w:rFonts w:ascii="Arial" w:cs="Arial" w:eastAsia="Arial" w:hAnsi="Arial"/>
                <w:sz w:val="16"/>
                <w:szCs w:val="16"/>
                <w:color w:val="auto"/>
              </w:rPr>
              <w:t>Amount</w:t>
            </w:r>
          </w:p>
        </w:tc>
        <w:tc>
          <w:tcPr>
            <w:tcW w:w="1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Margin</w:t>
            </w:r>
          </w:p>
        </w:tc>
        <w:tc>
          <w:tcPr>
            <w:tcW w:w="0" w:type="dxa"/>
            <w:vAlign w:val="bottom"/>
          </w:tcPr>
          <w:p>
            <w:pPr>
              <w:spacing w:after="0"/>
              <w:rPr>
                <w:sz w:val="1"/>
                <w:szCs w:val="1"/>
                <w:color w:val="auto"/>
              </w:rPr>
            </w:pPr>
          </w:p>
        </w:tc>
      </w:tr>
      <w:tr>
        <w:trPr>
          <w:trHeight w:val="20"/>
        </w:trPr>
        <w:tc>
          <w:tcPr>
            <w:tcW w:w="2340" w:type="dxa"/>
            <w:vAlign w:val="bottom"/>
            <w:vMerge w:val="continue"/>
          </w:tcPr>
          <w:p>
            <w:pPr>
              <w:spacing w:after="0" w:line="20" w:lineRule="exact"/>
              <w:rPr>
                <w:sz w:val="1"/>
                <w:szCs w:val="1"/>
                <w:color w:val="auto"/>
              </w:rPr>
            </w:pPr>
          </w:p>
        </w:tc>
        <w:tc>
          <w:tcPr>
            <w:tcW w:w="660" w:type="dxa"/>
            <w:vAlign w:val="bottom"/>
            <w:tcBorders>
              <w:right w:val="single" w:sz="8" w:color="auto"/>
            </w:tcBorders>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4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500" w:type="dxa"/>
            <w:vAlign w:val="bottom"/>
            <w:gridSpan w:val="4"/>
          </w:tcPr>
          <w:p>
            <w:pPr>
              <w:jc w:val="right"/>
              <w:spacing w:after="0"/>
              <w:rPr>
                <w:sz w:val="20"/>
                <w:szCs w:val="20"/>
                <w:color w:val="auto"/>
              </w:rPr>
            </w:pPr>
            <w:r>
              <w:rPr>
                <w:rFonts w:ascii="Arial" w:cs="Arial" w:eastAsia="Arial" w:hAnsi="Arial"/>
                <w:sz w:val="16"/>
                <w:szCs w:val="16"/>
                <w:color w:val="auto"/>
              </w:rPr>
              <w:t>592</w:t>
            </w: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10.8%</w:t>
            </w:r>
          </w:p>
        </w:tc>
        <w:tc>
          <w:tcPr>
            <w:tcW w:w="500" w:type="dxa"/>
            <w:vAlign w:val="bottom"/>
            <w:gridSpan w:val="2"/>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6"/>
                <w:szCs w:val="16"/>
                <w:color w:val="auto"/>
              </w:rPr>
              <w:t>536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9.8%</w:t>
            </w: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360"/>
              <w:spacing w:after="0"/>
              <w:rPr>
                <w:sz w:val="20"/>
                <w:szCs w:val="20"/>
                <w:color w:val="auto"/>
              </w:rPr>
            </w:pPr>
            <w:r>
              <w:rPr>
                <w:rFonts w:ascii="Arial" w:cs="Arial" w:eastAsia="Arial" w:hAnsi="Arial"/>
                <w:sz w:val="16"/>
                <w:szCs w:val="16"/>
                <w:color w:val="auto"/>
              </w:rPr>
              <w:t>2,109</w:t>
            </w:r>
          </w:p>
        </w:tc>
        <w:tc>
          <w:tcPr>
            <w:tcW w:w="940" w:type="dxa"/>
            <w:vAlign w:val="bottom"/>
            <w:gridSpan w:val="6"/>
          </w:tcPr>
          <w:p>
            <w:pPr>
              <w:jc w:val="right"/>
              <w:ind w:right="20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6"/>
                <w:szCs w:val="16"/>
                <w:color w:val="auto"/>
              </w:rPr>
              <w:t>$  2,020</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0"/>
        </w:trPr>
        <w:tc>
          <w:tcPr>
            <w:tcW w:w="2340" w:type="dxa"/>
            <w:vAlign w:val="bottom"/>
          </w:tcPr>
          <w:p>
            <w:pPr>
              <w:spacing w:after="0"/>
              <w:rPr>
                <w:sz w:val="20"/>
                <w:szCs w:val="20"/>
                <w:color w:val="auto"/>
              </w:rPr>
            </w:pPr>
            <w:r>
              <w:rPr>
                <w:rFonts w:ascii="Arial" w:cs="Arial" w:eastAsia="Arial" w:hAnsi="Arial"/>
                <w:sz w:val="16"/>
                <w:szCs w:val="16"/>
                <w:color w:val="auto"/>
              </w:rPr>
              <w:t>WM Healthcare Solutions</w:t>
            </w:r>
          </w:p>
        </w:tc>
        <w:tc>
          <w:tcPr>
            <w:tcW w:w="6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97"/>
              </w:rPr>
              <w:t>155</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gridSpan w:val="3"/>
          </w:tcPr>
          <w:p>
            <w:pPr>
              <w:jc w:val="right"/>
              <w:ind w:right="180"/>
              <w:spacing w:after="0"/>
              <w:rPr>
                <w:sz w:val="20"/>
                <w:szCs w:val="20"/>
                <w:color w:val="auto"/>
              </w:rPr>
            </w:pPr>
            <w:r>
              <w:rPr>
                <w:rFonts w:ascii="Arial" w:cs="Arial" w:eastAsia="Arial" w:hAnsi="Arial"/>
                <w:sz w:val="16"/>
                <w:szCs w:val="16"/>
                <w:color w:val="auto"/>
              </w:rPr>
              <w:t>38.5%</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89"/>
              </w:rPr>
              <w:t>98</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24.3%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3"/>
          </w:tcPr>
          <w:p>
            <w:pPr>
              <w:jc w:val="right"/>
              <w:ind w:right="360"/>
              <w:spacing w:after="0"/>
              <w:rPr>
                <w:sz w:val="20"/>
                <w:szCs w:val="20"/>
                <w:color w:val="auto"/>
              </w:rPr>
            </w:pPr>
            <w:r>
              <w:rPr>
                <w:rFonts w:ascii="Arial" w:cs="Arial" w:eastAsia="Arial" w:hAnsi="Arial"/>
                <w:sz w:val="16"/>
                <w:szCs w:val="16"/>
                <w:color w:val="auto"/>
              </w:rPr>
              <w:t>155</w:t>
            </w:r>
          </w:p>
        </w:tc>
        <w:tc>
          <w:tcPr>
            <w:tcW w:w="940" w:type="dxa"/>
            <w:vAlign w:val="bottom"/>
            <w:gridSpan w:val="6"/>
          </w:tcPr>
          <w:p>
            <w:pPr>
              <w:jc w:val="right"/>
              <w:ind w:right="200"/>
              <w:spacing w:after="0"/>
              <w:rPr>
                <w:sz w:val="20"/>
                <w:szCs w:val="20"/>
                <w:color w:val="auto"/>
              </w:rPr>
            </w:pPr>
            <w:r>
              <w:rPr>
                <w:rFonts w:ascii="Arial" w:cs="Arial" w:eastAsia="Arial" w:hAnsi="Arial"/>
                <w:sz w:val="16"/>
                <w:szCs w:val="16"/>
                <w:color w:val="auto"/>
              </w:rPr>
              <w:t>38.5%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6"/>
                <w:szCs w:val="16"/>
                <w:color w:val="auto"/>
              </w:rPr>
              <w:t>98</w:t>
            </w: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2340" w:type="dxa"/>
            <w:vAlign w:val="bottom"/>
            <w:vMerge w:val="restart"/>
          </w:tcPr>
          <w:p>
            <w:pPr>
              <w:ind w:left="320"/>
              <w:spacing w:after="0"/>
              <w:rPr>
                <w:sz w:val="20"/>
                <w:szCs w:val="20"/>
                <w:color w:val="auto"/>
              </w:rPr>
            </w:pPr>
            <w:r>
              <w:rPr>
                <w:rFonts w:ascii="Arial" w:cs="Arial" w:eastAsia="Arial" w:hAnsi="Arial"/>
                <w:sz w:val="16"/>
                <w:szCs w:val="16"/>
                <w:color w:val="auto"/>
              </w:rPr>
              <w:t>Total Company</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vMerge w:val="restart"/>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gridSpan w:val="3"/>
            <w:vMerge w:val="restart"/>
          </w:tcPr>
          <w:p>
            <w:pPr>
              <w:jc w:val="right"/>
              <w:ind w:right="180"/>
              <w:spacing w:after="0"/>
              <w:rPr>
                <w:sz w:val="20"/>
                <w:szCs w:val="20"/>
                <w:color w:val="auto"/>
              </w:rPr>
            </w:pPr>
            <w:r>
              <w:rPr>
                <w:rFonts w:ascii="Arial" w:cs="Arial" w:eastAsia="Arial" w:hAnsi="Arial"/>
                <w:sz w:val="16"/>
                <w:szCs w:val="16"/>
                <w:color w:val="auto"/>
              </w:rPr>
              <w:t>12.7%</w:t>
            </w:r>
          </w:p>
        </w:tc>
        <w:tc>
          <w:tcPr>
            <w:tcW w:w="500" w:type="dxa"/>
            <w:vAlign w:val="bottom"/>
            <w:gridSpan w:val="2"/>
            <w:vMerge w:val="restart"/>
          </w:tcPr>
          <w:p>
            <w:pPr>
              <w:ind w:left="3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10.8%</w:t>
            </w:r>
          </w:p>
        </w:tc>
        <w:tc>
          <w:tcPr>
            <w:tcW w:w="28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gridSpan w:val="6"/>
            <w:vMerge w:val="restart"/>
          </w:tcPr>
          <w:p>
            <w:pPr>
              <w:jc w:val="right"/>
              <w:ind w:right="200"/>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3"/>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line="20" w:lineRule="exact"/>
              <w:rPr>
                <w:sz w:val="1"/>
                <w:szCs w:val="1"/>
                <w:color w:val="auto"/>
              </w:rPr>
            </w:pPr>
          </w:p>
        </w:tc>
      </w:tr>
      <w:tr>
        <w:trPr>
          <w:trHeight w:val="208"/>
        </w:trPr>
        <w:tc>
          <w:tcPr>
            <w:tcW w:w="234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w w:val="97"/>
              </w:rPr>
              <w:t>747</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3"/>
            <w:vMerge w:val="continue"/>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634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4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ind w:right="360"/>
              <w:spacing w:after="0"/>
              <w:rPr>
                <w:sz w:val="20"/>
                <w:szCs w:val="20"/>
                <w:color w:val="auto"/>
              </w:rPr>
            </w:pPr>
            <w:r>
              <w:rPr>
                <w:rFonts w:ascii="Arial" w:cs="Arial" w:eastAsia="Arial" w:hAnsi="Arial"/>
                <w:sz w:val="16"/>
                <w:szCs w:val="16"/>
                <w:color w:val="auto"/>
              </w:rPr>
              <w:t>2,264</w:t>
            </w:r>
          </w:p>
        </w:tc>
        <w:tc>
          <w:tcPr>
            <w:tcW w:w="94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4"/>
          </w:tcPr>
          <w:p>
            <w:pPr>
              <w:jc w:val="right"/>
              <w:ind w:right="440"/>
              <w:spacing w:after="0"/>
              <w:rPr>
                <w:sz w:val="20"/>
                <w:szCs w:val="20"/>
                <w:color w:val="auto"/>
              </w:rPr>
            </w:pPr>
            <w:r>
              <w:rPr>
                <w:rFonts w:ascii="Arial" w:cs="Arial" w:eastAsia="Arial" w:hAnsi="Arial"/>
                <w:sz w:val="16"/>
                <w:szCs w:val="16"/>
                <w:color w:val="auto"/>
              </w:rPr>
              <w:t>$ 2,118</w:t>
            </w:r>
          </w:p>
        </w:tc>
        <w:tc>
          <w:tcPr>
            <w:tcW w:w="6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612140</wp:posOffset>
            </wp:positionV>
            <wp:extent cx="497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720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-427355</wp:posOffset>
            </wp:positionV>
            <wp:extent cx="285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-427355</wp:posOffset>
            </wp:positionV>
            <wp:extent cx="285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-427355</wp:posOffset>
            </wp:positionV>
            <wp:extent cx="2857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2" w:lineRule="exact"/>
        <w:rPr>
          <w:sz w:val="20"/>
          <w:szCs w:val="20"/>
          <w:color w:val="auto"/>
        </w:rPr>
      </w:pPr>
    </w:p>
    <w:p>
      <w:pPr>
        <w:ind w:left="660" w:hanging="328"/>
        <w:spacing w:after="0" w:line="281"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SG&amp;A as a percentage of revenue for the WM Legacy Business was a company-best performance, demonstrating the continued focus on cost discipline and optimization.</w:t>
      </w:r>
      <w:r>
        <w:rPr>
          <w:rFonts w:ascii="Arial" w:cs="Arial" w:eastAsia="Arial" w:hAnsi="Arial"/>
          <w:sz w:val="32"/>
          <w:szCs w:val="32"/>
          <w:color w:val="auto"/>
          <w:vertAlign w:val="superscript"/>
        </w:rPr>
        <w:t>(a)</w:t>
      </w:r>
    </w:p>
    <w:p>
      <w:pPr>
        <w:spacing w:after="0" w:line="339" w:lineRule="exact"/>
        <w:rPr>
          <w:rFonts w:ascii="Arial" w:cs="Arial" w:eastAsia="Arial" w:hAnsi="Arial"/>
          <w:sz w:val="20"/>
          <w:szCs w:val="20"/>
          <w:color w:val="auto"/>
        </w:rPr>
      </w:pPr>
    </w:p>
    <w:p>
      <w:pPr>
        <w:jc w:val="both"/>
        <w:ind w:left="660" w:hanging="328"/>
        <w:spacing w:after="0" w:line="250"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During 2024, the Company continued to progress its investments in sustainability growth projects, completing five renewable natural gas facilities and 12 recycling automation and growth projects, bringing total renewable natural gas projects completed to seven out of 20 planned facilities and total recycling automation and new market projects completed to 25 out of 39 planned.</w:t>
      </w:r>
      <w:r>
        <w:rPr>
          <w:rFonts w:ascii="Arial" w:cs="Arial" w:eastAsia="Arial" w:hAnsi="Arial"/>
          <w:sz w:val="32"/>
          <w:szCs w:val="32"/>
          <w:color w:val="auto"/>
          <w:vertAlign w:val="superscript"/>
        </w:rPr>
        <w:t>(e)</w:t>
      </w:r>
    </w:p>
    <w:p>
      <w:pPr>
        <w:spacing w:after="0" w:line="18" w:lineRule="exact"/>
        <w:rPr>
          <w:rFonts w:ascii="Arial" w:cs="Arial" w:eastAsia="Arial" w:hAnsi="Arial"/>
          <w:sz w:val="20"/>
          <w:szCs w:val="20"/>
          <w:color w:val="auto"/>
        </w:rPr>
      </w:pPr>
    </w:p>
    <w:p>
      <w:pPr>
        <w:ind w:left="660" w:hanging="328"/>
        <w:spacing w:after="0" w:line="276" w:lineRule="auto"/>
        <w:tabs>
          <w:tab w:leader="none" w:pos="660" w:val="left"/>
        </w:tabs>
        <w:numPr>
          <w:ilvl w:val="0"/>
          <w:numId w:val="7"/>
        </w:numPr>
        <w:rPr>
          <w:rFonts w:ascii="Arial" w:cs="Arial" w:eastAsia="Arial" w:hAnsi="Arial"/>
          <w:sz w:val="20"/>
          <w:szCs w:val="20"/>
          <w:color w:val="auto"/>
        </w:rPr>
      </w:pPr>
      <w:r>
        <w:rPr>
          <w:rFonts w:ascii="Arial" w:cs="Arial" w:eastAsia="Arial" w:hAnsi="Arial"/>
          <w:sz w:val="20"/>
          <w:szCs w:val="20"/>
          <w:color w:val="auto"/>
        </w:rPr>
        <w:t>The Company generated $5.39 billion of net cash provided by operating activities in 2024, an increase of 14.2% from the prior year. This strong operating cash flow growth resulted in free cash flow increasing 21.8% to $2.32 billion.</w:t>
      </w:r>
      <w:r>
        <w:rPr>
          <w:rFonts w:ascii="Arial" w:cs="Arial" w:eastAsia="Arial" w:hAnsi="Arial"/>
          <w:sz w:val="32"/>
          <w:szCs w:val="32"/>
          <w:color w:val="auto"/>
          <w:vertAlign w:val="superscript"/>
        </w:rPr>
        <w:t>(a)</w:t>
      </w:r>
    </w:p>
    <w:p>
      <w:pPr>
        <w:jc w:val="both"/>
        <w:ind w:left="660" w:hanging="328"/>
        <w:spacing w:after="0" w:line="284" w:lineRule="auto"/>
        <w:tabs>
          <w:tab w:leader="none" w:pos="660" w:val="left"/>
        </w:tabs>
        <w:numPr>
          <w:ilvl w:val="0"/>
          <w:numId w:val="7"/>
        </w:numPr>
        <w:rPr>
          <w:rFonts w:ascii="Arial" w:cs="Arial" w:eastAsia="Arial" w:hAnsi="Arial"/>
          <w:sz w:val="19"/>
          <w:szCs w:val="19"/>
          <w:color w:val="auto"/>
        </w:rPr>
      </w:pPr>
      <w:r>
        <w:rPr>
          <w:rFonts w:ascii="Arial" w:cs="Arial" w:eastAsia="Arial" w:hAnsi="Arial"/>
          <w:sz w:val="19"/>
          <w:szCs w:val="19"/>
          <w:color w:val="auto"/>
        </w:rPr>
        <w:t>In addition to the acquisition of Stericycle, the Company invested approximately $800 million in acquisitions in 2024, largely for solid waste businesses. These acquired businesses contributed about $150 million of revenue growth in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-1651000</wp:posOffset>
            </wp:positionV>
            <wp:extent cx="4972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FINANCIAL OUTLOOK</w:t>
      </w:r>
    </w:p>
    <w:p>
      <w:pPr>
        <w:spacing w:after="0" w:line="191" w:lineRule="exact"/>
        <w:rPr>
          <w:sz w:val="20"/>
          <w:szCs w:val="20"/>
          <w:color w:val="auto"/>
        </w:rPr>
      </w:pPr>
    </w:p>
    <w:p>
      <w:pPr>
        <w:spacing w:after="0" w:line="257" w:lineRule="auto"/>
        <w:rPr>
          <w:sz w:val="20"/>
          <w:szCs w:val="20"/>
          <w:color w:val="auto"/>
        </w:rPr>
      </w:pPr>
      <w:r>
        <w:rPr>
          <w:rFonts w:ascii="Arial" w:cs="Arial" w:eastAsia="Arial" w:hAnsi="Arial"/>
          <w:sz w:val="20"/>
          <w:szCs w:val="20"/>
          <w:color w:val="auto"/>
        </w:rPr>
        <w:t>WM’s 2025 outlook includes a significant step change in revenue and earnings driven by continued growth in the solid waste business, the addition of WM Healthcare Solutions, and increased contributions from sustainability growth investments.</w:t>
      </w:r>
    </w:p>
    <w:p>
      <w:pPr>
        <w:sectPr>
          <w:pgSz w:w="11900" w:h="16838" w:orient="portrait"/>
          <w:cols w:equalWidth="0" w:num="1">
            <w:col w:w="11240"/>
          </w:cols>
          <w:pgMar w:left="320" w:top="118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w:t>
      </w:r>
    </w:p>
    <w:p>
      <w:pPr>
        <w:spacing w:after="0" w:line="36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Adjusted operating EBITDA</w:t>
      </w:r>
      <w:r>
        <w:rPr>
          <w:rFonts w:ascii="Arial" w:cs="Arial" w:eastAsia="Arial" w:hAnsi="Arial"/>
          <w:sz w:val="32"/>
          <w:szCs w:val="32"/>
          <w:color w:val="auto"/>
          <w:vertAlign w:val="superscript"/>
        </w:rPr>
        <w:t>(a)</w:t>
      </w:r>
    </w:p>
    <w:p>
      <w:pPr>
        <w:spacing w:after="0" w:line="78" w:lineRule="exact"/>
        <w:rPr>
          <w:sz w:val="20"/>
          <w:szCs w:val="20"/>
          <w:color w:val="auto"/>
        </w:rPr>
      </w:pPr>
    </w:p>
    <w:p>
      <w:pPr>
        <w:ind w:left="3180"/>
        <w:spacing w:after="0"/>
        <w:rPr>
          <w:sz w:val="20"/>
          <w:szCs w:val="20"/>
          <w:color w:val="auto"/>
        </w:rPr>
      </w:pPr>
      <w:r>
        <w:rPr>
          <w:rFonts w:ascii="Arial" w:cs="Arial" w:eastAsia="Arial" w:hAnsi="Arial"/>
          <w:sz w:val="24"/>
          <w:szCs w:val="24"/>
          <w:color w:val="auto"/>
          <w:vertAlign w:val="superscript"/>
        </w:rPr>
        <w:t>(a)</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 to support the business</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Sustainability growth capital</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Free cash flow</w:t>
      </w:r>
      <w:r>
        <w:rPr>
          <w:rFonts w:ascii="Arial" w:cs="Arial" w:eastAsia="Arial" w:hAnsi="Arial"/>
          <w:sz w:val="32"/>
          <w:szCs w:val="32"/>
          <w:color w:val="auto"/>
          <w:vertAlign w:val="superscript"/>
        </w:rPr>
        <w:t>(a)</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80"/>
        <w:spacing w:after="0"/>
        <w:tabs>
          <w:tab w:leader="none" w:pos="2740" w:val="left"/>
        </w:tabs>
        <w:rPr>
          <w:sz w:val="20"/>
          <w:szCs w:val="20"/>
          <w:color w:val="auto"/>
        </w:rPr>
      </w:pPr>
      <w:r>
        <w:rPr>
          <w:rFonts w:ascii="Arial" w:cs="Arial" w:eastAsia="Arial" w:hAnsi="Arial"/>
          <w:sz w:val="16"/>
          <w:szCs w:val="16"/>
          <w:b w:val="1"/>
          <w:bCs w:val="1"/>
          <w:color w:val="auto"/>
        </w:rPr>
        <w:t>Projected</w:t>
      </w:r>
      <w:r>
        <w:rPr>
          <w:sz w:val="20"/>
          <w:szCs w:val="20"/>
          <w:color w:val="auto"/>
        </w:rPr>
        <w:tab/>
      </w:r>
      <w:r>
        <w:rPr>
          <w:rFonts w:ascii="Arial" w:cs="Arial" w:eastAsia="Arial" w:hAnsi="Arial"/>
          <w:sz w:val="16"/>
          <w:szCs w:val="16"/>
          <w:b w:val="1"/>
          <w:bCs w:val="1"/>
          <w:color w:val="auto"/>
        </w:rPr>
        <w:t>Projected Year-Over-Year Change at</w:t>
      </w:r>
    </w:p>
    <w:p>
      <w:pPr>
        <w:spacing w:after="0" w:line="21" w:lineRule="exact"/>
        <w:rPr>
          <w:sz w:val="20"/>
          <w:szCs w:val="20"/>
          <w:color w:val="auto"/>
        </w:rPr>
      </w:pPr>
    </w:p>
    <w:p>
      <w:pPr>
        <w:ind w:left="160"/>
        <w:spacing w:after="0"/>
        <w:tabs>
          <w:tab w:leader="none" w:pos="3780" w:val="left"/>
        </w:tabs>
        <w:rPr>
          <w:sz w:val="20"/>
          <w:szCs w:val="20"/>
          <w:color w:val="auto"/>
        </w:rPr>
      </w:pPr>
      <w:r>
        <w:rPr>
          <w:rFonts w:ascii="Arial" w:cs="Arial" w:eastAsia="Arial" w:hAnsi="Arial"/>
          <w:sz w:val="16"/>
          <w:szCs w:val="16"/>
          <w:b w:val="1"/>
          <w:bCs w:val="1"/>
          <w:color w:val="auto"/>
        </w:rPr>
        <w:t>Results</w:t>
      </w:r>
      <w:r>
        <w:rPr>
          <w:sz w:val="20"/>
          <w:szCs w:val="20"/>
          <w:color w:val="auto"/>
        </w:rPr>
        <w:tab/>
      </w:r>
      <w:r>
        <w:rPr>
          <w:rFonts w:ascii="Arial" w:cs="Arial" w:eastAsia="Arial" w:hAnsi="Arial"/>
          <w:sz w:val="16"/>
          <w:szCs w:val="16"/>
          <w:b w:val="1"/>
          <w:bCs w:val="1"/>
          <w:color w:val="auto"/>
        </w:rPr>
        <w:t>Midpoint</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millions)</w:t>
      </w:r>
    </w:p>
    <w:p>
      <w:pPr>
        <w:spacing w:after="0" w:line="165" w:lineRule="exact"/>
        <w:rPr>
          <w:sz w:val="20"/>
          <w:szCs w:val="20"/>
          <w:color w:val="auto"/>
        </w:rPr>
      </w:pPr>
    </w:p>
    <w:p>
      <w:pPr>
        <w:ind w:left="1460" w:right="300" w:hanging="1476"/>
        <w:spacing w:after="0" w:line="286" w:lineRule="auto"/>
        <w:tabs>
          <w:tab w:leader="none" w:pos="1440" w:val="left"/>
        </w:tabs>
        <w:rPr>
          <w:sz w:val="20"/>
          <w:szCs w:val="20"/>
          <w:color w:val="auto"/>
        </w:rPr>
      </w:pPr>
      <w:r>
        <w:rPr>
          <w:rFonts w:ascii="Arial" w:cs="Arial" w:eastAsia="Arial" w:hAnsi="Arial"/>
          <w:sz w:val="16"/>
          <w:szCs w:val="16"/>
          <w:color w:val="auto"/>
        </w:rPr>
        <w:t>$25,550 - $25,800</w:t>
        <w:tab/>
        <w:t>Growth of 16.4%, including 5.7% organic growth and 10.7% acquisition growth</w:t>
      </w:r>
    </w:p>
    <w:p>
      <w:pPr>
        <w:spacing w:after="0" w:line="115"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6"/>
          <w:szCs w:val="16"/>
          <w:color w:val="auto"/>
        </w:rPr>
        <w:t>$7,450 - $7,650</w:t>
        <w:tab/>
        <w:t>Growth of 15.0%</w:t>
      </w:r>
    </w:p>
    <w:p>
      <w:pPr>
        <w:spacing w:after="0" w:line="262" w:lineRule="exact"/>
        <w:rPr>
          <w:sz w:val="20"/>
          <w:szCs w:val="20"/>
          <w:color w:val="auto"/>
        </w:rPr>
      </w:pPr>
    </w:p>
    <w:p>
      <w:pPr>
        <w:ind w:left="1460" w:right="360" w:hanging="1134"/>
        <w:spacing w:after="0" w:line="286" w:lineRule="auto"/>
        <w:tabs>
          <w:tab w:leader="none" w:pos="1440" w:val="left"/>
        </w:tabs>
        <w:rPr>
          <w:sz w:val="20"/>
          <w:szCs w:val="20"/>
          <w:color w:val="auto"/>
        </w:rPr>
      </w:pPr>
      <w:r>
        <w:rPr>
          <w:rFonts w:ascii="Arial" w:cs="Arial" w:eastAsia="Arial" w:hAnsi="Arial"/>
          <w:sz w:val="16"/>
          <w:szCs w:val="16"/>
          <w:color w:val="auto"/>
        </w:rPr>
        <w:t>29.2%-29.7%</w:t>
        <w:tab/>
        <w:t>WM Legacy Business expected to achieve 30.7% and WM Healthcare Solutions expected to achieve 17.6%</w:t>
      </w:r>
    </w:p>
    <w:p>
      <w:pPr>
        <w:spacing w:after="0" w:line="115" w:lineRule="exact"/>
        <w:rPr>
          <w:sz w:val="20"/>
          <w:szCs w:val="20"/>
          <w:color w:val="auto"/>
        </w:rPr>
      </w:pPr>
    </w:p>
    <w:p>
      <w:pPr>
        <w:ind w:left="1460" w:right="260" w:hanging="1332"/>
        <w:spacing w:after="0" w:line="293" w:lineRule="auto"/>
        <w:tabs>
          <w:tab w:leader="none" w:pos="1440" w:val="left"/>
        </w:tabs>
        <w:rPr>
          <w:sz w:val="20"/>
          <w:szCs w:val="20"/>
          <w:color w:val="auto"/>
        </w:rPr>
      </w:pPr>
      <w:r>
        <w:rPr>
          <w:rFonts w:ascii="Arial" w:cs="Arial" w:eastAsia="Arial" w:hAnsi="Arial"/>
          <w:sz w:val="16"/>
          <w:szCs w:val="16"/>
          <w:color w:val="auto"/>
        </w:rPr>
        <w:t>$2,575 – $2,625</w:t>
        <w:tab/>
        <w:t>Includes a $140 million increase from WM Legacy Business and a $180 million increase from WM Healthcare Solutions</w:t>
      </w:r>
      <w:r>
        <w:rPr>
          <w:rFonts w:ascii="Arial" w:cs="Arial" w:eastAsia="Arial" w:hAnsi="Arial"/>
          <w:sz w:val="26"/>
          <w:szCs w:val="26"/>
          <w:color w:val="auto"/>
          <w:vertAlign w:val="superscript"/>
        </w:rPr>
        <w:t>(f)</w:t>
      </w:r>
    </w:p>
    <w:p>
      <w:pPr>
        <w:spacing w:after="0" w:line="4" w:lineRule="exact"/>
        <w:rPr>
          <w:sz w:val="20"/>
          <w:szCs w:val="20"/>
          <w:color w:val="auto"/>
        </w:rPr>
      </w:pPr>
    </w:p>
    <w:p>
      <w:pPr>
        <w:ind w:left="400"/>
        <w:spacing w:after="0"/>
        <w:tabs>
          <w:tab w:leader="none" w:pos="1440" w:val="left"/>
        </w:tabs>
        <w:rPr>
          <w:sz w:val="20"/>
          <w:szCs w:val="20"/>
          <w:color w:val="auto"/>
        </w:rPr>
      </w:pPr>
      <w:r>
        <w:rPr>
          <w:rFonts w:ascii="Arial" w:cs="Arial" w:eastAsia="Arial" w:hAnsi="Arial"/>
          <w:sz w:val="16"/>
          <w:szCs w:val="16"/>
          <w:color w:val="auto"/>
        </w:rPr>
        <w:t>$600 – $650</w:t>
        <w:tab/>
        <w:t>Reduction of $325 million</w:t>
      </w:r>
    </w:p>
    <w:p>
      <w:pPr>
        <w:spacing w:after="0" w:line="194" w:lineRule="exact"/>
        <w:rPr>
          <w:sz w:val="20"/>
          <w:szCs w:val="20"/>
          <w:color w:val="auto"/>
        </w:rPr>
      </w:pPr>
    </w:p>
    <w:p>
      <w:pPr>
        <w:ind w:left="160"/>
        <w:spacing w:after="0"/>
        <w:tabs>
          <w:tab w:leader="none" w:pos="1440" w:val="left"/>
        </w:tabs>
        <w:rPr>
          <w:sz w:val="20"/>
          <w:szCs w:val="20"/>
          <w:color w:val="auto"/>
        </w:rPr>
      </w:pPr>
      <w:r>
        <w:rPr>
          <w:rFonts w:ascii="Arial" w:cs="Arial" w:eastAsia="Arial" w:hAnsi="Arial"/>
          <w:sz w:val="16"/>
          <w:szCs w:val="16"/>
          <w:color w:val="auto"/>
        </w:rPr>
        <w:t>$2,675 - $2,775</w:t>
        <w:tab/>
        <w:t>Growth of 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732155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2">
            <w:col w:w="3680" w:space="720"/>
            <w:col w:w="6840"/>
          </w:cols>
          <w:pgMar w:left="320" w:top="1182" w:right="339" w:bottom="1440" w:gutter="0" w:footer="0" w:header="0"/>
          <w:type w:val="continuous"/>
        </w:sectPr>
      </w:pPr>
    </w:p>
    <w:bookmarkStart w:id="6" w:name="page7"/>
    <w:bookmarkEnd w:id="6"/>
    <w:tbl>
      <w:tblPr>
        <w:tblLayout w:type="fixed"/>
        <w:tblInd w:w="660" w:type="dxa"/>
        <w:tblCellMar>
          <w:top w:w="0" w:type="dxa"/>
          <w:left w:w="0" w:type="dxa"/>
          <w:bottom w:w="0" w:type="dxa"/>
          <w:right w:w="0" w:type="dxa"/>
        </w:tblCellMar>
      </w:tblPr>
      <w:tr>
        <w:trPr>
          <w:trHeight w:val="441"/>
        </w:trPr>
        <w:tc>
          <w:tcPr>
            <w:tcW w:w="3920" w:type="dxa"/>
            <w:vAlign w:val="bottom"/>
            <w:gridSpan w:val="2"/>
          </w:tcPr>
          <w:p>
            <w:pPr>
              <w:spacing w:after="0"/>
              <w:rPr>
                <w:sz w:val="20"/>
                <w:szCs w:val="20"/>
                <w:color w:val="auto"/>
              </w:rPr>
            </w:pPr>
            <w:r>
              <w:rPr>
                <w:rFonts w:ascii="Arial" w:cs="Arial" w:eastAsia="Arial" w:hAnsi="Arial"/>
                <w:sz w:val="16"/>
                <w:szCs w:val="16"/>
                <w:color w:val="auto"/>
              </w:rPr>
              <w:t>2024 Adjusted Operating EBITDA</w:t>
            </w:r>
            <w:r>
              <w:rPr>
                <w:rFonts w:ascii="Arial" w:cs="Arial" w:eastAsia="Arial" w:hAnsi="Arial"/>
                <w:sz w:val="32"/>
                <w:szCs w:val="32"/>
                <w:color w:val="auto"/>
                <w:vertAlign w:val="superscript"/>
              </w:rPr>
              <w:t>(a)</w:t>
            </w:r>
          </w:p>
        </w:tc>
        <w:tc>
          <w:tcPr>
            <w:tcW w:w="1120" w:type="dxa"/>
            <w:vAlign w:val="bottom"/>
          </w:tcPr>
          <w:p>
            <w:pPr>
              <w:jc w:val="right"/>
              <w:spacing w:after="0"/>
              <w:rPr>
                <w:sz w:val="20"/>
                <w:szCs w:val="20"/>
                <w:color w:val="auto"/>
              </w:rPr>
            </w:pPr>
            <w:r>
              <w:rPr>
                <w:rFonts w:ascii="Arial" w:cs="Arial" w:eastAsia="Arial" w:hAnsi="Arial"/>
                <w:sz w:val="16"/>
                <w:szCs w:val="16"/>
                <w:color w:val="auto"/>
              </w:rPr>
              <w:t>$6,563</w:t>
            </w:r>
          </w:p>
        </w:tc>
      </w:tr>
      <w:tr>
        <w:trPr>
          <w:trHeight w:val="183"/>
        </w:trPr>
        <w:tc>
          <w:tcPr>
            <w:tcW w:w="136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99"/>
              </w:rPr>
              <w:t>Growth at Midpoint</w:t>
            </w:r>
          </w:p>
        </w:tc>
        <w:tc>
          <w:tcPr>
            <w:tcW w:w="256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397"/>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Collection and Disposal</w:t>
            </w:r>
          </w:p>
        </w:tc>
        <w:tc>
          <w:tcPr>
            <w:tcW w:w="112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378"/>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Recycling Processing and Sales</w:t>
            </w:r>
          </w:p>
        </w:tc>
        <w:tc>
          <w:tcPr>
            <w:tcW w:w="1120" w:type="dxa"/>
            <w:vAlign w:val="bottom"/>
          </w:tcPr>
          <w:p>
            <w:pPr>
              <w:jc w:val="right"/>
              <w:spacing w:after="0"/>
              <w:rPr>
                <w:sz w:val="20"/>
                <w:szCs w:val="20"/>
                <w:color w:val="auto"/>
              </w:rPr>
            </w:pPr>
            <w:r>
              <w:rPr>
                <w:rFonts w:ascii="Arial" w:cs="Arial" w:eastAsia="Arial" w:hAnsi="Arial"/>
                <w:sz w:val="16"/>
                <w:szCs w:val="16"/>
                <w:color w:val="auto"/>
              </w:rPr>
              <w:t>90</w:t>
            </w:r>
          </w:p>
        </w:tc>
      </w:tr>
      <w:tr>
        <w:trPr>
          <w:trHeight w:val="378"/>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WM Renewable Energy</w:t>
            </w:r>
          </w:p>
        </w:tc>
        <w:tc>
          <w:tcPr>
            <w:tcW w:w="112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378"/>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WM Healthcare Solutions</w:t>
            </w:r>
          </w:p>
        </w:tc>
        <w:tc>
          <w:tcPr>
            <w:tcW w:w="1120" w:type="dxa"/>
            <w:vAlign w:val="bottom"/>
          </w:tcPr>
          <w:p>
            <w:pPr>
              <w:jc w:val="right"/>
              <w:spacing w:after="0"/>
              <w:rPr>
                <w:sz w:val="20"/>
                <w:szCs w:val="20"/>
                <w:color w:val="auto"/>
              </w:rPr>
            </w:pPr>
            <w:r>
              <w:rPr>
                <w:rFonts w:ascii="Arial" w:cs="Arial" w:eastAsia="Arial" w:hAnsi="Arial"/>
                <w:sz w:val="16"/>
                <w:szCs w:val="16"/>
                <w:color w:val="auto"/>
              </w:rPr>
              <w:t>400</w:t>
            </w:r>
          </w:p>
        </w:tc>
      </w:tr>
      <w:tr>
        <w:trPr>
          <w:trHeight w:val="378"/>
        </w:trPr>
        <w:tc>
          <w:tcPr>
            <w:tcW w:w="3920" w:type="dxa"/>
            <w:vAlign w:val="bottom"/>
            <w:gridSpan w:val="2"/>
          </w:tcPr>
          <w:p>
            <w:pPr>
              <w:ind w:left="260"/>
              <w:spacing w:after="0"/>
              <w:rPr>
                <w:sz w:val="20"/>
                <w:szCs w:val="20"/>
                <w:color w:val="auto"/>
              </w:rPr>
            </w:pPr>
            <w:r>
              <w:rPr>
                <w:rFonts w:ascii="Arial" w:cs="Arial" w:eastAsia="Arial" w:hAnsi="Arial"/>
                <w:sz w:val="16"/>
                <w:szCs w:val="16"/>
                <w:color w:val="auto"/>
              </w:rPr>
              <w:t>Corporate and Other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w:t>
            </w:r>
          </w:p>
        </w:tc>
      </w:tr>
      <w:tr>
        <w:trPr>
          <w:trHeight w:val="455"/>
        </w:trPr>
        <w:tc>
          <w:tcPr>
            <w:tcW w:w="3920" w:type="dxa"/>
            <w:vAlign w:val="bottom"/>
            <w:gridSpan w:val="2"/>
          </w:tcPr>
          <w:p>
            <w:pPr>
              <w:spacing w:after="0"/>
              <w:rPr>
                <w:sz w:val="20"/>
                <w:szCs w:val="20"/>
                <w:color w:val="auto"/>
              </w:rPr>
            </w:pPr>
            <w:r>
              <w:rPr>
                <w:rFonts w:ascii="Arial" w:cs="Arial" w:eastAsia="Arial" w:hAnsi="Arial"/>
                <w:sz w:val="16"/>
                <w:szCs w:val="16"/>
                <w:color w:val="auto"/>
              </w:rPr>
              <w:t>2025 Adjusted Operating EBITDA Midpoint</w:t>
            </w:r>
            <w:r>
              <w:rPr>
                <w:rFonts w:ascii="Arial" w:cs="Arial" w:eastAsia="Arial" w:hAnsi="Arial"/>
                <w:sz w:val="32"/>
                <w:szCs w:val="32"/>
                <w:color w:val="auto"/>
                <w:vertAlign w:val="superscript"/>
              </w:rPr>
              <w:t>(a)</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$7,550</w:t>
            </w:r>
          </w:p>
        </w:tc>
      </w:tr>
      <w:tr>
        <w:trPr>
          <w:trHeight w:val="20"/>
        </w:trPr>
        <w:tc>
          <w:tcPr>
            <w:tcW w:w="136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u w:val="single" w:color="auto"/>
          <w:color w:val="272727"/>
        </w:rPr>
        <w:t>Collection and Disposal</w:t>
      </w:r>
    </w:p>
    <w:p>
      <w:pPr>
        <w:spacing w:after="0" w:line="189" w:lineRule="exact"/>
        <w:rPr>
          <w:sz w:val="20"/>
          <w:szCs w:val="20"/>
          <w:color w:val="auto"/>
        </w:rPr>
      </w:pPr>
    </w:p>
    <w:p>
      <w:pPr>
        <w:jc w:val="both"/>
        <w:ind w:left="660" w:hanging="328"/>
        <w:spacing w:after="0" w:line="231" w:lineRule="auto"/>
        <w:tabs>
          <w:tab w:leader="none" w:pos="6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Strong growth in the Collection and Disposal business is expected to be driven by disciplined pricing and continued cost optimization. Revenue growth outlook is based upon core price in 2025 of between 5.8% and 6.2%, yield of between 4.0% and 4.2%, and volumes between 0.25% and 0.75%.</w:t>
      </w:r>
    </w:p>
    <w:p>
      <w:pPr>
        <w:spacing w:after="0" w:line="1" w:lineRule="exact"/>
        <w:rPr>
          <w:rFonts w:ascii="Times New Roman" w:cs="Times New Roman" w:eastAsia="Times New Roman" w:hAnsi="Times New Roman"/>
          <w:sz w:val="20"/>
          <w:szCs w:val="20"/>
          <w:color w:val="auto"/>
        </w:rPr>
      </w:pPr>
    </w:p>
    <w:p>
      <w:pPr>
        <w:ind w:left="660" w:hanging="328"/>
        <w:spacing w:after="0" w:line="269" w:lineRule="auto"/>
        <w:tabs>
          <w:tab w:leader="none" w:pos="66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Rollover from solid waste acquisitions is expected to contribute $150 million of revenue and $35 million of adjusted operating EBITDA.</w:t>
      </w:r>
      <w:r>
        <w:rPr>
          <w:rFonts w:ascii="Arial" w:cs="Arial" w:eastAsia="Arial" w:hAnsi="Arial"/>
          <w:sz w:val="32"/>
          <w:szCs w:val="32"/>
          <w:color w:val="auto"/>
          <w:vertAlign w:val="superscript"/>
        </w:rPr>
        <w:t>(a)</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u w:val="single" w:color="auto"/>
          <w:color w:val="272727"/>
        </w:rPr>
        <w:t>Sustainability Businesses</w:t>
      </w:r>
    </w:p>
    <w:p>
      <w:pPr>
        <w:spacing w:after="0" w:line="189" w:lineRule="exact"/>
        <w:rPr>
          <w:sz w:val="20"/>
          <w:szCs w:val="20"/>
          <w:color w:val="auto"/>
        </w:rPr>
      </w:pPr>
    </w:p>
    <w:p>
      <w:pPr>
        <w:ind w:left="660" w:hanging="328"/>
        <w:spacing w:after="0" w:line="234" w:lineRule="auto"/>
        <w:tabs>
          <w:tab w:leader="none" w:pos="6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Growth in the Company’s sustainability businesses is expected to be driven by increased contributions from growth projects, partially offset by lower commodity prices.</w:t>
      </w:r>
    </w:p>
    <w:p>
      <w:pPr>
        <w:jc w:val="both"/>
        <w:ind w:left="660" w:hanging="328"/>
        <w:spacing w:after="0" w:line="208" w:lineRule="auto"/>
        <w:tabs>
          <w:tab w:leader="none" w:pos="6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The outlook includes a blended average single-stream recycled commodity price of approximately $85 per ton. The Company estimates that a $10 per ton change in the blended average single-stream commodity price impacts total Company operating EBITDA by approximately $25 million.</w:t>
      </w:r>
      <w:r>
        <w:rPr>
          <w:rFonts w:ascii="Arial" w:cs="Arial" w:eastAsia="Arial" w:hAnsi="Arial"/>
          <w:sz w:val="26"/>
          <w:szCs w:val="26"/>
          <w:color w:val="auto"/>
          <w:vertAlign w:val="superscript"/>
        </w:rPr>
        <w:t>(g)</w:t>
      </w:r>
    </w:p>
    <w:p>
      <w:pPr>
        <w:spacing w:after="0" w:line="2" w:lineRule="exact"/>
        <w:rPr>
          <w:rFonts w:ascii="Times New Roman" w:cs="Times New Roman" w:eastAsia="Times New Roman" w:hAnsi="Times New Roman"/>
          <w:sz w:val="20"/>
          <w:szCs w:val="20"/>
          <w:color w:val="auto"/>
        </w:rPr>
      </w:pPr>
    </w:p>
    <w:p>
      <w:pPr>
        <w:jc w:val="both"/>
        <w:ind w:left="660" w:hanging="328"/>
        <w:spacing w:after="0" w:line="252" w:lineRule="auto"/>
        <w:tabs>
          <w:tab w:leader="none" w:pos="660" w:val="left"/>
        </w:tabs>
        <w:numPr>
          <w:ilvl w:val="0"/>
          <w:numId w:val="9"/>
        </w:numPr>
        <w:rPr>
          <w:rFonts w:ascii="Times New Roman" w:cs="Times New Roman" w:eastAsia="Times New Roman" w:hAnsi="Times New Roman"/>
          <w:sz w:val="20"/>
          <w:szCs w:val="20"/>
          <w:color w:val="auto"/>
        </w:rPr>
      </w:pPr>
      <w:r>
        <w:rPr>
          <w:rFonts w:ascii="Arial" w:cs="Arial" w:eastAsia="Arial" w:hAnsi="Arial"/>
          <w:sz w:val="20"/>
          <w:szCs w:val="20"/>
          <w:color w:val="auto"/>
        </w:rPr>
        <w:t>About 50% of the Company’s renewable natural gas expected to be sold in 2025 has already been contracted at a blended average price of $28.80 per MMBtu. The Company’s current sensitivity to a $0.25 change in the value of Renewable Fuel Standard credits is approximately $15 million of operating EBITDA.</w:t>
      </w:r>
      <w:r>
        <w:rPr>
          <w:rFonts w:ascii="Arial" w:cs="Arial" w:eastAsia="Arial" w:hAnsi="Arial"/>
          <w:sz w:val="32"/>
          <w:szCs w:val="32"/>
          <w:color w:val="auto"/>
          <w:vertAlign w:val="superscript"/>
        </w:rPr>
        <w:t>(h)</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u w:val="single" w:color="auto"/>
          <w:color w:val="272727"/>
        </w:rPr>
        <w:t>WM Healthcare Solutions</w:t>
      </w:r>
    </w:p>
    <w:p>
      <w:pPr>
        <w:spacing w:after="0" w:line="189" w:lineRule="exact"/>
        <w:rPr>
          <w:sz w:val="20"/>
          <w:szCs w:val="20"/>
          <w:color w:val="auto"/>
        </w:rPr>
      </w:pPr>
    </w:p>
    <w:p>
      <w:pPr>
        <w:ind w:left="660" w:right="20" w:hanging="328"/>
        <w:spacing w:after="0" w:line="234" w:lineRule="auto"/>
        <w:tabs>
          <w:tab w:leader="none" w:pos="6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WM Healthcare Solutions business is expected to grow about 9% before synergies in 2025 driven by organic revenue growth and operations initiatives, including fleet and asset network optimization.</w:t>
      </w:r>
    </w:p>
    <w:p>
      <w:pPr>
        <w:ind w:left="660" w:hanging="328"/>
        <w:spacing w:after="0" w:line="238" w:lineRule="auto"/>
        <w:tabs>
          <w:tab w:leader="none" w:pos="6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integration of the business is expected to generate up to $100 million from synergies in 2025.</w:t>
      </w:r>
    </w:p>
    <w:p>
      <w:pPr>
        <w:ind w:left="660" w:right="20" w:hanging="328"/>
        <w:spacing w:after="0" w:line="239" w:lineRule="auto"/>
        <w:tabs>
          <w:tab w:leader="none" w:pos="66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The Company now expects to achieve synergies from the acquisition of $250 million, double its original estimate. The Company expects to achieve this run-rate in 2027.</w:t>
      </w:r>
    </w:p>
    <w:p>
      <w:pPr>
        <w:spacing w:after="0" w:line="374"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WM’s strong balance sheet and cash flow growth outlook position the Company to continue its commitment to sound capital allocation. The Company’s outlook includes $100 to $200 million of investment in solid waste acquisitions and estimated annual dividends paid to shareholders of $1.3 billion. The Board of Directors has indicated its intention to increase the annual dividend by $0.30 per share to $3.30 in 2025, though all future dividends must be declared by the Board. As previously announced, the Company has temporarily suspended share repurchases reflecting the Company’s commitment to return to targeted leverage levels. By the end of 2025, the Company expects its leverage to be approximately 3.1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3"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SUSTAINABILITY GROWTH OUTLOOK</w:t>
      </w:r>
    </w:p>
    <w:p>
      <w:pPr>
        <w:spacing w:after="0" w:line="191" w:lineRule="exact"/>
        <w:rPr>
          <w:sz w:val="20"/>
          <w:szCs w:val="20"/>
          <w:color w:val="auto"/>
        </w:rPr>
      </w:pPr>
    </w:p>
    <w:p>
      <w:pPr>
        <w:jc w:val="both"/>
        <w:spacing w:after="0" w:line="233" w:lineRule="auto"/>
        <w:rPr>
          <w:sz w:val="20"/>
          <w:szCs w:val="20"/>
          <w:color w:val="auto"/>
        </w:rPr>
      </w:pPr>
      <w:r>
        <w:rPr>
          <w:rFonts w:ascii="Arial" w:cs="Arial" w:eastAsia="Arial" w:hAnsi="Arial"/>
          <w:sz w:val="20"/>
          <w:szCs w:val="20"/>
          <w:color w:val="auto"/>
        </w:rPr>
        <w:t>WM is progressing its sustainability growth portfolio and remains committed to investing in an industry-leading network of renewable natural gas projects and recycling assets. The renewable natural gas projects have a projected payback period of about three years and the recycling assets have a projected payback period of about six years. These anticipated returns reflect the Company’s views that these investments create strong economic value, in addition to underlying environmental value. The Company is providing an updated outlook for the capital expenditures and total adjusted operating EBITDA contributions from the projects for the next three years.</w:t>
      </w:r>
    </w:p>
    <w:p>
      <w:pPr>
        <w:spacing w:after="0" w:line="166" w:lineRule="exact"/>
        <w:rPr>
          <w:sz w:val="20"/>
          <w:szCs w:val="20"/>
          <w:color w:val="auto"/>
        </w:rPr>
      </w:pPr>
    </w:p>
    <w:tbl>
      <w:tblPr>
        <w:tblLayout w:type="fixed"/>
        <w:tblInd w:w="100" w:type="dxa"/>
        <w:tblCellMar>
          <w:top w:w="0" w:type="dxa"/>
          <w:left w:w="0" w:type="dxa"/>
          <w:bottom w:w="0" w:type="dxa"/>
          <w:right w:w="0" w:type="dxa"/>
        </w:tblCellMar>
      </w:tblPr>
      <w:tr>
        <w:trPr>
          <w:trHeight w:val="223"/>
        </w:trPr>
        <w:tc>
          <w:tcPr>
            <w:tcW w:w="4600" w:type="dxa"/>
            <w:vAlign w:val="bottom"/>
          </w:tcPr>
          <w:p>
            <w:pPr>
              <w:spacing w:after="0"/>
              <w:rPr>
                <w:sz w:val="20"/>
                <w:szCs w:val="20"/>
                <w:color w:val="auto"/>
              </w:rPr>
            </w:pPr>
            <w:r>
              <w:rPr>
                <w:rFonts w:ascii="Arial" w:cs="Arial" w:eastAsia="Arial" w:hAnsi="Arial"/>
                <w:sz w:val="14"/>
                <w:szCs w:val="14"/>
                <w:color w:val="auto"/>
              </w:rPr>
              <w:t>(in millions)</w:t>
            </w:r>
          </w:p>
        </w:tc>
        <w:tc>
          <w:tcPr>
            <w:tcW w:w="2040" w:type="dxa"/>
            <w:vAlign w:val="bottom"/>
          </w:tcPr>
          <w:p>
            <w:pPr>
              <w:jc w:val="center"/>
              <w:ind w:left="759"/>
              <w:spacing w:after="0"/>
              <w:rPr>
                <w:sz w:val="20"/>
                <w:szCs w:val="20"/>
                <w:color w:val="auto"/>
              </w:rPr>
            </w:pPr>
            <w:r>
              <w:rPr>
                <w:rFonts w:ascii="Arial" w:cs="Arial" w:eastAsia="Arial" w:hAnsi="Arial"/>
                <w:sz w:val="16"/>
                <w:szCs w:val="16"/>
                <w:b w:val="1"/>
                <w:bCs w:val="1"/>
                <w:color w:val="auto"/>
              </w:rPr>
              <w:t>2024</w:t>
            </w:r>
          </w:p>
        </w:tc>
        <w:tc>
          <w:tcPr>
            <w:tcW w:w="1580" w:type="dxa"/>
            <w:vAlign w:val="bottom"/>
          </w:tcPr>
          <w:p>
            <w:pPr>
              <w:jc w:val="center"/>
              <w:ind w:left="59"/>
              <w:spacing w:after="0"/>
              <w:rPr>
                <w:sz w:val="20"/>
                <w:szCs w:val="20"/>
                <w:color w:val="auto"/>
              </w:rPr>
            </w:pPr>
            <w:r>
              <w:rPr>
                <w:rFonts w:ascii="Arial" w:cs="Arial" w:eastAsia="Arial" w:hAnsi="Arial"/>
                <w:sz w:val="16"/>
                <w:szCs w:val="16"/>
                <w:b w:val="1"/>
                <w:bCs w:val="1"/>
                <w:color w:val="auto"/>
              </w:rPr>
              <w:t>2025</w:t>
            </w:r>
          </w:p>
        </w:tc>
        <w:tc>
          <w:tcPr>
            <w:tcW w:w="1460" w:type="dxa"/>
            <w:vAlign w:val="bottom"/>
          </w:tcPr>
          <w:p>
            <w:pPr>
              <w:jc w:val="center"/>
              <w:spacing w:after="0"/>
              <w:rPr>
                <w:sz w:val="20"/>
                <w:szCs w:val="20"/>
                <w:color w:val="auto"/>
              </w:rPr>
            </w:pPr>
            <w:r>
              <w:rPr>
                <w:rFonts w:ascii="Arial" w:cs="Arial" w:eastAsia="Arial" w:hAnsi="Arial"/>
                <w:sz w:val="16"/>
                <w:szCs w:val="16"/>
                <w:b w:val="1"/>
                <w:bCs w:val="1"/>
                <w:color w:val="auto"/>
              </w:rPr>
              <w:t>2026</w:t>
            </w:r>
          </w:p>
        </w:tc>
        <w:tc>
          <w:tcPr>
            <w:tcW w:w="1160" w:type="dxa"/>
            <w:vAlign w:val="bottom"/>
            <w:gridSpan w:val="2"/>
          </w:tcPr>
          <w:p>
            <w:pPr>
              <w:jc w:val="right"/>
              <w:ind w:right="159"/>
              <w:spacing w:after="0"/>
              <w:rPr>
                <w:sz w:val="20"/>
                <w:szCs w:val="20"/>
                <w:color w:val="auto"/>
              </w:rPr>
            </w:pPr>
            <w:r>
              <w:rPr>
                <w:rFonts w:ascii="Arial" w:cs="Arial" w:eastAsia="Arial" w:hAnsi="Arial"/>
                <w:sz w:val="16"/>
                <w:szCs w:val="16"/>
                <w:b w:val="1"/>
                <w:bCs w:val="1"/>
                <w:color w:val="auto"/>
              </w:rPr>
              <w:t>2027</w:t>
            </w:r>
          </w:p>
        </w:tc>
      </w:tr>
      <w:tr>
        <w:trPr>
          <w:trHeight w:val="311"/>
        </w:trPr>
        <w:tc>
          <w:tcPr>
            <w:tcW w:w="4600" w:type="dxa"/>
            <w:vAlign w:val="bottom"/>
          </w:tcPr>
          <w:p>
            <w:pPr>
              <w:spacing w:after="0"/>
              <w:rPr>
                <w:sz w:val="20"/>
                <w:szCs w:val="20"/>
                <w:color w:val="auto"/>
              </w:rPr>
            </w:pPr>
            <w:r>
              <w:rPr>
                <w:rFonts w:ascii="Arial" w:cs="Arial" w:eastAsia="Arial" w:hAnsi="Arial"/>
                <w:sz w:val="16"/>
                <w:szCs w:val="16"/>
                <w:b w:val="1"/>
                <w:bCs w:val="1"/>
                <w:color w:val="auto"/>
              </w:rPr>
              <w:t>Capital Expenditures</w:t>
            </w:r>
          </w:p>
        </w:tc>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6"/>
                <w:szCs w:val="16"/>
                <w:color w:val="auto"/>
              </w:rPr>
              <w:t>Recycling Automation and Growth Projects</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$443</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$180 - $200</w:t>
            </w:r>
          </w:p>
        </w:tc>
        <w:tc>
          <w:tcPr>
            <w:tcW w:w="1460" w:type="dxa"/>
            <w:vAlign w:val="bottom"/>
          </w:tcPr>
          <w:p>
            <w:pPr>
              <w:jc w:val="center"/>
              <w:spacing w:after="0"/>
              <w:rPr>
                <w:sz w:val="20"/>
                <w:szCs w:val="20"/>
                <w:color w:val="auto"/>
              </w:rPr>
            </w:pPr>
            <w:r>
              <w:rPr>
                <w:rFonts w:ascii="Arial" w:cs="Arial" w:eastAsia="Arial" w:hAnsi="Arial"/>
                <w:sz w:val="16"/>
                <w:szCs w:val="16"/>
                <w:color w:val="auto"/>
              </w:rPr>
              <w:t>$65-$85</w:t>
            </w:r>
          </w:p>
        </w:tc>
        <w:tc>
          <w:tcPr>
            <w:tcW w:w="68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310"/>
        </w:trPr>
        <w:tc>
          <w:tcPr>
            <w:tcW w:w="4600" w:type="dxa"/>
            <w:vAlign w:val="bottom"/>
          </w:tcPr>
          <w:p>
            <w:pPr>
              <w:spacing w:after="0"/>
              <w:rPr>
                <w:sz w:val="20"/>
                <w:szCs w:val="20"/>
                <w:color w:val="auto"/>
              </w:rPr>
            </w:pPr>
            <w:r>
              <w:rPr>
                <w:rFonts w:ascii="Arial" w:cs="Arial" w:eastAsia="Arial" w:hAnsi="Arial"/>
                <w:sz w:val="16"/>
                <w:szCs w:val="16"/>
                <w:color w:val="auto"/>
              </w:rPr>
              <w:t>Renewable Natural Gas Growth Projects</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$507</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$420 - $450</w:t>
            </w:r>
          </w:p>
        </w:tc>
        <w:tc>
          <w:tcPr>
            <w:tcW w:w="1460" w:type="dxa"/>
            <w:vAlign w:val="bottom"/>
          </w:tcPr>
          <w:p>
            <w:pPr>
              <w:jc w:val="center"/>
              <w:spacing w:after="0"/>
              <w:rPr>
                <w:sz w:val="20"/>
                <w:szCs w:val="20"/>
                <w:color w:val="auto"/>
              </w:rPr>
            </w:pPr>
            <w:r>
              <w:rPr>
                <w:rFonts w:ascii="Arial" w:cs="Arial" w:eastAsia="Arial" w:hAnsi="Arial"/>
                <w:sz w:val="16"/>
                <w:szCs w:val="16"/>
                <w:color w:val="auto"/>
              </w:rPr>
              <w:t>$55-$85</w:t>
            </w:r>
          </w:p>
        </w:tc>
        <w:tc>
          <w:tcPr>
            <w:tcW w:w="68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311"/>
        </w:trPr>
        <w:tc>
          <w:tcPr>
            <w:tcW w:w="4600" w:type="dxa"/>
            <w:vAlign w:val="bottom"/>
          </w:tcPr>
          <w:p>
            <w:pPr>
              <w:ind w:left="320"/>
              <w:spacing w:after="0"/>
              <w:rPr>
                <w:sz w:val="20"/>
                <w:szCs w:val="20"/>
                <w:color w:val="auto"/>
              </w:rPr>
            </w:pPr>
            <w:r>
              <w:rPr>
                <w:rFonts w:ascii="Arial" w:cs="Arial" w:eastAsia="Arial" w:hAnsi="Arial"/>
                <w:sz w:val="16"/>
                <w:szCs w:val="16"/>
                <w:color w:val="auto"/>
              </w:rPr>
              <w:t>Total Sustainability Growth Capital</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$950</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$600 -$650</w:t>
            </w:r>
          </w:p>
        </w:tc>
        <w:tc>
          <w:tcPr>
            <w:tcW w:w="1460" w:type="dxa"/>
            <w:vAlign w:val="bottom"/>
          </w:tcPr>
          <w:p>
            <w:pPr>
              <w:jc w:val="center"/>
              <w:spacing w:after="0"/>
              <w:rPr>
                <w:sz w:val="20"/>
                <w:szCs w:val="20"/>
                <w:color w:val="auto"/>
              </w:rPr>
            </w:pPr>
            <w:r>
              <w:rPr>
                <w:rFonts w:ascii="Arial" w:cs="Arial" w:eastAsia="Arial" w:hAnsi="Arial"/>
                <w:sz w:val="16"/>
                <w:szCs w:val="16"/>
                <w:color w:val="auto"/>
              </w:rPr>
              <w:t>$120 - $170</w:t>
            </w:r>
          </w:p>
        </w:tc>
        <w:tc>
          <w:tcPr>
            <w:tcW w:w="680" w:type="dxa"/>
            <w:vAlign w:val="bottom"/>
          </w:tcPr>
          <w:p>
            <w:pPr>
              <w:spacing w:after="0"/>
              <w:rPr>
                <w:sz w:val="24"/>
                <w:szCs w:val="24"/>
                <w:color w:val="auto"/>
              </w:rPr>
            </w:pPr>
          </w:p>
        </w:tc>
        <w:tc>
          <w:tcPr>
            <w:tcW w:w="480" w:type="dxa"/>
            <w:vAlign w:val="bottom"/>
          </w:tcPr>
          <w:p>
            <w:pPr>
              <w:ind w:left="20"/>
              <w:spacing w:after="0"/>
              <w:rPr>
                <w:sz w:val="20"/>
                <w:szCs w:val="20"/>
                <w:color w:val="auto"/>
              </w:rPr>
            </w:pPr>
            <w:r>
              <w:rPr>
                <w:rFonts w:ascii="Arial" w:cs="Arial" w:eastAsia="Arial" w:hAnsi="Arial"/>
                <w:sz w:val="16"/>
                <w:szCs w:val="16"/>
                <w:color w:val="auto"/>
              </w:rPr>
              <w:t>-</w:t>
            </w:r>
          </w:p>
        </w:tc>
      </w:tr>
      <w:tr>
        <w:trPr>
          <w:trHeight w:val="318"/>
        </w:trPr>
        <w:tc>
          <w:tcPr>
            <w:tcW w:w="4600" w:type="dxa"/>
            <w:vAlign w:val="bottom"/>
          </w:tcPr>
          <w:p>
            <w:pPr>
              <w:spacing w:after="0"/>
              <w:rPr>
                <w:sz w:val="20"/>
                <w:szCs w:val="20"/>
                <w:color w:val="auto"/>
              </w:rPr>
            </w:pPr>
            <w:r>
              <w:rPr>
                <w:rFonts w:ascii="Arial" w:cs="Arial" w:eastAsia="Arial" w:hAnsi="Arial"/>
                <w:sz w:val="16"/>
                <w:szCs w:val="16"/>
                <w:b w:val="1"/>
                <w:bCs w:val="1"/>
                <w:color w:val="auto"/>
              </w:rPr>
              <w:t>Operating EBITDA</w:t>
            </w:r>
          </w:p>
        </w:tc>
        <w:tc>
          <w:tcPr>
            <w:tcW w:w="2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316"/>
        </w:trPr>
        <w:tc>
          <w:tcPr>
            <w:tcW w:w="4600" w:type="dxa"/>
            <w:vAlign w:val="bottom"/>
          </w:tcPr>
          <w:p>
            <w:pPr>
              <w:spacing w:after="0"/>
              <w:rPr>
                <w:sz w:val="20"/>
                <w:szCs w:val="20"/>
                <w:color w:val="auto"/>
              </w:rPr>
            </w:pPr>
            <w:r>
              <w:rPr>
                <w:rFonts w:ascii="Arial" w:cs="Arial" w:eastAsia="Arial" w:hAnsi="Arial"/>
                <w:sz w:val="16"/>
                <w:szCs w:val="16"/>
                <w:color w:val="auto"/>
              </w:rPr>
              <w:t>Recycling Automation and Growth Projects</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$53</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$120 - $130</w:t>
            </w:r>
          </w:p>
        </w:tc>
        <w:tc>
          <w:tcPr>
            <w:tcW w:w="1460" w:type="dxa"/>
            <w:vAlign w:val="bottom"/>
          </w:tcPr>
          <w:p>
            <w:pPr>
              <w:jc w:val="center"/>
              <w:spacing w:after="0"/>
              <w:rPr>
                <w:sz w:val="20"/>
                <w:szCs w:val="20"/>
                <w:color w:val="auto"/>
              </w:rPr>
            </w:pPr>
            <w:r>
              <w:rPr>
                <w:rFonts w:ascii="Arial" w:cs="Arial" w:eastAsia="Arial" w:hAnsi="Arial"/>
                <w:sz w:val="16"/>
                <w:szCs w:val="16"/>
                <w:color w:val="auto"/>
              </w:rPr>
              <w:t>$250 - $260</w:t>
            </w:r>
          </w:p>
        </w:tc>
        <w:tc>
          <w:tcPr>
            <w:tcW w:w="680" w:type="dxa"/>
            <w:vAlign w:val="bottom"/>
          </w:tcPr>
          <w:p>
            <w:pPr>
              <w:jc w:val="right"/>
              <w:spacing w:after="0"/>
              <w:rPr>
                <w:sz w:val="20"/>
                <w:szCs w:val="20"/>
                <w:color w:val="auto"/>
              </w:rPr>
            </w:pPr>
            <w:r>
              <w:rPr>
                <w:rFonts w:ascii="Arial" w:cs="Arial" w:eastAsia="Arial" w:hAnsi="Arial"/>
                <w:sz w:val="16"/>
                <w:szCs w:val="16"/>
                <w:color w:val="auto"/>
              </w:rPr>
              <w:t>$290</w:t>
            </w:r>
          </w:p>
        </w:tc>
        <w:tc>
          <w:tcPr>
            <w:tcW w:w="480" w:type="dxa"/>
            <w:vAlign w:val="bottom"/>
          </w:tcPr>
          <w:p>
            <w:pPr>
              <w:ind w:left="20"/>
              <w:spacing w:after="0"/>
              <w:rPr>
                <w:sz w:val="20"/>
                <w:szCs w:val="20"/>
                <w:color w:val="auto"/>
              </w:rPr>
            </w:pPr>
            <w:r>
              <w:rPr>
                <w:rFonts w:ascii="Arial" w:cs="Arial" w:eastAsia="Arial" w:hAnsi="Arial"/>
                <w:sz w:val="16"/>
                <w:szCs w:val="16"/>
                <w:color w:val="auto"/>
                <w:w w:val="96"/>
              </w:rPr>
              <w:t>- $300</w:t>
            </w:r>
          </w:p>
        </w:tc>
      </w:tr>
      <w:tr>
        <w:trPr>
          <w:trHeight w:val="311"/>
        </w:trPr>
        <w:tc>
          <w:tcPr>
            <w:tcW w:w="4600" w:type="dxa"/>
            <w:vAlign w:val="bottom"/>
          </w:tcPr>
          <w:p>
            <w:pPr>
              <w:spacing w:after="0"/>
              <w:rPr>
                <w:sz w:val="20"/>
                <w:szCs w:val="20"/>
                <w:color w:val="auto"/>
              </w:rPr>
            </w:pPr>
            <w:r>
              <w:rPr>
                <w:rFonts w:ascii="Arial" w:cs="Arial" w:eastAsia="Arial" w:hAnsi="Arial"/>
                <w:sz w:val="16"/>
                <w:szCs w:val="16"/>
                <w:color w:val="auto"/>
              </w:rPr>
              <w:t>Renewable Natural Gas Growth Projects</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$39</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$150 - $160</w:t>
            </w:r>
          </w:p>
        </w:tc>
        <w:tc>
          <w:tcPr>
            <w:tcW w:w="1460" w:type="dxa"/>
            <w:vAlign w:val="bottom"/>
          </w:tcPr>
          <w:p>
            <w:pPr>
              <w:jc w:val="center"/>
              <w:spacing w:after="0"/>
              <w:rPr>
                <w:sz w:val="20"/>
                <w:szCs w:val="20"/>
                <w:color w:val="auto"/>
              </w:rPr>
            </w:pPr>
            <w:r>
              <w:rPr>
                <w:rFonts w:ascii="Arial" w:cs="Arial" w:eastAsia="Arial" w:hAnsi="Arial"/>
                <w:sz w:val="16"/>
                <w:szCs w:val="16"/>
                <w:color w:val="auto"/>
              </w:rPr>
              <w:t>$350 - $380</w:t>
            </w:r>
          </w:p>
        </w:tc>
        <w:tc>
          <w:tcPr>
            <w:tcW w:w="680" w:type="dxa"/>
            <w:vAlign w:val="bottom"/>
          </w:tcPr>
          <w:p>
            <w:pPr>
              <w:jc w:val="right"/>
              <w:spacing w:after="0"/>
              <w:rPr>
                <w:sz w:val="20"/>
                <w:szCs w:val="20"/>
                <w:color w:val="auto"/>
              </w:rPr>
            </w:pPr>
            <w:r>
              <w:rPr>
                <w:rFonts w:ascii="Arial" w:cs="Arial" w:eastAsia="Arial" w:hAnsi="Arial"/>
                <w:sz w:val="16"/>
                <w:szCs w:val="16"/>
                <w:color w:val="auto"/>
              </w:rPr>
              <w:t>$470</w:t>
            </w:r>
          </w:p>
        </w:tc>
        <w:tc>
          <w:tcPr>
            <w:tcW w:w="480" w:type="dxa"/>
            <w:vAlign w:val="bottom"/>
          </w:tcPr>
          <w:p>
            <w:pPr>
              <w:ind w:left="20"/>
              <w:spacing w:after="0"/>
              <w:rPr>
                <w:sz w:val="20"/>
                <w:szCs w:val="20"/>
                <w:color w:val="auto"/>
              </w:rPr>
            </w:pPr>
            <w:r>
              <w:rPr>
                <w:rFonts w:ascii="Arial" w:cs="Arial" w:eastAsia="Arial" w:hAnsi="Arial"/>
                <w:sz w:val="16"/>
                <w:szCs w:val="16"/>
                <w:color w:val="auto"/>
                <w:w w:val="96"/>
              </w:rPr>
              <w:t>- $500</w:t>
            </w:r>
          </w:p>
        </w:tc>
      </w:tr>
      <w:tr>
        <w:trPr>
          <w:trHeight w:val="457"/>
        </w:trPr>
        <w:tc>
          <w:tcPr>
            <w:tcW w:w="4600" w:type="dxa"/>
            <w:vAlign w:val="bottom"/>
          </w:tcPr>
          <w:p>
            <w:pPr>
              <w:ind w:left="240"/>
              <w:spacing w:after="0"/>
              <w:rPr>
                <w:sz w:val="20"/>
                <w:szCs w:val="20"/>
                <w:color w:val="auto"/>
              </w:rPr>
            </w:pPr>
            <w:r>
              <w:rPr>
                <w:rFonts w:ascii="Arial" w:cs="Arial" w:eastAsia="Arial" w:hAnsi="Arial"/>
                <w:sz w:val="16"/>
                <w:szCs w:val="16"/>
                <w:color w:val="auto"/>
              </w:rPr>
              <w:t xml:space="preserve">Sustainability Growth Operating EBITDA </w:t>
            </w:r>
            <w:r>
              <w:rPr>
                <w:rFonts w:ascii="Arial" w:cs="Arial" w:eastAsia="Arial" w:hAnsi="Arial"/>
                <w:sz w:val="26"/>
                <w:szCs w:val="26"/>
                <w:color w:val="auto"/>
                <w:vertAlign w:val="superscript"/>
              </w:rPr>
              <w:t>(e)</w:t>
            </w:r>
          </w:p>
        </w:tc>
        <w:tc>
          <w:tcPr>
            <w:tcW w:w="2040" w:type="dxa"/>
            <w:vAlign w:val="bottom"/>
          </w:tcPr>
          <w:p>
            <w:pPr>
              <w:jc w:val="center"/>
              <w:ind w:left="759"/>
              <w:spacing w:after="0"/>
              <w:rPr>
                <w:sz w:val="20"/>
                <w:szCs w:val="20"/>
                <w:color w:val="auto"/>
              </w:rPr>
            </w:pPr>
            <w:r>
              <w:rPr>
                <w:rFonts w:ascii="Arial" w:cs="Arial" w:eastAsia="Arial" w:hAnsi="Arial"/>
                <w:sz w:val="16"/>
                <w:szCs w:val="16"/>
                <w:color w:val="auto"/>
              </w:rPr>
              <w:t>$92</w:t>
            </w:r>
          </w:p>
        </w:tc>
        <w:tc>
          <w:tcPr>
            <w:tcW w:w="1580" w:type="dxa"/>
            <w:vAlign w:val="bottom"/>
          </w:tcPr>
          <w:p>
            <w:pPr>
              <w:jc w:val="center"/>
              <w:ind w:left="39"/>
              <w:spacing w:after="0"/>
              <w:rPr>
                <w:sz w:val="20"/>
                <w:szCs w:val="20"/>
                <w:color w:val="auto"/>
              </w:rPr>
            </w:pPr>
            <w:r>
              <w:rPr>
                <w:rFonts w:ascii="Arial" w:cs="Arial" w:eastAsia="Arial" w:hAnsi="Arial"/>
                <w:sz w:val="16"/>
                <w:szCs w:val="16"/>
                <w:color w:val="auto"/>
              </w:rPr>
              <w:t>$270 - $290</w:t>
            </w:r>
          </w:p>
        </w:tc>
        <w:tc>
          <w:tcPr>
            <w:tcW w:w="1460" w:type="dxa"/>
            <w:vAlign w:val="bottom"/>
          </w:tcPr>
          <w:p>
            <w:pPr>
              <w:jc w:val="center"/>
              <w:spacing w:after="0"/>
              <w:rPr>
                <w:sz w:val="20"/>
                <w:szCs w:val="20"/>
                <w:color w:val="auto"/>
              </w:rPr>
            </w:pPr>
            <w:r>
              <w:rPr>
                <w:rFonts w:ascii="Arial" w:cs="Arial" w:eastAsia="Arial" w:hAnsi="Arial"/>
                <w:sz w:val="16"/>
                <w:szCs w:val="16"/>
                <w:color w:val="auto"/>
              </w:rPr>
              <w:t>$600 - $640</w:t>
            </w:r>
          </w:p>
        </w:tc>
        <w:tc>
          <w:tcPr>
            <w:tcW w:w="680" w:type="dxa"/>
            <w:vAlign w:val="bottom"/>
          </w:tcPr>
          <w:p>
            <w:pPr>
              <w:jc w:val="right"/>
              <w:spacing w:after="0"/>
              <w:rPr>
                <w:sz w:val="20"/>
                <w:szCs w:val="20"/>
                <w:color w:val="auto"/>
              </w:rPr>
            </w:pPr>
            <w:r>
              <w:rPr>
                <w:rFonts w:ascii="Arial" w:cs="Arial" w:eastAsia="Arial" w:hAnsi="Arial"/>
                <w:sz w:val="16"/>
                <w:szCs w:val="16"/>
                <w:color w:val="auto"/>
              </w:rPr>
              <w:t>$760</w:t>
            </w:r>
          </w:p>
        </w:tc>
        <w:tc>
          <w:tcPr>
            <w:tcW w:w="480" w:type="dxa"/>
            <w:vAlign w:val="bottom"/>
          </w:tcPr>
          <w:p>
            <w:pPr>
              <w:ind w:left="20"/>
              <w:spacing w:after="0"/>
              <w:rPr>
                <w:sz w:val="20"/>
                <w:szCs w:val="20"/>
                <w:color w:val="auto"/>
              </w:rPr>
            </w:pPr>
            <w:r>
              <w:rPr>
                <w:rFonts w:ascii="Arial" w:cs="Arial" w:eastAsia="Arial" w:hAnsi="Arial"/>
                <w:sz w:val="16"/>
                <w:szCs w:val="16"/>
                <w:color w:val="auto"/>
                <w:w w:val="96"/>
              </w:rPr>
              <w:t>- $800</w:t>
            </w:r>
          </w:p>
        </w:tc>
      </w:tr>
    </w:tbl>
    <w:p>
      <w:pPr>
        <w:jc w:val="both"/>
        <w:ind w:left="260" w:right="260"/>
        <w:spacing w:after="0" w:line="255" w:lineRule="auto"/>
        <w:rPr>
          <w:sz w:val="20"/>
          <w:szCs w:val="20"/>
          <w:color w:val="auto"/>
        </w:rPr>
      </w:pPr>
      <w:r>
        <w:rPr>
          <w:rFonts w:ascii="Arial" w:cs="Arial" w:eastAsia="Arial" w:hAnsi="Arial"/>
          <w:sz w:val="16"/>
          <w:szCs w:val="16"/>
          <w:color w:val="auto"/>
        </w:rPr>
        <w:t>2025 projections are based on commodity price assumptions consistent with the Company’s 2025 outlook for a single-stream recycled commodity price of $85 per ton and for a blended average renewable natural gas value of $29.50 per MMBtu. 2026 and 2027 projections are based on a single-stream recycled commodity price of $125 per ton and a blended average renewable natural gas value of $26 per MMBtu, which were the commodity prices used to substantiate our investment case and project earnings. Commodity price variability can impact actual results.</w:t>
      </w:r>
    </w:p>
    <w:p>
      <w:pPr>
        <w:spacing w:after="0" w:line="132" w:lineRule="exact"/>
        <w:rPr>
          <w:sz w:val="20"/>
          <w:szCs w:val="20"/>
          <w:color w:val="auto"/>
        </w:rPr>
      </w:pPr>
    </w:p>
    <w:p>
      <w:pPr>
        <w:jc w:val="both"/>
        <w:ind w:right="20"/>
        <w:spacing w:after="0" w:line="257" w:lineRule="auto"/>
        <w:rPr>
          <w:sz w:val="20"/>
          <w:szCs w:val="20"/>
          <w:color w:val="auto"/>
        </w:rPr>
      </w:pPr>
      <w:r>
        <w:rPr>
          <w:rFonts w:ascii="Arial" w:cs="Arial" w:eastAsia="Arial" w:hAnsi="Arial"/>
          <w:sz w:val="20"/>
          <w:szCs w:val="20"/>
          <w:color w:val="auto"/>
        </w:rPr>
        <w:t>WM is planning to host an investor day in New York City on June 24, 2025, to discuss the Company’s long-term vision and growth strategies across the business. Additional information about the event will be provided in the coming months.</w:t>
      </w:r>
    </w:p>
    <w:p>
      <w:pPr>
        <w:spacing w:after="0" w:line="15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Fish concluded, “Our outstanding performance in 2024 underscores our dedication to excellence, sustainability, and innovation. Through the hard work of our team, we’ve achieved significant growth and are set for continued success. In 2025, we are focused on advancing the growth of our solid waste and sustainability businesses while also optimizing and growing the WM Healthcare Solutions business, which further strengthens our capabilities as the largest environmental services provider in North America. With a solid foundation and a clear vision, we are confident WM is positioned to achieve our targets for the year.”</w:t>
      </w:r>
    </w:p>
    <w:p>
      <w:pPr>
        <w:spacing w:after="0" w:line="399" w:lineRule="exact"/>
        <w:rPr>
          <w:sz w:val="20"/>
          <w:szCs w:val="20"/>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53" w:lineRule="exact"/>
        <w:rPr>
          <w:rFonts w:ascii="Arial" w:cs="Arial" w:eastAsia="Arial" w:hAnsi="Arial"/>
          <w:sz w:val="18"/>
          <w:szCs w:val="18"/>
          <w:color w:val="auto"/>
        </w:rPr>
      </w:pPr>
    </w:p>
    <w:p>
      <w:pPr>
        <w:ind w:left="66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defines operating EBITDA as GAAP income from operations before depreciation and amortization; this measure may not be comparable to similarly titled measures reported by other companies.</w:t>
      </w:r>
    </w:p>
    <w:p>
      <w:pPr>
        <w:spacing w:after="0" w:line="153" w:lineRule="exact"/>
        <w:rPr>
          <w:rFonts w:ascii="Arial" w:cs="Arial" w:eastAsia="Arial" w:hAnsi="Arial"/>
          <w:sz w:val="18"/>
          <w:szCs w:val="18"/>
          <w:color w:val="auto"/>
        </w:rPr>
      </w:pPr>
    </w:p>
    <w:p>
      <w:pPr>
        <w:ind w:left="660" w:right="20" w:hanging="328"/>
        <w:spacing w:after="0" w:line="271"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spacing w:after="0" w:line="153"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73"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blended average price received for single stream recycled commodities sold during the quarter was about $87 per ton compared to about $75 per ton in the prior year period, and $92 per ton for the full year compared to $62 per ton in the prior year period. The blended average price for renewable natural gas sold in 2024 was about $31 per MMBtu. The average price received for Renewable Fuel Standard credits was $3.02 during the quarter compared to $2.77 in the prior year period, and $3.05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-2371725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8" w:name="page9"/>
    <w:bookmarkEnd w:id="8"/>
    <w:p>
      <w:pPr>
        <w:jc w:val="both"/>
        <w:ind w:left="660"/>
        <w:spacing w:after="0" w:line="247" w:lineRule="auto"/>
        <w:rPr>
          <w:sz w:val="20"/>
          <w:szCs w:val="20"/>
          <w:color w:val="auto"/>
        </w:rPr>
      </w:pPr>
      <w:r>
        <w:rPr>
          <w:rFonts w:ascii="Arial" w:cs="Arial" w:eastAsia="Arial" w:hAnsi="Arial"/>
          <w:sz w:val="18"/>
          <w:szCs w:val="18"/>
          <w:color w:val="auto"/>
        </w:rPr>
        <w:t>full year compared to $2.45 in the prior year period. The average price received for natural gas was $2.30 per MMBtu during the quarter compared to $1.87 per MMBtu in the prior year period and $1.99 for the full year, compared to $2.07 in the prior year period. The average price received for electricity was about $65 per megawatt hour in the quarter compared to about $62 per megawatt hour in the prior year period and $63 per megawatt hour for the full year, compared to $64 in the prior year period.</w:t>
      </w:r>
    </w:p>
    <w:p>
      <w:pPr>
        <w:spacing w:after="0" w:line="174" w:lineRule="exact"/>
        <w:rPr>
          <w:sz w:val="20"/>
          <w:szCs w:val="20"/>
          <w:color w:val="auto"/>
        </w:rPr>
      </w:pPr>
    </w:p>
    <w:p>
      <w:pPr>
        <w:ind w:left="660" w:hanging="328"/>
        <w:spacing w:after="0" w:line="271"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defines WM Legacy Business as total Company GAAP results excluding the WM Healthcare Solutions segment and net of intercompany eliminations.</w:t>
      </w:r>
    </w:p>
    <w:p>
      <w:pPr>
        <w:spacing w:after="0" w:line="153" w:lineRule="exact"/>
        <w:rPr>
          <w:rFonts w:ascii="Arial" w:cs="Arial" w:eastAsia="Arial" w:hAnsi="Arial"/>
          <w:sz w:val="18"/>
          <w:szCs w:val="18"/>
          <w:color w:val="auto"/>
        </w:rPr>
      </w:pPr>
    </w:p>
    <w:p>
      <w:pPr>
        <w:jc w:val="both"/>
        <w:ind w:left="660" w:hanging="328"/>
        <w:spacing w:after="0" w:line="22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At the midpoint of the outlook, adjusted operating EBITDA contributions from renewable energy and recycling growth projects are expected to total approximately $280 million in the year, providing year-over-year growth of about $190 million.</w:t>
      </w:r>
      <w:r>
        <w:rPr>
          <w:rFonts w:ascii="Arial" w:cs="Arial" w:eastAsia="Arial" w:hAnsi="Arial"/>
          <w:sz w:val="26"/>
          <w:szCs w:val="26"/>
          <w:color w:val="auto"/>
          <w:vertAlign w:val="superscript"/>
        </w:rPr>
        <w:t>(a)</w:t>
      </w:r>
      <w:r>
        <w:rPr>
          <w:rFonts w:ascii="Arial" w:cs="Arial" w:eastAsia="Arial" w:hAnsi="Arial"/>
          <w:sz w:val="18"/>
          <w:szCs w:val="18"/>
          <w:color w:val="auto"/>
        </w:rPr>
        <w:t xml:space="preserve"> The difference between sustainability growth contributions and segment growth in the year is related to the royalty that the WM Renewable Energy business allocates to the landfills as well as headwinds in the base renewable energy business, primarily from lower contributions from renewable electricity facilities and the Company’s third-party renewable fuel program.</w:t>
      </w:r>
    </w:p>
    <w:p>
      <w:pPr>
        <w:spacing w:after="0" w:line="180" w:lineRule="exact"/>
        <w:rPr>
          <w:rFonts w:ascii="Arial" w:cs="Arial" w:eastAsia="Arial" w:hAnsi="Arial"/>
          <w:sz w:val="18"/>
          <w:szCs w:val="18"/>
          <w:color w:val="auto"/>
        </w:rPr>
      </w:pPr>
    </w:p>
    <w:p>
      <w:pPr>
        <w:jc w:val="both"/>
        <w:ind w:left="660" w:hanging="328"/>
        <w:spacing w:after="0" w:line="24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Company expects to generate between 11 and 12 million MMBtu of renewable natural gas in 2025 and plans to sell between 10 and 11 million MMBtu in 2025. The Company projects that the renewable natural gas to be sold at market rates in 2025 will be sold at an average Renewable Fuel Standard credit price of $2.40 and an average natural gas price of $2.20 per MMBtu for an expected total value of $30.25 per MMBtu.</w:t>
      </w:r>
    </w:p>
    <w:p>
      <w:pPr>
        <w:spacing w:after="0" w:line="374"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a conference call at 10 a.m. ET on Jan. 30, 2025, to discuss the fourth quarter and full-year 2024 results.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Information contained within this press release will be referenced and should be considered in conjunction with the call.</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20"/>
          <w:szCs w:val="20"/>
          <w:color w:val="auto"/>
        </w:rPr>
        <w:t xml:space="preserve">Listeners can access a live audio webcast of the conference call by visiting </w:t>
      </w:r>
      <w:r>
        <w:rPr>
          <w:rFonts w:ascii="Arial" w:cs="Arial" w:eastAsia="Arial" w:hAnsi="Arial"/>
          <w:sz w:val="20"/>
          <w:szCs w:val="20"/>
          <w:u w:val="single" w:color="auto"/>
          <w:color w:val="7AB800"/>
        </w:rPr>
        <w:t>investors.wm.com</w:t>
      </w:r>
      <w:r>
        <w:rPr>
          <w:rFonts w:ascii="Arial" w:cs="Arial" w:eastAsia="Arial" w:hAnsi="Arial"/>
          <w:sz w:val="20"/>
          <w:szCs w:val="20"/>
          <w:color w:val="auto"/>
        </w:rPr>
        <w:t xml:space="preserve"> and selecting “Events &amp; Presentations” from the website menu. A replay of the audio webcast will be available at the same location following the conclusion of the call.</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20"/>
          <w:szCs w:val="20"/>
          <w:color w:val="auto"/>
        </w:rPr>
        <w:t xml:space="preserve">Conference call participants should </w:t>
      </w:r>
      <w:r>
        <w:rPr>
          <w:rFonts w:ascii="Arial" w:cs="Arial" w:eastAsia="Arial" w:hAnsi="Arial"/>
          <w:sz w:val="20"/>
          <w:szCs w:val="20"/>
          <w:u w:val="single" w:color="auto"/>
          <w:color w:val="91B83A"/>
        </w:rPr>
        <w:t>register</w:t>
      </w:r>
      <w:r>
        <w:rPr>
          <w:rFonts w:ascii="Arial" w:cs="Arial" w:eastAsia="Arial" w:hAnsi="Arial"/>
          <w:sz w:val="20"/>
          <w:szCs w:val="20"/>
          <w:color w:val="auto"/>
        </w:rPr>
        <w:t xml:space="preserve"> to obtain their dial in and passcode details. This streamlined process improves security and eliminates wait times when joining the call.</w:t>
      </w:r>
    </w:p>
    <w:p>
      <w:pPr>
        <w:spacing w:after="0" w:line="3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WM</w:t>
      </w:r>
    </w:p>
    <w:p>
      <w:pPr>
        <w:spacing w:after="0" w:line="19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WM (</w:t>
      </w:r>
      <w:r>
        <w:rPr>
          <w:rFonts w:ascii="Arial" w:cs="Arial" w:eastAsia="Arial" w:hAnsi="Arial"/>
          <w:sz w:val="18"/>
          <w:szCs w:val="18"/>
          <w:u w:val="single" w:color="auto"/>
          <w:color w:val="7AB800"/>
        </w:rPr>
        <w:t>WM.com</w:t>
      </w:r>
      <w:r>
        <w:rPr>
          <w:rFonts w:ascii="Arial" w:cs="Arial" w:eastAsia="Arial" w:hAnsi="Arial"/>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WM has the largest disposal network and collection fleet in North America, is the largest recycler of post-consumer materials and is a leader in beneficial use of landfill gas, with a growing network of renewable natural gas plants and the most landfill gas-to-electricity plants in North America. WM's fleet includes more than 12,000 natural gas trucks – the largest heavy-duty natural gas truck fleet in the industry in North America. WM Healthcare Solutions provides collection and disposal services of regulated medical waste, as well as secure information destruction services, in the U.S., Canada and Western Europe. To learn more about WM and the company's sustainability progress and solutions, visit </w:t>
      </w:r>
      <w:r>
        <w:rPr>
          <w:rFonts w:ascii="Arial" w:cs="Arial" w:eastAsia="Arial" w:hAnsi="Arial"/>
          <w:sz w:val="18"/>
          <w:szCs w:val="18"/>
          <w:u w:val="single" w:color="auto"/>
          <w:color w:val="7AB800"/>
        </w:rPr>
        <w:t>Sustainability.WM.com</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FORWARD-LOOKING STATEMENTS</w:t>
      </w:r>
    </w:p>
    <w:p>
      <w:pPr>
        <w:spacing w:after="0" w:line="126"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statements in the heading of this press release, all statements under the headings “2025 Financial Outlook” and “Sustainability Growth Outlook” and all statements regarding future revenue, earnings, performance and results of our business; achievement of targets, financial guidance or outlook; growth and optimization of our business; integration of the Stericycle business and related contributions, results and benefits, including amount and timing of synergies; amount and timing of sustainability investments, upgrades and project completions and related payback periods, returns, contributions, and benefits; future capital allocation, acquisition spending, dividends, share repurchases and leverage; drivers of performance, including pricing programs and volume; and assumptions regarding commodity prices, natural gas production, tax credits and renewable fuel programs.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competitive disposal alternatives, diversion of waste from landfills and declining waste volumes; changing conditions in the healthcare industry;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0" w:name="page11"/>
    <w:bookmarkEnd w:id="10"/>
    <w:p>
      <w:pPr>
        <w:spacing w:after="0"/>
        <w:rPr>
          <w:sz w:val="20"/>
          <w:szCs w:val="20"/>
          <w:color w:val="auto"/>
        </w:rPr>
      </w:pPr>
      <w:r>
        <w:rPr>
          <w:rFonts w:ascii="Arial" w:cs="Arial" w:eastAsia="Arial" w:hAnsi="Arial"/>
          <w:sz w:val="20"/>
          <w:szCs w:val="20"/>
          <w:b w:val="1"/>
          <w:bCs w:val="1"/>
          <w:color w:val="auto"/>
        </w:rPr>
        <w:t>NON-GAAP FINANCIAL MEASURES</w:t>
      </w:r>
    </w:p>
    <w:p>
      <w:pPr>
        <w:spacing w:after="0" w:line="193"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99"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In addition, the Company’s projected adjusted operating EBITDA and margin is anticipated to be adjusted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projections to the comparable GAAP measure.</w:t>
      </w:r>
    </w:p>
    <w:p>
      <w:pPr>
        <w:spacing w:after="0" w:line="176"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quantitative reconciliations of non-GAAP measures to the most comparable GAAP measures are included in the accompanying schedules, with the exception of projected adjusted operating EBITDA and margin. Non-GAAP measures should not be considered a substitute for financial measures presented in accordance with GAAP.</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7AB800"/>
        </w:rPr>
        <w:t>FOR MORE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7AB800"/>
        </w:rPr>
        <w:t>www.wm.com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234" w:lineRule="auto"/>
        <w:rPr>
          <w:sz w:val="20"/>
          <w:szCs w:val="20"/>
          <w:color w:val="auto"/>
        </w:rPr>
      </w:pPr>
      <w:r>
        <w:rPr>
          <w:rFonts w:ascii="Arial" w:cs="Arial" w:eastAsia="Arial" w:hAnsi="Arial"/>
          <w:sz w:val="18"/>
          <w:szCs w:val="18"/>
          <w:color w:val="auto"/>
        </w:rPr>
        <w:t>713.265.1656</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7AB800"/>
        </w:rPr>
        <w:t>eegl@wm.com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Toni Werner</w:t>
      </w:r>
    </w:p>
    <w:p>
      <w:pPr>
        <w:spacing w:after="0"/>
        <w:rPr>
          <w:sz w:val="20"/>
          <w:szCs w:val="20"/>
          <w:color w:val="auto"/>
        </w:rPr>
      </w:pPr>
      <w:r>
        <w:rPr>
          <w:rFonts w:ascii="Arial" w:cs="Arial" w:eastAsia="Arial" w:hAnsi="Arial"/>
          <w:sz w:val="18"/>
          <w:szCs w:val="18"/>
          <w:u w:val="single" w:color="auto"/>
          <w:color w:val="7AB800"/>
        </w:rPr>
        <w:t>media@wm.com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0" w:type="dxa"/>
            <w:vAlign w:val="bottom"/>
          </w:tcPr>
          <w:p>
            <w:pPr>
              <w:spacing w:after="0"/>
              <w:rPr>
                <w:sz w:val="19"/>
                <w:szCs w:val="19"/>
                <w:color w:val="auto"/>
              </w:rPr>
            </w:pPr>
          </w:p>
        </w:tc>
        <w:tc>
          <w:tcPr>
            <w:tcW w:w="240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8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5,893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5,217</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3,553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8"/>
              </w:rPr>
              <w:t>3,146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13,383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12,606</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747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513</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526</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from divestitures, asset impairments and unusual</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items, net</w:t>
            </w:r>
          </w:p>
        </w:tc>
        <w:tc>
          <w:tcPr>
            <w:tcW w:w="8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246</w:t>
            </w:r>
          </w:p>
        </w:tc>
        <w:tc>
          <w:tcPr>
            <w:tcW w:w="26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4,974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4,432</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16,851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(128)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820" w:type="dxa"/>
            <w:vAlign w:val="bottom"/>
          </w:tcPr>
          <w:p>
            <w:pPr>
              <w:spacing w:after="0"/>
              <w:rPr>
                <w:sz w:val="18"/>
                <w:szCs w:val="18"/>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in net income (losses) of unconsolidated entities</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tcPr>
          <w:p>
            <w:pPr>
              <w:spacing w:after="0"/>
              <w:rPr>
                <w:sz w:val="19"/>
                <w:szCs w:val="19"/>
                <w:color w:val="auto"/>
              </w:rPr>
            </w:pPr>
          </w:p>
        </w:tc>
        <w:tc>
          <w:tcPr>
            <w:tcW w:w="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9"/>
                <w:szCs w:val="19"/>
                <w:color w:val="auto"/>
              </w:rPr>
            </w:pPr>
          </w:p>
        </w:tc>
        <w:tc>
          <w:tcPr>
            <w:tcW w:w="11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5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00" w:type="dxa"/>
            <w:vAlign w:val="bottom"/>
            <w:tcBorders>
              <w:top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3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63"/>
        </w:trPr>
        <w:tc>
          <w:tcPr>
            <w:tcW w:w="5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20" w:type="dxa"/>
            <w:vAlign w:val="bottom"/>
            <w:tcBorders>
              <w:top w:val="single" w:sz="8" w:color="auto"/>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2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3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2,304</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6.84</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5.69</w:t>
            </w:r>
          </w:p>
        </w:tc>
        <w:tc>
          <w:tcPr>
            <w:tcW w:w="10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1.48</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6.81</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auto"/>
            </w:tcBorders>
          </w:tcPr>
          <w:p>
            <w:pPr>
              <w:jc w:val="right"/>
              <w:ind w:right="2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5.66</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401.6</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402.0</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00" w:type="dxa"/>
            <w:vAlign w:val="bottom"/>
            <w:vMerge w:val="continue"/>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403.6</w:t>
            </w:r>
          </w:p>
        </w:tc>
        <w:tc>
          <w:tcPr>
            <w:tcW w:w="2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404.2</w:t>
            </w:r>
          </w:p>
        </w:tc>
        <w:tc>
          <w:tcPr>
            <w:tcW w:w="340" w:type="dxa"/>
            <w:vAlign w:val="bottom"/>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403.4</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406.9</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71"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7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9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2,745</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2,267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w:t>
            </w: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impairment</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early extinguishment of debt, net</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shd w:val="clear" w:color="auto" w:fill="CCEEFF"/>
          </w:tcPr>
          <w:p>
            <w:pPr>
              <w:spacing w:after="0"/>
              <w:rPr>
                <w:sz w:val="18"/>
                <w:szCs w:val="18"/>
                <w:color w:val="auto"/>
              </w:rPr>
            </w:pPr>
          </w:p>
        </w:tc>
      </w:tr>
      <w:tr>
        <w:trPr>
          <w:trHeight w:val="229"/>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(31)</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(251)</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(7,488)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(2,895)</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18"/>
                <w:szCs w:val="18"/>
                <w:color w:val="auto"/>
              </w:rPr>
            </w:pPr>
          </w:p>
        </w:tc>
      </w:tr>
      <w:tr>
        <w:trPr>
          <w:trHeight w:val="230"/>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r>
      <w:tr>
        <w:trPr>
          <w:trHeight w:val="209"/>
        </w:trPr>
        <w:tc>
          <w:tcPr>
            <w:tcW w:w="7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24,578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21,306</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(17,870)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(20,394)</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(1,302)</w:t>
            </w: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(1,210)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(1,136)</w:t>
            </w:r>
          </w:p>
        </w:tc>
      </w:tr>
      <w:tr>
        <w:trPr>
          <w:trHeight w:val="216"/>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53</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16"/>
        </w:trPr>
        <w:tc>
          <w:tcPr>
            <w:tcW w:w="7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(82)</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77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6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5,155</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0" w:type="dxa"/>
            <w:vAlign w:val="bottom"/>
            <w:shd w:val="clear" w:color="auto" w:fill="CCEEFF"/>
          </w:tcPr>
          <w:p>
            <w:pPr>
              <w:spacing w:after="0"/>
              <w:rPr>
                <w:sz w:val="19"/>
                <w:szCs w:val="19"/>
                <w:color w:val="auto"/>
              </w:rPr>
            </w:pPr>
          </w:p>
        </w:tc>
      </w:tr>
      <w:tr>
        <w:trPr>
          <w:trHeight w:val="223"/>
        </w:trPr>
        <w:tc>
          <w:tcPr>
            <w:tcW w:w="776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9"/>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00" w:type="dxa"/>
            <w:vAlign w:val="bottom"/>
            <w:gridSpan w:val="7"/>
          </w:tcPr>
          <w:p>
            <w:pPr>
              <w:jc w:val="center"/>
              <w:ind w:right="66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20"/>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5"/>
        </w:trPr>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180"/>
              <w:spacing w:after="0" w:line="276" w:lineRule="exact"/>
              <w:rPr>
                <w:sz w:val="20"/>
                <w:szCs w:val="20"/>
                <w:color w:val="auto"/>
              </w:rPr>
            </w:pPr>
            <w:r>
              <w:rPr>
                <w:rFonts w:ascii="Times New Roman" w:cs="Times New Roman" w:eastAsia="Times New Roman" w:hAnsi="Times New Roman"/>
                <w:sz w:val="18"/>
                <w:szCs w:val="18"/>
                <w:b w:val="1"/>
                <w:bCs w:val="1"/>
                <w:color w:val="auto"/>
                <w:w w:val="96"/>
              </w:rPr>
              <w:t>Revenues</w:t>
            </w:r>
            <w:r>
              <w:rPr>
                <w:rFonts w:ascii="Times New Roman" w:cs="Times New Roman" w:eastAsia="Times New Roman" w:hAnsi="Times New Roman"/>
                <w:sz w:val="29"/>
                <w:szCs w:val="29"/>
                <w:b w:val="1"/>
                <w:bCs w:val="1"/>
                <w:color w:val="auto"/>
                <w:w w:val="96"/>
                <w:vertAlign w:val="superscript"/>
              </w:rPr>
              <w:t>(a)</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tcPr>
          <w:p>
            <w:pPr>
              <w:jc w:val="center"/>
              <w:ind w:right="261"/>
              <w:spacing w:after="0" w:line="276" w:lineRule="exact"/>
              <w:rPr>
                <w:sz w:val="20"/>
                <w:szCs w:val="20"/>
                <w:color w:val="auto"/>
              </w:rPr>
            </w:pPr>
            <w:r>
              <w:rPr>
                <w:rFonts w:ascii="Times New Roman" w:cs="Times New Roman" w:eastAsia="Times New Roman" w:hAnsi="Times New Roman"/>
                <w:sz w:val="18"/>
                <w:szCs w:val="18"/>
                <w:b w:val="1"/>
                <w:bCs w:val="1"/>
                <w:color w:val="auto"/>
                <w:w w:val="96"/>
              </w:rPr>
              <w:t>Revenues</w:t>
            </w:r>
            <w:r>
              <w:rPr>
                <w:rFonts w:ascii="Times New Roman" w:cs="Times New Roman" w:eastAsia="Times New Roman" w:hAnsi="Times New Roman"/>
                <w:sz w:val="29"/>
                <w:szCs w:val="29"/>
                <w:b w:val="1"/>
                <w:bCs w:val="1"/>
                <w:color w:val="auto"/>
                <w:w w:val="96"/>
                <w:vertAlign w:val="superscript"/>
              </w:rPr>
              <w:t>(a)</w:t>
            </w:r>
          </w:p>
        </w:tc>
        <w:tc>
          <w:tcPr>
            <w:tcW w:w="140" w:type="dxa"/>
            <w:vAlign w:val="bottom"/>
          </w:tcPr>
          <w:p>
            <w:pPr>
              <w:spacing w:after="0"/>
              <w:rPr>
                <w:sz w:val="23"/>
                <w:szCs w:val="23"/>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Pr>
          <w:p>
            <w:pPr>
              <w:spacing w:after="0"/>
              <w:rPr>
                <w:sz w:val="23"/>
                <w:szCs w:val="23"/>
                <w:color w:val="auto"/>
              </w:rPr>
            </w:pPr>
          </w:p>
        </w:tc>
        <w:tc>
          <w:tcPr>
            <w:tcW w:w="122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00" w:type="dxa"/>
            <w:vAlign w:val="bottom"/>
          </w:tcPr>
          <w:p>
            <w:pPr>
              <w:spacing w:after="0"/>
              <w:rPr>
                <w:sz w:val="23"/>
                <w:szCs w:val="23"/>
                <w:color w:val="auto"/>
              </w:rPr>
            </w:pPr>
          </w:p>
        </w:tc>
        <w:tc>
          <w:tcPr>
            <w:tcW w:w="1220" w:type="dxa"/>
            <w:vAlign w:val="bottom"/>
            <w:gridSpan w:val="2"/>
          </w:tcPr>
          <w:p>
            <w:pPr>
              <w:jc w:val="center"/>
              <w:ind w:right="241"/>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120" w:type="dxa"/>
            <w:vAlign w:val="bottom"/>
          </w:tcPr>
          <w:p>
            <w:pPr>
              <w:spacing w:after="0"/>
              <w:rPr>
                <w:sz w:val="23"/>
                <w:szCs w:val="2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896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856</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840</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799</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7"/>
        </w:trPr>
        <w:tc>
          <w:tcPr>
            <w:tcW w:w="32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0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1,231</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(374)</w:t>
            </w:r>
          </w:p>
        </w:tc>
        <w:tc>
          <w:tcPr>
            <w:tcW w:w="14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857</w:t>
            </w:r>
          </w:p>
        </w:tc>
        <w:tc>
          <w:tcPr>
            <w:tcW w:w="10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1,161</w:t>
            </w:r>
          </w:p>
        </w:tc>
        <w:tc>
          <w:tcPr>
            <w:tcW w:w="100" w:type="dxa"/>
            <w:vAlign w:val="bottom"/>
          </w:tcPr>
          <w:p>
            <w:pPr>
              <w:spacing w:after="0"/>
              <w:rPr>
                <w:sz w:val="22"/>
                <w:szCs w:val="22"/>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(361)</w:t>
            </w:r>
          </w:p>
        </w:tc>
        <w:tc>
          <w:tcPr>
            <w:tcW w:w="120" w:type="dxa"/>
            <w:vAlign w:val="bottom"/>
          </w:tcPr>
          <w:p>
            <w:pPr>
              <w:spacing w:after="0"/>
              <w:rPr>
                <w:sz w:val="22"/>
                <w:szCs w:val="22"/>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629</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(270)</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r>
      <w:tr>
        <w:trPr>
          <w:trHeight w:val="209"/>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4,994</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4,787</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12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1"/>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4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5"/>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7"/>
        </w:trPr>
        <w:tc>
          <w:tcPr>
            <w:tcW w:w="3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80" w:type="dxa"/>
            <w:vAlign w:val="bottom"/>
          </w:tcPr>
          <w:p>
            <w:pPr>
              <w:spacing w:after="0"/>
              <w:rPr>
                <w:sz w:val="16"/>
                <w:szCs w:val="16"/>
                <w:color w:val="auto"/>
              </w:rPr>
            </w:pPr>
          </w:p>
        </w:tc>
        <w:tc>
          <w:tcPr>
            <w:tcW w:w="136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4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320" w:type="dxa"/>
            <w:vAlign w:val="bottom"/>
            <w:gridSpan w:val="3"/>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Intercompany</w:t>
            </w:r>
          </w:p>
        </w:tc>
        <w:tc>
          <w:tcPr>
            <w:tcW w:w="120" w:type="dxa"/>
            <w:vAlign w:val="bottom"/>
          </w:tcPr>
          <w:p>
            <w:pPr>
              <w:spacing w:after="0"/>
              <w:rPr>
                <w:sz w:val="16"/>
                <w:szCs w:val="16"/>
                <w:color w:val="auto"/>
              </w:rPr>
            </w:pPr>
          </w:p>
        </w:tc>
        <w:tc>
          <w:tcPr>
            <w:tcW w:w="100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r>
      <w:tr>
        <w:trPr>
          <w:trHeight w:val="230"/>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4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0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100" w:type="dxa"/>
            <w:vAlign w:val="bottom"/>
          </w:tcPr>
          <w:p>
            <w:pPr>
              <w:spacing w:after="0"/>
              <w:rPr>
                <w:sz w:val="19"/>
                <w:szCs w:val="19"/>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38"/>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6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4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00" w:type="dxa"/>
            <w:vAlign w:val="bottom"/>
          </w:tcPr>
          <w:p>
            <w:pPr>
              <w:spacing w:after="0"/>
              <w:rPr>
                <w:sz w:val="20"/>
                <w:szCs w:val="20"/>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00" w:type="dxa"/>
            <w:vAlign w:val="bottom"/>
          </w:tcPr>
          <w:p>
            <w:pPr>
              <w:spacing w:after="0"/>
              <w:rPr>
                <w:sz w:val="20"/>
                <w:szCs w:val="20"/>
                <w:color w:val="auto"/>
              </w:rPr>
            </w:pPr>
          </w:p>
        </w:tc>
        <w:tc>
          <w:tcPr>
            <w:tcW w:w="1220" w:type="dxa"/>
            <w:vAlign w:val="bottom"/>
            <w:gridSpan w:val="2"/>
          </w:tcPr>
          <w:p>
            <w:pPr>
              <w:jc w:val="center"/>
              <w:ind w:right="221"/>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0"/>
                <w:szCs w:val="20"/>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10"/>
        </w:trPr>
        <w:tc>
          <w:tcPr>
            <w:tcW w:w="3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6,169</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5,801</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(794)</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3,089</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3,836</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3,378</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3,194</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2,786</w:t>
            </w:r>
          </w:p>
        </w:tc>
      </w:tr>
      <w:tr>
        <w:trPr>
          <w:trHeight w:val="209"/>
        </w:trPr>
        <w:tc>
          <w:tcPr>
            <w:tcW w:w="32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16,801</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Landfill</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4,958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(1,513)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3,445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4,731</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(1,479)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3,252</w:t>
            </w:r>
          </w:p>
        </w:tc>
      </w:tr>
      <w:tr>
        <w:trPr>
          <w:trHeight w:val="229"/>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2,448</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(1,067)</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2,293</w:t>
            </w:r>
          </w:p>
        </w:tc>
        <w:tc>
          <w:tcPr>
            <w:tcW w:w="1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1,257</w:t>
            </w:r>
          </w:p>
        </w:tc>
      </w:tr>
      <w:tr>
        <w:trPr>
          <w:trHeight w:val="210"/>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24,207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2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2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23,141</w:t>
            </w: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18,865</w:t>
            </w:r>
          </w:p>
        </w:tc>
        <w:tc>
          <w:tcPr>
            <w:tcW w:w="10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Processing and Sales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1,264</w:t>
            </w: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0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w:t>
            </w: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Corporate and Other</w:t>
            </w:r>
          </w:p>
        </w:tc>
        <w:tc>
          <w:tcPr>
            <w:tcW w:w="10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32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25,039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the Company adjusted gross and intercompany operating revenues to reflect the 15% royalty paid by WM Renewable Energy to Collection and Disposal and Corporate and Other businesses for the purchase of landfill gas. There was no change to net operating revenues. Prior periods were recast to conform to current year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5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60" w:type="dxa"/>
            <w:vAlign w:val="bottom"/>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5"/>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60" w:type="dxa"/>
            <w:vAlign w:val="bottom"/>
            <w:gridSpan w:val="10"/>
          </w:tcPr>
          <w:p>
            <w:pPr>
              <w:jc w:val="center"/>
              <w:ind w:right="1050"/>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100" w:type="dxa"/>
            <w:vAlign w:val="bottom"/>
          </w:tcPr>
          <w:p>
            <w:pPr>
              <w:spacing w:after="0"/>
              <w:rPr>
                <w:sz w:val="24"/>
                <w:szCs w:val="24"/>
                <w:color w:val="auto"/>
              </w:rPr>
            </w:pPr>
          </w:p>
        </w:tc>
        <w:tc>
          <w:tcPr>
            <w:tcW w:w="4240" w:type="dxa"/>
            <w:vAlign w:val="bottom"/>
            <w:gridSpan w:val="10"/>
          </w:tcPr>
          <w:p>
            <w:pPr>
              <w:jc w:val="center"/>
              <w:ind w:right="196"/>
              <w:spacing w:after="0"/>
              <w:rPr>
                <w:sz w:val="20"/>
                <w:szCs w:val="20"/>
                <w:color w:val="auto"/>
              </w:rPr>
            </w:pPr>
            <w:r>
              <w:rPr>
                <w:rFonts w:ascii="Times New Roman" w:cs="Times New Roman" w:eastAsia="Times New Roman" w:hAnsi="Times New Roman"/>
                <w:sz w:val="18"/>
                <w:szCs w:val="18"/>
                <w:b w:val="1"/>
                <w:bCs w:val="1"/>
                <w:color w:val="auto"/>
                <w:w w:val="99"/>
              </w:rPr>
              <w:t>Period-to-Period Change for the</w:t>
            </w:r>
          </w:p>
        </w:tc>
        <w:tc>
          <w:tcPr>
            <w:tcW w:w="0" w:type="dxa"/>
            <w:vAlign w:val="bottom"/>
          </w:tcPr>
          <w:p>
            <w:pPr>
              <w:spacing w:after="0"/>
              <w:rPr>
                <w:sz w:val="1"/>
                <w:szCs w:val="1"/>
                <w:color w:val="auto"/>
              </w:rPr>
            </w:pPr>
          </w:p>
        </w:tc>
      </w:t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 2024 vs. 2023</w:t>
            </w:r>
          </w:p>
        </w:tc>
        <w:tc>
          <w:tcPr>
            <w:tcW w:w="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6"/>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December 31, 2024 vs. 2023</w:t>
            </w:r>
          </w:p>
        </w:tc>
        <w:tc>
          <w:tcPr>
            <w:tcW w:w="9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3"/>
          </w:tcPr>
          <w:p>
            <w:pPr>
              <w:jc w:val="center"/>
              <w:ind w:right="296"/>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3"/>
          </w:tcPr>
          <w:p>
            <w:pPr>
              <w:jc w:val="center"/>
              <w:ind w:right="290"/>
              <w:spacing w:after="0" w:line="188" w:lineRule="exact"/>
              <w:rPr>
                <w:sz w:val="20"/>
                <w:szCs w:val="20"/>
                <w:color w:val="auto"/>
              </w:rPr>
            </w:pPr>
            <w:r>
              <w:rPr>
                <w:rFonts w:ascii="Times New Roman" w:cs="Times New Roman" w:eastAsia="Times New Roman" w:hAnsi="Times New Roman"/>
                <w:sz w:val="18"/>
                <w:szCs w:val="18"/>
                <w:b w:val="1"/>
                <w:bCs w:val="1"/>
                <w:color w:val="auto"/>
                <w:w w:val="97"/>
              </w:rPr>
              <w:t>As a % of</w:t>
            </w: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As a % of</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3"/>
          </w:tcPr>
          <w:p>
            <w:pPr>
              <w:jc w:val="center"/>
              <w:ind w:right="296"/>
              <w:spacing w:after="0"/>
              <w:rPr>
                <w:sz w:val="20"/>
                <w:szCs w:val="20"/>
                <w:color w:val="auto"/>
              </w:rPr>
            </w:pPr>
            <w:r>
              <w:rPr>
                <w:rFonts w:ascii="Times New Roman" w:cs="Times New Roman" w:eastAsia="Times New Roman" w:hAnsi="Times New Roman"/>
                <w:sz w:val="18"/>
                <w:szCs w:val="18"/>
                <w:b w:val="1"/>
                <w:bCs w:val="1"/>
                <w:color w:val="auto"/>
              </w:rPr>
              <w:t>Related</w:t>
            </w: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3"/>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Related</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96"/>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5"/>
        </w:trPr>
        <w:tc>
          <w:tcPr>
            <w:tcW w:w="2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4"/>
              </w:rPr>
              <w:t>Business</w:t>
            </w:r>
            <w:r>
              <w:rPr>
                <w:rFonts w:ascii="Times New Roman" w:cs="Times New Roman" w:eastAsia="Times New Roman" w:hAnsi="Times New Roman"/>
                <w:sz w:val="29"/>
                <w:szCs w:val="29"/>
                <w:b w:val="1"/>
                <w:bCs w:val="1"/>
                <w:color w:val="auto"/>
                <w:w w:val="94"/>
                <w:vertAlign w:val="superscript"/>
              </w:rPr>
              <w:t>(a)</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40" w:type="dxa"/>
            <w:vAlign w:val="bottom"/>
          </w:tcPr>
          <w:p>
            <w:pPr>
              <w:spacing w:after="0"/>
              <w:rPr>
                <w:sz w:val="23"/>
                <w:szCs w:val="23"/>
                <w:color w:val="auto"/>
              </w:rPr>
            </w:pPr>
          </w:p>
        </w:tc>
        <w:tc>
          <w:tcPr>
            <w:tcW w:w="1280" w:type="dxa"/>
            <w:vAlign w:val="bottom"/>
            <w:gridSpan w:val="3"/>
          </w:tcPr>
          <w:p>
            <w:pPr>
              <w:jc w:val="center"/>
              <w:ind w:right="110"/>
              <w:spacing w:after="0" w:line="276" w:lineRule="exact"/>
              <w:rPr>
                <w:sz w:val="20"/>
                <w:szCs w:val="20"/>
                <w:color w:val="auto"/>
              </w:rPr>
            </w:pPr>
            <w:r>
              <w:rPr>
                <w:rFonts w:ascii="Times New Roman" w:cs="Times New Roman" w:eastAsia="Times New Roman" w:hAnsi="Times New Roman"/>
                <w:sz w:val="18"/>
                <w:szCs w:val="18"/>
                <w:b w:val="1"/>
                <w:bCs w:val="1"/>
                <w:color w:val="auto"/>
                <w:w w:val="93"/>
              </w:rPr>
              <w:t>Company</w:t>
            </w:r>
            <w:r>
              <w:rPr>
                <w:rFonts w:ascii="Times New Roman" w:cs="Times New Roman" w:eastAsia="Times New Roman" w:hAnsi="Times New Roman"/>
                <w:sz w:val="29"/>
                <w:szCs w:val="29"/>
                <w:b w:val="1"/>
                <w:bCs w:val="1"/>
                <w:color w:val="auto"/>
                <w:w w:val="93"/>
                <w:vertAlign w:val="superscript"/>
              </w:rPr>
              <w:t>(b)</w:t>
            </w:r>
          </w:p>
        </w:tc>
        <w:tc>
          <w:tcPr>
            <w:tcW w:w="100" w:type="dxa"/>
            <w:vAlign w:val="bottom"/>
          </w:tcPr>
          <w:p>
            <w:pPr>
              <w:spacing w:after="0"/>
              <w:rPr>
                <w:sz w:val="23"/>
                <w:szCs w:val="23"/>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3"/>
                <w:szCs w:val="23"/>
                <w:color w:val="auto"/>
              </w:rPr>
            </w:pPr>
          </w:p>
        </w:tc>
        <w:tc>
          <w:tcPr>
            <w:tcW w:w="1280" w:type="dxa"/>
            <w:vAlign w:val="bottom"/>
            <w:gridSpan w:val="3"/>
          </w:tcPr>
          <w:p>
            <w:pPr>
              <w:jc w:val="center"/>
              <w:ind w:right="290"/>
              <w:spacing w:after="0" w:line="276" w:lineRule="exact"/>
              <w:rPr>
                <w:sz w:val="20"/>
                <w:szCs w:val="20"/>
                <w:color w:val="auto"/>
              </w:rPr>
            </w:pPr>
            <w:r>
              <w:rPr>
                <w:rFonts w:ascii="Times New Roman" w:cs="Times New Roman" w:eastAsia="Times New Roman" w:hAnsi="Times New Roman"/>
                <w:sz w:val="18"/>
                <w:szCs w:val="18"/>
                <w:b w:val="1"/>
                <w:bCs w:val="1"/>
                <w:color w:val="auto"/>
                <w:w w:val="92"/>
              </w:rPr>
              <w:t>Business</w:t>
            </w:r>
            <w:r>
              <w:rPr>
                <w:rFonts w:ascii="Times New Roman" w:cs="Times New Roman" w:eastAsia="Times New Roman" w:hAnsi="Times New Roman"/>
                <w:sz w:val="29"/>
                <w:szCs w:val="29"/>
                <w:b w:val="1"/>
                <w:bCs w:val="1"/>
                <w:color w:val="auto"/>
                <w:w w:val="92"/>
                <w:vertAlign w:val="superscript"/>
              </w:rPr>
              <w:t>(a)</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00" w:type="dxa"/>
            <w:vAlign w:val="bottom"/>
            <w:gridSpan w:val="2"/>
          </w:tcPr>
          <w:p>
            <w:pPr>
              <w:jc w:val="center"/>
              <w:ind w:right="76"/>
              <w:spacing w:after="0" w:line="276" w:lineRule="exact"/>
              <w:rPr>
                <w:sz w:val="20"/>
                <w:szCs w:val="20"/>
                <w:color w:val="auto"/>
              </w:rPr>
            </w:pPr>
            <w:r>
              <w:rPr>
                <w:rFonts w:ascii="Times New Roman" w:cs="Times New Roman" w:eastAsia="Times New Roman" w:hAnsi="Times New Roman"/>
                <w:sz w:val="18"/>
                <w:szCs w:val="18"/>
                <w:b w:val="1"/>
                <w:bCs w:val="1"/>
                <w:color w:val="auto"/>
                <w:w w:val="95"/>
              </w:rPr>
              <w:t>Company</w:t>
            </w:r>
            <w:r>
              <w:rPr>
                <w:rFonts w:ascii="Times New Roman" w:cs="Times New Roman" w:eastAsia="Times New Roman" w:hAnsi="Times New Roman"/>
                <w:sz w:val="29"/>
                <w:szCs w:val="29"/>
                <w:b w:val="1"/>
                <w:bCs w:val="1"/>
                <w:color w:val="auto"/>
                <w:w w:val="95"/>
                <w:vertAlign w:val="superscript"/>
              </w:rPr>
              <w:t>(b)</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Collection and disposal</w:t>
            </w: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8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0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Sales and WM Renewable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2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Energy </w:t>
            </w:r>
            <w:r>
              <w:rPr>
                <w:rFonts w:ascii="Times New Roman" w:cs="Times New Roman" w:eastAsia="Times New Roman" w:hAnsi="Times New Roman"/>
                <w:sz w:val="29"/>
                <w:szCs w:val="29"/>
                <w:color w:val="auto"/>
                <w:vertAlign w:val="superscript"/>
              </w:rPr>
              <w:t>(c)</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33</w:t>
            </w:r>
          </w:p>
        </w:tc>
        <w:tc>
          <w:tcPr>
            <w:tcW w:w="126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w:t>
            </w:r>
          </w:p>
        </w:tc>
        <w:tc>
          <w:tcPr>
            <w:tcW w:w="126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Energy surcharges and</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mandated fees</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6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w:t>
            </w:r>
          </w:p>
        </w:tc>
        <w:tc>
          <w:tcPr>
            <w:tcW w:w="12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60" w:type="dxa"/>
            <w:vAlign w:val="bottom"/>
            <w:tcBorders>
              <w:right w:val="single" w:sz="8" w:color="CCEEFF"/>
            </w:tcBorders>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280" w:type="dxa"/>
            <w:vAlign w:val="bottom"/>
          </w:tcPr>
          <w:p>
            <w:pPr>
              <w:ind w:left="180"/>
              <w:spacing w:after="0" w:line="236" w:lineRule="exact"/>
              <w:rPr>
                <w:sz w:val="20"/>
                <w:szCs w:val="20"/>
                <w:color w:val="auto"/>
              </w:rPr>
            </w:pPr>
            <w:r>
              <w:rPr>
                <w:rFonts w:ascii="Times New Roman" w:cs="Times New Roman" w:eastAsia="Times New Roman" w:hAnsi="Times New Roman"/>
                <w:sz w:val="17"/>
                <w:szCs w:val="17"/>
                <w:color w:val="auto"/>
              </w:rPr>
              <w:t xml:space="preserve">Total average yield </w:t>
            </w:r>
            <w:r>
              <w:rPr>
                <w:rFonts w:ascii="Times New Roman" w:cs="Times New Roman" w:eastAsia="Times New Roman" w:hAnsi="Times New Roman"/>
                <w:sz w:val="27"/>
                <w:szCs w:val="27"/>
                <w:color w:val="auto"/>
                <w:vertAlign w:val="superscript"/>
              </w:rPr>
              <w:t>(d)</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12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985</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70"/>
        </w:trPr>
        <w:tc>
          <w:tcPr>
            <w:tcW w:w="2280" w:type="dxa"/>
            <w:vAlign w:val="bottom"/>
            <w:shd w:val="clear" w:color="auto" w:fill="CCEEFF"/>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Volume </w:t>
            </w:r>
            <w:r>
              <w:rPr>
                <w:rFonts w:ascii="Times New Roman" w:cs="Times New Roman" w:eastAsia="Times New Roman" w:hAnsi="Times New Roman"/>
                <w:sz w:val="29"/>
                <w:szCs w:val="29"/>
                <w:color w:val="auto"/>
                <w:vertAlign w:val="superscript"/>
              </w:rPr>
              <w:t>(e)</w:t>
            </w: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2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revenue growth</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476</w:t>
            </w:r>
          </w:p>
        </w:tc>
        <w:tc>
          <w:tcPr>
            <w:tcW w:w="1280" w:type="dxa"/>
            <w:vAlign w:val="bottom"/>
            <w:gridSpan w:val="3"/>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584</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Divestitures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28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110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w:t>
            </w:r>
          </w:p>
        </w:tc>
        <w:tc>
          <w:tcPr>
            <w:tcW w:w="128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1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1,637</w:t>
            </w:r>
          </w:p>
        </w:tc>
        <w:tc>
          <w:tcPr>
            <w:tcW w:w="12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jc w:val="center"/>
        <w:ind w:left="5420"/>
        <w:spacing w:after="0"/>
        <w:rPr>
          <w:sz w:val="20"/>
          <w:szCs w:val="20"/>
          <w:color w:val="auto"/>
        </w:rPr>
      </w:pPr>
      <w:r>
        <w:rPr>
          <w:rFonts w:ascii="Times New Roman" w:cs="Times New Roman" w:eastAsia="Times New Roman" w:hAnsi="Times New Roman"/>
          <w:sz w:val="18"/>
          <w:szCs w:val="18"/>
          <w:b w:val="1"/>
          <w:bCs w:val="1"/>
          <w:color w:val="auto"/>
        </w:rPr>
        <w:t>Period-to-Period Change for the</w:t>
      </w:r>
    </w:p>
    <w:p>
      <w:pPr>
        <w:spacing w:after="0" w:line="31"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jc w:val="center"/>
        <w:ind w:left="5420"/>
        <w:spacing w:after="0"/>
        <w:rPr>
          <w:sz w:val="20"/>
          <w:szCs w:val="20"/>
          <w:color w:val="auto"/>
        </w:rPr>
      </w:pPr>
      <w:r>
        <w:rPr>
          <w:rFonts w:ascii="Times New Roman" w:cs="Times New Roman" w:eastAsia="Times New Roman" w:hAnsi="Times New Roman"/>
          <w:sz w:val="18"/>
          <w:szCs w:val="18"/>
          <w:b w:val="1"/>
          <w:bCs w:val="1"/>
          <w:color w:val="auto"/>
        </w:rPr>
        <w:t>December 31, 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5715</wp:posOffset>
            </wp:positionV>
            <wp:extent cx="170561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ind w:left="5540"/>
        <w:spacing w:after="0" w:line="211" w:lineRule="auto"/>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-8255</wp:posOffset>
            </wp:positionV>
            <wp:extent cx="170561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ind w:left="5720"/>
        <w:spacing w:after="0" w:line="184" w:lineRule="auto"/>
        <w:tabs>
          <w:tab w:leader="none" w:pos="702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(f)</w:t>
      </w:r>
    </w:p>
    <w:p>
      <w:pPr>
        <w:spacing w:after="0" w:line="20" w:lineRule="exact"/>
        <w:rPr>
          <w:sz w:val="20"/>
          <w:szCs w:val="20"/>
          <w:color w:val="auto"/>
        </w:rPr>
      </w:pPr>
      <w:r>
        <w:rPr>
          <w:sz w:val="20"/>
          <w:szCs w:val="20"/>
          <w:color w:val="auto"/>
        </w:rPr>
        <w:br w:type="column"/>
      </w: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December 31, 2024 vs.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5715</wp:posOffset>
            </wp:positionV>
            <wp:extent cx="170624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ind w:left="100"/>
        <w:spacing w:after="0" w:line="211" w:lineRule="auto"/>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-8255</wp:posOffset>
            </wp:positionV>
            <wp:extent cx="17062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06245" cy="8890"/>
                    </a:xfrm>
                    <a:prstGeom prst="rect">
                      <a:avLst/>
                    </a:prstGeom>
                    <a:noFill/>
                  </pic:spPr>
                </pic:pic>
              </a:graphicData>
            </a:graphic>
          </wp:anchor>
        </w:drawing>
      </w:r>
    </w:p>
    <w:p>
      <w:pPr>
        <w:ind w:left="300"/>
        <w:spacing w:after="0" w:line="184" w:lineRule="auto"/>
        <w:tabs>
          <w:tab w:leader="none" w:pos="160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(f)</w:t>
      </w:r>
    </w:p>
    <w:p>
      <w:pPr>
        <w:spacing w:after="0" w:line="20" w:lineRule="exact"/>
        <w:rPr>
          <w:sz w:val="20"/>
          <w:szCs w:val="20"/>
          <w:color w:val="auto"/>
        </w:rPr>
      </w:pPr>
    </w:p>
    <w:p>
      <w:pPr>
        <w:sectPr>
          <w:pgSz w:w="11900" w:h="16838" w:orient="portrait"/>
          <w:cols w:equalWidth="0" w:num="2">
            <w:col w:w="7920" w:space="520"/>
            <w:col w:w="280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0"/>
        </w:trPr>
        <w:tc>
          <w:tcPr>
            <w:tcW w:w="5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148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5.9%</w:t>
            </w:r>
          </w:p>
        </w:tc>
        <w:tc>
          <w:tcPr>
            <w:tcW w:w="1540" w:type="dxa"/>
            <w:vAlign w:val="bottom"/>
            <w:gridSpan w:val="2"/>
            <w:shd w:val="clear" w:color="auto" w:fill="CCEEFF"/>
          </w:tcPr>
          <w:p>
            <w:pPr>
              <w:jc w:val="right"/>
              <w:ind w:right="180"/>
              <w:spacing w:after="0" w:line="189" w:lineRule="exact"/>
              <w:rPr>
                <w:sz w:val="20"/>
                <w:szCs w:val="20"/>
                <w:color w:val="auto"/>
              </w:rPr>
            </w:pPr>
            <w:r>
              <w:rPr>
                <w:rFonts w:ascii="Times New Roman" w:cs="Times New Roman" w:eastAsia="Times New Roman" w:hAnsi="Times New Roman"/>
                <w:sz w:val="18"/>
                <w:szCs w:val="18"/>
                <w:color w:val="auto"/>
              </w:rPr>
              <w:t>0.3%</w:t>
            </w:r>
          </w:p>
        </w:tc>
        <w:tc>
          <w:tcPr>
            <w:tcW w:w="146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auto"/>
              </w:rPr>
              <w:t>0.8%</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4.7</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6.7</w:t>
            </w: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5.5</w:t>
            </w: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2.8</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4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4.1</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0.0</w:t>
            </w:r>
          </w:p>
        </w:tc>
        <w:tc>
          <w:tcPr>
            <w:tcW w:w="146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4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4.4%</w:t>
            </w: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w:t>
            </w:r>
          </w:p>
        </w:tc>
        <w:tc>
          <w:tcPr>
            <w:tcW w:w="146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ind w:left="340" w:right="440" w:hanging="332"/>
        <w:spacing w:after="0" w:line="282" w:lineRule="auto"/>
        <w:tabs>
          <w:tab w:leader="none" w:pos="30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related business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by the prior year’s total Company revenue adjusted to exclude the impacts of divestitures for the current year.</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6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4220" w:type="dxa"/>
            <w:vAlign w:val="bottom"/>
          </w:tcPr>
          <w:p>
            <w:pPr>
              <w:spacing w:after="0"/>
              <w:rPr>
                <w:sz w:val="24"/>
                <w:szCs w:val="24"/>
                <w:color w:val="auto"/>
              </w:rPr>
            </w:pP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26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268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4"/>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5,390</w:t>
            </w:r>
          </w:p>
        </w:tc>
        <w:tc>
          <w:tcPr>
            <w:tcW w:w="180" w:type="dxa"/>
            <w:vAlign w:val="bottom"/>
            <w:shd w:val="clear" w:color="auto" w:fill="CCEEFF"/>
          </w:tcPr>
          <w:p>
            <w:pPr>
              <w:spacing w:after="0"/>
              <w:rPr>
                <w:sz w:val="18"/>
                <w:szCs w:val="18"/>
                <w:color w:val="auto"/>
              </w:rPr>
            </w:pPr>
          </w:p>
        </w:tc>
        <w:tc>
          <w:tcPr>
            <w:tcW w:w="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(736)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(2,281)</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divested</w:t>
            </w:r>
          </w:p>
        </w:tc>
        <w:tc>
          <w:tcPr>
            <w:tcW w:w="1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3,267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(950)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3"/>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right"/>
              <w:ind w:right="16"/>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125.0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122.8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2,622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2,917</w:t>
            </w:r>
          </w:p>
        </w:tc>
        <w:tc>
          <w:tcPr>
            <w:tcW w:w="18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 cash</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acquired</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6,706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7,479</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18"/>
                <w:szCs w:val="18"/>
                <w:color w:val="auto"/>
              </w:rPr>
            </w:pPr>
          </w:p>
        </w:tc>
        <w:tc>
          <w:tcPr>
            <w:tcW w:w="320" w:type="dxa"/>
            <w:vAlign w:val="bottom"/>
            <w:gridSpan w:val="2"/>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gridSpan w:val="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 other</w:t>
            </w: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items from prior periods, net of cash acquired</w:t>
            </w:r>
          </w:p>
        </w:tc>
        <w:tc>
          <w:tcPr>
            <w:tcW w:w="1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6,713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7,503</w:t>
            </w:r>
          </w:p>
        </w:tc>
        <w:tc>
          <w:tcPr>
            <w:tcW w:w="1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Landfill Depletion and Accretion Expenses: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4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6"/>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gridSpan w:val="8"/>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60" w:type="dxa"/>
            <w:vAlign w:val="bottom"/>
            <w:gridSpan w:val="10"/>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3"/>
        </w:trPr>
        <w:tc>
          <w:tcPr>
            <w:tcW w:w="422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basis of landfill assets</w:t>
            </w:r>
          </w:p>
        </w:tc>
        <w:tc>
          <w:tcPr>
            <w:tcW w:w="150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159</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633</w:t>
            </w:r>
          </w:p>
        </w:tc>
        <w:tc>
          <w:tcPr>
            <w:tcW w:w="420" w:type="dxa"/>
            <w:vAlign w:val="bottom"/>
            <w:gridSpan w:val="3"/>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 retirement costs</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vMerge w:val="restart"/>
          </w:tcPr>
          <w:p>
            <w:pPr>
              <w:ind w:left="34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220" w:type="dxa"/>
            <w:vAlign w:val="bottom"/>
            <w:vMerge w:val="continue"/>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795</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745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300" w:type="dxa"/>
            <w:vAlign w:val="bottom"/>
            <w:gridSpan w:val="2"/>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60" w:type="dxa"/>
            <w:vAlign w:val="bottom"/>
            <w:tcBorders>
              <w:top w:val="single" w:sz="8" w:color="auto"/>
            </w:tcBorders>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both the fourth quarter of 2024 and the year ended December 31, 2024, the increase in landfill depletion expense was driven by changes in depletion rates from revisions in landfill estimates and volume increases, partially offset by the closure of a landfill in our East Tier.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7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December 31, 2024</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36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Income</w:t>
            </w:r>
            <w:r>
              <w:rPr>
                <w:rFonts w:ascii="Times New Roman" w:cs="Times New Roman" w:eastAsia="Times New Roman" w:hAnsi="Times New Roman"/>
                <w:sz w:val="29"/>
                <w:szCs w:val="29"/>
                <w:b w:val="1"/>
                <w:bCs w:val="1"/>
                <w:color w:val="auto"/>
                <w:w w:val="95"/>
                <w:vertAlign w:val="superscript"/>
              </w:rPr>
              <w:t>(a)</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919</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700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46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w w:val="88"/>
              </w:rPr>
              <w:t>142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1,054</w:t>
            </w:r>
          </w:p>
        </w:tc>
        <w:tc>
          <w:tcPr>
            <w:tcW w:w="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842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688</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652</w:t>
            </w: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73"/>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10"/>
          </w:tcPr>
          <w:p>
            <w:pPr>
              <w:ind w:left="100"/>
              <w:spacing w:after="0"/>
              <w:rPr>
                <w:sz w:val="20"/>
                <w:szCs w:val="20"/>
                <w:color w:val="auto"/>
              </w:rPr>
            </w:pPr>
            <w:r>
              <w:rPr>
                <w:rFonts w:ascii="Times New Roman" w:cs="Times New Roman" w:eastAsia="Times New Roman" w:hAnsi="Times New Roman"/>
                <w:sz w:val="18"/>
                <w:szCs w:val="18"/>
                <w:b w:val="1"/>
                <w:bCs w:val="1"/>
                <w:color w:val="auto"/>
              </w:rPr>
              <w:t>Three Months Ended December 31, 2023</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36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ind w:left="10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gridSpan w:val="2"/>
          </w:tcPr>
          <w:p>
            <w:pPr>
              <w:jc w:val="center"/>
              <w:ind w:right="28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Income</w:t>
            </w:r>
            <w:r>
              <w:rPr>
                <w:rFonts w:ascii="Times New Roman" w:cs="Times New Roman" w:eastAsia="Times New Roman" w:hAnsi="Times New Roman"/>
                <w:sz w:val="29"/>
                <w:szCs w:val="29"/>
                <w:b w:val="1"/>
                <w:bCs w:val="1"/>
                <w:color w:val="auto"/>
                <w:w w:val="95"/>
                <w:vertAlign w:val="superscript"/>
              </w:rPr>
              <w:t>(a)</w:t>
            </w:r>
          </w:p>
        </w:tc>
        <w:tc>
          <w:tcPr>
            <w:tcW w:w="13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644</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620" w:type="dxa"/>
            <w:vAlign w:val="bottom"/>
            <w:shd w:val="clear" w:color="auto" w:fill="CCEEFF"/>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(c)</w:t>
            </w: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247</w:t>
            </w:r>
          </w:p>
        </w:tc>
        <w:tc>
          <w:tcPr>
            <w:tcW w:w="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210</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0.52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2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1,032</w:t>
            </w:r>
          </w:p>
        </w:tc>
        <w:tc>
          <w:tcPr>
            <w:tcW w:w="6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8"/>
                <w:szCs w:val="18"/>
                <w:b w:val="1"/>
                <w:bCs w:val="1"/>
                <w:color w:val="auto"/>
                <w:w w:val="88"/>
              </w:rPr>
              <w:t>891</w:t>
            </w:r>
          </w:p>
        </w:tc>
        <w:tc>
          <w:tcPr>
            <w:tcW w:w="12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w:t>
            </w:r>
          </w:p>
        </w:tc>
        <w:tc>
          <w:tcPr>
            <w:tcW w:w="1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703</w:t>
            </w:r>
          </w:p>
        </w:tc>
        <w:tc>
          <w:tcPr>
            <w:tcW w:w="14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526</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1,558</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0" w:lineRule="exact"/>
        <w:rPr>
          <w:sz w:val="20"/>
          <w:szCs w:val="20"/>
          <w:color w:val="auto"/>
        </w:rPr>
      </w:pPr>
    </w:p>
    <w:p>
      <w:pPr>
        <w:ind w:left="34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a charge of $13 million to adjust an indirect wholly-owned subsidiary’s estimated potential share of the liability for a proposed environmental remediation plan at a closed site. The tax expense and net income amounts also include a benefit from the determination that a realized loss from a prior period is deductible for tax purposes.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(i) a $168 million goodwill impairment charge related to a business engaged in accelerating film and plastic wrap recycling capabilities, which was partially offset by the recognition of $46 million of income related to the reversal of contingent consideration associated with our investment in such business, (ii) $107 million of impairment charges for certain investments in waste diversion technology businesses, and (iii) a $17 million charge to adjust an indirect wholly-owned subsidiary's estimated potential share of the liability for a proposed environmental remediation plan at a closed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gridSpan w:val="1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100" w:type="dxa"/>
            <w:vAlign w:val="bottom"/>
          </w:tcPr>
          <w:p>
            <w:pPr>
              <w:spacing w:after="0"/>
              <w:rPr>
                <w:sz w:val="10"/>
                <w:szCs w:val="10"/>
                <w:color w:val="auto"/>
              </w:rPr>
            </w:pPr>
          </w:p>
        </w:tc>
        <w:tc>
          <w:tcPr>
            <w:tcW w:w="80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33"/>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0"/>
                <w:szCs w:val="10"/>
                <w:color w:val="auto"/>
              </w:rPr>
            </w:pPr>
          </w:p>
        </w:tc>
        <w:tc>
          <w:tcPr>
            <w:tcW w:w="1080" w:type="dxa"/>
            <w:vAlign w:val="bottom"/>
            <w:gridSpan w:val="5"/>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Total WM</w:t>
            </w:r>
          </w:p>
        </w:tc>
        <w:tc>
          <w:tcPr>
            <w:tcW w:w="8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4"/>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gridSpan w:val="2"/>
          </w:tcPr>
          <w:p>
            <w:pPr>
              <w:jc w:val="center"/>
              <w:ind w:right="33"/>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5"/>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center"/>
              <w:ind w:right="400"/>
              <w:spacing w:after="0" w:line="159" w:lineRule="exact"/>
              <w:rPr>
                <w:sz w:val="20"/>
                <w:szCs w:val="20"/>
                <w:color w:val="auto"/>
              </w:rPr>
            </w:pPr>
            <w:r>
              <w:rPr>
                <w:rFonts w:ascii="Times New Roman" w:cs="Times New Roman" w:eastAsia="Times New Roman" w:hAnsi="Times New Roman"/>
                <w:sz w:val="14"/>
                <w:szCs w:val="14"/>
                <w:b w:val="1"/>
                <w:bCs w:val="1"/>
                <w:color w:val="auto"/>
              </w:rPr>
              <w:t>Legacy</w:t>
            </w:r>
          </w:p>
        </w:tc>
        <w:tc>
          <w:tcPr>
            <w:tcW w:w="8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1320" w:type="dxa"/>
            <w:vAlign w:val="bottom"/>
            <w:gridSpan w:val="5"/>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and Disposal</w:t>
            </w:r>
            <w:r>
              <w:rPr>
                <w:rFonts w:ascii="Times New Roman" w:cs="Times New Roman" w:eastAsia="Times New Roman" w:hAnsi="Times New Roman"/>
                <w:sz w:val="23"/>
                <w:szCs w:val="23"/>
                <w:b w:val="1"/>
                <w:bCs w:val="1"/>
                <w:color w:val="auto"/>
                <w:vertAlign w:val="superscript"/>
              </w:rPr>
              <w:t>(a)(b)</w:t>
            </w:r>
          </w:p>
        </w:tc>
        <w:tc>
          <w:tcPr>
            <w:tcW w:w="900" w:type="dxa"/>
            <w:vAlign w:val="bottom"/>
            <w:gridSpan w:val="5"/>
          </w:tcPr>
          <w:p>
            <w:pPr>
              <w:jc w:val="center"/>
              <w:ind w:right="20"/>
              <w:spacing w:after="0" w:line="203" w:lineRule="exact"/>
              <w:rPr>
                <w:sz w:val="20"/>
                <w:szCs w:val="20"/>
                <w:color w:val="auto"/>
              </w:rPr>
            </w:pPr>
            <w:r>
              <w:rPr>
                <w:rFonts w:ascii="Times New Roman" w:cs="Times New Roman" w:eastAsia="Times New Roman" w:hAnsi="Times New Roman"/>
                <w:sz w:val="14"/>
                <w:szCs w:val="14"/>
                <w:b w:val="1"/>
                <w:bCs w:val="1"/>
                <w:color w:val="auto"/>
                <w:w w:val="96"/>
              </w:rPr>
              <w:t>and Sales</w:t>
            </w:r>
            <w:r>
              <w:rPr>
                <w:rFonts w:ascii="Times New Roman" w:cs="Times New Roman" w:eastAsia="Times New Roman" w:hAnsi="Times New Roman"/>
                <w:sz w:val="23"/>
                <w:szCs w:val="23"/>
                <w:b w:val="1"/>
                <w:bCs w:val="1"/>
                <w:color w:val="auto"/>
                <w:w w:val="96"/>
                <w:vertAlign w:val="superscript"/>
              </w:rPr>
              <w:t>(a)</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33"/>
              <w:spacing w:after="0" w:line="203" w:lineRule="exact"/>
              <w:rPr>
                <w:sz w:val="20"/>
                <w:szCs w:val="20"/>
                <w:color w:val="auto"/>
              </w:rPr>
            </w:pPr>
            <w:r>
              <w:rPr>
                <w:rFonts w:ascii="Times New Roman" w:cs="Times New Roman" w:eastAsia="Times New Roman" w:hAnsi="Times New Roman"/>
                <w:sz w:val="14"/>
                <w:szCs w:val="14"/>
                <w:b w:val="1"/>
                <w:bCs w:val="1"/>
                <w:color w:val="auto"/>
                <w:w w:val="93"/>
              </w:rPr>
              <w:t>Energy</w:t>
            </w:r>
            <w:r>
              <w:rPr>
                <w:rFonts w:ascii="Times New Roman" w:cs="Times New Roman" w:eastAsia="Times New Roman" w:hAnsi="Times New Roman"/>
                <w:sz w:val="23"/>
                <w:szCs w:val="23"/>
                <w:b w:val="1"/>
                <w:bCs w:val="1"/>
                <w:color w:val="auto"/>
                <w:w w:val="93"/>
                <w:vertAlign w:val="superscript"/>
              </w:rPr>
              <w:t>(b)</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revenues, as reported</w:t>
            </w: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4,994</w:t>
            </w: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398</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5,490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5,893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1,380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17</w:t>
            </w:r>
          </w:p>
        </w:tc>
        <w:tc>
          <w:tcPr>
            <w:tcW w:w="3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w:t>
            </w:r>
          </w:p>
        </w:tc>
        <w:tc>
          <w:tcPr>
            <w:tcW w:w="3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(441)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ind w:right="1"/>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988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919</w:t>
            </w:r>
          </w:p>
        </w:tc>
        <w:tc>
          <w:tcPr>
            <w:tcW w:w="0" w:type="dxa"/>
            <w:vAlign w:val="bottom"/>
          </w:tcPr>
          <w:p>
            <w:pPr>
              <w:spacing w:after="0"/>
              <w:rPr>
                <w:sz w:val="1"/>
                <w:szCs w:val="1"/>
                <w:color w:val="auto"/>
              </w:rPr>
            </w:pPr>
          </w:p>
        </w:tc>
      </w:tr>
      <w:tr>
        <w:trPr>
          <w:trHeight w:val="162"/>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484</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38</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579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1,864</w:t>
            </w:r>
          </w:p>
        </w:tc>
        <w:tc>
          <w:tcPr>
            <w:tcW w:w="2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(394)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jc w:val="right"/>
              <w:ind w:right="1"/>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1,567</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1,571</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Stericycle transaction and integration costs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56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from asset impairments and other, net</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135</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2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1,869</w:t>
            </w:r>
          </w:p>
        </w:tc>
        <w:tc>
          <w:tcPr>
            <w:tcW w:w="22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 w:type="dxa"/>
            <w:vAlign w:val="bottom"/>
            <w:tcBorders>
              <w:bottom w:val="single" w:sz="8" w:color="auto"/>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(324</w:t>
            </w:r>
          </w:p>
        </w:tc>
        <w:tc>
          <w:tcPr>
            <w:tcW w:w="12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gridSpan w:val="2"/>
            <w:shd w:val="clear" w:color="auto" w:fill="CCEEFF"/>
          </w:tcPr>
          <w:p>
            <w:pPr>
              <w:jc w:val="right"/>
              <w:ind w:right="1"/>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1,645</w:t>
            </w:r>
          </w:p>
        </w:tc>
        <w:tc>
          <w:tcPr>
            <w:tcW w:w="4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1,706</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37.3%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7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26.7%</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37.4%</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45.2%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30.0%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0" w:type="dxa"/>
            <w:vAlign w:val="bottom"/>
          </w:tcPr>
          <w:p>
            <w:pPr>
              <w:spacing w:after="0"/>
              <w:rPr>
                <w:sz w:val="1"/>
                <w:szCs w:val="1"/>
                <w:color w:val="auto"/>
              </w:rPr>
            </w:pPr>
          </w:p>
        </w:tc>
      </w:tr>
      <w:tr>
        <w:trPr>
          <w:trHeight w:val="363"/>
        </w:trPr>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15"/>
          </w:tcPr>
          <w:p>
            <w:pPr>
              <w:jc w:val="center"/>
              <w:ind w:right="439"/>
              <w:spacing w:after="0"/>
              <w:rPr>
                <w:sz w:val="20"/>
                <w:szCs w:val="20"/>
                <w:color w:val="auto"/>
              </w:rPr>
            </w:pPr>
            <w:r>
              <w:rPr>
                <w:rFonts w:ascii="Times New Roman" w:cs="Times New Roman" w:eastAsia="Times New Roman" w:hAnsi="Times New Roman"/>
                <w:sz w:val="14"/>
                <w:szCs w:val="14"/>
                <w:b w:val="1"/>
                <w:bCs w:val="1"/>
                <w:color w:val="auto"/>
              </w:rPr>
              <w:t>Three Months Ended December 31, 2023</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100" w:type="dxa"/>
            <w:vAlign w:val="bottom"/>
          </w:tcPr>
          <w:p>
            <w:pPr>
              <w:spacing w:after="0"/>
              <w:rPr>
                <w:sz w:val="10"/>
                <w:szCs w:val="10"/>
                <w:color w:val="auto"/>
              </w:rPr>
            </w:pPr>
          </w:p>
        </w:tc>
        <w:tc>
          <w:tcPr>
            <w:tcW w:w="700" w:type="dxa"/>
            <w:vAlign w:val="bottom"/>
          </w:tcPr>
          <w:p>
            <w:pPr>
              <w:jc w:val="center"/>
              <w:ind w:left="73"/>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3"/>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5"/>
          </w:tcPr>
          <w:p>
            <w:pPr>
              <w:jc w:val="center"/>
              <w:ind w:right="188"/>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Pr>
          <w:p>
            <w:pPr>
              <w:spacing w:after="0"/>
              <w:rPr>
                <w:sz w:val="13"/>
                <w:szCs w:val="13"/>
                <w:color w:val="auto"/>
              </w:rPr>
            </w:pPr>
          </w:p>
        </w:tc>
        <w:tc>
          <w:tcPr>
            <w:tcW w:w="1060" w:type="dxa"/>
            <w:vAlign w:val="bottom"/>
            <w:gridSpan w:val="4"/>
          </w:tcPr>
          <w:p>
            <w:pPr>
              <w:jc w:val="center"/>
              <w:ind w:right="163"/>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4"/>
          </w:tcPr>
          <w:p>
            <w:pPr>
              <w:spacing w:after="0" w:line="203" w:lineRule="exact"/>
              <w:rPr>
                <w:sz w:val="20"/>
                <w:szCs w:val="20"/>
                <w:color w:val="auto"/>
              </w:rPr>
            </w:pPr>
            <w:r>
              <w:rPr>
                <w:rFonts w:ascii="Times New Roman" w:cs="Times New Roman" w:eastAsia="Times New Roman" w:hAnsi="Times New Roman"/>
                <w:sz w:val="14"/>
                <w:szCs w:val="14"/>
                <w:b w:val="1"/>
                <w:bCs w:val="1"/>
                <w:color w:val="auto"/>
                <w:w w:val="97"/>
              </w:rPr>
              <w:t>and Disposal</w:t>
            </w:r>
            <w:r>
              <w:rPr>
                <w:rFonts w:ascii="Times New Roman" w:cs="Times New Roman" w:eastAsia="Times New Roman" w:hAnsi="Times New Roman"/>
                <w:sz w:val="23"/>
                <w:szCs w:val="23"/>
                <w:b w:val="1"/>
                <w:bCs w:val="1"/>
                <w:color w:val="auto"/>
                <w:w w:val="97"/>
                <w:vertAlign w:val="superscript"/>
              </w:rPr>
              <w:t>(a)(b)</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center"/>
              <w:ind w:right="188"/>
              <w:spacing w:after="0" w:line="203" w:lineRule="exact"/>
              <w:rPr>
                <w:sz w:val="20"/>
                <w:szCs w:val="20"/>
                <w:color w:val="auto"/>
              </w:rPr>
            </w:pPr>
            <w:r>
              <w:rPr>
                <w:rFonts w:ascii="Times New Roman" w:cs="Times New Roman" w:eastAsia="Times New Roman" w:hAnsi="Times New Roman"/>
                <w:sz w:val="14"/>
                <w:szCs w:val="14"/>
                <w:b w:val="1"/>
                <w:bCs w:val="1"/>
                <w:color w:val="auto"/>
                <w:w w:val="96"/>
              </w:rPr>
              <w:t>and Sales</w:t>
            </w:r>
            <w:r>
              <w:rPr>
                <w:rFonts w:ascii="Times New Roman" w:cs="Times New Roman" w:eastAsia="Times New Roman" w:hAnsi="Times New Roman"/>
                <w:sz w:val="23"/>
                <w:szCs w:val="23"/>
                <w:b w:val="1"/>
                <w:bCs w:val="1"/>
                <w:color w:val="auto"/>
                <w:w w:val="96"/>
                <w:vertAlign w:val="superscript"/>
              </w:rPr>
              <w:t>(a)</w:t>
            </w:r>
          </w:p>
        </w:tc>
        <w:tc>
          <w:tcPr>
            <w:tcW w:w="100" w:type="dxa"/>
            <w:vAlign w:val="bottom"/>
          </w:tcPr>
          <w:p>
            <w:pPr>
              <w:spacing w:after="0"/>
              <w:rPr>
                <w:sz w:val="17"/>
                <w:szCs w:val="17"/>
                <w:color w:val="auto"/>
              </w:rPr>
            </w:pPr>
          </w:p>
        </w:tc>
        <w:tc>
          <w:tcPr>
            <w:tcW w:w="1060" w:type="dxa"/>
            <w:vAlign w:val="bottom"/>
            <w:gridSpan w:val="4"/>
          </w:tcPr>
          <w:p>
            <w:pPr>
              <w:jc w:val="center"/>
              <w:ind w:right="163"/>
              <w:spacing w:after="0" w:line="203" w:lineRule="exact"/>
              <w:rPr>
                <w:sz w:val="20"/>
                <w:szCs w:val="20"/>
                <w:color w:val="auto"/>
              </w:rPr>
            </w:pPr>
            <w:r>
              <w:rPr>
                <w:rFonts w:ascii="Times New Roman" w:cs="Times New Roman" w:eastAsia="Times New Roman" w:hAnsi="Times New Roman"/>
                <w:sz w:val="14"/>
                <w:szCs w:val="14"/>
                <w:b w:val="1"/>
                <w:bCs w:val="1"/>
                <w:color w:val="auto"/>
                <w:w w:val="96"/>
              </w:rPr>
              <w:t>Energy</w:t>
            </w:r>
            <w:r>
              <w:rPr>
                <w:rFonts w:ascii="Times New Roman" w:cs="Times New Roman" w:eastAsia="Times New Roman" w:hAnsi="Times New Roman"/>
                <w:sz w:val="23"/>
                <w:szCs w:val="23"/>
                <w:b w:val="1"/>
                <w:bCs w:val="1"/>
                <w:color w:val="auto"/>
                <w:w w:val="96"/>
                <w:vertAlign w:val="superscript"/>
              </w:rPr>
              <w:t>(b)</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revenues, as reported</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4,787</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349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75</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5,217</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3"/>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34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1,325</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4"/>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(99)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7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28</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3"/>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(469)</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785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9"/>
              </w:rPr>
              <w:t>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1,773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36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(429)</w:t>
            </w: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1,311</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from asset impairments and other, net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gridSpan w:val="3"/>
          </w:tcPr>
          <w:p>
            <w:pPr>
              <w:jc w:val="right"/>
              <w:ind w:right="143"/>
              <w:spacing w:after="0"/>
              <w:rPr>
                <w:sz w:val="20"/>
                <w:szCs w:val="20"/>
                <w:color w:val="auto"/>
              </w:rPr>
            </w:pPr>
            <w:r>
              <w:rPr>
                <w:rFonts w:ascii="Times New Roman" w:cs="Times New Roman" w:eastAsia="Times New Roman" w:hAnsi="Times New Roman"/>
                <w:sz w:val="14"/>
                <w:szCs w:val="14"/>
                <w:color w:val="auto"/>
                <w:w w:val="99"/>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color w:val="auto"/>
              </w:rPr>
              <w:t>125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247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20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20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1,773</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53</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700" w:type="dxa"/>
            <w:vAlign w:val="bottom"/>
            <w:tcBorders>
              <w:top w:val="single" w:sz="8" w:color="auto"/>
              <w:bottom w:val="single" w:sz="8" w:color="auto"/>
            </w:tcBorders>
            <w:shd w:val="clear" w:color="auto" w:fill="CCEEFF"/>
          </w:tcPr>
          <w:p>
            <w:pPr>
              <w:jc w:val="right"/>
              <w:ind w:right="57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9"/>
              </w:rPr>
              <w:t>36</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(304</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6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1,558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(19.8)%</w:t>
            </w:r>
          </w:p>
        </w:tc>
        <w:tc>
          <w:tcPr>
            <w:tcW w:w="1160" w:type="dxa"/>
            <w:vAlign w:val="bottom"/>
            <w:gridSpan w:val="5"/>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48.0%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2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37.0%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15.2%</w:t>
            </w:r>
          </w:p>
        </w:tc>
        <w:tc>
          <w:tcPr>
            <w:tcW w:w="1160" w:type="dxa"/>
            <w:vAlign w:val="bottom"/>
            <w:gridSpan w:val="5"/>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48.0%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29.9%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340" w:hanging="332"/>
        <w:spacing w:after="0" w:line="260"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total amount of such fees in income from operations for the three months ended December 31, 2024 and 2023 is $23 million and $19 million, respectively.</w:t>
      </w:r>
    </w:p>
    <w:p>
      <w:pPr>
        <w:spacing w:after="0" w:line="18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businesses for landfill gas. The total amount of royalties in income from operations for the three months ended December 31, 2024 and 2023 is $14 million and $11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620" w:type="dxa"/>
            <w:vAlign w:val="bottom"/>
          </w:tcPr>
          <w:p>
            <w:pPr>
              <w:spacing w:after="0"/>
              <w:rPr>
                <w:sz w:val="16"/>
                <w:szCs w:val="16"/>
                <w:color w:val="auto"/>
              </w:rPr>
            </w:pPr>
          </w:p>
        </w:tc>
        <w:tc>
          <w:tcPr>
            <w:tcW w:w="136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r>
      <w:tr>
        <w:trPr>
          <w:trHeight w:val="275"/>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Income</w:t>
            </w:r>
            <w:r>
              <w:rPr>
                <w:rFonts w:ascii="Times New Roman" w:cs="Times New Roman" w:eastAsia="Times New Roman" w:hAnsi="Times New Roman"/>
                <w:sz w:val="29"/>
                <w:szCs w:val="29"/>
                <w:b w:val="1"/>
                <w:bCs w:val="1"/>
                <w:color w:val="auto"/>
                <w:w w:val="95"/>
                <w:vertAlign w:val="superscript"/>
              </w:rPr>
              <w:t>(a)</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Share Amount</w:t>
            </w: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4,063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713</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on early extinguishment of debt</w:t>
            </w:r>
          </w:p>
        </w:tc>
        <w:tc>
          <w:tcPr>
            <w:tcW w:w="12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0"/>
        </w:trPr>
        <w:tc>
          <w:tcPr>
            <w:tcW w:w="46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(b)</w:t>
            </w:r>
          </w:p>
        </w:tc>
        <w:tc>
          <w:tcPr>
            <w:tcW w:w="12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72</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9"/>
        </w:trPr>
        <w:tc>
          <w:tcPr>
            <w:tcW w:w="4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4,296</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3,698</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2,916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w:t>
            </w:r>
          </w:p>
        </w:tc>
        <w:tc>
          <w:tcPr>
            <w:tcW w:w="100" w:type="dxa"/>
            <w:vAlign w:val="bottom"/>
            <w:tcBorders>
              <w:bottom w:val="single" w:sz="8" w:color="CCEEFF"/>
            </w:tcBorders>
          </w:tcPr>
          <w:p>
            <w:pPr>
              <w:spacing w:after="0"/>
              <w:rPr>
                <w:sz w:val="22"/>
                <w:szCs w:val="22"/>
                <w:color w:val="auto"/>
              </w:rPr>
            </w:pPr>
          </w:p>
        </w:tc>
      </w:tr>
      <w:tr>
        <w:trPr>
          <w:trHeight w:val="197"/>
        </w:trPr>
        <w:tc>
          <w:tcPr>
            <w:tcW w:w="462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2,267</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6,563</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7"/>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29.7%</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0"/>
        </w:trPr>
        <w:tc>
          <w:tcPr>
            <w:tcW w:w="46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ind w:left="46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1"/>
        </w:trPr>
        <w:tc>
          <w:tcPr>
            <w:tcW w:w="4620" w:type="dxa"/>
            <w:vAlign w:val="bottom"/>
          </w:tcPr>
          <w:p>
            <w:pPr>
              <w:spacing w:after="0"/>
              <w:rPr>
                <w:sz w:val="16"/>
                <w:szCs w:val="16"/>
                <w:color w:val="auto"/>
              </w:rPr>
            </w:pPr>
          </w:p>
        </w:tc>
        <w:tc>
          <w:tcPr>
            <w:tcW w:w="1360" w:type="dxa"/>
            <w:vAlign w:val="bottom"/>
            <w:gridSpan w:val="3"/>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Income from</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right"/>
              <w:ind w:right="38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60"/>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center"/>
              <w:ind w:right="240"/>
              <w:spacing w:after="0" w:line="191" w:lineRule="exact"/>
              <w:rPr>
                <w:sz w:val="20"/>
                <w:szCs w:val="20"/>
                <w:color w:val="auto"/>
              </w:rPr>
            </w:pPr>
            <w:r>
              <w:rPr>
                <w:rFonts w:ascii="Times New Roman" w:cs="Times New Roman" w:eastAsia="Times New Roman" w:hAnsi="Times New Roman"/>
                <w:sz w:val="18"/>
                <w:szCs w:val="18"/>
                <w:b w:val="1"/>
                <w:bCs w:val="1"/>
                <w:color w:val="auto"/>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r>
      <w:tr>
        <w:trPr>
          <w:trHeight w:val="275"/>
        </w:trPr>
        <w:tc>
          <w:tcPr>
            <w:tcW w:w="4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center"/>
              <w:ind w:right="240"/>
              <w:spacing w:after="0" w:line="276" w:lineRule="exact"/>
              <w:rPr>
                <w:sz w:val="20"/>
                <w:szCs w:val="20"/>
                <w:color w:val="auto"/>
              </w:rPr>
            </w:pPr>
            <w:r>
              <w:rPr>
                <w:rFonts w:ascii="Times New Roman" w:cs="Times New Roman" w:eastAsia="Times New Roman" w:hAnsi="Times New Roman"/>
                <w:sz w:val="18"/>
                <w:szCs w:val="18"/>
                <w:b w:val="1"/>
                <w:bCs w:val="1"/>
                <w:color w:val="auto"/>
                <w:w w:val="95"/>
              </w:rPr>
              <w:t>Income</w:t>
            </w:r>
            <w:r>
              <w:rPr>
                <w:rFonts w:ascii="Times New Roman" w:cs="Times New Roman" w:eastAsia="Times New Roman" w:hAnsi="Times New Roman"/>
                <w:sz w:val="29"/>
                <w:szCs w:val="29"/>
                <w:b w:val="1"/>
                <w:bCs w:val="1"/>
                <w:color w:val="auto"/>
                <w:w w:val="95"/>
                <w:vertAlign w:val="superscript"/>
              </w:rPr>
              <w:t>(a)</w:t>
            </w:r>
          </w:p>
        </w:tc>
        <w:tc>
          <w:tcPr>
            <w:tcW w:w="134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Share Amount</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3,575</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Adjustments: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70"/>
        </w:trPr>
        <w:tc>
          <w:tcPr>
            <w:tcW w:w="4620" w:type="dxa"/>
            <w:vAlign w:val="bottom"/>
          </w:tcPr>
          <w:p>
            <w:pPr>
              <w:ind w:left="120"/>
              <w:spacing w:after="0" w:line="270" w:lineRule="exact"/>
              <w:rPr>
                <w:sz w:val="20"/>
                <w:szCs w:val="20"/>
                <w:color w:val="auto"/>
              </w:rPr>
            </w:pPr>
            <w:r>
              <w:rPr>
                <w:rFonts w:ascii="Times New Roman" w:cs="Times New Roman" w:eastAsia="Times New Roman" w:hAnsi="Times New Roman"/>
                <w:sz w:val="18"/>
                <w:szCs w:val="18"/>
                <w:color w:val="auto"/>
              </w:rPr>
              <w:t>(Gain) loss from asset impairments and other, net</w:t>
            </w:r>
            <w:r>
              <w:rPr>
                <w:rFonts w:ascii="Times New Roman" w:cs="Times New Roman" w:eastAsia="Times New Roman" w:hAnsi="Times New Roman"/>
                <w:sz w:val="29"/>
                <w:szCs w:val="29"/>
                <w:color w:val="auto"/>
                <w:vertAlign w:val="superscript"/>
              </w:rPr>
              <w:t>(c)</w:t>
            </w:r>
          </w:p>
        </w:tc>
        <w:tc>
          <w:tcPr>
            <w:tcW w:w="120" w:type="dxa"/>
            <w:vAlign w:val="bottom"/>
          </w:tcPr>
          <w:p>
            <w:pPr>
              <w:spacing w:after="0"/>
              <w:rPr>
                <w:sz w:val="23"/>
                <w:szCs w:val="2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245</w:t>
            </w:r>
          </w:p>
        </w:tc>
        <w:tc>
          <w:tcPr>
            <w:tcW w:w="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0"/>
        </w:trPr>
        <w:tc>
          <w:tcPr>
            <w:tcW w:w="4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CCEEFF"/>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3,828</w:t>
            </w: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3,274</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2,519</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6.19</w:t>
            </w:r>
          </w:p>
        </w:tc>
        <w:tc>
          <w:tcPr>
            <w:tcW w:w="100" w:type="dxa"/>
            <w:vAlign w:val="bottom"/>
            <w:tcBorders>
              <w:bottom w:val="single" w:sz="8" w:color="CCEEFF"/>
            </w:tcBorders>
          </w:tcPr>
          <w:p>
            <w:pPr>
              <w:spacing w:after="0"/>
              <w:rPr>
                <w:sz w:val="22"/>
                <w:szCs w:val="22"/>
                <w:color w:val="auto"/>
              </w:rPr>
            </w:pPr>
          </w:p>
        </w:tc>
      </w:tr>
      <w:tr>
        <w:trPr>
          <w:trHeight w:val="197"/>
        </w:trPr>
        <w:tc>
          <w:tcPr>
            <w:tcW w:w="4620" w:type="dxa"/>
            <w:vAlign w:val="bottom"/>
            <w:shd w:val="clear" w:color="auto" w:fill="CCEEFF"/>
          </w:tcPr>
          <w:p>
            <w:pPr>
              <w:ind w:left="120"/>
              <w:spacing w:after="0" w:line="195"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2,071</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63"/>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operating EBITDA</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5,899</w:t>
            </w:r>
          </w:p>
        </w:tc>
        <w:tc>
          <w:tcPr>
            <w:tcW w:w="2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9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9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98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r>
      <w:tr>
        <w:trPr>
          <w:trHeight w:val="196"/>
        </w:trPr>
        <w:tc>
          <w:tcPr>
            <w:tcW w:w="4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28.9%</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0" w:lineRule="exact"/>
        <w:rPr>
          <w:sz w:val="20"/>
          <w:szCs w:val="20"/>
          <w:color w:val="auto"/>
        </w:rPr>
      </w:pPr>
    </w:p>
    <w:p>
      <w:pPr>
        <w:ind w:left="34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includes a $54 million charge required to increase the estimated fair value of a liability associated with the expected disposition of an investment the Company holds in a waste diversion technology business and a $13 million charge to adjust an indirect wholly-owned subsidiary’s estimated potential share of the liability for a proposed environmental remediation plan at a closed site.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relates to (i) a $168 million goodwill impairment charge related to a business engaged in accelerating film and plastic wrap recycling capabilities, which was partially offset by the recognition of $46 million of income related to the reversal of contingent consideration associated with our investment in such business, (ii) $107 million of impairment charges for certain investments in waste diversion technology businesses, and (iii) a $17 million charge to adjust an indirect wholly-owned subsidiary's estimated potential share of the liability for a proposed environmental remediation plan at a closed site.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1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500"/>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100" w:type="dxa"/>
            <w:vAlign w:val="bottom"/>
          </w:tcPr>
          <w:p>
            <w:pPr>
              <w:spacing w:after="0"/>
              <w:rPr>
                <w:sz w:val="10"/>
                <w:szCs w:val="10"/>
                <w:color w:val="auto"/>
              </w:rPr>
            </w:pPr>
          </w:p>
        </w:tc>
        <w:tc>
          <w:tcPr>
            <w:tcW w:w="9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Total WM</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gridSpan w:val="4"/>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4"/>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gridSpan w:val="5"/>
          </w:tcPr>
          <w:p>
            <w:pPr>
              <w:jc w:val="center"/>
              <w:ind w:right="360"/>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3"/>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Legacy</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340"/>
              <w:spacing w:after="0" w:line="15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5"/>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and Disposal</w:t>
            </w:r>
            <w:r>
              <w:rPr>
                <w:rFonts w:ascii="Times New Roman" w:cs="Times New Roman" w:eastAsia="Times New Roman" w:hAnsi="Times New Roman"/>
                <w:sz w:val="23"/>
                <w:szCs w:val="23"/>
                <w:b w:val="1"/>
                <w:bCs w:val="1"/>
                <w:color w:val="auto"/>
                <w:vertAlign w:val="superscript"/>
              </w:rPr>
              <w:t>(a)(b)</w:t>
            </w:r>
          </w:p>
        </w:tc>
        <w:tc>
          <w:tcPr>
            <w:tcW w:w="880" w:type="dxa"/>
            <w:vAlign w:val="bottom"/>
            <w:gridSpan w:val="5"/>
          </w:tcPr>
          <w:p>
            <w:pPr>
              <w:jc w:val="center"/>
              <w:ind w:right="20"/>
              <w:spacing w:after="0" w:line="203" w:lineRule="exact"/>
              <w:rPr>
                <w:sz w:val="20"/>
                <w:szCs w:val="20"/>
                <w:color w:val="auto"/>
              </w:rPr>
            </w:pPr>
            <w:r>
              <w:rPr>
                <w:rFonts w:ascii="Times New Roman" w:cs="Times New Roman" w:eastAsia="Times New Roman" w:hAnsi="Times New Roman"/>
                <w:sz w:val="14"/>
                <w:szCs w:val="14"/>
                <w:b w:val="1"/>
                <w:bCs w:val="1"/>
                <w:color w:val="auto"/>
                <w:w w:val="94"/>
              </w:rPr>
              <w:t>and Sales</w:t>
            </w:r>
            <w:r>
              <w:rPr>
                <w:rFonts w:ascii="Times New Roman" w:cs="Times New Roman" w:eastAsia="Times New Roman" w:hAnsi="Times New Roman"/>
                <w:sz w:val="23"/>
                <w:szCs w:val="23"/>
                <w:b w:val="1"/>
                <w:bCs w:val="1"/>
                <w:color w:val="auto"/>
                <w:w w:val="94"/>
                <w:vertAlign w:val="superscript"/>
              </w:rPr>
              <w:t>(a)</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5"/>
          </w:tcPr>
          <w:p>
            <w:pPr>
              <w:ind w:left="40"/>
              <w:spacing w:after="0" w:line="203" w:lineRule="exact"/>
              <w:rPr>
                <w:sz w:val="20"/>
                <w:szCs w:val="20"/>
                <w:color w:val="auto"/>
              </w:rPr>
            </w:pPr>
            <w:r>
              <w:rPr>
                <w:rFonts w:ascii="Times New Roman" w:cs="Times New Roman" w:eastAsia="Times New Roman" w:hAnsi="Times New Roman"/>
                <w:sz w:val="14"/>
                <w:szCs w:val="14"/>
                <w:b w:val="1"/>
                <w:bCs w:val="1"/>
                <w:color w:val="auto"/>
              </w:rPr>
              <w:t>Energy</w:t>
            </w:r>
            <w:r>
              <w:rPr>
                <w:rFonts w:ascii="Times New Roman" w:cs="Times New Roman" w:eastAsia="Times New Roman" w:hAnsi="Times New Roman"/>
                <w:sz w:val="23"/>
                <w:szCs w:val="23"/>
                <w:b w:val="1"/>
                <w:bCs w:val="1"/>
                <w:color w:val="auto"/>
                <w:vertAlign w:val="superscript"/>
              </w:rPr>
              <w:t>(b)</w:t>
            </w: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00" w:type="dxa"/>
            <w:vAlign w:val="bottom"/>
          </w:tcPr>
          <w:p>
            <w:pPr>
              <w:spacing w:after="0"/>
              <w:rPr>
                <w:sz w:val="17"/>
                <w:szCs w:val="17"/>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Total WM</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revenues, as reported</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19,716</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1,603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318</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21,660</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403</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22,063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340" w:type="dxa"/>
            <w:vAlign w:val="bottom"/>
            <w:gridSpan w:val="2"/>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b w:val="1"/>
                <w:bCs w:val="1"/>
                <w:color w:val="auto"/>
              </w:rPr>
              <w:t>5,444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86</w:t>
            </w:r>
          </w:p>
        </w:tc>
        <w:tc>
          <w:tcPr>
            <w:tcW w:w="3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(1,497)</w:t>
            </w:r>
          </w:p>
        </w:tc>
        <w:tc>
          <w:tcPr>
            <w:tcW w:w="80" w:type="dxa"/>
            <w:vAlign w:val="bottom"/>
            <w:shd w:val="clear" w:color="auto" w:fill="CCEEFF"/>
          </w:tcPr>
          <w:p>
            <w:pPr>
              <w:spacing w:after="0"/>
              <w:rPr>
                <w:sz w:val="12"/>
                <w:szCs w:val="12"/>
                <w:color w:val="auto"/>
              </w:rPr>
            </w:pPr>
          </w:p>
        </w:tc>
        <w:tc>
          <w:tcPr>
            <w:tcW w:w="160" w:type="dxa"/>
            <w:vAlign w:val="bottom"/>
            <w:gridSpan w:val="3"/>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4,132</w:t>
            </w:r>
          </w:p>
        </w:tc>
        <w:tc>
          <w:tcPr>
            <w:tcW w:w="14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4,063</w:t>
            </w:r>
          </w:p>
        </w:tc>
        <w:tc>
          <w:tcPr>
            <w:tcW w:w="0" w:type="dxa"/>
            <w:vAlign w:val="bottom"/>
          </w:tcPr>
          <w:p>
            <w:pPr>
              <w:spacing w:after="0"/>
              <w:rPr>
                <w:sz w:val="1"/>
                <w:szCs w:val="1"/>
                <w:color w:val="auto"/>
              </w:rPr>
            </w:pPr>
          </w:p>
        </w:tc>
      </w:tr>
      <w:tr>
        <w:trPr>
          <w:trHeight w:val="162"/>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43"/>
              <w:spacing w:after="0"/>
              <w:rPr>
                <w:sz w:val="20"/>
                <w:szCs w:val="20"/>
                <w:color w:val="auto"/>
              </w:rPr>
            </w:pPr>
            <w:r>
              <w:rPr>
                <w:rFonts w:ascii="Times New Roman" w:cs="Times New Roman" w:eastAsia="Times New Roman" w:hAnsi="Times New Roman"/>
                <w:sz w:val="14"/>
                <w:szCs w:val="14"/>
                <w:color w:val="auto"/>
              </w:rPr>
              <w:t>1,900</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126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2,194</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7,344</w:t>
            </w:r>
          </w:p>
        </w:tc>
        <w:tc>
          <w:tcPr>
            <w:tcW w:w="2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218</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(1,371)</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6,326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6,330</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Stericycle transaction and integration costs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Collective bargaining agreement costs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43"/>
              <w:spacing w:after="0" w:line="149" w:lineRule="exact"/>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(Gain) loss from asset impairments and other, net</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103"/>
              <w:spacing w:after="0"/>
              <w:rPr>
                <w:sz w:val="20"/>
                <w:szCs w:val="20"/>
                <w:color w:val="auto"/>
              </w:rPr>
            </w:pPr>
            <w:r>
              <w:rPr>
                <w:rFonts w:ascii="Times New Roman" w:cs="Times New Roman" w:eastAsia="Times New Roman" w:hAnsi="Times New Roman"/>
                <w:sz w:val="14"/>
                <w:szCs w:val="14"/>
                <w:color w:val="auto"/>
              </w:rPr>
              <w:t>(12)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200" w:type="dxa"/>
            <w:vAlign w:val="bottom"/>
            <w:tcBorders>
              <w:top w:val="single" w:sz="8" w:color="CCEEFF"/>
            </w:tcBorders>
            <w:shd w:val="clear" w:color="auto" w:fill="CCEEFF"/>
          </w:tcPr>
          <w:p>
            <w:pPr>
              <w:jc w:val="right"/>
              <w:ind w:right="103"/>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100" w:type="dxa"/>
            <w:vAlign w:val="bottom"/>
            <w:tcBorders>
              <w:bottom w:val="single" w:sz="8" w:color="CCEEFF"/>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1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7,333</w:t>
            </w:r>
          </w:p>
        </w:tc>
        <w:tc>
          <w:tcPr>
            <w:tcW w:w="2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221</w:t>
            </w: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(1,194</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gridSpan w:val="2"/>
          </w:tcPr>
          <w:p>
            <w:pPr>
              <w:jc w:val="right"/>
              <w:ind w:right="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6,502</w:t>
            </w:r>
          </w:p>
        </w:tc>
        <w:tc>
          <w:tcPr>
            <w:tcW w:w="4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61</w:t>
            </w:r>
          </w:p>
        </w:tc>
        <w:tc>
          <w:tcPr>
            <w:tcW w:w="2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6,563</w:t>
            </w:r>
          </w:p>
        </w:tc>
        <w:tc>
          <w:tcPr>
            <w:tcW w:w="1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37.2%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42.5%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29.2%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w:t>
            </w:r>
          </w:p>
        </w:tc>
        <w:tc>
          <w:tcPr>
            <w:tcW w:w="10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28.7%</w:t>
            </w: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37.2%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13.8%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44.7%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15.1%</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29.7%</w:t>
            </w:r>
          </w:p>
        </w:tc>
        <w:tc>
          <w:tcPr>
            <w:tcW w:w="0" w:type="dxa"/>
            <w:vAlign w:val="bottom"/>
          </w:tcPr>
          <w:p>
            <w:pPr>
              <w:spacing w:after="0"/>
              <w:rPr>
                <w:sz w:val="1"/>
                <w:szCs w:val="1"/>
                <w:color w:val="auto"/>
              </w:rPr>
            </w:pPr>
          </w:p>
        </w:tc>
      </w:tr>
      <w:tr>
        <w:trPr>
          <w:trHeight w:val="405"/>
        </w:trPr>
        <w:tc>
          <w:tcPr>
            <w:tcW w:w="3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5"/>
          </w:tcPr>
          <w:p>
            <w:pPr>
              <w:jc w:val="center"/>
              <w:ind w:right="399"/>
              <w:spacing w:after="0"/>
              <w:rPr>
                <w:sz w:val="20"/>
                <w:szCs w:val="20"/>
                <w:color w:val="auto"/>
              </w:rPr>
            </w:pPr>
            <w:r>
              <w:rPr>
                <w:rFonts w:ascii="Times New Roman" w:cs="Times New Roman" w:eastAsia="Times New Roman" w:hAnsi="Times New Roman"/>
                <w:sz w:val="14"/>
                <w:szCs w:val="14"/>
                <w:b w:val="1"/>
                <w:bCs w:val="1"/>
                <w:color w:val="auto"/>
              </w:rPr>
              <w:t>Year Ended December 31, 2023</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5"/>
          </w:tcPr>
          <w:p>
            <w:pPr>
              <w:jc w:val="center"/>
              <w:ind w:right="188"/>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3"/>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3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5"/>
          </w:tcPr>
          <w:p>
            <w:pPr>
              <w:jc w:val="center"/>
              <w:ind w:right="168"/>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4"/>
          </w:tcPr>
          <w:p>
            <w:pPr>
              <w:spacing w:after="0" w:line="203" w:lineRule="exact"/>
              <w:rPr>
                <w:sz w:val="20"/>
                <w:szCs w:val="20"/>
                <w:color w:val="auto"/>
              </w:rPr>
            </w:pPr>
            <w:r>
              <w:rPr>
                <w:rFonts w:ascii="Times New Roman" w:cs="Times New Roman" w:eastAsia="Times New Roman" w:hAnsi="Times New Roman"/>
                <w:sz w:val="14"/>
                <w:szCs w:val="14"/>
                <w:b w:val="1"/>
                <w:bCs w:val="1"/>
                <w:color w:val="auto"/>
                <w:w w:val="98"/>
              </w:rPr>
              <w:t>and Disposal</w:t>
            </w:r>
            <w:r>
              <w:rPr>
                <w:rFonts w:ascii="Times New Roman" w:cs="Times New Roman" w:eastAsia="Times New Roman" w:hAnsi="Times New Roman"/>
                <w:sz w:val="23"/>
                <w:szCs w:val="23"/>
                <w:b w:val="1"/>
                <w:bCs w:val="1"/>
                <w:color w:val="auto"/>
                <w:w w:val="98"/>
                <w:vertAlign w:val="superscript"/>
              </w:rPr>
              <w:t>(a)(b)</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5"/>
          </w:tcPr>
          <w:p>
            <w:pPr>
              <w:jc w:val="center"/>
              <w:ind w:right="188"/>
              <w:spacing w:after="0" w:line="203" w:lineRule="exact"/>
              <w:rPr>
                <w:sz w:val="20"/>
                <w:szCs w:val="20"/>
                <w:color w:val="auto"/>
              </w:rPr>
            </w:pPr>
            <w:r>
              <w:rPr>
                <w:rFonts w:ascii="Times New Roman" w:cs="Times New Roman" w:eastAsia="Times New Roman" w:hAnsi="Times New Roman"/>
                <w:sz w:val="14"/>
                <w:szCs w:val="14"/>
                <w:b w:val="1"/>
                <w:bCs w:val="1"/>
                <w:color w:val="auto"/>
                <w:w w:val="96"/>
              </w:rPr>
              <w:t>and Sales</w:t>
            </w:r>
            <w:r>
              <w:rPr>
                <w:rFonts w:ascii="Times New Roman" w:cs="Times New Roman" w:eastAsia="Times New Roman" w:hAnsi="Times New Roman"/>
                <w:sz w:val="23"/>
                <w:szCs w:val="23"/>
                <w:b w:val="1"/>
                <w:bCs w:val="1"/>
                <w:color w:val="auto"/>
                <w:w w:val="96"/>
                <w:vertAlign w:val="superscript"/>
              </w:rPr>
              <w:t>(a)</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center"/>
              <w:ind w:right="220"/>
              <w:spacing w:after="0" w:line="203" w:lineRule="exact"/>
              <w:rPr>
                <w:sz w:val="20"/>
                <w:szCs w:val="20"/>
                <w:color w:val="auto"/>
              </w:rPr>
            </w:pPr>
            <w:r>
              <w:rPr>
                <w:rFonts w:ascii="Times New Roman" w:cs="Times New Roman" w:eastAsia="Times New Roman" w:hAnsi="Times New Roman"/>
                <w:sz w:val="14"/>
                <w:szCs w:val="14"/>
                <w:b w:val="1"/>
                <w:bCs w:val="1"/>
                <w:color w:val="auto"/>
                <w:w w:val="96"/>
              </w:rPr>
              <w:t>Energy</w:t>
            </w:r>
            <w:r>
              <w:rPr>
                <w:rFonts w:ascii="Times New Roman" w:cs="Times New Roman" w:eastAsia="Times New Roman" w:hAnsi="Times New Roman"/>
                <w:sz w:val="23"/>
                <w:szCs w:val="23"/>
                <w:b w:val="1"/>
                <w:bCs w:val="1"/>
                <w:color w:val="auto"/>
                <w:w w:val="96"/>
                <w:vertAlign w:val="superscript"/>
              </w:rPr>
              <w:t>(b)</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3"/>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revenues, as reported</w:t>
            </w:r>
          </w:p>
        </w:tc>
        <w:tc>
          <w:tcPr>
            <w:tcW w:w="3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18,865</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1,264</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20,426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3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480" w:type="dxa"/>
            <w:vAlign w:val="bottom"/>
            <w:gridSpan w:val="3"/>
            <w:shd w:val="clear" w:color="auto" w:fill="CCEEFF"/>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4,821</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(44)</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90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(1,281)</w:t>
            </w:r>
          </w:p>
        </w:tc>
        <w:tc>
          <w:tcPr>
            <w:tcW w:w="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3,575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1,812</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color w:val="auto"/>
              </w:rPr>
              <w:t>116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2,071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340" w:type="dxa"/>
            <w:vAlign w:val="bottom"/>
            <w:tcBorders>
              <w:top w:val="single" w:sz="8" w:color="CCEEFF"/>
            </w:tcBorders>
            <w:gridSpan w:val="2"/>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6,633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66</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(1,165)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gridSpan w:val="2"/>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5,646</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Collective bargaining agreement costs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gridSpan w:val="3"/>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(Gain) loss from asset impairments and other, net</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39"/>
              <w:spacing w:after="0"/>
              <w:rPr>
                <w:sz w:val="20"/>
                <w:szCs w:val="20"/>
                <w:color w:val="auto"/>
              </w:rPr>
            </w:pPr>
            <w:r>
              <w:rPr>
                <w:rFonts w:ascii="Times New Roman" w:cs="Times New Roman" w:eastAsia="Times New Roman" w:hAnsi="Times New Roman"/>
                <w:sz w:val="14"/>
                <w:szCs w:val="14"/>
                <w:color w:val="auto"/>
              </w:rPr>
              <w:t>123</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122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253</w:t>
            </w:r>
          </w:p>
        </w:tc>
        <w:tc>
          <w:tcPr>
            <w:tcW w:w="140" w:type="dxa"/>
            <w:vAlign w:val="bottom"/>
            <w:tcBorders>
              <w:bottom w:val="single" w:sz="8" w:color="CCEEFF"/>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1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340" w:type="dxa"/>
            <w:vAlign w:val="bottom"/>
            <w:tcBorders>
              <w:bottom w:val="single" w:sz="8" w:color="CCEEFF"/>
            </w:tcBorders>
            <w:gridSpan w:val="2"/>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6,641</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188</w:t>
            </w: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(1,042</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80" w:type="dxa"/>
            <w:vAlign w:val="bottom"/>
            <w:tcBorders>
              <w:bottom w:val="single" w:sz="8" w:color="CCEEFF"/>
            </w:tcBorders>
            <w:gridSpan w:val="2"/>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8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5,899</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1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5"/>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41.0%</w:t>
            </w:r>
          </w:p>
        </w:tc>
        <w:tc>
          <w:tcPr>
            <w:tcW w:w="10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27.6%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1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35.2%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14.9%</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4"/>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41.0%</w:t>
            </w:r>
          </w:p>
        </w:tc>
        <w:tc>
          <w:tcPr>
            <w:tcW w:w="100" w:type="dxa"/>
            <w:vAlign w:val="bottom"/>
          </w:tcPr>
          <w:p>
            <w:pPr>
              <w:spacing w:after="0"/>
              <w:rPr>
                <w:sz w:val="16"/>
                <w:szCs w:val="16"/>
                <w:color w:val="auto"/>
              </w:rPr>
            </w:pPr>
          </w:p>
        </w:tc>
        <w:tc>
          <w:tcPr>
            <w:tcW w:w="8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28.9%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17830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1" w:lineRule="exact"/>
        <w:rPr>
          <w:sz w:val="20"/>
          <w:szCs w:val="20"/>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total amount of such fees in income from operations for the year ended December 31, 2024 and 2023 is $100 million and $61 million, respectively.</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businesses for landfill gas. The total amount of royalties in income from operations for the year ended December 31, 2024 and 2023 is $48 million and $41 million,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7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4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7"/>
              </w:rPr>
              <w:t>December 31, 2023</w:t>
            </w:r>
          </w:p>
        </w:tc>
        <w:tc>
          <w:tcPr>
            <w:tcW w:w="5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80" w:type="dxa"/>
            <w:vAlign w:val="bottom"/>
          </w:tcPr>
          <w:p>
            <w:pPr>
              <w:spacing w:after="0"/>
              <w:rPr>
                <w:sz w:val="18"/>
                <w:szCs w:val="18"/>
                <w:color w:val="auto"/>
              </w:rPr>
            </w:pPr>
          </w:p>
        </w:tc>
        <w:tc>
          <w:tcPr>
            <w:tcW w:w="1440" w:type="dxa"/>
            <w:vAlign w:val="bottom"/>
            <w:tcBorders>
              <w:top w:val="single" w:sz="8" w:color="auto"/>
            </w:tcBorders>
            <w:gridSpan w:val="6"/>
          </w:tcPr>
          <w:p>
            <w:pPr>
              <w:ind w:left="4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5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40" w:type="dxa"/>
            <w:vAlign w:val="bottom"/>
            <w:tcBorders>
              <w:top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 Expenses Margin</w:t>
            </w: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22,063</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20,426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13,383</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12,606</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Loss contingency reserve adjustment and other, net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shd w:val="clear" w:color="auto" w:fill="CCEEFF"/>
          </w:tcPr>
          <w:p>
            <w:pPr>
              <w:spacing w:after="0" w:line="284" w:lineRule="exact"/>
              <w:rPr>
                <w:sz w:val="20"/>
                <w:szCs w:val="20"/>
                <w:color w:val="auto"/>
              </w:rPr>
            </w:pPr>
            <w:r>
              <w:rPr>
                <w:rFonts w:ascii="Times New Roman" w:cs="Times New Roman" w:eastAsia="Times New Roman" w:hAnsi="Times New Roman"/>
                <w:sz w:val="18"/>
                <w:szCs w:val="18"/>
                <w:b w:val="1"/>
                <w:bCs w:val="1"/>
                <w:color w:val="auto"/>
              </w:rPr>
              <w:t>As adjusted operating expenses</w:t>
            </w:r>
            <w:r>
              <w:rPr>
                <w:rFonts w:ascii="Times New Roman" w:cs="Times New Roman" w:eastAsia="Times New Roman" w:hAnsi="Times New Roman"/>
                <w:sz w:val="29"/>
                <w:szCs w:val="29"/>
                <w:b w:val="1"/>
                <w:bCs w:val="1"/>
                <w:color w:val="auto"/>
                <w:vertAlign w:val="superscript"/>
              </w:rPr>
              <w:t>(a)</w:t>
            </w: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36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gridSpan w:val="4"/>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13,382</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12,602</w:t>
            </w:r>
          </w:p>
        </w:tc>
        <w:tc>
          <w:tcPr>
            <w:tcW w:w="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60.7%</w:t>
            </w: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61.7%</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60" w:type="dxa"/>
            <w:vAlign w:val="bottom"/>
            <w:gridSpan w:val="8"/>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8"/>
              </w:rPr>
              <w:t>December 31, 2024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right"/>
              <w:ind w:right="690"/>
              <w:spacing w:after="0" w:line="201" w:lineRule="exact"/>
              <w:rPr>
                <w:sz w:val="20"/>
                <w:szCs w:val="20"/>
                <w:color w:val="auto"/>
              </w:rPr>
            </w:pPr>
            <w:r>
              <w:rPr>
                <w:rFonts w:ascii="Times New Roman" w:cs="Times New Roman" w:eastAsia="Times New Roman" w:hAnsi="Times New Roman"/>
                <w:sz w:val="18"/>
                <w:szCs w:val="18"/>
                <w:b w:val="1"/>
                <w:bCs w:val="1"/>
                <w:color w:val="auto"/>
              </w:rPr>
              <w:t>WM</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center"/>
              <w:ind w:left="330"/>
              <w:spacing w:after="0" w:line="201"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40" w:type="dxa"/>
            <w:vAlign w:val="bottom"/>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Legacy Business</w:t>
            </w:r>
          </w:p>
        </w:tc>
        <w:tc>
          <w:tcPr>
            <w:tcW w:w="60" w:type="dxa"/>
            <w:vAlign w:val="bottom"/>
          </w:tcPr>
          <w:p>
            <w:pPr>
              <w:spacing w:after="0"/>
              <w:rPr>
                <w:sz w:val="20"/>
                <w:szCs w:val="20"/>
                <w:color w:val="auto"/>
              </w:rPr>
            </w:pPr>
          </w:p>
        </w:tc>
        <w:tc>
          <w:tcPr>
            <w:tcW w:w="188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Healthcare Solutions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0" w:type="dxa"/>
            <w:vAlign w:val="bottom"/>
          </w:tcPr>
          <w:p>
            <w:pPr>
              <w:spacing w:after="0"/>
              <w:rPr>
                <w:sz w:val="1"/>
                <w:szCs w:val="1"/>
                <w:color w:val="auto"/>
              </w:rPr>
            </w:pPr>
          </w:p>
        </w:tc>
      </w:tr>
      <w:tr>
        <w:trPr>
          <w:trHeight w:val="174"/>
        </w:trPr>
        <w:tc>
          <w:tcPr>
            <w:tcW w:w="43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5,490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403</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5,893</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5,217</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592</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155</w:t>
            </w:r>
          </w:p>
        </w:tc>
        <w:tc>
          <w:tcPr>
            <w:tcW w:w="2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747</w:t>
            </w:r>
          </w:p>
        </w:tc>
        <w:tc>
          <w:tcPr>
            <w:tcW w:w="2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513</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(56)</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12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536</w:t>
            </w:r>
          </w:p>
        </w:tc>
        <w:tc>
          <w:tcPr>
            <w:tcW w:w="20" w:type="dxa"/>
            <w:vAlign w:val="bottom"/>
            <w:tcBorders>
              <w:bottom w:val="single" w:sz="8" w:color="CCEEFF"/>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84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0" w:type="dxa"/>
            <w:vAlign w:val="bottom"/>
            <w:tcBorders>
              <w:bottom w:val="single" w:sz="8" w:color="CCEEFF"/>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634</w:t>
            </w:r>
          </w:p>
        </w:tc>
        <w:tc>
          <w:tcPr>
            <w:tcW w:w="20" w:type="dxa"/>
            <w:vAlign w:val="bottom"/>
            <w:tcBorders>
              <w:bottom w:val="single" w:sz="8" w:color="CCEEFF"/>
            </w:tcBorders>
          </w:tcPr>
          <w:p>
            <w:pPr>
              <w:spacing w:after="0"/>
              <w:rPr>
                <w:sz w:val="22"/>
                <w:szCs w:val="22"/>
                <w:color w:val="auto"/>
              </w:rPr>
            </w:pPr>
          </w:p>
        </w:tc>
        <w:tc>
          <w:tcPr>
            <w:tcW w:w="2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3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 a % of revenues</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60" w:type="dxa"/>
            <w:vAlign w:val="bottom"/>
            <w:gridSpan w:val="4"/>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9.8%</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24.3%</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80" w:type="dxa"/>
            <w:vAlign w:val="bottom"/>
            <w:gridSpan w:val="5"/>
            <w:shd w:val="clear" w:color="auto" w:fill="CCEEFF"/>
          </w:tcPr>
          <w:p>
            <w:pPr>
              <w:jc w:val="right"/>
              <w:ind w:right="120"/>
              <w:spacing w:after="0" w:line="196" w:lineRule="exact"/>
              <w:rPr>
                <w:sz w:val="20"/>
                <w:szCs w:val="20"/>
                <w:color w:val="auto"/>
              </w:rPr>
            </w:pPr>
            <w:r>
              <w:rPr>
                <w:rFonts w:ascii="Times New Roman" w:cs="Times New Roman" w:eastAsia="Times New Roman" w:hAnsi="Times New Roman"/>
                <w:sz w:val="18"/>
                <w:szCs w:val="18"/>
                <w:b w:val="1"/>
                <w:bCs w:val="1"/>
                <w:color w:val="auto"/>
              </w:rPr>
              <w:t>10.8%</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10"/>
        </w:trPr>
        <w:tc>
          <w:tcPr>
            <w:tcW w:w="4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7"/>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1"/>
        </w:trPr>
        <w:tc>
          <w:tcPr>
            <w:tcW w:w="4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gridSpan w:val="4"/>
          </w:tcPr>
          <w:p>
            <w:pPr>
              <w:jc w:val="right"/>
              <w:ind w:right="670"/>
              <w:spacing w:after="0" w:line="201" w:lineRule="exact"/>
              <w:rPr>
                <w:sz w:val="20"/>
                <w:szCs w:val="20"/>
                <w:color w:val="auto"/>
              </w:rPr>
            </w:pPr>
            <w:r>
              <w:rPr>
                <w:rFonts w:ascii="Times New Roman" w:cs="Times New Roman" w:eastAsia="Times New Roman" w:hAnsi="Times New Roman"/>
                <w:sz w:val="18"/>
                <w:szCs w:val="18"/>
                <w:b w:val="1"/>
                <w:bCs w:val="1"/>
                <w:color w:val="auto"/>
              </w:rPr>
              <w:t>WM</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gridSpan w:val="2"/>
          </w:tcPr>
          <w:p>
            <w:pPr>
              <w:jc w:val="center"/>
              <w:ind w:left="390"/>
              <w:spacing w:after="0" w:line="201" w:lineRule="exact"/>
              <w:rPr>
                <w:sz w:val="20"/>
                <w:szCs w:val="20"/>
                <w:color w:val="auto"/>
              </w:rPr>
            </w:pPr>
            <w:r>
              <w:rPr>
                <w:rFonts w:ascii="Times New Roman" w:cs="Times New Roman" w:eastAsia="Times New Roman" w:hAnsi="Times New Roman"/>
                <w:sz w:val="18"/>
                <w:szCs w:val="18"/>
                <w:b w:val="1"/>
                <w:bCs w:val="1"/>
                <w:color w:val="auto"/>
              </w:rPr>
              <w:t>WM</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Legacy Business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Healthcare Solutions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5"/>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Total WM</w:t>
            </w:r>
          </w:p>
        </w:tc>
        <w:tc>
          <w:tcPr>
            <w:tcW w:w="0" w:type="dxa"/>
            <w:vAlign w:val="bottom"/>
          </w:tcPr>
          <w:p>
            <w:pPr>
              <w:spacing w:after="0"/>
              <w:rPr>
                <w:sz w:val="1"/>
                <w:szCs w:val="1"/>
                <w:color w:val="auto"/>
              </w:rPr>
            </w:pPr>
          </w:p>
        </w:tc>
      </w:tr>
      <w:tr>
        <w:trPr>
          <w:trHeight w:val="174"/>
        </w:trPr>
        <w:tc>
          <w:tcPr>
            <w:tcW w:w="43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w:t>
            </w: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21,660</w:t>
            </w:r>
          </w:p>
        </w:tc>
        <w:tc>
          <w:tcPr>
            <w:tcW w:w="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403</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22,063</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20,426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340" w:type="dxa"/>
            <w:vAlign w:val="bottom"/>
            <w:gridSpan w:val="3"/>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4"/>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2,109</w:t>
            </w:r>
          </w:p>
        </w:tc>
        <w:tc>
          <w:tcPr>
            <w:tcW w:w="9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155</w:t>
            </w:r>
          </w:p>
        </w:tc>
        <w:tc>
          <w:tcPr>
            <w:tcW w:w="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5"/>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2,264</w:t>
            </w:r>
          </w:p>
        </w:tc>
        <w:tc>
          <w:tcPr>
            <w:tcW w:w="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Stericycle transaction and integration costs</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60" w:type="dxa"/>
            <w:vAlign w:val="bottom"/>
            <w:gridSpan w:val="4"/>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(89)</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 bargaining agreement costs</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4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adjusted SG&amp;A expenses</w:t>
            </w: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4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3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9.3%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24.3%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5"/>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7830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Total WM and WM Legacy Business reconciliation is the same.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2025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100" w:type="dxa"/>
            <w:vAlign w:val="bottom"/>
          </w:tcPr>
          <w:p>
            <w:pPr>
              <w:spacing w:after="0"/>
              <w:rPr>
                <w:sz w:val="24"/>
                <w:szCs w:val="24"/>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6"/>
              </w:rPr>
              <w:t>Scenario 1</w:t>
            </w:r>
          </w:p>
        </w:tc>
        <w:tc>
          <w:tcPr>
            <w:tcW w:w="80" w:type="dxa"/>
            <w:vAlign w:val="bottom"/>
          </w:tcPr>
          <w:p>
            <w:pPr>
              <w:spacing w:after="0"/>
              <w:rPr>
                <w:sz w:val="24"/>
                <w:szCs w:val="24"/>
                <w:color w:val="auto"/>
              </w:rPr>
            </w:pP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Scenario 2</w:t>
            </w:r>
          </w:p>
        </w:tc>
      </w:tr>
      <w:tr>
        <w:trPr>
          <w:trHeight w:val="209"/>
        </w:trPr>
        <w:tc>
          <w:tcPr>
            <w:tcW w:w="6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(2,575)</w:t>
            </w:r>
          </w:p>
        </w:tc>
        <w:tc>
          <w:tcPr>
            <w:tcW w:w="80" w:type="dxa"/>
            <w:vAlign w:val="bottom"/>
          </w:tcPr>
          <w:p>
            <w:pPr>
              <w:spacing w:after="0"/>
              <w:rPr>
                <w:sz w:val="18"/>
                <w:szCs w:val="18"/>
                <w:color w:val="auto"/>
              </w:rPr>
            </w:pPr>
          </w:p>
        </w:tc>
        <w:tc>
          <w:tcPr>
            <w:tcW w:w="9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(2,625)</w:t>
            </w:r>
          </w:p>
        </w:tc>
      </w:tr>
      <w:tr>
        <w:trPr>
          <w:trHeight w:val="229"/>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shd w:val="clear" w:color="auto" w:fill="CCEEFF"/>
          </w:tcPr>
          <w:p>
            <w:pPr>
              <w:spacing w:after="0"/>
              <w:rPr>
                <w:sz w:val="19"/>
                <w:szCs w:val="19"/>
                <w:color w:val="auto"/>
              </w:rPr>
            </w:pPr>
          </w:p>
        </w:tc>
      </w:tr>
      <w:tr>
        <w:trPr>
          <w:trHeight w:val="209"/>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 before sustainability growth investments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6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6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8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(650)</w:t>
            </w:r>
          </w:p>
        </w:tc>
      </w:tr>
      <w:tr>
        <w:trPr>
          <w:trHeight w:val="223"/>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13" w:lineRule="exact"/>
        <w:rPr>
          <w:sz w:val="20"/>
          <w:szCs w:val="20"/>
          <w:color w:val="auto"/>
        </w:rPr>
      </w:pPr>
    </w:p>
    <w:p>
      <w:pPr>
        <w:ind w:left="34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2025.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9"/>
                <w:szCs w:val="19"/>
                <w:color w:val="auto"/>
              </w:rPr>
            </w:pPr>
          </w:p>
        </w:tc>
        <w:tc>
          <w:tcPr>
            <w:tcW w:w="2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34</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454"/>
        </w:trPr>
        <w:tc>
          <w:tcPr>
            <w:tcW w:w="5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0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80" w:type="dxa"/>
            <w:vAlign w:val="bottom"/>
          </w:tcPr>
          <w:p>
            <w:pPr>
              <w:spacing w:after="0"/>
              <w:rPr>
                <w:sz w:val="19"/>
                <w:szCs w:val="19"/>
                <w:color w:val="auto"/>
              </w:rPr>
            </w:pPr>
          </w:p>
        </w:tc>
        <w:tc>
          <w:tcPr>
            <w:tcW w:w="250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10"/>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133</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0.7%</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130</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5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decimal"/>
      <w:start w:val="104"/>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1)"/>
      <w:numFmt w:val="lowerLetter"/>
      <w:start w:val="1"/>
    </w:lvl>
  </w:abstractNum>
  <w:abstractNum w:abstractNumId="11">
    <w:nsid w:val="6B68079A"/>
    <w:multiLevelType w:val="hybridMultilevel"/>
    <w:lvl w:ilvl="0">
      <w:lvlJc w:val="left"/>
      <w:lvlText w:val="(%1)"/>
      <w:numFmt w:val="lowerLetter"/>
      <w:start w:val="6"/>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lowerLetter"/>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lowerLetter"/>
      <w:start w:val="1"/>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2025-01-30T05:14:40Z</dcterms:created>
  <dcterms:modified xsi:type="dcterms:W3CDTF">2025-01-30T05:14:40Z</dcterms:modified>
</cp:coreProperties>
</file>