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Form 10-Q</w:t>
      </w:r>
    </w:p>
    <w:p>
      <w:pPr>
        <w:spacing w:after="0" w:line="31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(Mark One)</w:t>
      </w:r>
    </w:p>
    <w:p>
      <w:pPr>
        <w:spacing w:after="0" w:line="35" w:lineRule="exact"/>
        <w:rPr>
          <w:sz w:val="20"/>
          <w:szCs w:val="20"/>
          <w:color w:val="auto"/>
        </w:rPr>
      </w:pPr>
    </w:p>
    <w:p>
      <w:pPr>
        <w:ind w:left="1540" w:hanging="721"/>
        <w:spacing w:after="0"/>
        <w:tabs>
          <w:tab w:leader="none" w:pos="1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spacing w:after="0" w:line="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OF THE SECURITIES EXCHANGE ACT OF 1934</w:t>
      </w:r>
    </w:p>
    <w:p>
      <w:pPr>
        <w:ind w:left="1540"/>
        <w:spacing w:after="0"/>
        <w:rPr>
          <w:sz w:val="20"/>
          <w:szCs w:val="20"/>
          <w:color w:val="auto"/>
        </w:rPr>
      </w:pPr>
      <w:r>
        <w:rPr>
          <w:rFonts w:ascii="Arial" w:cs="Arial" w:eastAsia="Arial" w:hAnsi="Arial"/>
          <w:sz w:val="13"/>
          <w:szCs w:val="13"/>
          <w:b w:val="1"/>
          <w:bCs w:val="1"/>
          <w:color w:val="auto"/>
        </w:rPr>
        <w:t>For the Quarterly Period Ended June 30, 2008</w:t>
      </w:r>
    </w:p>
    <w:p>
      <w:pPr>
        <w:spacing w:after="0" w:line="13"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OR</w:t>
      </w:r>
    </w:p>
    <w:p>
      <w:pPr>
        <w:spacing w:after="0" w:line="11" w:lineRule="exact"/>
        <w:rPr>
          <w:sz w:val="20"/>
          <w:szCs w:val="20"/>
          <w:color w:val="auto"/>
        </w:rPr>
      </w:pPr>
    </w:p>
    <w:p>
      <w:pPr>
        <w:ind w:left="1540" w:hanging="691"/>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w:t>
      </w:r>
    </w:p>
    <w:p>
      <w:pPr>
        <w:ind w:left="1540"/>
        <w:spacing w:after="0" w:line="235" w:lineRule="auto"/>
        <w:rPr>
          <w:sz w:val="20"/>
          <w:szCs w:val="20"/>
          <w:color w:val="auto"/>
        </w:rPr>
      </w:pPr>
      <w:r>
        <w:rPr>
          <w:rFonts w:ascii="Arial" w:cs="Arial" w:eastAsia="Arial" w:hAnsi="Arial"/>
          <w:sz w:val="16"/>
          <w:szCs w:val="16"/>
          <w:b w:val="1"/>
          <w:bCs w:val="1"/>
          <w:color w:val="auto"/>
        </w:rPr>
        <w:t>OF THE SECURITIES EXCHANGE ACT OF 1934</w:t>
      </w:r>
    </w:p>
    <w:p>
      <w:pPr>
        <w:ind w:left="1540"/>
        <w:spacing w:after="0"/>
        <w:tabs>
          <w:tab w:leader="none" w:pos="35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Commission file number 1-12154</w:t>
      </w:r>
    </w:p>
    <w:p>
      <w:pPr>
        <w:spacing w:after="0" w:line="39" w:lineRule="exact"/>
        <w:rPr>
          <w:sz w:val="20"/>
          <w:szCs w:val="20"/>
          <w:color w:val="auto"/>
        </w:rPr>
      </w:pPr>
    </w:p>
    <w:p>
      <w:pPr>
        <w:jc w:val="center"/>
        <w:ind w:right="-479"/>
        <w:spacing w:after="0"/>
        <w:rPr>
          <w:sz w:val="20"/>
          <w:szCs w:val="20"/>
          <w:color w:val="auto"/>
        </w:rPr>
      </w:pPr>
      <w:r>
        <w:rPr>
          <w:rFonts w:ascii="Arial" w:cs="Arial" w:eastAsia="Arial" w:hAnsi="Arial"/>
          <w:sz w:val="31"/>
          <w:szCs w:val="31"/>
          <w:b w:val="1"/>
          <w:bCs w:val="1"/>
          <w:color w:val="auto"/>
        </w:rPr>
        <w:t>Waste Management, Inc.</w:t>
      </w:r>
    </w:p>
    <w:p>
      <w:pPr>
        <w:spacing w:after="0" w:line="34" w:lineRule="exact"/>
        <w:rPr>
          <w:sz w:val="20"/>
          <w:szCs w:val="20"/>
          <w:color w:val="auto"/>
        </w:rPr>
      </w:pPr>
    </w:p>
    <w:p>
      <w:pPr>
        <w:ind w:left="4640"/>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0980"/>
          </w:cols>
          <w:pgMar w:left="220" w:top="127" w:right="699" w:bottom="1440" w:gutter="0" w:footer="0" w:header="0"/>
        </w:sectPr>
      </w:pPr>
    </w:p>
    <w:p>
      <w:pPr>
        <w:spacing w:after="0" w:line="133" w:lineRule="exact"/>
        <w:rPr>
          <w:sz w:val="20"/>
          <w:szCs w:val="20"/>
          <w:color w:val="auto"/>
        </w:rPr>
      </w:pPr>
    </w:p>
    <w:p>
      <w:pPr>
        <w:ind w:left="2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73-1309529</w:t>
      </w:r>
    </w:p>
    <w:p>
      <w:pPr>
        <w:spacing w:after="0" w:line="31" w:lineRule="exact"/>
        <w:rPr>
          <w:sz w:val="20"/>
          <w:szCs w:val="20"/>
          <w:color w:val="auto"/>
        </w:rPr>
      </w:pPr>
    </w:p>
    <w:p>
      <w:pPr>
        <w:sectPr>
          <w:pgSz w:w="11900" w:h="16838" w:orient="portrait"/>
          <w:cols w:equalWidth="0" w:num="2">
            <w:col w:w="7440" w:space="720"/>
            <w:col w:w="2820"/>
          </w:cols>
          <w:pgMar w:left="220" w:top="127" w:right="699" w:bottom="1440" w:gutter="0" w:footer="0" w:header="0"/>
          <w:type w:val="continuous"/>
        </w:sectPr>
      </w:pPr>
    </w:p>
    <w:p>
      <w:pPr>
        <w:ind w:left="2380"/>
        <w:spacing w:after="0"/>
        <w:rPr>
          <w:sz w:val="20"/>
          <w:szCs w:val="20"/>
          <w:color w:val="auto"/>
        </w:rPr>
      </w:pPr>
      <w:r>
        <w:rPr>
          <w:rFonts w:ascii="Arial" w:cs="Arial" w:eastAsia="Arial" w:hAnsi="Arial"/>
          <w:sz w:val="10"/>
          <w:szCs w:val="10"/>
          <w:i w:val="1"/>
          <w:iCs w:val="1"/>
          <w:color w:val="auto"/>
        </w:rPr>
        <w:t>(State or other jurisdiction of</w:t>
      </w:r>
    </w:p>
    <w:p>
      <w:pPr>
        <w:ind w:left="234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0"/>
          <w:szCs w:val="10"/>
          <w:i w:val="1"/>
          <w:iCs w:val="1"/>
          <w:color w:val="auto"/>
        </w:rPr>
        <w:t>(I.R.S. Employer</w:t>
      </w:r>
    </w:p>
    <w:p>
      <w:pPr>
        <w:jc w:val="center"/>
        <w:ind w:right="2120"/>
        <w:spacing w:after="0"/>
        <w:rPr>
          <w:sz w:val="20"/>
          <w:szCs w:val="20"/>
          <w:color w:val="auto"/>
        </w:rPr>
      </w:pPr>
      <w:r>
        <w:rPr>
          <w:rFonts w:ascii="Arial" w:cs="Arial" w:eastAsia="Arial" w:hAnsi="Arial"/>
          <w:sz w:val="9"/>
          <w:szCs w:val="9"/>
          <w:i w:val="1"/>
          <w:iCs w:val="1"/>
          <w:color w:val="auto"/>
        </w:rPr>
        <w:t>Identification No.)</w:t>
      </w:r>
    </w:p>
    <w:p>
      <w:pPr>
        <w:spacing w:after="0" w:line="46" w:lineRule="exact"/>
        <w:rPr>
          <w:sz w:val="20"/>
          <w:szCs w:val="20"/>
          <w:color w:val="auto"/>
        </w:rPr>
      </w:pPr>
    </w:p>
    <w:p>
      <w:pPr>
        <w:sectPr>
          <w:pgSz w:w="11900" w:h="16838" w:orient="portrait"/>
          <w:cols w:equalWidth="0" w:num="2">
            <w:col w:w="7380" w:space="720"/>
            <w:col w:w="2880"/>
          </w:cols>
          <w:pgMar w:left="220" w:top="127" w:right="699" w:bottom="1440" w:gutter="0" w:footer="0" w:header="0"/>
          <w:type w:val="continuous"/>
        </w:sectPr>
      </w:pPr>
    </w:p>
    <w:p>
      <w:pPr>
        <w:jc w:val="center"/>
        <w:ind w:right="-499"/>
        <w:spacing w:after="0"/>
        <w:rPr>
          <w:sz w:val="20"/>
          <w:szCs w:val="20"/>
          <w:color w:val="auto"/>
        </w:rPr>
      </w:pPr>
      <w:r>
        <w:rPr>
          <w:rFonts w:ascii="Arial" w:cs="Arial" w:eastAsia="Arial" w:hAnsi="Arial"/>
          <w:sz w:val="13"/>
          <w:szCs w:val="13"/>
          <w:b w:val="1"/>
          <w:bCs w:val="1"/>
          <w:color w:val="auto"/>
        </w:rPr>
        <w:t>1001 Fannin</w:t>
      </w:r>
    </w:p>
    <w:p>
      <w:pPr>
        <w:spacing w:after="0" w:line="19"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auto"/>
        </w:rPr>
        <w:t>Suite 4000</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auto"/>
        </w:rPr>
        <w:t>Houston, Texas 77002</w:t>
      </w:r>
    </w:p>
    <w:p>
      <w:pPr>
        <w:spacing w:after="0" w:line="4" w:lineRule="exact"/>
        <w:rPr>
          <w:sz w:val="20"/>
          <w:szCs w:val="20"/>
          <w:color w:val="auto"/>
        </w:rPr>
      </w:pPr>
    </w:p>
    <w:p>
      <w:pPr>
        <w:jc w:val="center"/>
        <w:ind w:right="-499"/>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34"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auto"/>
        </w:rPr>
        <w:t>(713) 512-6200</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127" w:lineRule="exact"/>
        <w:rPr>
          <w:sz w:val="20"/>
          <w:szCs w:val="20"/>
          <w:color w:val="auto"/>
        </w:rPr>
      </w:pPr>
    </w:p>
    <w:p>
      <w:pPr>
        <w:ind w:left="3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6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320" w:right="280" w:hanging="4517"/>
        <w:spacing w:after="0" w:line="206"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38" w:lineRule="exact"/>
        <w:tabs>
          <w:tab w:leader="none" w:pos="6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Common Stock, $0.01 par value, of the registrant outstanding at July 23, 2008 was 490,462,991 (excluding treasury shares of 139,819,470).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85725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ind w:left="280"/>
        <w:spacing w:after="0"/>
        <w:rPr>
          <w:rFonts w:ascii="Arial" w:cs="Arial" w:eastAsia="Arial" w:hAnsi="Arial"/>
          <w:sz w:val="13"/>
          <w:szCs w:val="13"/>
          <w:u w:val="single" w:color="auto"/>
          <w:color w:val="0000EE"/>
        </w:rPr>
      </w:pPr>
      <w:hyperlink w:anchor="page28">
        <w:r>
          <w:rPr>
            <w:rFonts w:ascii="Arial" w:cs="Arial" w:eastAsia="Arial" w:hAnsi="Arial"/>
            <w:sz w:val="13"/>
            <w:szCs w:val="13"/>
            <w:u w:val="single" w:color="auto"/>
            <w:color w:val="0000EE"/>
          </w:rPr>
          <w:t>Item 2. Management’s Discussion and Analysis of Financial Condition and Results of Operations.</w:t>
        </w:r>
      </w:hyperlink>
    </w:p>
    <w:p>
      <w:pPr>
        <w:spacing w:after="0" w:line="20" w:lineRule="exact"/>
        <w:rPr>
          <w:sz w:val="20"/>
          <w:szCs w:val="20"/>
          <w:color w:val="auto"/>
        </w:rPr>
      </w:pPr>
    </w:p>
    <w:p>
      <w:pPr>
        <w:ind w:left="28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4. Controls and Procedures.</w:t>
        </w:r>
      </w:hyperlink>
    </w:p>
    <w:p>
      <w:pPr>
        <w:spacing w:after="0" w:line="230"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1. Legal Proceedings.</w:t>
        </w:r>
      </w:hyperlink>
    </w:p>
    <w:p>
      <w:pPr>
        <w:ind w:left="280"/>
        <w:spacing w:after="0" w:line="231"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2. Unregistered Sales of Equity Securities and Use of Proceeds.</w:t>
        </w:r>
      </w:hyperlink>
    </w:p>
    <w:p>
      <w:pPr>
        <w:ind w:left="280"/>
        <w:spacing w:after="0" w:line="230"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4. Submission of Matters to a Vote of Security Holders.</w:t>
        </w:r>
      </w:hyperlink>
    </w:p>
    <w:p>
      <w:pPr>
        <w:ind w:left="280"/>
        <w:spacing w:after="0" w:line="231"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Item 6. Exhibits.</w:t>
        </w:r>
      </w:hyperlink>
    </w:p>
    <w:p>
      <w:pPr>
        <w:spacing w:after="0" w:line="231" w:lineRule="auto"/>
        <w:rPr>
          <w:sz w:val="20"/>
          <w:szCs w:val="20"/>
          <w:color w:val="auto"/>
        </w:rPr>
      </w:pPr>
      <w:r>
        <w:rPr>
          <w:rFonts w:ascii="Arial" w:cs="Arial" w:eastAsia="Arial" w:hAnsi="Arial"/>
          <w:sz w:val="16"/>
          <w:szCs w:val="16"/>
          <w:u w:val="single" w:color="auto"/>
          <w:color w:val="0000EE"/>
        </w:rPr>
        <w:t>Computation of Ratio of Earnings to Fixed Charges</w:t>
      </w:r>
    </w:p>
    <w:p>
      <w:pPr>
        <w:ind w:right="4179"/>
        <w:spacing w:after="0" w:line="303" w:lineRule="auto"/>
        <w:rPr>
          <w:sz w:val="20"/>
          <w:szCs w:val="20"/>
          <w:color w:val="auto"/>
        </w:rPr>
      </w:pPr>
      <w:r>
        <w:rPr>
          <w:rFonts w:ascii="Arial" w:cs="Arial" w:eastAsia="Arial" w:hAnsi="Arial"/>
          <w:sz w:val="13"/>
          <w:szCs w:val="13"/>
          <w:u w:val="single" w:color="auto"/>
          <w:color w:val="0000EE"/>
        </w:rPr>
        <w:t>Certification Pursuant to Rule 15d-14(a) by David P. Steiner, CEO Certification Pursuant to Rule 15d-14(a) by Robert G. Simpson, SVP &amp; CFO Certification Pursuant to Section 1350 by David P. Steiner, CEO Certification Pursuant to Section 1350 by Robert G. Simpson, SVP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67945</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8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20" w:type="dxa"/>
            <w:vAlign w:val="bottom"/>
          </w:tcPr>
          <w:p>
            <w:pPr>
              <w:jc w:val="center"/>
              <w:ind w:left="113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20" w:type="dxa"/>
            <w:vAlign w:val="bottom"/>
            <w:shd w:val="clear" w:color="auto" w:fill="CCEEFF"/>
          </w:tcPr>
          <w:p>
            <w:pPr>
              <w:jc w:val="center"/>
              <w:ind w:left="115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w w:val="88"/>
              </w:rPr>
              <w:t>Current assets:</w:t>
            </w: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Accounts receivable, net of allowance for doubtful accounts of $40 and $46,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1,674</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6"/>
              </w:rPr>
              <w:t>Other assets</w:t>
            </w: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Property and equipment, net of accumulated depreciation and amortization of $13,126 and $12,844,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11,300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11,351</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5,406</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gridSpan w:val="3"/>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20,050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jc w:val="center"/>
              <w:ind w:left="115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2,598</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7,958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14,026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14,073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6"/>
        </w:trPr>
        <w:tc>
          <w:tcPr>
            <w:tcW w:w="7800" w:type="dxa"/>
            <w:vAlign w:val="bottom"/>
            <w:gridSpan w:val="3"/>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4,542</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5,371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5,080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Treasury stock at cost, 140,118,710 and 130,163,692 shares, respectively</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(4,398)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(4,065)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20,050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tcPr>
          <w:p>
            <w:pPr>
              <w:jc w:val="center"/>
              <w:ind w:right="46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800" w:type="dxa"/>
            <w:vAlign w:val="bottom"/>
            <w:gridSpan w:val="3"/>
          </w:tcPr>
          <w:p>
            <w:pPr>
              <w:jc w:val="center"/>
              <w:ind w:left="176"/>
              <w:spacing w:after="0"/>
              <w:rPr>
                <w:sz w:val="20"/>
                <w:szCs w:val="20"/>
                <w:color w:val="auto"/>
              </w:rPr>
            </w:pPr>
            <w:r>
              <w:rPr>
                <w:rFonts w:ascii="Arial" w:cs="Arial" w:eastAsia="Arial" w:hAnsi="Arial"/>
                <w:sz w:val="10"/>
                <w:szCs w:val="10"/>
                <w:b w:val="1"/>
                <w:bCs w:val="1"/>
                <w:color w:val="auto"/>
                <w:w w:val="97"/>
              </w:rPr>
              <w:t>Six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3,489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3,358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6,755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6,546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2,181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2,092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4,273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358</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343</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2,857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2,725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5,612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5,432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1,143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earnings (losses) of unconsolidated entities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tcPr>
          <w:p>
            <w:pPr>
              <w:spacing w:after="0"/>
              <w:rPr>
                <w:sz w:val="13"/>
                <w:szCs w:val="13"/>
                <w:color w:val="auto"/>
              </w:rPr>
            </w:pPr>
          </w:p>
        </w:tc>
        <w:tc>
          <w:tcPr>
            <w:tcW w:w="740" w:type="dxa"/>
            <w:vAlign w:val="bottom"/>
            <w:gridSpan w:val="2"/>
          </w:tcPr>
          <w:p>
            <w:pPr>
              <w:jc w:val="right"/>
              <w:ind w:right="308"/>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8"/>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(153)</w:t>
            </w: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902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199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142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343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0.65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0.65</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1.13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0.27</w:t>
            </w:r>
          </w:p>
        </w:tc>
        <w:tc>
          <w:tcPr>
            <w:tcW w:w="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0.24</w:t>
            </w:r>
          </w:p>
        </w:tc>
        <w:tc>
          <w:tcPr>
            <w:tcW w:w="3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0.54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0.48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1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100" w:type="dxa"/>
            <w:vAlign w:val="bottom"/>
          </w:tcPr>
          <w:p>
            <w:pPr>
              <w:ind w:left="49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136"/>
              <w:spacing w:after="0"/>
              <w:rPr>
                <w:sz w:val="20"/>
                <w:szCs w:val="20"/>
                <w:color w:val="auto"/>
              </w:rPr>
            </w:pPr>
            <w:r>
              <w:rPr>
                <w:rFonts w:ascii="Arial" w:cs="Arial" w:eastAsia="Arial" w:hAnsi="Arial"/>
                <w:sz w:val="10"/>
                <w:szCs w:val="10"/>
                <w:b w:val="1"/>
                <w:bCs w:val="1"/>
                <w:color w:val="auto"/>
                <w:w w:val="97"/>
              </w:rPr>
              <w:t>Six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left="216"/>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Deferred income tax provision</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Equity in net (earnings) losses of unconsolidated entities, net of distributions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gain on disposal of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600" w:type="dxa"/>
            <w:vAlign w:val="bottom"/>
          </w:tcPr>
          <w:p>
            <w:pPr>
              <w:ind w:left="2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600" w:type="dxa"/>
            <w:vAlign w:val="bottom"/>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1,131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1,075</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short-term investments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(1,001)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distributions paid</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Decrease in cash and cash equivalents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29"/>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CONDENSED CONSOLIDATED STATEMENT OF STOCKHOLDERS’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Accumulated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Other</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060" w:type="dxa"/>
            <w:vAlign w:val="bottom"/>
            <w:gridSpan w:val="3"/>
            <w:vMerge w:val="restart"/>
          </w:tcPr>
          <w:p>
            <w:pPr>
              <w:jc w:val="right"/>
              <w:ind w:right="3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Comprehensive</w:t>
            </w:r>
          </w:p>
        </w:tc>
        <w:tc>
          <w:tcPr>
            <w:tcW w:w="1380" w:type="dxa"/>
            <w:vAlign w:val="bottom"/>
            <w:gridSpan w:val="5"/>
            <w:vMerge w:val="restart"/>
          </w:tcPr>
          <w:p>
            <w:pPr>
              <w:jc w:val="right"/>
              <w:ind w:right="400"/>
              <w:spacing w:after="0"/>
              <w:rPr>
                <w:sz w:val="20"/>
                <w:szCs w:val="20"/>
                <w:color w:val="auto"/>
              </w:rPr>
            </w:pPr>
            <w:r>
              <w:rPr>
                <w:rFonts w:ascii="Arial" w:cs="Arial" w:eastAsia="Arial" w:hAnsi="Arial"/>
                <w:sz w:val="10"/>
                <w:szCs w:val="10"/>
                <w:b w:val="1"/>
                <w:bCs w:val="1"/>
                <w:color w:val="auto"/>
              </w:rPr>
              <w:t>Treasury Stock</w:t>
            </w:r>
          </w:p>
        </w:tc>
        <w:tc>
          <w:tcPr>
            <w:tcW w:w="0" w:type="dxa"/>
            <w:vAlign w:val="bottom"/>
          </w:tcPr>
          <w:p>
            <w:pPr>
              <w:spacing w:after="0"/>
              <w:rPr>
                <w:sz w:val="1"/>
                <w:szCs w:val="1"/>
                <w:color w:val="auto"/>
              </w:rPr>
            </w:pPr>
          </w:p>
        </w:tc>
      </w:tr>
      <w:tr>
        <w:trPr>
          <w:trHeight w:val="115"/>
        </w:trPr>
        <w:tc>
          <w:tcPr>
            <w:tcW w:w="45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Paid-In</w:t>
            </w:r>
          </w:p>
        </w:tc>
        <w:tc>
          <w:tcPr>
            <w:tcW w:w="7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Income</w:t>
            </w:r>
          </w:p>
        </w:tc>
        <w:tc>
          <w:tcPr>
            <w:tcW w:w="13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00" w:type="dxa"/>
            <w:vAlign w:val="bottom"/>
          </w:tcPr>
          <w:p>
            <w:pPr>
              <w:spacing w:after="0"/>
              <w:rPr>
                <w:sz w:val="8"/>
                <w:szCs w:val="8"/>
                <w:color w:val="auto"/>
              </w:rPr>
            </w:pPr>
          </w:p>
        </w:tc>
        <w:tc>
          <w:tcPr>
            <w:tcW w:w="740" w:type="dxa"/>
            <w:vAlign w:val="bottom"/>
            <w:tcBorders>
              <w:top w:val="single" w:sz="8" w:color="auto"/>
            </w:tcBorders>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Shares</w:t>
            </w:r>
          </w:p>
        </w:tc>
        <w:tc>
          <w:tcPr>
            <w:tcW w:w="50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Amounts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Capital</w:t>
            </w:r>
          </w:p>
        </w:tc>
        <w:tc>
          <w:tcPr>
            <w:tcW w:w="700" w:type="dxa"/>
            <w:vAlign w:val="bottom"/>
            <w:gridSpan w:val="3"/>
          </w:tcPr>
          <w:p>
            <w:pPr>
              <w:jc w:val="right"/>
              <w:ind w:right="240"/>
              <w:spacing w:after="0" w:line="98"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108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3"/>
              </w:rPr>
              <w:t>(Loss)</w:t>
            </w:r>
          </w:p>
        </w:tc>
        <w:tc>
          <w:tcPr>
            <w:tcW w:w="800" w:type="dxa"/>
            <w:vAlign w:val="bottom"/>
            <w:tcBorders>
              <w:top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Shares</w:t>
            </w:r>
          </w:p>
        </w:tc>
        <w:tc>
          <w:tcPr>
            <w:tcW w:w="4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6"/>
              </w:rPr>
              <w:t>Amounts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4,513</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4,410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(96,599)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(2,836)</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1,163</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(495)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w w:val="96"/>
              </w:rPr>
              <w:t>Equity-based compensation transactions, including dividend equivalents, net of taxes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30</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6,067</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(39,946)</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(1,421)</w:t>
            </w:r>
          </w:p>
        </w:tc>
        <w:tc>
          <w:tcPr>
            <w:tcW w:w="0" w:type="dxa"/>
            <w:vAlign w:val="bottom"/>
          </w:tcPr>
          <w:p>
            <w:pPr>
              <w:spacing w:after="0"/>
              <w:rPr>
                <w:sz w:val="1"/>
                <w:szCs w:val="1"/>
                <w:color w:val="auto"/>
              </w:rPr>
            </w:pPr>
          </w:p>
        </w:tc>
      </w:tr>
      <w:tr>
        <w:trPr>
          <w:trHeight w:val="140"/>
        </w:trPr>
        <w:tc>
          <w:tcPr>
            <w:tcW w:w="4500" w:type="dxa"/>
            <w:vAlign w:val="bottom"/>
          </w:tcPr>
          <w:p>
            <w:pPr>
              <w:ind w:left="120"/>
              <w:spacing w:after="0"/>
              <w:rPr>
                <w:sz w:val="20"/>
                <w:szCs w:val="20"/>
                <w:color w:val="auto"/>
              </w:rPr>
            </w:pPr>
            <w:r>
              <w:rPr>
                <w:rFonts w:ascii="Arial" w:cs="Arial" w:eastAsia="Arial" w:hAnsi="Arial"/>
                <w:sz w:val="12"/>
                <w:szCs w:val="12"/>
                <w:color w:val="auto"/>
                <w:w w:val="94"/>
              </w:rPr>
              <w:t>Unrealized losses resulting from changes in fair values of derivative instruments, net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ind w:left="240"/>
              <w:spacing w:after="0"/>
              <w:rPr>
                <w:sz w:val="20"/>
                <w:szCs w:val="20"/>
                <w:color w:val="auto"/>
              </w:rPr>
            </w:pPr>
            <w:r>
              <w:rPr>
                <w:rFonts w:ascii="Arial" w:cs="Arial" w:eastAsia="Arial" w:hAnsi="Arial"/>
                <w:sz w:val="12"/>
                <w:szCs w:val="12"/>
                <w:color w:val="auto"/>
              </w:rPr>
              <w:t>taxes of $22</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(34)</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Realized losses on derivative instruments reclassified into earnings, net of taxes of $30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Unrealized losses on marketable securities, net of taxes of $3</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Change in funded status of defined benefit plan liabilities, net of taxes of $3</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Other</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314</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4,542</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5,080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(130,164)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(4,065)</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559</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Equity-based compensation transactions, net of taxes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2,225</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(12,185)</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140"/>
        </w:trPr>
        <w:tc>
          <w:tcPr>
            <w:tcW w:w="4500" w:type="dxa"/>
            <w:vAlign w:val="bottom"/>
          </w:tcPr>
          <w:p>
            <w:pPr>
              <w:ind w:left="120"/>
              <w:spacing w:after="0"/>
              <w:rPr>
                <w:sz w:val="20"/>
                <w:szCs w:val="20"/>
                <w:color w:val="auto"/>
              </w:rPr>
            </w:pPr>
            <w:r>
              <w:rPr>
                <w:rFonts w:ascii="Arial" w:cs="Arial" w:eastAsia="Arial" w:hAnsi="Arial"/>
                <w:sz w:val="12"/>
                <w:szCs w:val="12"/>
                <w:color w:val="auto"/>
                <w:w w:val="94"/>
              </w:rPr>
              <w:t>Unrealized losses resulting from changes in fair values of derivative instruments, net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ind w:left="240"/>
              <w:spacing w:after="0"/>
              <w:rPr>
                <w:sz w:val="20"/>
                <w:szCs w:val="20"/>
                <w:color w:val="auto"/>
              </w:rPr>
            </w:pPr>
            <w:r>
              <w:rPr>
                <w:rFonts w:ascii="Arial" w:cs="Arial" w:eastAsia="Arial" w:hAnsi="Arial"/>
                <w:sz w:val="12"/>
                <w:szCs w:val="12"/>
                <w:color w:val="auto"/>
              </w:rPr>
              <w:t>taxes of $2</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Realized gains on derivative instruments reclassified into earnings, net of taxes of $0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Unrealized losses on marketable securities, net of taxes of $1</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Other</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Balance, June 30, 2008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4,537</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5,371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(140,119)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(4,398)</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Condensed Consolidated Financial Statements presented in this report include the accounts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53"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detail on the financial position, results of operations and cash flows of WMI, WM Holdings and their subsidiaries, see Note 12.</w:t>
      </w:r>
    </w:p>
    <w:p>
      <w:pPr>
        <w:spacing w:after="0" w:line="53"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or WMRA, Group. We also provide additional waste management services that are not managed through our six Groups, which are presented in this report as “Other.” Refer to Note 9 for additional information related to our segments.</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six months ended June 30, 2008 and 2007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2007.</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59"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i w:val="1"/>
          <w:iCs w:val="1"/>
          <w:color w:val="auto"/>
        </w:rPr>
        <w:t xml:space="preserve">Accounting Change </w:t>
      </w:r>
      <w:r>
        <w:rPr>
          <w:rFonts w:ascii="Arial" w:cs="Arial" w:eastAsia="Arial" w:hAnsi="Arial"/>
          <w:sz w:val="12"/>
          <w:szCs w:val="12"/>
          <w:color w:val="auto"/>
        </w:rPr>
        <w:t>— In September 2006, the Financial Accounting Standards Board issued SFAS No. 157,</w:t>
      </w:r>
      <w:r>
        <w:rPr>
          <w:rFonts w:ascii="Arial" w:cs="Arial" w:eastAsia="Arial" w:hAnsi="Arial"/>
          <w:sz w:val="12"/>
          <w:szCs w:val="12"/>
          <w:i w:val="1"/>
          <w:iCs w:val="1"/>
          <w:color w:val="auto"/>
        </w:rPr>
        <w:t xml:space="preserve"> Fair Value Measurements, </w:t>
      </w:r>
      <w:r>
        <w:rPr>
          <w:rFonts w:ascii="Arial" w:cs="Arial" w:eastAsia="Arial" w:hAnsi="Arial"/>
          <w:sz w:val="12"/>
          <w:szCs w:val="12"/>
          <w:color w:val="auto"/>
        </w:rPr>
        <w:t>which defines fair value, establishes a</w:t>
      </w:r>
      <w:r>
        <w:rPr>
          <w:rFonts w:ascii="Arial" w:cs="Arial" w:eastAsia="Arial" w:hAnsi="Arial"/>
          <w:sz w:val="12"/>
          <w:szCs w:val="12"/>
          <w:i w:val="1"/>
          <w:iCs w:val="1"/>
          <w:color w:val="auto"/>
        </w:rPr>
        <w:t xml:space="preserve"> </w:t>
      </w:r>
      <w:r>
        <w:rPr>
          <w:rFonts w:ascii="Arial" w:cs="Arial" w:eastAsia="Arial" w:hAnsi="Arial"/>
          <w:sz w:val="12"/>
          <w:szCs w:val="12"/>
          <w:color w:val="auto"/>
        </w:rPr>
        <w:t>framework for measuring fair value, and expands disclosures about fair value measurements. Effective January 1, 2008, we adopted SFAS No. 157 for assets and liabilities recognized at fair value on a recurring basis. Our adoption of SFAS No. 157 during the first quarter of 2008 resulted in the recognition of a $6 million charge to operating expenses and a corresponding</w:t>
      </w:r>
    </w:p>
    <w:p>
      <w:pPr>
        <w:spacing w:after="0" w:line="1"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 xml:space="preserve">$3 million credit to minority interest expense for the re-measurement of the fair value of environmental remediation recovery assets accounted for in accordance with Statement of Position No. 96-1, </w:t>
      </w:r>
      <w:r>
        <w:rPr>
          <w:rFonts w:ascii="Arial" w:cs="Arial" w:eastAsia="Arial" w:hAnsi="Arial"/>
          <w:sz w:val="13"/>
          <w:szCs w:val="13"/>
          <w:i w:val="1"/>
          <w:iCs w:val="1"/>
          <w:color w:val="auto"/>
        </w:rPr>
        <w:t>Environmental Remediation Liabilities.</w:t>
      </w:r>
      <w:r>
        <w:rPr>
          <w:rFonts w:ascii="Arial" w:cs="Arial" w:eastAsia="Arial" w:hAnsi="Arial"/>
          <w:sz w:val="13"/>
          <w:szCs w:val="13"/>
          <w:color w:val="auto"/>
        </w:rPr>
        <w:t xml:space="preserve"> The</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740"/>
        <w:spacing w:after="0" w:line="276" w:lineRule="auto"/>
        <w:rPr>
          <w:sz w:val="20"/>
          <w:szCs w:val="20"/>
          <w:color w:val="auto"/>
        </w:rPr>
      </w:pPr>
      <w:r>
        <w:rPr>
          <w:rFonts w:ascii="Arial" w:cs="Arial" w:eastAsia="Arial" w:hAnsi="Arial"/>
          <w:sz w:val="13"/>
          <w:szCs w:val="13"/>
          <w:color w:val="auto"/>
        </w:rPr>
        <w:t>adoption of SFAS No. 157 did not materially affect our consolidated financial position, results of operations or cash flows. Refer to Note 11 for information about our fair value measurements.</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Reclassification of Segment Information </w:t>
      </w:r>
      <w:r>
        <w:rPr>
          <w:rFonts w:ascii="Arial" w:cs="Arial" w:eastAsia="Arial" w:hAnsi="Arial"/>
          <w:sz w:val="12"/>
          <w:szCs w:val="12"/>
          <w:color w:val="auto"/>
        </w:rPr>
        <w:t>— In the second quarter of 2008, we realigned our Midwest and Western Group organizations to facilitate improved business execution. We</w:t>
      </w:r>
      <w:r>
        <w:rPr>
          <w:rFonts w:ascii="Arial" w:cs="Arial" w:eastAsia="Arial" w:hAnsi="Arial"/>
          <w:sz w:val="12"/>
          <w:szCs w:val="12"/>
          <w:i w:val="1"/>
          <w:iCs w:val="1"/>
          <w:color w:val="auto"/>
        </w:rPr>
        <w:t xml:space="preserve"> </w:t>
      </w:r>
      <w:r>
        <w:rPr>
          <w:rFonts w:ascii="Arial" w:cs="Arial" w:eastAsia="Arial" w:hAnsi="Arial"/>
          <w:sz w:val="12"/>
          <w:szCs w:val="12"/>
          <w:color w:val="auto"/>
        </w:rPr>
        <w:t>moved certain Canadian business operations in the Western Group to the Midwest Group. We have reflected the impact of this realignment for all periods presented to provide financial information that consistently reflects our current approach to managing our operations. Refer to Note 9 for information about our reportable segments.</w:t>
      </w:r>
    </w:p>
    <w:p>
      <w:pPr>
        <w:spacing w:after="0" w:line="12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June 30, 2008</w:t>
            </w: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3"/>
              </w:rPr>
              <w:t>December 31, 2007</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w w:val="95"/>
              </w:rPr>
              <w:t>Landfill</w:t>
            </w:r>
          </w:p>
        </w:tc>
        <w:tc>
          <w:tcPr>
            <w:tcW w:w="9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Environmental</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5"/>
              </w:rPr>
              <w:t>Landfill</w:t>
            </w:r>
          </w:p>
        </w:tc>
        <w:tc>
          <w:tcPr>
            <w:tcW w:w="100" w:type="dxa"/>
            <w:vAlign w:val="bottom"/>
          </w:tcPr>
          <w:p>
            <w:pPr>
              <w:spacing w:after="0"/>
              <w:rPr>
                <w:sz w:val="7"/>
                <w:szCs w:val="7"/>
                <w:color w:val="auto"/>
              </w:rPr>
            </w:pPr>
          </w:p>
        </w:tc>
        <w:tc>
          <w:tcPr>
            <w:tcW w:w="12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00" w:type="dxa"/>
            <w:vAlign w:val="bottom"/>
          </w:tcPr>
          <w:p>
            <w:pPr>
              <w:jc w:val="right"/>
              <w:ind w:right="10"/>
              <w:spacing w:after="0"/>
              <w:rPr>
                <w:sz w:val="20"/>
                <w:szCs w:val="20"/>
                <w:color w:val="auto"/>
              </w:rPr>
            </w:pPr>
            <w:r>
              <w:rPr>
                <w:rFonts w:ascii="Arial" w:cs="Arial" w:eastAsia="Arial" w:hAnsi="Arial"/>
                <w:sz w:val="10"/>
                <w:szCs w:val="10"/>
                <w:b w:val="1"/>
                <w:bCs w:val="1"/>
                <w:color w:val="auto"/>
              </w:rPr>
              <w:t>Remediation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1,109</w:t>
            </w:r>
          </w:p>
        </w:tc>
        <w:tc>
          <w:tcPr>
            <w:tcW w:w="9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234</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1,343</w:t>
            </w: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1,072</w:t>
            </w:r>
          </w:p>
        </w:tc>
        <w:tc>
          <w:tcPr>
            <w:tcW w:w="1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1,210</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277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1,462</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2007 and the six months ended June 30, 2008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June 30,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$223 million at June 30, 2008, and is primarily included as long-term “Other assets” in our Condensed Consolidated Balance Sheet.</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8680" w:type="dxa"/>
            <w:vAlign w:val="bottom"/>
            <w:gridSpan w:val="4"/>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700" w:type="dxa"/>
            <w:vAlign w:val="bottom"/>
          </w:tcPr>
          <w:p>
            <w:pPr>
              <w:jc w:val="center"/>
              <w:ind w:left="1634"/>
              <w:spacing w:after="0"/>
              <w:rPr>
                <w:sz w:val="20"/>
                <w:szCs w:val="20"/>
                <w:color w:val="auto"/>
              </w:rPr>
            </w:pPr>
            <w:r>
              <w:rPr>
                <w:rFonts w:ascii="Arial" w:cs="Arial" w:eastAsia="Arial" w:hAnsi="Arial"/>
                <w:sz w:val="13"/>
                <w:szCs w:val="13"/>
                <w:b w:val="1"/>
                <w:bCs w:val="1"/>
                <w:color w:val="auto"/>
              </w:rPr>
              <w:t>WASTE MANAGEMENT, INC.</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00" w:type="dxa"/>
            <w:vAlign w:val="bottom"/>
          </w:tcPr>
          <w:p>
            <w:pPr>
              <w:jc w:val="center"/>
              <w:ind w:left="1634"/>
              <w:spacing w:after="0"/>
              <w:rPr>
                <w:sz w:val="20"/>
                <w:szCs w:val="20"/>
                <w:color w:val="auto"/>
              </w:rPr>
            </w:pPr>
            <w:r>
              <w:rPr>
                <w:rFonts w:ascii="Arial" w:cs="Arial" w:eastAsia="Arial" w:hAnsi="Arial"/>
                <w:sz w:val="13"/>
                <w:szCs w:val="13"/>
                <w:b w:val="1"/>
                <w:bCs w:val="1"/>
                <w:color w:val="auto"/>
                <w:w w:val="99"/>
              </w:rPr>
              <w:t>NOTES TO CONDENSED CONSOLIDATED FINANCIAL STATEMENTS — (Continued)</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800" w:type="dxa"/>
            <w:vAlign w:val="bottom"/>
            <w:gridSpan w:val="2"/>
          </w:tcPr>
          <w:p>
            <w:pPr>
              <w:ind w:left="680"/>
              <w:spacing w:after="0"/>
              <w:rPr>
                <w:sz w:val="20"/>
                <w:szCs w:val="20"/>
                <w:color w:val="auto"/>
              </w:rPr>
            </w:pPr>
            <w:r>
              <w:rPr>
                <w:rFonts w:ascii="Arial" w:cs="Arial" w:eastAsia="Arial" w:hAnsi="Arial"/>
                <w:sz w:val="13"/>
                <w:szCs w:val="13"/>
                <w:b w:val="1"/>
                <w:bCs w:val="1"/>
                <w:color w:val="auto"/>
                <w:w w:val="91"/>
              </w:rPr>
              <w:t>3.</w:t>
            </w:r>
          </w:p>
        </w:tc>
        <w:tc>
          <w:tcPr>
            <w:tcW w:w="180" w:type="dxa"/>
            <w:vAlign w:val="bottom"/>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3"/>
                <w:szCs w:val="13"/>
                <w:b w:val="1"/>
                <w:bCs w:val="1"/>
                <w:color w:val="auto"/>
              </w:rPr>
              <w:t>Debt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80" w:type="dxa"/>
            <w:vAlign w:val="bottom"/>
            <w:gridSpan w:val="2"/>
          </w:tcPr>
          <w:p>
            <w:pPr>
              <w:ind w:left="80"/>
              <w:spacing w:after="0"/>
              <w:rPr>
                <w:sz w:val="20"/>
                <w:szCs w:val="20"/>
                <w:color w:val="auto"/>
              </w:rPr>
            </w:pPr>
            <w:r>
              <w:rPr>
                <w:rFonts w:ascii="Arial" w:cs="Arial" w:eastAsia="Arial" w:hAnsi="Arial"/>
                <w:sz w:val="13"/>
                <w:szCs w:val="13"/>
                <w:b w:val="1"/>
                <w:bCs w:val="1"/>
                <w:i w:val="1"/>
                <w:iCs w:val="1"/>
                <w:color w:val="auto"/>
              </w:rPr>
              <w:t>Debt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00" w:type="dxa"/>
            <w:vAlign w:val="bottom"/>
          </w:tcPr>
          <w:p>
            <w:pPr>
              <w:ind w:left="100"/>
              <w:spacing w:after="0"/>
              <w:rPr>
                <w:sz w:val="20"/>
                <w:szCs w:val="20"/>
                <w:color w:val="auto"/>
              </w:rPr>
            </w:pPr>
            <w:r>
              <w:rPr>
                <w:rFonts w:ascii="Arial" w:cs="Arial" w:eastAsia="Arial" w:hAnsi="Arial"/>
                <w:sz w:val="13"/>
                <w:szCs w:val="13"/>
                <w:color w:val="auto"/>
              </w:rPr>
              <w:t>The following table summarizes the major components of debt at each balance sheet date (in millions):</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5.4% at 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0" w:type="dxa"/>
            <w:vAlign w:val="bottom"/>
            <w:gridSpan w:val="3"/>
          </w:tcPr>
          <w:p>
            <w:pPr>
              <w:spacing w:after="0"/>
              <w:rPr>
                <w:sz w:val="20"/>
                <w:szCs w:val="20"/>
                <w:color w:val="auto"/>
              </w:rPr>
            </w:pPr>
            <w:r>
              <w:rPr>
                <w:rFonts w:ascii="Arial" w:cs="Arial" w:eastAsia="Arial" w:hAnsi="Arial"/>
                <w:sz w:val="13"/>
                <w:szCs w:val="13"/>
                <w:color w:val="auto"/>
              </w:rPr>
              <w:t>Letter of credit facilities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4.0% at June 30, 2008 and 5.3% at December 31, 2007)</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8000" w:type="dxa"/>
            <w:vAlign w:val="bottom"/>
            <w:gridSpan w:val="3"/>
          </w:tcPr>
          <w:p>
            <w:pPr>
              <w:spacing w:after="0" w:line="149" w:lineRule="exact"/>
              <w:rPr>
                <w:sz w:val="20"/>
                <w:szCs w:val="20"/>
                <w:color w:val="auto"/>
              </w:rPr>
            </w:pPr>
            <w:r>
              <w:rPr>
                <w:rFonts w:ascii="Arial" w:cs="Arial" w:eastAsia="Arial" w:hAnsi="Arial"/>
                <w:sz w:val="13"/>
                <w:szCs w:val="13"/>
                <w:color w:val="auto"/>
                <w:w w:val="93"/>
              </w:rPr>
              <w:t>Senior notes and debentures, maturing through 2032, interest rates ranging from 5.0% to 7.75% (weighted average interest rate of 6.8% at June 30,</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80" w:type="dxa"/>
            <w:vAlign w:val="bottom"/>
            <w:gridSpan w:val="2"/>
          </w:tcPr>
          <w:p>
            <w:pPr>
              <w:ind w:left="20"/>
              <w:spacing w:after="0"/>
              <w:rPr>
                <w:sz w:val="20"/>
                <w:szCs w:val="20"/>
                <w:color w:val="auto"/>
              </w:rPr>
            </w:pPr>
            <w:r>
              <w:rPr>
                <w:rFonts w:ascii="Arial" w:cs="Arial" w:eastAsia="Arial" w:hAnsi="Arial"/>
                <w:sz w:val="13"/>
                <w:szCs w:val="13"/>
                <w:color w:val="auto"/>
              </w:rPr>
              <w:t>2008 and 7.0% at December 31, 2007)</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4,919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4,584</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1.5% to 7.4% (weighted average interest rate of 3.8% at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30, 2008 and 4.4% at December 31, 2007)</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2,533</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8000" w:type="dxa"/>
            <w:vAlign w:val="bottom"/>
            <w:gridSpan w:val="3"/>
          </w:tcPr>
          <w:p>
            <w:pPr>
              <w:spacing w:after="0" w:line="149" w:lineRule="exact"/>
              <w:rPr>
                <w:sz w:val="20"/>
                <w:szCs w:val="20"/>
                <w:color w:val="auto"/>
              </w:rPr>
            </w:pPr>
            <w:r>
              <w:rPr>
                <w:rFonts w:ascii="Arial" w:cs="Arial" w:eastAsia="Arial" w:hAnsi="Arial"/>
                <w:sz w:val="13"/>
                <w:szCs w:val="13"/>
                <w:color w:val="auto"/>
                <w:w w:val="94"/>
              </w:rPr>
              <w:t>Tax-exempt project bonds, principal payable in periodic installments, maturing through 2027, fixed and variable interest rates ranging from 1.3% to</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80" w:type="dxa"/>
            <w:vAlign w:val="bottom"/>
            <w:gridSpan w:val="2"/>
          </w:tcPr>
          <w:p>
            <w:pPr>
              <w:ind w:left="20"/>
              <w:spacing w:after="0"/>
              <w:rPr>
                <w:sz w:val="20"/>
                <w:szCs w:val="20"/>
                <w:color w:val="auto"/>
              </w:rPr>
            </w:pPr>
            <w:r>
              <w:rPr>
                <w:rFonts w:ascii="Arial" w:cs="Arial" w:eastAsia="Arial" w:hAnsi="Arial"/>
                <w:sz w:val="13"/>
                <w:szCs w:val="13"/>
                <w:color w:val="auto"/>
              </w:rPr>
              <w:t>9.3% (weighted average interest rate of 5.0% at June 30, 2008 and 5.3% at December 31, 2007)</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2031, interest rates up to 12%</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00" w:type="dxa"/>
            <w:vAlign w:val="bottom"/>
            <w:gridSpan w:val="3"/>
            <w:vMerge w:val="restart"/>
          </w:tcPr>
          <w:p>
            <w:pPr>
              <w:spacing w:after="0"/>
              <w:rPr>
                <w:sz w:val="20"/>
                <w:szCs w:val="20"/>
                <w:color w:val="auto"/>
              </w:rPr>
            </w:pPr>
            <w:r>
              <w:rPr>
                <w:rFonts w:ascii="Arial" w:cs="Arial" w:eastAsia="Arial" w:hAnsi="Arial"/>
                <w:sz w:val="13"/>
                <w:szCs w:val="13"/>
                <w:color w:val="auto"/>
              </w:rPr>
              <w:t>Total long-term debt</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0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8,393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8,337</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00" w:type="dxa"/>
            <w:vAlign w:val="bottom"/>
            <w:gridSpan w:val="3"/>
            <w:vMerge w:val="restart"/>
          </w:tcPr>
          <w:p>
            <w:pPr>
              <w:spacing w:after="0"/>
              <w:rPr>
                <w:sz w:val="20"/>
                <w:szCs w:val="20"/>
                <w:color w:val="auto"/>
              </w:rPr>
            </w:pPr>
            <w:r>
              <w:rPr>
                <w:rFonts w:ascii="Arial" w:cs="Arial" w:eastAsia="Arial" w:hAnsi="Arial"/>
                <w:sz w:val="13"/>
                <w:szCs w:val="13"/>
                <w:color w:val="auto"/>
              </w:rPr>
              <w:t>Long-term debt, less current portion</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000" w:type="dxa"/>
            <w:vAlign w:val="bottom"/>
            <w:gridSpan w:val="3"/>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7,958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have $1.4 billion of scheduled debt maturities during the next twelve months. We have classified $951 million of these borrowings as long-term as of June 30, 2008 based on our intent and ability to refinance these borrowings on a long-term basis.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2007 to June 30, 2008 are related to the following:</w:t>
      </w:r>
    </w:p>
    <w:p>
      <w:pPr>
        <w:spacing w:after="0" w:line="96" w:lineRule="exact"/>
        <w:rPr>
          <w:sz w:val="20"/>
          <w:szCs w:val="20"/>
          <w:color w:val="auto"/>
        </w:rPr>
      </w:pPr>
    </w:p>
    <w:p>
      <w:pPr>
        <w:ind w:left="1280" w:right="38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We repaid $50 million of the outstanding borrowings with available cash and repaid the remaining $250 million of outstanding borrowings with</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from the issuance of senior notes as discussed below.</w:t>
      </w:r>
    </w:p>
    <w:p>
      <w:pPr>
        <w:spacing w:after="0" w:line="4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Approximately $374 million of advances matured, of which $47 million were repaid with available cash and the remaining $327 million were renewed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terms of the credit facility. As of December 31, 2007 and June 30, 2008, $281 million and $271 million, respectively, of these advances were classified as long-term based on our intent and ability to refinance the obligations on a long-term basis under the terms of the facility.</w:t>
      </w:r>
    </w:p>
    <w:p>
      <w:pPr>
        <w:spacing w:after="0" w:line="57" w:lineRule="exact"/>
        <w:rPr>
          <w:rFonts w:ascii="Arial" w:cs="Arial" w:eastAsia="Arial" w:hAnsi="Arial"/>
          <w:sz w:val="13"/>
          <w:szCs w:val="13"/>
          <w:color w:val="auto"/>
        </w:rPr>
      </w:pPr>
    </w:p>
    <w:p>
      <w:pPr>
        <w:ind w:left="1280" w:right="20" w:hanging="190"/>
        <w:spacing w:after="0" w:line="289" w:lineRule="auto"/>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Senior notes </w:t>
      </w:r>
      <w:r>
        <w:rPr>
          <w:rFonts w:ascii="Arial" w:cs="Arial" w:eastAsia="Arial" w:hAnsi="Arial"/>
          <w:sz w:val="12"/>
          <w:szCs w:val="12"/>
          <w:color w:val="auto"/>
        </w:rPr>
        <w:t>— We issued $600 million of 6.1% senior notes due March 15, 2018. The net proceeds from the debt issuance were $594 million. A portion of the proceeds from this</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 was used to repay $250 million of outstanding borrowings under the revolving credit facility. In addition, we used proceeds from this offering to repay $244 million of 8.75% senior notes that would have matured in 2018. We repaid these notes in May 2008, recognizing a net credit to interest expense of approximately $10 million for the immediate recognition of fair value adjustments associated with terminated interest rate swaps that had been deferred and were being amortized over the life of the debt.</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ind w:left="1280" w:right="80" w:firstLine="375"/>
        <w:spacing w:after="0" w:line="264" w:lineRule="auto"/>
        <w:rPr>
          <w:sz w:val="20"/>
          <w:szCs w:val="20"/>
          <w:color w:val="auto"/>
        </w:rPr>
      </w:pPr>
      <w:r>
        <w:rPr>
          <w:rFonts w:ascii="Arial" w:cs="Arial" w:eastAsia="Arial" w:hAnsi="Arial"/>
          <w:sz w:val="13"/>
          <w:szCs w:val="13"/>
          <w:color w:val="auto"/>
        </w:rPr>
        <w:t>In connection with our issuance of the senior notes, we executed interest rate swap contracts with a total notional value of $200 million. We designated these fixed-to-floating interest rate swap agreements as fair value hedges, resulting in all fair value adjustments being reflected as a component of the carrying value of the underlying debt. For information related to the fair value of our interest rate derivatives, refer to Note 11.</w:t>
      </w:r>
    </w:p>
    <w:p>
      <w:pPr>
        <w:spacing w:after="0" w:line="67" w:lineRule="exact"/>
        <w:rPr>
          <w:sz w:val="20"/>
          <w:szCs w:val="20"/>
          <w:color w:val="auto"/>
        </w:rPr>
      </w:pPr>
    </w:p>
    <w:p>
      <w:pPr>
        <w:ind w:left="1280" w:right="120" w:firstLine="375"/>
        <w:spacing w:after="0" w:line="285" w:lineRule="auto"/>
        <w:rPr>
          <w:sz w:val="20"/>
          <w:szCs w:val="20"/>
          <w:color w:val="auto"/>
        </w:rPr>
      </w:pPr>
      <w:r>
        <w:rPr>
          <w:rFonts w:ascii="Arial" w:cs="Arial" w:eastAsia="Arial" w:hAnsi="Arial"/>
          <w:sz w:val="12"/>
          <w:szCs w:val="12"/>
          <w:color w:val="auto"/>
        </w:rPr>
        <w:t>We have $386 million of 6.5% senior notes that mature in November 2008. As of December 31, 2007 and June 30, 2008, $310 million and $386 million, respectively, of these notes was classified as long-term based on our intent and ability to refinance the obligation on a long-term basis. In addition, we have $500 million of 6.875% senior notes that mature in May 2009. As of June 30, 2008, $294 million of these notes was classified as long-term based on our intent and ability to refinance the obligation on a long-term basis. Although we intend to refinance both of these obligations on a long-term basis, our classification of the borrowings as long-term as of December 31, 2007 and June 30, 2008 was limited by the available capacity of our $2.4 billion revolving credit facility at each balance sheet date.</w:t>
      </w:r>
    </w:p>
    <w:p>
      <w:pPr>
        <w:spacing w:after="0" w:line="55" w:lineRule="exact"/>
        <w:rPr>
          <w:sz w:val="20"/>
          <w:szCs w:val="20"/>
          <w:color w:val="auto"/>
        </w:rPr>
      </w:pPr>
    </w:p>
    <w:p>
      <w:pPr>
        <w:ind w:left="1280" w:right="20" w:hanging="190"/>
        <w:spacing w:after="0" w:line="258" w:lineRule="auto"/>
        <w:tabs>
          <w:tab w:leader="none" w:pos="1280" w:val="left"/>
        </w:tabs>
        <w:numPr>
          <w:ilvl w:val="1"/>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issued $79 million of tax-exempt bonds during the six months ended June 30, 2008. The proceeds from the issuance of the bonds were deposited 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into a trust fund and may only be used for the specific purpose for which the money was raised, which is generally to finance expenditures for landfill construction and development, equipment, vehicles and facilities in support of our operations. Accordingly, the restricted funds provided by these financing activities have not been included in “New Borrowings” in our Condensed Consolidated Statement of Cash Flows. During the six months ended June 30, 2008, $5 million of our tax-exempt bonds were repaid with available cash or restricted tax-exempt bond funds.</w:t>
      </w:r>
    </w:p>
    <w:p>
      <w:pPr>
        <w:spacing w:after="0" w:line="145" w:lineRule="exact"/>
        <w:rPr>
          <w:rFonts w:ascii="Arial" w:cs="Arial" w:eastAsia="Arial" w:hAnsi="Arial"/>
          <w:sz w:val="13"/>
          <w:szCs w:val="13"/>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effective tax rates for the three and six months ended June 30, 2008 were 38.4% and 38.0%, respectively, compared with 29.7% and 29.0% for the three and six months ended June 30, 2007, respectively. The difference between federal income taxes computed at the federal statutory rate and reported income taxes for the three and six months ended June 30, 2008 is primarily due to the unfavorable impact of state and local income taxes, which was offset, in part, by the favorable impacts of tax audit settlements and the true-up of our 2007 non-conventional fuel tax credits.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difference between federal income taxes computed at the federal statutory rate and reported income taxes for the three and six months ended June 30, 2007 is primarily due to the effects of the favorable impact of non-conventional fuel tax credits and tax audit settlements, discussed below, which were partially offset by the unfavorable impact of state and local income taxes and nondeductible goodwill associated with divestitures. In addition, during the second quarter of 2007, we recognized tax benefits related to scheduled tax rate reductions in Canada and an $8 million benefit from state tax credits, both of which resulted in the revaluation of our related deferred tax balances.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evaluate our effective tax rate at each interim period and adjust it accordingly as facts and circumstances warrant.</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settlement of tax audits during the three and six months ended June 30, 2008, resulted in reductions in our provision for income taxes of $7 million and</w:t>
      </w:r>
      <w:r>
        <w:rPr>
          <w:rFonts w:ascii="Arial" w:cs="Arial" w:eastAsia="Arial" w:hAnsi="Arial"/>
          <w:sz w:val="13"/>
          <w:szCs w:val="13"/>
          <w:i w:val="1"/>
          <w:iCs w:val="1"/>
          <w:color w:val="auto"/>
        </w:rPr>
        <w:t xml:space="preserve"> </w:t>
      </w:r>
      <w:r>
        <w:rPr>
          <w:rFonts w:ascii="Arial" w:cs="Arial" w:eastAsia="Arial" w:hAnsi="Arial"/>
          <w:sz w:val="13"/>
          <w:szCs w:val="13"/>
          <w:color w:val="auto"/>
        </w:rPr>
        <w:t>$13 million, respectively. The settlement of tax audits during the three and six months ended June 30, 2007, resulted in reductions in our provision for income taxes of $11 million and $27 million, respectively.</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The favorable impact of non-conventional fuel tax credits on our 2007 effective tax rate was derived from our investments in two coal-based,</w:t>
      </w:r>
      <w:r>
        <w:rPr>
          <w:rFonts w:ascii="Arial" w:cs="Arial" w:eastAsia="Arial" w:hAnsi="Arial"/>
          <w:sz w:val="13"/>
          <w:szCs w:val="13"/>
          <w:i w:val="1"/>
          <w:iCs w:val="1"/>
          <w:color w:val="auto"/>
        </w:rPr>
        <w:t xml:space="preserve"> </w:t>
      </w:r>
      <w:r>
        <w:rPr>
          <w:rFonts w:ascii="Arial" w:cs="Arial" w:eastAsia="Arial" w:hAnsi="Arial"/>
          <w:sz w:val="13"/>
          <w:szCs w:val="13"/>
          <w:color w:val="auto"/>
        </w:rPr>
        <w:t>synthetic fuel production facilities and our landfill gas-to-energy projects. The fuel generated from the facilities and our landfill gas-to-energy projects qualified for tax credits through 2007 pursuant to Section 45K of the Internal Revenue Code. Our recorded taxes for the three and six months ended June 30, 2007 included benefits of $29 million and $58 million, respectively, from Section 45K tax credits.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effective tax rate for the three and six months ended June 30, 2007 reflected our expectations for the phase-out of 29% of Section 45K tax credits generated during 2007. As of December 31, 2007, our estimate of the 2007</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left="680" w:right="1040"/>
        <w:spacing w:after="0" w:line="264" w:lineRule="auto"/>
        <w:rPr>
          <w:sz w:val="20"/>
          <w:szCs w:val="20"/>
          <w:color w:val="auto"/>
        </w:rPr>
      </w:pPr>
      <w:r>
        <w:rPr>
          <w:rFonts w:ascii="Arial" w:cs="Arial" w:eastAsia="Arial" w:hAnsi="Arial"/>
          <w:sz w:val="13"/>
          <w:szCs w:val="13"/>
          <w:color w:val="auto"/>
        </w:rPr>
        <w:t>phase-out rate had increased to 69%. In April 2008, the IRS published the phase-out percentage that must be applied to Section 45K tax credits generated in 2007, which was 67.2%. Our provision for income taxes for the first quarter of 2008 includes an adjustment of our 2007 year-end estimate to the final 2007 phase-out, which resulted in the recognition of a $3 million benefit.</w:t>
      </w:r>
    </w:p>
    <w:p>
      <w:pPr>
        <w:spacing w:after="0" w:line="67"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The tax credits generated by our investments in the synthetic fuel production facilities are offset, in part, by the recognition of our pro-rata share of the facilities’ losses, which are recognized as “Equity in net losses of unconsolidated entities.” The following table summarizes the impact of our investments in the Facilities on our Condensed Consolidated Statements of Operations (in millions) for the periods presented:</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6"/>
          </w:tcPr>
          <w:p>
            <w:pPr>
              <w:jc w:val="center"/>
              <w:ind w:right="90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640" w:type="dxa"/>
            <w:vAlign w:val="bottom"/>
            <w:gridSpan w:val="4"/>
          </w:tcPr>
          <w:p>
            <w:pPr>
              <w:jc w:val="center"/>
              <w:ind w:left="38"/>
              <w:spacing w:after="0"/>
              <w:rPr>
                <w:sz w:val="20"/>
                <w:szCs w:val="20"/>
                <w:color w:val="auto"/>
              </w:rPr>
            </w:pPr>
            <w:r>
              <w:rPr>
                <w:rFonts w:ascii="Arial" w:cs="Arial" w:eastAsia="Arial" w:hAnsi="Arial"/>
                <w:sz w:val="10"/>
                <w:szCs w:val="10"/>
                <w:b w:val="1"/>
                <w:bCs w:val="1"/>
                <w:color w:val="auto"/>
                <w:w w:val="93"/>
              </w:rPr>
              <w:t>Six Months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Ended</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8"/>
              </w:rPr>
              <w:t>Ended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7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4"/>
              </w:rPr>
              <w:t>June 30,</w:t>
            </w: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240" w:type="dxa"/>
            <w:vAlign w:val="bottom"/>
          </w:tcPr>
          <w:p>
            <w:pPr>
              <w:spacing w:after="0"/>
              <w:rPr>
                <w:sz w:val="8"/>
                <w:szCs w:val="8"/>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60" w:type="dxa"/>
            <w:vAlign w:val="bottom"/>
          </w:tcPr>
          <w:p>
            <w:pPr>
              <w:spacing w:after="0"/>
              <w:rPr>
                <w:sz w:val="8"/>
                <w:szCs w:val="8"/>
                <w:color w:val="auto"/>
              </w:rPr>
            </w:pPr>
          </w:p>
        </w:tc>
        <w:tc>
          <w:tcPr>
            <w:tcW w:w="64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800" w:type="dxa"/>
            <w:vAlign w:val="bottom"/>
          </w:tcPr>
          <w:p>
            <w:pPr>
              <w:spacing w:after="0"/>
              <w:rPr>
                <w:sz w:val="8"/>
                <w:szCs w:val="8"/>
                <w:color w:val="auto"/>
              </w:rPr>
            </w:pPr>
          </w:p>
        </w:tc>
        <w:tc>
          <w:tcPr>
            <w:tcW w:w="22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w w:val="89"/>
              </w:rPr>
              <w:t>2008</w:t>
            </w:r>
          </w:p>
        </w:tc>
        <w:tc>
          <w:tcPr>
            <w:tcW w:w="40" w:type="dxa"/>
            <w:vAlign w:val="bottom"/>
          </w:tcPr>
          <w:p>
            <w:pPr>
              <w:spacing w:after="0"/>
              <w:rPr>
                <w:sz w:val="8"/>
                <w:szCs w:val="8"/>
                <w:color w:val="auto"/>
              </w:rPr>
            </w:pPr>
          </w:p>
        </w:tc>
        <w:tc>
          <w:tcPr>
            <w:tcW w:w="64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7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4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w w:val="94"/>
              </w:rPr>
              <w:t>(24)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(51)</w:t>
            </w:r>
          </w:p>
        </w:tc>
      </w:tr>
      <w:tr>
        <w:trPr>
          <w:trHeight w:val="157"/>
        </w:trPr>
        <w:tc>
          <w:tcPr>
            <w:tcW w:w="7240" w:type="dxa"/>
            <w:vAlign w:val="bottom"/>
          </w:tcPr>
          <w:p>
            <w:pPr>
              <w:spacing w:after="0"/>
              <w:rPr>
                <w:sz w:val="20"/>
                <w:szCs w:val="20"/>
                <w:color w:val="auto"/>
              </w:rPr>
            </w:pPr>
            <w:r>
              <w:rPr>
                <w:rFonts w:ascii="Arial" w:cs="Arial" w:eastAsia="Arial" w:hAnsi="Arial"/>
                <w:sz w:val="13"/>
                <w:szCs w:val="13"/>
                <w:color w:val="auto"/>
              </w:rPr>
              <w:t>Benefit from income taxes</w:t>
            </w:r>
          </w:p>
        </w:tc>
        <w:tc>
          <w:tcPr>
            <w:tcW w:w="100" w:type="dxa"/>
            <w:vAlign w:val="bottom"/>
          </w:tcPr>
          <w:p>
            <w:pPr>
              <w:spacing w:after="0"/>
              <w:rPr>
                <w:sz w:val="13"/>
                <w:szCs w:val="13"/>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r>
      <w:tr>
        <w:trPr>
          <w:trHeight w:val="20"/>
        </w:trPr>
        <w:tc>
          <w:tcPr>
            <w:tcW w:w="7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r>
      <w:tr>
        <w:trPr>
          <w:trHeight w:val="29"/>
        </w:trPr>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40" w:firstLine="399"/>
        <w:spacing w:after="0" w:line="276" w:lineRule="auto"/>
        <w:rPr>
          <w:sz w:val="20"/>
          <w:szCs w:val="20"/>
          <w:color w:val="auto"/>
        </w:rPr>
      </w:pPr>
      <w:r>
        <w:rPr>
          <w:rFonts w:ascii="Arial" w:cs="Arial" w:eastAsia="Arial" w:hAnsi="Arial"/>
          <w:sz w:val="13"/>
          <w:szCs w:val="13"/>
          <w:color w:val="auto"/>
        </w:rPr>
        <w:t>The significant decline in the equity losses and associated tax benefits of the Facilities in 2008 as compared with the prior year is due to the expiration of our investments and Section 45K tax credits at the end of 2007.</w:t>
      </w:r>
    </w:p>
    <w:p>
      <w:pPr>
        <w:spacing w:after="0" w:line="59"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i w:val="1"/>
          <w:iCs w:val="1"/>
          <w:color w:val="auto"/>
        </w:rPr>
        <w:t xml:space="preserve">Canada statutory rate change </w:t>
      </w:r>
      <w:r>
        <w:rPr>
          <w:rFonts w:ascii="Arial" w:cs="Arial" w:eastAsia="Arial" w:hAnsi="Arial"/>
          <w:sz w:val="13"/>
          <w:szCs w:val="13"/>
          <w:color w:val="auto"/>
        </w:rPr>
        <w:t>— During the second quarter of 2007, the Canadian federal government enacted tax rate reductions. Statement of Financial Accounting Standards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requires that deferred tax balances be revalued to reflect the tax rate changes. The revaluations resulted in a $3 million tax benefit for the three and six months ended June 30, 2007.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66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100" w:type="dxa"/>
            <w:vAlign w:val="bottom"/>
            <w:gridSpan w:val="4"/>
          </w:tcPr>
          <w:p>
            <w:pPr>
              <w:jc w:val="right"/>
              <w:ind w:right="1120"/>
              <w:spacing w:after="0"/>
              <w:rPr>
                <w:sz w:val="20"/>
                <w:szCs w:val="20"/>
                <w:color w:val="auto"/>
              </w:rPr>
            </w:pPr>
            <w:r>
              <w:rPr>
                <w:rFonts w:ascii="Arial" w:cs="Arial" w:eastAsia="Arial" w:hAnsi="Arial"/>
                <w:sz w:val="10"/>
                <w:szCs w:val="10"/>
                <w:b w:val="1"/>
                <w:bCs w:val="1"/>
                <w:color w:val="auto"/>
                <w:w w:val="97"/>
              </w:rPr>
              <w:t>Three Months Ended</w:t>
            </w:r>
          </w:p>
        </w:tc>
        <w:tc>
          <w:tcPr>
            <w:tcW w:w="108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30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08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$ 318</w:t>
            </w:r>
          </w:p>
        </w:tc>
        <w:tc>
          <w:tcPr>
            <w:tcW w:w="1380" w:type="dxa"/>
            <w:vAlign w:val="bottom"/>
            <w:gridSpan w:val="2"/>
            <w:shd w:val="clear" w:color="auto" w:fill="CCEEFF"/>
          </w:tcPr>
          <w:p>
            <w:pPr>
              <w:jc w:val="right"/>
              <w:ind w:right="1080"/>
              <w:spacing w:after="0"/>
              <w:rPr>
                <w:sz w:val="20"/>
                <w:szCs w:val="20"/>
                <w:color w:val="auto"/>
              </w:rPr>
            </w:pPr>
            <w:r>
              <w:rPr>
                <w:rFonts w:ascii="Arial" w:cs="Arial" w:eastAsia="Arial" w:hAnsi="Arial"/>
                <w:sz w:val="13"/>
                <w:szCs w:val="13"/>
                <w:color w:val="auto"/>
                <w:w w:val="85"/>
              </w:rPr>
              <w:t>$ 338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$ 559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800" w:type="dxa"/>
            <w:vAlign w:val="bottom"/>
            <w:gridSpan w:val="2"/>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resulting from changes in fair values of derivative instruments, net of taxes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w:t>
            </w:r>
          </w:p>
        </w:tc>
        <w:tc>
          <w:tcPr>
            <w:tcW w:w="1380" w:type="dxa"/>
            <w:vAlign w:val="bottom"/>
            <w:gridSpan w:val="2"/>
            <w:shd w:val="clear" w:color="auto" w:fill="CCEEFF"/>
          </w:tcPr>
          <w:p>
            <w:pPr>
              <w:jc w:val="right"/>
              <w:ind w:right="1040"/>
              <w:spacing w:after="0"/>
              <w:rPr>
                <w:sz w:val="20"/>
                <w:szCs w:val="20"/>
                <w:color w:val="auto"/>
              </w:rPr>
            </w:pPr>
            <w:r>
              <w:rPr>
                <w:rFonts w:ascii="Arial" w:cs="Arial" w:eastAsia="Arial" w:hAnsi="Arial"/>
                <w:sz w:val="13"/>
                <w:szCs w:val="13"/>
                <w:color w:val="auto"/>
              </w:rPr>
              <w:t>(18)</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4</w:t>
            </w:r>
          </w:p>
        </w:tc>
        <w:tc>
          <w:tcPr>
            <w:tcW w:w="1380" w:type="dxa"/>
            <w:vAlign w:val="bottom"/>
            <w:gridSpan w:val="2"/>
          </w:tcPr>
          <w:p>
            <w:pPr>
              <w:jc w:val="right"/>
              <w:ind w:right="1080"/>
              <w:spacing w:after="0"/>
              <w:rPr>
                <w:sz w:val="20"/>
                <w:szCs w:val="20"/>
                <w:color w:val="auto"/>
              </w:rPr>
            </w:pPr>
            <w:r>
              <w:rPr>
                <w:rFonts w:ascii="Arial" w:cs="Arial" w:eastAsia="Arial" w:hAnsi="Arial"/>
                <w:sz w:val="13"/>
                <w:szCs w:val="13"/>
                <w:color w:val="auto"/>
              </w:rPr>
              <w:t>22</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marketable securities, net of taxes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0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80" w:type="dxa"/>
            <w:vAlign w:val="bottom"/>
          </w:tcPr>
          <w:p>
            <w:pPr>
              <w:ind w:left="20"/>
              <w:spacing w:after="0"/>
              <w:rPr>
                <w:sz w:val="20"/>
                <w:szCs w:val="20"/>
                <w:color w:val="auto"/>
              </w:rPr>
            </w:pPr>
            <w:r>
              <w:rPr>
                <w:rFonts w:ascii="Arial" w:cs="Arial" w:eastAsia="Arial" w:hAnsi="Arial"/>
                <w:sz w:val="13"/>
                <w:szCs w:val="13"/>
                <w:color w:val="auto"/>
              </w:rPr>
              <w:t>Translation adjustment of foreign currency statements</w:t>
            </w:r>
          </w:p>
        </w:tc>
        <w:tc>
          <w:tcPr>
            <w:tcW w:w="320" w:type="dxa"/>
            <w:vAlign w:val="bottom"/>
          </w:tcPr>
          <w:p>
            <w:pPr>
              <w:jc w:val="right"/>
              <w:spacing w:after="0"/>
              <w:rPr>
                <w:sz w:val="20"/>
                <w:szCs w:val="20"/>
                <w:color w:val="auto"/>
              </w:rPr>
            </w:pPr>
            <w:r>
              <w:rPr>
                <w:rFonts w:ascii="Arial" w:cs="Arial" w:eastAsia="Arial" w:hAnsi="Arial"/>
                <w:sz w:val="13"/>
                <w:szCs w:val="13"/>
                <w:color w:val="auto"/>
              </w:rPr>
              <w:t>5</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43</w:t>
            </w:r>
          </w:p>
        </w:tc>
        <w:tc>
          <w:tcPr>
            <w:tcW w:w="1080" w:type="dxa"/>
            <w:vAlign w:val="bottom"/>
          </w:tcPr>
          <w:p>
            <w:pPr>
              <w:spacing w:after="0"/>
              <w:rPr>
                <w:sz w:val="13"/>
                <w:szCs w:val="13"/>
                <w:color w:val="auto"/>
              </w:rPr>
            </w:pP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(17)</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1080"/>
              <w:spacing w:after="0"/>
              <w:rPr>
                <w:sz w:val="20"/>
                <w:szCs w:val="20"/>
                <w:color w:val="auto"/>
              </w:rPr>
            </w:pPr>
            <w:r>
              <w:rPr>
                <w:rFonts w:ascii="Arial" w:cs="Arial" w:eastAsia="Arial" w:hAnsi="Arial"/>
                <w:sz w:val="13"/>
                <w:szCs w:val="13"/>
                <w:color w:val="auto"/>
              </w:rPr>
              <w:t>47</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800" w:type="dxa"/>
            <w:vAlign w:val="bottom"/>
            <w:gridSpan w:val="2"/>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$ 317</w:t>
            </w:r>
          </w:p>
        </w:tc>
        <w:tc>
          <w:tcPr>
            <w:tcW w:w="4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$ 385</w:t>
            </w:r>
          </w:p>
        </w:tc>
        <w:tc>
          <w:tcPr>
            <w:tcW w:w="10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$ 536</w:t>
            </w:r>
          </w:p>
        </w:tc>
        <w:tc>
          <w:tcPr>
            <w:tcW w:w="4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$ 627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Pr>
          <w:p>
            <w:pPr>
              <w:ind w:left="4840"/>
              <w:spacing w:after="0"/>
              <w:rPr>
                <w:sz w:val="20"/>
                <w:szCs w:val="20"/>
                <w:color w:val="auto"/>
              </w:rPr>
            </w:pPr>
            <w:r>
              <w:rPr>
                <w:rFonts w:ascii="Arial" w:cs="Arial" w:eastAsia="Arial" w:hAnsi="Arial"/>
                <w:sz w:val="13"/>
                <w:szCs w:val="13"/>
                <w:color w:val="auto"/>
              </w:rPr>
              <w:t>9</w:t>
            </w: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accumulated other comprehensive income were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0"/>
                <w:szCs w:val="1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0"/>
                <w:szCs w:val="10"/>
                <w:b w:val="1"/>
                <w:bCs w:val="1"/>
                <w:color w:val="auto"/>
              </w:rPr>
              <w:t>2007</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 benefit</w:t>
            </w:r>
          </w:p>
        </w:tc>
        <w:tc>
          <w:tcPr>
            <w:tcW w:w="42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5"/>
                <w:szCs w:val="5"/>
                <w:color w:val="auto"/>
                <w:w w:val="70"/>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(24)</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223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5"/>
                <w:szCs w:val="5"/>
                <w:color w:val="auto"/>
                <w:w w:val="70"/>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206</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w w:val="95"/>
              </w:rPr>
              <w:t>Basic and diluted earnings per common share were computed using the following common share data (shares in millions):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96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center"/>
              <w:ind w:left="88"/>
              <w:spacing w:after="0"/>
              <w:rPr>
                <w:sz w:val="20"/>
                <w:szCs w:val="20"/>
                <w:color w:val="auto"/>
              </w:rPr>
            </w:pPr>
            <w:r>
              <w:rPr>
                <w:rFonts w:ascii="Arial" w:cs="Arial" w:eastAsia="Arial" w:hAnsi="Arial"/>
                <w:sz w:val="10"/>
                <w:szCs w:val="10"/>
                <w:b w:val="1"/>
                <w:bCs w:val="1"/>
                <w:color w:val="auto"/>
                <w:w w:val="97"/>
              </w:rPr>
              <w:t>Six Months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jc w:val="center"/>
              <w:ind w:right="94"/>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center"/>
              <w:ind w:right="8"/>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0"/>
                <w:szCs w:val="10"/>
                <w:b w:val="1"/>
                <w:bCs w:val="1"/>
                <w:color w:val="auto"/>
                <w:w w:val="94"/>
              </w:rPr>
              <w:t>June 30,</w:t>
            </w:r>
          </w:p>
        </w:tc>
        <w:tc>
          <w:tcPr>
            <w:tcW w:w="2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June 30,</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Pr>
          <w:p>
            <w:pPr>
              <w:jc w:val="right"/>
              <w:ind w:right="37"/>
              <w:spacing w:after="0" w:line="98" w:lineRule="exact"/>
              <w:rPr>
                <w:sz w:val="20"/>
                <w:szCs w:val="20"/>
                <w:color w:val="auto"/>
              </w:rPr>
            </w:pPr>
            <w:r>
              <w:rPr>
                <w:rFonts w:ascii="Arial" w:cs="Arial" w:eastAsia="Arial" w:hAnsi="Arial"/>
                <w:sz w:val="10"/>
                <w:szCs w:val="10"/>
                <w:b w:val="1"/>
                <w:bCs w:val="1"/>
                <w:color w:val="auto"/>
              </w:rPr>
              <w:t>2008</w:t>
            </w:r>
          </w:p>
        </w:tc>
        <w:tc>
          <w:tcPr>
            <w:tcW w:w="800" w:type="dxa"/>
            <w:vAlign w:val="bottom"/>
            <w:gridSpan w:val="3"/>
          </w:tcPr>
          <w:p>
            <w:pPr>
              <w:ind w:left="500"/>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2008</w:t>
            </w:r>
          </w:p>
        </w:tc>
        <w:tc>
          <w:tcPr>
            <w:tcW w:w="460" w:type="dxa"/>
            <w:vAlign w:val="bottom"/>
          </w:tcPr>
          <w:p>
            <w:pPr>
              <w:spacing w:after="0"/>
              <w:rPr>
                <w:sz w:val="8"/>
                <w:szCs w:val="8"/>
                <w:color w:val="auto"/>
              </w:rPr>
            </w:pPr>
          </w:p>
        </w:tc>
        <w:tc>
          <w:tcPr>
            <w:tcW w:w="32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490.2</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518.9</w:t>
            </w: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490.2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518.9</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0.5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8"/>
              <w:spacing w:after="0"/>
              <w:rPr>
                <w:sz w:val="20"/>
                <w:szCs w:val="20"/>
                <w:color w:val="auto"/>
              </w:rPr>
            </w:pPr>
            <w:r>
              <w:rPr>
                <w:rFonts w:ascii="Arial" w:cs="Arial" w:eastAsia="Arial" w:hAnsi="Arial"/>
                <w:sz w:val="13"/>
                <w:szCs w:val="13"/>
                <w:color w:val="auto"/>
              </w:rPr>
              <w:t>3.1</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490.7</w:t>
            </w:r>
          </w:p>
        </w:tc>
        <w:tc>
          <w:tcPr>
            <w:tcW w:w="4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519.0</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493.3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524.2</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3.9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4.9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8"/>
              <w:spacing w:after="0"/>
              <w:rPr>
                <w:sz w:val="20"/>
                <w:szCs w:val="20"/>
                <w:color w:val="auto"/>
              </w:rPr>
            </w:pPr>
            <w:r>
              <w:rPr>
                <w:rFonts w:ascii="Arial" w:cs="Arial" w:eastAsia="Arial" w:hAnsi="Arial"/>
                <w:sz w:val="13"/>
                <w:szCs w:val="13"/>
                <w:color w:val="auto"/>
              </w:rPr>
              <w:t>3.3</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494.6</w:t>
            </w:r>
          </w:p>
        </w:tc>
        <w:tc>
          <w:tcPr>
            <w:tcW w:w="4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523.9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496.6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529.1</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20.2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408"/>
              <w:spacing w:after="0"/>
              <w:rPr>
                <w:sz w:val="20"/>
                <w:szCs w:val="20"/>
                <w:color w:val="auto"/>
              </w:rPr>
            </w:pPr>
            <w:r>
              <w:rPr>
                <w:rFonts w:ascii="Arial" w:cs="Arial" w:eastAsia="Arial" w:hAnsi="Arial"/>
                <w:sz w:val="13"/>
                <w:szCs w:val="13"/>
                <w:color w:val="auto"/>
              </w:rPr>
              <w:t>16.5</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1.9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use letters of credit, performance bonds and insurance policies as well as trust funds and financial guarantees for our financial assurance needs, which</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supporting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and obtain insurance from a wholly-owned insurance company, the sole business of which is to issue policies for us. In those instances where our use of captive insurance is not allowed, we generally have available alternative bonding mechanisms.</w:t>
      </w:r>
    </w:p>
    <w:p>
      <w:pPr>
        <w:spacing w:after="0" w:line="7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Management does not expect that any claims against or draws on these instruments would have a material adverse effect on our consolidated financial statements and we have not experienced any unmanageable difficulty in obtaining the required financial assurance instruments for our current operations.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we believe are customary to the industry. Our exposure to loss for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claims is generally limited to the per incident deductible under the related insurance policy. 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We do not expect the impact of any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known casualty, property, environmental or other contingency to have a material impact on our financial condition, results of operations or cash flows.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June 30, 2008 include guarantees of unconsolidated entities’ financial obligations maturing through 2020 for maximum future payments of $10 million; agreements guaranteeing the market value of homeowners’ properties adjacent to landfills; and the guarantee of interest rate swap obligations of the funding entity in connection with our letter of credit facility. Our indemnification obligations generally provide that we will be responsible for liabilities associated with our operations for events that occurred prior to the sale of the operations.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Environmental matters </w:t>
      </w:r>
      <w:r>
        <w:rPr>
          <w:rFonts w:ascii="Arial" w:cs="Arial" w:eastAsia="Arial" w:hAnsi="Arial"/>
          <w:sz w:val="12"/>
          <w:szCs w:val="12"/>
          <w:color w:val="auto"/>
        </w:rPr>
        <w:t>— A significant portion of our operating costs and capital expenditures could be characterized as costs of environmental protection, as we are subject to an</w:t>
      </w:r>
      <w:r>
        <w:rPr>
          <w:rFonts w:ascii="Arial" w:cs="Arial" w:eastAsia="Arial" w:hAnsi="Arial"/>
          <w:sz w:val="12"/>
          <w:szCs w:val="12"/>
          <w:i w:val="1"/>
          <w:iCs w:val="1"/>
          <w:color w:val="auto"/>
        </w:rPr>
        <w:t xml:space="preserve"> </w:t>
      </w:r>
      <w:r>
        <w:rPr>
          <w:rFonts w:ascii="Arial" w:cs="Arial" w:eastAsia="Arial" w:hAnsi="Arial"/>
          <w:sz w:val="12"/>
          <w:szCs w:val="12"/>
          <w:color w:val="auto"/>
        </w:rPr>
        <w:t>array of laws and regulations relating to the protection of the environment. Under current laws and regulations, we may have liabilities for environmental damage caused by operations, or for damage caused by conditions that existed before we acquired a site. Such liabilities include potentially responsible party, or PRP, investigations, settlements, certain legal and consultant fees, as well as costs directly associated with site investigation and clean up, such as materials and incremental internal costs directly related to the remedy.</w:t>
      </w:r>
    </w:p>
    <w:p>
      <w:pPr>
        <w:spacing w:after="0" w:line="53"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Estimating our degree of responsibility for remediation of a particular site is inherently difficult and determining the method and ultimate cost of remediation requires that a number of assumptions be made.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2"/>
          <w:szCs w:val="12"/>
          <w:i w:val="1"/>
          <w:iCs w:val="1"/>
          <w:color w:val="auto"/>
        </w:rPr>
        <w:t>Accounting for Contingencies</w:t>
      </w:r>
      <w:r>
        <w:rPr>
          <w:rFonts w:ascii="Arial" w:cs="Arial" w:eastAsia="Arial" w:hAnsi="Arial"/>
          <w:sz w:val="12"/>
          <w:szCs w:val="12"/>
          <w:color w:val="auto"/>
        </w:rPr>
        <w:t>, and its interpretations. If we used the high ends of such ranges, our aggregate potential liability would be approximately $155 million higher than the $277 million recorded in the Condensed Consolidated Financial Statements as of June 30, 2008. Our ongoing review of our remediation liabilities could result in revisions that could cause upward or downward adjustments to income from operations. These adjustments could also be material in any given period.</w:t>
      </w:r>
    </w:p>
    <w:p>
      <w:pPr>
        <w:spacing w:after="0" w:line="59"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As of June 30, 2008, we had been notified by the government that we are a PRP in connection with 75 locations listed on the EPA’s National Priorities List, or NPL. Of the 75 sites at which claims have been made against us, 16 are sites we own. Each of the NPL sites we own were initially developed by others as landfill disposal facilities. The NPL sites are at various procedural stages under the Comprehensive Environmental Response, Compensation and Liability Act of 1980, as amended, known as CERCLA or Superfund.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In April 2002, two former participants in WM Holdings’ ERISA plans filed a lawsuit in the U.S. District Court for the District of Columbia in a case entitled</w:t>
      </w:r>
      <w:r>
        <w:rPr>
          <w:rFonts w:ascii="Arial" w:cs="Arial" w:eastAsia="Arial" w:hAnsi="Arial"/>
          <w:sz w:val="13"/>
          <w:szCs w:val="13"/>
          <w:i w:val="1"/>
          <w:iCs w:val="1"/>
          <w:color w:val="auto"/>
        </w:rPr>
        <w:t xml:space="preserve"> William S. Harris, et al. v. James E. Koenig, et al</w:t>
      </w:r>
      <w:r>
        <w:rPr>
          <w:rFonts w:ascii="Arial" w:cs="Arial" w:eastAsia="Arial" w:hAnsi="Arial"/>
          <w:sz w:val="13"/>
          <w:szCs w:val="13"/>
          <w:color w:val="auto"/>
        </w:rPr>
        <w:t>. The lawsuit named as defendants WM Holdings; various members of WM Holdings’ Board of Directors prior to the acquisition of WM Holdings by</w:t>
      </w:r>
      <w:r>
        <w:rPr>
          <w:rFonts w:ascii="Arial" w:cs="Arial" w:eastAsia="Arial" w:hAnsi="Arial"/>
          <w:sz w:val="13"/>
          <w:szCs w:val="13"/>
          <w:i w:val="1"/>
          <w:iCs w:val="1"/>
          <w:color w:val="auto"/>
        </w:rPr>
        <w:t xml:space="preserve"> </w:t>
      </w:r>
      <w:r>
        <w:rPr>
          <w:rFonts w:ascii="Arial" w:cs="Arial" w:eastAsia="Arial" w:hAnsi="Arial"/>
          <w:sz w:val="13"/>
          <w:szCs w:val="13"/>
          <w:color w:val="auto"/>
        </w:rPr>
        <w:t>WMI, including Pastora San Juan Cafferty, Steven Rothmeier and John C. Pope, each of whom is currently a director of WMI; the Administrative Committee of WM Holdings’ ERISA plans and its individual members, which included former officers and directors of WM Holdings; various members of the Administrative Committee of WMI’s ERISA plans, including former officers of WMI; various members of the Investment Committee of WMI’s ERISA plans, including former officers of WMI and Robert G. Simpson; and State Street Bank &amp; Trust, the trustee and investment manager of WMI’s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Subsequently, the issues related to the latter class action have been dropped as to WMI and all of its current and former officers and directors, including Mr. Simpson. The case is ongoing with respect to the other defendants, including Ms. Cafferty, Mr. Rothmeier and Mr. Pope, in their capacities as former directors of WM Holdings. All of the defendants intend to defend themselves vigorously.</w:t>
      </w:r>
    </w:p>
    <w:p>
      <w:pPr>
        <w:spacing w:after="0" w:line="7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There are two separate wage and hour lawsuits pending against us in California, each seeking class certification. The actions have recently been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We deny the plaintiffs’ claims and intend to vigorously defend these matters. As the litigation is in the early stages of the legal process, and given the inherent uncertainties of litigation, the ultimate outcome cannot be predicted at this time, nor can possible damages, if any, be reasonably estimated.</w:t>
      </w:r>
    </w:p>
    <w:p>
      <w:pPr>
        <w:spacing w:after="0" w:line="53"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 xml:space="preserve">obligations in connection with current actions involving former officers of the Company or its subsidiaries or other actions or proceedings,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that may be brought against its former or current officers, directors and employees.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March 20, 2008, we filed a lawsuit in state court in the Southern District of Texas against SAP AG and SAP America, Inc., alleging fraud and breach of contract. The lawsuit relates to our 2005 software license from SAP for a waste and recycling revenue management system and agreement for SAP to implement the software on a fixed-fee basis. We have alleged that SAP contracted to provide software that would not need to be customized or enhanced and that the software would be fully implemented throughout the Company in 18 months. We are pursuing all legal remedies, including recovery of all payments we have made, costs we have incurred and savings not realized. SAP recently filed a general denial to the suit. We will vigorously pursue all claims available.</w:t>
      </w:r>
    </w:p>
    <w:p>
      <w:pPr>
        <w:spacing w:after="0" w:line="7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are still examining all of our alternatives associated with the development and implementation of a revenue management system, some of which may be affected by the ultimate resolution of the lawsuit. As we continue to assess the alternatives available to us, we may determine that the best course of action will be to move forward with another software and abandon the SAP revenue management system. If we decide to abandon the SAP software, the abandonment would result in a charge of between $45 million and $55 million.</w:t>
      </w:r>
    </w:p>
    <w:p>
      <w:pPr>
        <w:spacing w:after="0" w:line="5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are the four matters pending as of June 30, 2008 that are disclosed in accordance with that requirement:</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April 4, 2006, the EPA issued a Finding and Notice of Violation (“FNOV”) to Waste Management of Hawaii, Inc., an indirect wholly-owned subsidiary of WMI, and to the County of Hawaii for alleged violations of the federal Clean Air Act. The alleged violations were based on the failure to submit certain reports required by the EPA, including annual reports calculating the quantities of certain emissions from the West Hawaii Landfill on the Big Island. The FNOV did not propose a penalty amount and the parties have been in confidential settlement negotiations. Pursuant to an indemnity agreement, any penalty assessed will be paid by the Company, and not by the County.</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EPA also issued an FNOV to Waste Management of Hawaii, Inc.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7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On March 17, 2008, Chemical Waste Management, LLC, an indirect wholly-owned subsidiary of WMI, received a proposed Order on Consent and Complaint from the New York State Department of Environmental Conservation (“DEC”) alleging violations under the Resource Conservation and Recovery Act that were either self-reported by Chemical Waste or observed during DEC inspections involving handling, disposal and transportation-related activities. The Order provided for a civil penalty in the amount of $240,250 and covers the period from November 2000 through January 2007. Subsequently, at the request of Chemical Waste, the DEC agreed to amend its proposed Order to include an alleged stormwater violation with a total proposed penalty of $290,000. The parties are engaged in confidential settlement discussions involving the alleged violations and amount of the penalty.</w:t>
      </w:r>
    </w:p>
    <w:p>
      <w:pPr>
        <w:spacing w:after="0" w:line="5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By letter dated September 22, 2006, the Pennsylvania Department of Environmental Protection proposed a Consent Agreement and Order to Shade Landfill, Inc., an indirect wholly-owned subsidiary of WMI, to address boron effluent values in excess of the landfill’s discharge permits between 2002 and 2006. The proposed Consent Agreement and Order included a proposed penalty of $200,000. The parties are in confidential settlement negotiations.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i w:val="1"/>
          <w:iCs w:val="1"/>
          <w:color w:val="auto"/>
        </w:rPr>
        <w:t xml:space="preserve">Multi-employer, defined benefit pension plans </w:t>
      </w:r>
      <w:r>
        <w:rPr>
          <w:rFonts w:ascii="Arial" w:cs="Arial" w:eastAsia="Arial" w:hAnsi="Arial"/>
          <w:sz w:val="11"/>
          <w:szCs w:val="11"/>
          <w:color w:val="auto"/>
        </w:rPr>
        <w:t>— We have collective bargaining agreements with various union locals across the United States. As a result of many of these</w:t>
      </w:r>
      <w:r>
        <w:rPr>
          <w:rFonts w:ascii="Arial" w:cs="Arial" w:eastAsia="Arial" w:hAnsi="Arial"/>
          <w:sz w:val="11"/>
          <w:szCs w:val="11"/>
          <w:i w:val="1"/>
          <w:iCs w:val="1"/>
          <w:color w:val="auto"/>
        </w:rPr>
        <w:t xml:space="preserve"> </w:t>
      </w:r>
      <w:r>
        <w:rPr>
          <w:rFonts w:ascii="Arial" w:cs="Arial" w:eastAsia="Arial" w:hAnsi="Arial"/>
          <w:sz w:val="11"/>
          <w:szCs w:val="11"/>
          <w:color w:val="auto"/>
        </w:rPr>
        <w:t>agreements, certain of our subsidiaries are participating employers in a number of trustee-managed multi-employer, defined benefit pension plans for the affected employees, including the Central States Southeast and Southwest Areas Pension Plan (“Central States Pension Plan”). In March 2008, the Central States Pension Plan reported that it has adopted a rehabilitation plan as a result of its actuarial certification for the plan year beginning January 1, 2008, which placed the Central States Pension Plan in “critical status,” as defined by the Pension Protection Act of 2006. In connection with our ongoing re-negotiation of various collection bargaining agreements, we may discuss and negotiate for the complete or partial withdrawal from one or more of these pension plans. We do not believe that our withdrawal from any of these plans, individually or in the aggregate, would have a material adverse effect on our financial condition or liquidity. However, our decision to withdraw from the plans could have a material adverse effect on our results of operations for the period in which any such withdrawal were recorded.</w:t>
      </w:r>
    </w:p>
    <w:p>
      <w:pPr>
        <w:spacing w:after="0" w:line="46"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In the second quarter of 2008, we concluded the IRS audit of the 2006 tax year and recognized a $4 million net benefit as a reduction to our provision for income</w:t>
      </w:r>
      <w:r>
        <w:rPr>
          <w:rFonts w:ascii="Arial" w:cs="Arial" w:eastAsia="Arial" w:hAnsi="Arial"/>
          <w:sz w:val="13"/>
          <w:szCs w:val="13"/>
          <w:i w:val="1"/>
          <w:iCs w:val="1"/>
          <w:color w:val="auto"/>
        </w:rPr>
        <w:t xml:space="preserve"> </w:t>
      </w:r>
      <w:r>
        <w:rPr>
          <w:rFonts w:ascii="Arial" w:cs="Arial" w:eastAsia="Arial" w:hAnsi="Arial"/>
          <w:sz w:val="13"/>
          <w:szCs w:val="13"/>
          <w:color w:val="auto"/>
        </w:rPr>
        <w:t>taxes. We are currently in the examination phase of IRS audits for the years 2007 and 2008. We expect the 2007 audit to be completed within the next six months and the 2008 audit to be completed within the next 18 months. Audits associated with state and local jurisdictions date back to 1999 and examinations associated with Canada date back to 2002.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7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have approximately $2.9 billion of tax-exempt financings as of June 30, 2008. Tax-exempt financings are structured pursuant to certain terms and conditions of the Internal Revenue Code, which exempt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flows and results of operations.</w:t>
      </w:r>
    </w:p>
    <w:p>
      <w:pPr>
        <w:spacing w:after="0" w:line="146"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the first quarter of 2007, we restructured certain operations and functions resulting in the recognition of a charge of $9 million. We incurred an additional $1 million of costs for this restructuring during the second quarter of 2007, increasing the pre-tax costs incurred to date to $10 million. Approximately $7 million of our restructuring costs was incurred by our Corporate organization, $2 million was incurred by our Midwest Group and $1 million was incurred by our Western Group. These charges included $8 million for employee severance and benefit costs and $2 million related to operating lease agreements.</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Through June 30, 2008, we had paid $7 million of the employee severance and benefit costs incurred as a result of this restructuring. The length of time we are obligated to make severance payments varies, with the longest obligation continuing through the first quarter of 2009.</w:t>
      </w:r>
    </w:p>
    <w:p>
      <w:pPr>
        <w:spacing w:after="0" w:line="134"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80"/>
        <w:spacing w:after="0" w:line="276" w:lineRule="auto"/>
        <w:rPr>
          <w:sz w:val="20"/>
          <w:szCs w:val="20"/>
          <w:color w:val="auto"/>
        </w:rPr>
      </w:pPr>
      <w:r>
        <w:rPr>
          <w:rFonts w:ascii="Arial" w:cs="Arial" w:eastAsia="Arial" w:hAnsi="Arial"/>
          <w:sz w:val="13"/>
          <w:szCs w:val="13"/>
          <w:color w:val="auto"/>
        </w:rPr>
        <w:t>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9"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During the second quarter of 2008, we realigned our Midwest and Western Group organizations to facilitate improved business execution. We reassigned responsibility for the management of certain Canadian business operations in the Western Group to the Midwest Group. The prior period segment information provided in the following table has been reclassified to reflect the impact of our realignment to provide financial information that consistently reflects our current approach to managing our operations.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six months ended June 30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June 30, 2008</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940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812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WMRA</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June 30, 2007</w:t>
            </w:r>
          </w:p>
        </w:tc>
        <w:tc>
          <w:tcPr>
            <w:tcW w:w="2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811</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WMRA</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3,953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(595)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3,358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3,953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Six Months Ended:</w:t>
            </w:r>
          </w:p>
        </w:tc>
        <w:tc>
          <w:tcPr>
            <w:tcW w:w="2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2008</w:t>
            </w:r>
          </w:p>
        </w:tc>
        <w:tc>
          <w:tcPr>
            <w:tcW w:w="2000" w:type="dxa"/>
            <w:vAlign w:val="bottom"/>
            <w:tcBorders>
              <w:top w:val="single" w:sz="8" w:color="CCEEFF"/>
            </w:tcBorders>
          </w:tcPr>
          <w:p>
            <w:pPr>
              <w:spacing w:after="0"/>
              <w:rPr>
                <w:sz w:val="13"/>
                <w:szCs w:val="13"/>
                <w:color w:val="auto"/>
              </w:rPr>
            </w:pPr>
          </w:p>
        </w:tc>
        <w:tc>
          <w:tcPr>
            <w:tcW w:w="2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1,571</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1,658</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1,443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3"/>
                <w:szCs w:val="13"/>
                <w:color w:val="auto"/>
              </w:rPr>
              <w:t>WMRA</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7,833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7,833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20" w:type="dxa"/>
            <w:vAlign w:val="bottom"/>
          </w:tcPr>
          <w:p>
            <w:pPr>
              <w:jc w:val="right"/>
              <w:ind w:right="274"/>
              <w:spacing w:after="0"/>
              <w:rPr>
                <w:sz w:val="20"/>
                <w:szCs w:val="20"/>
                <w:color w:val="auto"/>
              </w:rPr>
            </w:pPr>
            <w:r>
              <w:rPr>
                <w:rFonts w:ascii="Arial" w:cs="Arial" w:eastAsia="Arial" w:hAnsi="Arial"/>
                <w:sz w:val="13"/>
                <w:szCs w:val="13"/>
                <w:color w:val="auto"/>
              </w:rPr>
              <w:t>15</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-3978275</wp:posOffset>
            </wp:positionV>
            <wp:extent cx="311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1"/>
                <w:szCs w:val="11"/>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June 30, 2007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1,639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1,524</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1,847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1,572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427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WMRA</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(1,137)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1,373</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1,114</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-1172845</wp:posOffset>
            </wp:positionV>
            <wp:extent cx="3111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70"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WMRA segment generally reflects operating margins typical of the recycling industry, which tend to be lower than those provided by our base business, but may fluctuate significantly as market prices for commodities change. Fluctuations in our operating results between quarters may be caused by many factors, including period-to-period changes in the relative contribution of revenue by each line of business and operating segment and general economic conditions.</w:t>
      </w:r>
    </w:p>
    <w:p>
      <w:pPr>
        <w:spacing w:after="0" w:line="7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In addition to the impacts of “(Income) Expense from Divestitures, Asset Impairments and Unusual Items,” which are discussed in Note 10, the following items have significantly affected the operating results of our segments during the periods presented:</w:t>
      </w:r>
    </w:p>
    <w:p>
      <w:pPr>
        <w:spacing w:after="0" w:line="67" w:lineRule="exact"/>
        <w:rPr>
          <w:sz w:val="20"/>
          <w:szCs w:val="20"/>
          <w:color w:val="auto"/>
        </w:rPr>
      </w:pPr>
    </w:p>
    <w:p>
      <w:pPr>
        <w:ind w:left="1280" w:right="4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Eastern — </w:t>
      </w:r>
      <w:r>
        <w:rPr>
          <w:rFonts w:ascii="Arial" w:cs="Arial" w:eastAsia="Arial" w:hAnsi="Arial"/>
          <w:sz w:val="13"/>
          <w:szCs w:val="13"/>
          <w:color w:val="auto"/>
        </w:rPr>
        <w:t>The Group’s operating results were improved by $15 million during the first quarter of 2007 and $3 million during the first quarter of 2008 due to the favorable</w:t>
      </w:r>
      <w:r>
        <w:rPr>
          <w:rFonts w:ascii="Arial" w:cs="Arial" w:eastAsia="Arial" w:hAnsi="Arial"/>
          <w:sz w:val="13"/>
          <w:szCs w:val="13"/>
          <w:i w:val="1"/>
          <w:iCs w:val="1"/>
          <w:color w:val="auto"/>
        </w:rPr>
        <w:t xml:space="preserve"> </w:t>
      </w:r>
      <w:r>
        <w:rPr>
          <w:rFonts w:ascii="Arial" w:cs="Arial" w:eastAsia="Arial" w:hAnsi="Arial"/>
          <w:sz w:val="13"/>
          <w:szCs w:val="13"/>
          <w:color w:val="auto"/>
        </w:rPr>
        <w:t>resolution of a disposal tax matter. These impacts were recognized as reductions to disposal fees and taxes within our “Operating” expenses.</w:t>
      </w:r>
    </w:p>
    <w:p>
      <w:pPr>
        <w:spacing w:after="0" w:line="49" w:lineRule="exact"/>
        <w:rPr>
          <w:rFonts w:ascii="Arial" w:cs="Arial" w:eastAsia="Arial" w:hAnsi="Arial"/>
          <w:sz w:val="13"/>
          <w:szCs w:val="13"/>
          <w:color w:val="auto"/>
        </w:rPr>
      </w:pPr>
    </w:p>
    <w:p>
      <w:pPr>
        <w:ind w:left="1280" w:right="100" w:hanging="190"/>
        <w:spacing w:after="0" w:line="320"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Wheelabrator — </w:t>
      </w:r>
      <w:r>
        <w:rPr>
          <w:rFonts w:ascii="Arial" w:cs="Arial" w:eastAsia="Arial" w:hAnsi="Arial"/>
          <w:sz w:val="12"/>
          <w:szCs w:val="12"/>
          <w:color w:val="auto"/>
        </w:rPr>
        <w:t>The Group’s income from operations for the first quarter of 2007 was negatively affected by $21 million of charges incurred for the early termination of a lease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in connection with the purchase of one of our independent power production plants. This charge was recorded as “Operating” expenses.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We recognized $2 million of net gains on divestitures during the six months ended June 30, 2008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to the divestiture of operations in our Southern Group. Total proceeds from divestitures completed during the six months ended June 30, 2008 were $4 million. Proceeds received were largely the result of a non-monetary exchange of businesses.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recognized $33 million and $42 million of net gains from divestitures during the three and six months ended June 30, 2007, respectively. The net gains recognized during the first quarter of 2007 were primarily related to the divestiture of collection and disposal operations in our Southern Group and the net gains recognized during the second quarter of 2007 were primarily related to the divestiture of collection and transfer operations in our Eastern Group, WMRA operations and collection operations in our Western Group. Total proceeds from divestitures completed during the six months ended June 30, 2007 were $183 million, which were primarily received in cash.</w:t>
      </w:r>
    </w:p>
    <w:p>
      <w:pPr>
        <w:spacing w:after="0" w:line="7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the first quarter of 2007, we recorded impairment charges of $10 million attributable to two landfills in our Southern Group. The</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142"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SFAS No. 157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5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June 30, 2008, our assets and liabilities that are measured at fair value on a recurring basis include the following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359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359</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Environmental remediation recovery assets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392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300" w:type="dxa"/>
            <w:vAlign w:val="bottom"/>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guaranteed any of WMI’s or WM Holdings’ debt. As a result of these guarantee arrangements, we are required to present the following condensed consolidating financial information (in millions):</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June 30, 2008</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1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210</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2,196</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171</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2,239</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2,410</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11,300</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11,300</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10,079</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11,007</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603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(21,689)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6,297</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6,340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10,279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11,021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20,439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(21,689)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20,050</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200" w:type="dxa"/>
            <w:vAlign w:val="bottom"/>
          </w:tcPr>
          <w:p>
            <w:pPr>
              <w:spacing w:after="0"/>
              <w:rPr>
                <w:sz w:val="10"/>
                <w:szCs w:val="10"/>
                <w:color w:val="auto"/>
              </w:rPr>
            </w:pPr>
          </w:p>
        </w:tc>
        <w:tc>
          <w:tcPr>
            <w:tcW w:w="3520" w:type="dxa"/>
            <w:vAlign w:val="bottom"/>
            <w:gridSpan w:val="8"/>
          </w:tcPr>
          <w:p>
            <w:pPr>
              <w:ind w:left="660"/>
              <w:spacing w:after="0"/>
              <w:rPr>
                <w:sz w:val="20"/>
                <w:szCs w:val="20"/>
                <w:color w:val="auto"/>
              </w:rPr>
            </w:pPr>
            <w:r>
              <w:rPr>
                <w:rFonts w:ascii="Arial" w:cs="Arial" w:eastAsia="Arial" w:hAnsi="Arial"/>
                <w:sz w:val="10"/>
                <w:szCs w:val="10"/>
                <w:b w:val="1"/>
                <w:bCs w:val="1"/>
                <w:color w:val="auto"/>
              </w:rPr>
              <w:t>LIABILITIES AND STOCKHOLDERS’ EQUITY</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0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218</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217</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435</w:t>
            </w: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81</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2,047</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2,145</w:t>
            </w:r>
          </w:p>
        </w:tc>
      </w:tr>
      <w:tr>
        <w:trPr>
          <w:trHeight w:val="108"/>
        </w:trPr>
        <w:tc>
          <w:tcPr>
            <w:tcW w:w="3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299</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2,264</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2,580</w:t>
            </w:r>
          </w:p>
        </w:tc>
        <w:tc>
          <w:tcPr>
            <w:tcW w:w="100" w:type="dxa"/>
            <w:vAlign w:val="bottom"/>
          </w:tcPr>
          <w:p>
            <w:pPr>
              <w:spacing w:after="0"/>
              <w:rPr>
                <w:sz w:val="9"/>
                <w:szCs w:val="9"/>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4,234</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634</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3,090</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7,958</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24</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3,463</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3,488</w:t>
            </w: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4,557</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652</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8,817</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14,026</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302</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302</w:t>
            </w: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5,722</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10,369</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11,320</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(21,689)</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5,722</w:t>
            </w:r>
          </w:p>
        </w:tc>
      </w:tr>
      <w:tr>
        <w:trPr>
          <w:trHeight w:val="117"/>
        </w:trPr>
        <w:tc>
          <w:tcPr>
            <w:tcW w:w="320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20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10,279</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11,021</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20,439</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(21,689)</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20,050</w:t>
            </w:r>
          </w:p>
        </w:tc>
        <w:tc>
          <w:tcPr>
            <w:tcW w:w="100" w:type="dxa"/>
            <w:vAlign w:val="bottom"/>
          </w:tcPr>
          <w:p>
            <w:pPr>
              <w:spacing w:after="0"/>
              <w:rPr>
                <w:sz w:val="10"/>
                <w:szCs w:val="10"/>
                <w:color w:val="auto"/>
              </w:rPr>
            </w:pPr>
          </w:p>
        </w:tc>
      </w:tr>
    </w:tbl>
    <w:p>
      <w:pPr>
        <w:spacing w:after="0" w:line="164"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December 31, 2007</w:t>
      </w:r>
    </w:p>
    <w:p>
      <w:pPr>
        <w:spacing w:after="0" w:line="11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348</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2,132</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2,132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416</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2,132</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2,480</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11,351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11,351</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9,617</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10,622</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(20,412)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6,301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6,344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10,061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10,637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19,957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(20,480)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20,175</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200" w:type="dxa"/>
            <w:vAlign w:val="bottom"/>
          </w:tcPr>
          <w:p>
            <w:pPr>
              <w:spacing w:after="0"/>
              <w:rPr>
                <w:sz w:val="10"/>
                <w:szCs w:val="10"/>
                <w:color w:val="auto"/>
              </w:rPr>
            </w:pPr>
          </w:p>
        </w:tc>
        <w:tc>
          <w:tcPr>
            <w:tcW w:w="3520" w:type="dxa"/>
            <w:vAlign w:val="bottom"/>
            <w:gridSpan w:val="8"/>
          </w:tcPr>
          <w:p>
            <w:pPr>
              <w:ind w:left="660"/>
              <w:spacing w:after="0"/>
              <w:rPr>
                <w:sz w:val="20"/>
                <w:szCs w:val="20"/>
                <w:color w:val="auto"/>
              </w:rPr>
            </w:pPr>
            <w:r>
              <w:rPr>
                <w:rFonts w:ascii="Arial" w:cs="Arial" w:eastAsia="Arial" w:hAnsi="Arial"/>
                <w:sz w:val="10"/>
                <w:szCs w:val="10"/>
                <w:b w:val="1"/>
                <w:bCs w:val="1"/>
                <w:color w:val="auto"/>
              </w:rPr>
              <w:t>LIABILITIES AND STOCKHOLDERS’ EQUITY</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0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129</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200</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329</w:t>
            </w: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79</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2,236</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3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208</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2,436</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(68)</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2,598</w:t>
            </w:r>
          </w:p>
        </w:tc>
        <w:tc>
          <w:tcPr>
            <w:tcW w:w="100" w:type="dxa"/>
            <w:vAlign w:val="bottom"/>
          </w:tcPr>
          <w:p>
            <w:pPr>
              <w:spacing w:after="0"/>
              <w:rPr>
                <w:sz w:val="9"/>
                <w:szCs w:val="9"/>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4,034</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889</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3,085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8,008</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2</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3,438</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3,467</w:t>
            </w: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4,269</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913</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8,959</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(68)</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14,073</w:t>
            </w: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Minority interest in subsidiaries and variable interest entities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310</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310</w:t>
            </w: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Stockholders’ equity</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5,792</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9,724</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10,688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(20,412)</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5,792</w:t>
            </w:r>
          </w:p>
        </w:tc>
      </w:tr>
      <w:tr>
        <w:trPr>
          <w:trHeight w:val="117"/>
        </w:trPr>
        <w:tc>
          <w:tcPr>
            <w:tcW w:w="320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stockholders’ equity</w:t>
            </w:r>
          </w:p>
        </w:tc>
        <w:tc>
          <w:tcPr>
            <w:tcW w:w="20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10,061</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10,637</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19,957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(20,480)</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20,175</w:t>
            </w:r>
          </w:p>
        </w:tc>
        <w:tc>
          <w:tcPr>
            <w:tcW w:w="100" w:type="dxa"/>
            <w:vAlign w:val="bottom"/>
          </w:tcPr>
          <w:p>
            <w:pPr>
              <w:spacing w:after="0"/>
              <w:rPr>
                <w:sz w:val="10"/>
                <w:szCs w:val="10"/>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Three Months Ended June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Costs and expenses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2,857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361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Arial" w:cs="Arial" w:eastAsia="Arial" w:hAnsi="Arial"/>
                <w:sz w:val="13"/>
                <w:szCs w:val="13"/>
                <w:color w:val="auto"/>
                <w:w w:val="92"/>
              </w:rPr>
              <w:t>Equity in net earnings (losses) of unconsolidated entities and other, net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588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3"/>
                <w:szCs w:val="13"/>
                <w:color w:val="auto"/>
              </w:rPr>
              <w:t>$ 318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0" w:type="dxa"/>
            <w:vAlign w:val="bottom"/>
            <w:gridSpan w:val="7"/>
          </w:tcPr>
          <w:p>
            <w:pPr>
              <w:jc w:val="center"/>
              <w:ind w:right="460"/>
              <w:spacing w:after="0"/>
              <w:rPr>
                <w:sz w:val="20"/>
                <w:szCs w:val="20"/>
                <w:color w:val="auto"/>
              </w:rPr>
            </w:pPr>
            <w:r>
              <w:rPr>
                <w:rFonts w:ascii="Arial" w:cs="Arial" w:eastAsia="Arial" w:hAnsi="Arial"/>
                <w:sz w:val="13"/>
                <w:szCs w:val="13"/>
                <w:b w:val="1"/>
                <w:bCs w:val="1"/>
                <w:color w:val="auto"/>
                <w:w w:val="91"/>
              </w:rPr>
              <w:t>Three Months Ended June 30, 2007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00" w:type="dxa"/>
            <w:vAlign w:val="bottom"/>
            <w:gridSpan w:val="4"/>
          </w:tcPr>
          <w:p>
            <w:pPr>
              <w:jc w:val="center"/>
              <w:ind w:left="3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Costs and expenses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385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Arial" w:cs="Arial" w:eastAsia="Arial" w:hAnsi="Arial"/>
                <w:sz w:val="13"/>
                <w:szCs w:val="13"/>
                <w:color w:val="auto"/>
                <w:w w:val="92"/>
              </w:rPr>
              <w:t>Equity in net earnings (losses) of unconsolidated entities and other, net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311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311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920" w:type="dxa"/>
            <w:vAlign w:val="bottom"/>
            <w:vMerge w:val="continue"/>
          </w:tcPr>
          <w:p>
            <w:pPr>
              <w:spacing w:after="0"/>
              <w:rPr>
                <w:sz w:val="15"/>
                <w:szCs w:val="15"/>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3"/>
                <w:szCs w:val="13"/>
                <w:color w:val="auto"/>
              </w:rPr>
              <w:t>$ 338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(780)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19</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96"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Six Months Ended June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Costs and expenses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5,612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5,612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Other income (expense):</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645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Arial" w:cs="Arial" w:eastAsia="Arial" w:hAnsi="Arial"/>
                <w:sz w:val="13"/>
                <w:szCs w:val="13"/>
                <w:color w:val="auto"/>
                <w:w w:val="93"/>
              </w:rPr>
              <w:t>Equity in net earnings (losses) of unconsolidated entities and other, net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509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559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60" w:type="dxa"/>
            <w:vAlign w:val="bottom"/>
            <w:gridSpan w:val="7"/>
          </w:tcPr>
          <w:p>
            <w:pPr>
              <w:jc w:val="center"/>
              <w:ind w:right="480"/>
              <w:spacing w:after="0"/>
              <w:rPr>
                <w:sz w:val="20"/>
                <w:szCs w:val="20"/>
                <w:color w:val="auto"/>
              </w:rPr>
            </w:pPr>
            <w:r>
              <w:rPr>
                <w:rFonts w:ascii="Arial" w:cs="Arial" w:eastAsia="Arial" w:hAnsi="Arial"/>
                <w:sz w:val="13"/>
                <w:szCs w:val="13"/>
                <w:b w:val="1"/>
                <w:bCs w:val="1"/>
                <w:color w:val="auto"/>
                <w:w w:val="91"/>
              </w:rPr>
              <w:t>Six Months Ended June 30, 2007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4"/>
          </w:tcPr>
          <w:p>
            <w:pPr>
              <w:jc w:val="center"/>
              <w:ind w:left="35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Costs and expenses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5,432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Other income (expense):</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Arial" w:cs="Arial" w:eastAsia="Arial" w:hAnsi="Arial"/>
                <w:sz w:val="13"/>
                <w:szCs w:val="13"/>
                <w:color w:val="auto"/>
                <w:w w:val="93"/>
              </w:rPr>
              <w:t>Equity in net earnings (losses) of unconsolidated entities and other, net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576</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(1,359)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6"/>
              <w:spacing w:after="0"/>
              <w:rPr>
                <w:sz w:val="20"/>
                <w:szCs w:val="20"/>
                <w:color w:val="auto"/>
              </w:rPr>
            </w:pPr>
            <w:r>
              <w:rPr>
                <w:rFonts w:ascii="Arial" w:cs="Arial" w:eastAsia="Arial" w:hAnsi="Arial"/>
                <w:sz w:val="13"/>
                <w:szCs w:val="13"/>
                <w:color w:val="auto"/>
                <w:w w:val="82"/>
              </w:rPr>
              <w:t>20</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Six Months Ended June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167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96"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Six Months Ended June 30,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(1,359)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1,359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Purchases of short-term investments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(743)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(683)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584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February 2008, the FASB issued Staff Position FAS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which delayed the effective date of SFAS No. 157 for all non-financial assets and non-financial liabilities, except those that are measured at fair value on a recurring basis. FSP FAS 157-2 establishes January 1, 2009 as the effective date of SFAS No. 157 with respect to these fair value measurements for the Company. We do not currently expect the application of the fair value framework established by SFAS No. 157 to non-financial assets and liabilities measured on a non-recurring basis to have a material impact on our consolidated financial statements. However, we will continue to assess the potential effects of SFAS No. 157 as additional guidance becomes available.</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141(R) — Business Combinations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 xml:space="preserve">In December 2007, the FASB issued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which establishes principles and requirements for how the acquirer recognizes and 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will be effective for the Company beginning January 1, 2009. We are currently evaluating the effect the adoption of SFAS No. 141(R) will have on our accounting and reporting for future acquisitions.</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160 — Noncontrolling Interests in Consolidated Financial Statements — an amendment of ARB No. 51</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 xml:space="preserve">In December 2007, the FASB issued SFAS No. 160, </w:t>
      </w:r>
      <w:r>
        <w:rPr>
          <w:rFonts w:ascii="Arial" w:cs="Arial" w:eastAsia="Arial" w:hAnsi="Arial"/>
          <w:sz w:val="12"/>
          <w:szCs w:val="12"/>
          <w:i w:val="1"/>
          <w:iCs w:val="1"/>
          <w:color w:val="auto"/>
        </w:rPr>
        <w:t>Noncontrolling Interests in Consolidated Financial Statements — an amendment of ARB No. 51</w:t>
      </w:r>
      <w:r>
        <w:rPr>
          <w:rFonts w:ascii="Arial" w:cs="Arial" w:eastAsia="Arial" w:hAnsi="Arial"/>
          <w:sz w:val="12"/>
          <w:szCs w:val="12"/>
          <w:color w:val="auto"/>
        </w:rPr>
        <w:t>, which establishes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No. 160 will be effective for the Company beginning January 1, 2009 and must be applied prospectively, except for the presentation and disclosure requirements, which must be applied retrospectively for all periods presented. The adoption of SFAS No. 160 will not have a material impact on our Condensed Consolidated Financial Statements. However, it could impact our accounting for future transactions.</w:t>
      </w:r>
    </w:p>
    <w:p>
      <w:pPr>
        <w:spacing w:after="0" w:line="130"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June 23, 2008, Republic Services, Inc. and Allied Waste Industries, Inc. announced that they had entered into a definitive merger agreement, pursuant to which each 1.00 share of Allied would receive 0.45 shares of Republic. Their merger agreement provided that neither Republic nor Allied would actively solicit third-party acquisition proposals, but that either party could provide information to and engage in discussions with a third party if the Board of Directors of the company receiving the proposal determined that the proposal either constitutes, or could reasonably be expected to lead to, a Superior Proposal (as defined in the agreement).</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On July 14, 2008, we announced that we had made a proposal to the Board of Directors of Republic to acquire all of Republic’s outstanding shares of common stock for $34.00 per share, or $6.2 billion based on shares outstanding as of June 30, 2008, in an all-cash merger, a proposal we believe constituted a Superior Proposal.</w:t>
      </w:r>
    </w:p>
    <w:p>
      <w:pPr>
        <w:spacing w:after="0" w:line="59"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On July 18, 2008, Republic announced that its Board of Directors had determined that our proposal did not constitute, and could not reasonably be expected to lead to, a Superior Proposal, and, as a result, Republic’s Board of Directors had declined to authorize Republic to provide us with information or engage in discussions and negotiations with us. We are disappointed in the Republic Board of Directors’ unwillingness to consider our proposal as one that could reasonably be expected to lead to a Superior Proposal. On July 24, 2008, we announced that we had made a filing under the Hart-Scott-Rodino Antitrust Improvements Act of 1976 relating to purchases of</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shares of Republic. The filing also initiates the Department of Justice’s expected antitrust review of our proposed merger transaction with Republic and starts the applicable waiting period.</w:t>
      </w:r>
    </w:p>
    <w:p>
      <w:pPr>
        <w:spacing w:after="0" w:line="11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July 28, 2008, Republic announced that it had taken steps intended to ensure that all Republic stockholders are treated equally in a transaction involving Republic. These steps included the adoption of a stockholder rights plan; the waiver of Section 203 of the Delaware General Corporation Law as it relates to Cascade Investments, LLC, a major stockholder of Republic; and amendments to Republic’s bylaws to provide for advance notice of stockholders’ actions by written consents. As we announced on July 28, 2008, these actions do not change our focus on acquiring Republic.</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2008 and beyond include the following:</w:t>
      </w:r>
    </w:p>
    <w:p>
      <w:pPr>
        <w:spacing w:after="0" w:line="96" w:lineRule="exact"/>
        <w:rPr>
          <w:sz w:val="20"/>
          <w:szCs w:val="20"/>
          <w:color w:val="auto"/>
        </w:rPr>
      </w:pPr>
    </w:p>
    <w:p>
      <w:pPr>
        <w:ind w:left="1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inflation, higher interest rates and other general and local economic conditions may negatively affect the volumes of waste generated, our financing costs and other expenses;</w:t>
      </w:r>
    </w:p>
    <w:p>
      <w:pPr>
        <w:spacing w:after="0" w:line="97" w:lineRule="exact"/>
        <w:rPr>
          <w:rFonts w:ascii="Arial" w:cs="Arial" w:eastAsia="Arial" w:hAnsi="Arial"/>
          <w:sz w:val="12"/>
          <w:szCs w:val="12"/>
          <w:color w:val="auto"/>
        </w:rPr>
      </w:pPr>
    </w:p>
    <w:p>
      <w:pPr>
        <w:ind w:left="1280" w:right="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requirements may increase our expenses;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1280" w:right="160" w:hanging="190"/>
        <w:spacing w:after="0" w:line="320" w:lineRule="auto"/>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emissions and increasing operating costs and capital expenditures that may be required to comply with any such legislation;</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increased costs to obtain financial assurance or the inadequacy of our insurance coverages could negatively impact our liquidity and increase our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fluctuating commodity prices may have negative effects on our operating revenue and expenses;</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trends toward recycling, waste reduction at the source and prohibiting the disposal of certain types of wastes could have negative effects on volumes of waste going to landfills and waste-to-energy facilities;</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increase our costs, or lead to an impairment charge;</w:t>
      </w:r>
    </w:p>
    <w:p>
      <w:pPr>
        <w:spacing w:after="0" w:line="49"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reduce or eliminate our dividend or share repurchase program or we may need to raise additional capital if cash flows are less than we expect or capital expenditures or acquisition spending are more than we expect, and we may not be able to obtain any needed capital on acceptable terms.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using waste-to-energy technology to convert solid waste into clean, renewable electric power; expanding our network of material recovery facilities to promote recycling efforts as a means to protecting natural resources and conserving energy; and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280" w:firstLine="399"/>
        <w:spacing w:after="0" w:line="305" w:lineRule="auto"/>
        <w:rPr>
          <w:sz w:val="20"/>
          <w:szCs w:val="20"/>
          <w:color w:val="auto"/>
        </w:rPr>
      </w:pPr>
      <w:r>
        <w:rPr>
          <w:rFonts w:ascii="Arial" w:cs="Arial" w:eastAsia="Arial" w:hAnsi="Arial"/>
          <w:sz w:val="11"/>
          <w:szCs w:val="11"/>
          <w:color w:val="auto"/>
        </w:rPr>
        <w:t>We had a strong second quarter, evidenced by internal revenue growth of 3.2%, income from operations of $632 million, or 18.1% of revenues, and diluted earnings per common share of $0.64. In comparing the results of the current period with the second quarter of 2007, income from operations decreased from $633 million for the second quarter of 2007 to</w:t>
      </w:r>
    </w:p>
    <w:p>
      <w:pPr>
        <w:spacing w:after="0" w:line="1"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$632 million in the current period. However, when excluding $33 million of net gains on divestitures and $1 million of restructuring charges recognized last year, our income from operations improved by over 5%. We believe that comparing our results without the impact of the 2007 gains on divestitures and restructuring charges is helpful in assessing the achievements we have made because these items are not reflective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of our ongoing operations. We also believe that our financial results this quarter are particularly impressive given the strong headwinds we have faced. The most significant challenges of the current quarter were record high fuel prices and volume declines due to pricing competition, the general slowdown in the economy and the sharp decline in residential construction in many parts of the country.</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revenues increased by $131 million, or 3.9%, in the second quarter of 2008, as compared with the prior year period. Our internal revenue growth from yield on base business was 3.1%, which marks the sixth consecutive quarter where this key metric has exceeded three percent. Higher fuel surcharge revenue contributed 2.2% of internal revenue growth, and higher commodity prices provided an additional 1.7%, resulting in total internal revenue growth from yield of 7.0%. Internal revenue growth from yield was offset, in part, by a 3.8% decline in volume-related revenues.</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operating costs increased by $89 million, or 4.3% in the current period. The increased costs were primarily as a result of (i) record high fuel prices, which resulted in higher direct fuel costs and higher subcontractor costs; and (ii) increased costs of good sold caused by higher commodity prices. The impacts of higher fuel costs and commodity prices largely offset the margin expansion provided by our continued success in reducing or maintaining our other costs. Our operating costs as a percentage of revenue remained relatively flat, increasing from 62.3% in the second quarter of 2007 to 62.5% in the current period, which we believe is encouraging given the current environment in which we are operating.</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selling, general and administrative costs increased by $15 million, or 4.4%, in the second quarter of 2008 as compared with the prior year period. The cost increase was primarily a result of higher compensation expense and increased costs associated with our sales efforts and other employee and customer initiatives. Given our ability to continue to increase our revenues in the current economic environment, we believe these were costs well spent. As a percentage of revenue, our selling, general and administrative costs were flat, at 10.3% in the current period compared with 10.2% in the prior year period.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calculate free cash flow as shown in the table below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120" w:type="dxa"/>
            <w:vAlign w:val="bottom"/>
          </w:tcPr>
          <w:p>
            <w:pPr>
              <w:spacing w:after="0"/>
              <w:rPr>
                <w:sz w:val="10"/>
                <w:szCs w:val="10"/>
                <w:color w:val="auto"/>
              </w:rPr>
            </w:pPr>
          </w:p>
        </w:tc>
        <w:tc>
          <w:tcPr>
            <w:tcW w:w="880" w:type="dxa"/>
            <w:vAlign w:val="bottom"/>
            <w:gridSpan w:val="3"/>
          </w:tcPr>
          <w:p>
            <w:pPr>
              <w:jc w:val="center"/>
              <w:ind w:left="219"/>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Free cash flow(a)</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321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475</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313"/>
        <w:spacing w:after="0" w:line="282" w:lineRule="auto"/>
        <w:tabs>
          <w:tab w:leader="none" w:pos="10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have included free cash flow, which is a non-GAAP measure of liquidity, in our disclosures because we use this measure in the evaluation and management of our business and believe it is indicative of our ability to pay our quarterly dividends, repurchase our common stock and fund acquisitions and other investments. Free cash flow is not intended to replace the GAAP measure of “Net cash provided by operating activities”, which is the most comparable GAAP measure. However, by subtracting cash used for capital expenditures and adding the cash proceeds from divestitures and other asset sales, we believe free cash flow gives investors greater insight into our liquidity. The presentation of free cash flow has material limitations. Free cash flow does not represent our cash flow available for discretionary expenditures because it excludes certain expenditures that are required or that we have committed to such as debt service requirements. Our definition of free cash flow may not be comparable to similarly titled measures presented by other companies.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Free cash flow for the three months ended June 30, 2008 decreased by $154 million, or 32.4%, when compared with the three months ended June 30, 2007. This decrease is a result of</w:t>
      </w:r>
    </w:p>
    <w:p>
      <w:pPr>
        <w:spacing w:after="0" w:line="15" w:lineRule="exact"/>
        <w:rPr>
          <w:sz w:val="20"/>
          <w:szCs w:val="20"/>
          <w:color w:val="auto"/>
        </w:rPr>
      </w:pPr>
    </w:p>
    <w:p>
      <w:pPr>
        <w:ind w:left="680" w:right="140" w:firstLine="7"/>
        <w:spacing w:after="0" w:line="258" w:lineRule="auto"/>
        <w:tabs>
          <w:tab w:leader="none" w:pos="836"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significant decline in proceeds from divestitures, as we have had fewer under-performing businesses for sale this year; and (ii) higher capital spending in the current year period due to increased fleet spending. However, our net cash provided by operating activities increased by 6.1% for the three months ended June 30, 2008 as compared with the prior year period. We believe this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 is indicative of our focus on earnings growth and the ability to generate strong and consistent cash flow from our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Proposal to Acquire Republic Services, Inc.</w:t>
      </w:r>
    </w:p>
    <w:p>
      <w:pPr>
        <w:spacing w:after="0" w:line="96"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On June 23, 2008, Republic Services, Inc. and Allied Waste Industries, Inc. announced that they had entered into a definitive merger agreement. Their merger agreement provided that neither Republic nor Allied would actively solicit third-party acquisition proposals, but that either party could provide information to and engage in discussions with a third party if the Board of Directors of the company receiving the proposal determined that the proposal either constitutes, or could reasonably be expected to lead to, a Superior Proposal (as defined in the agreement). On July 14, 2008, we announced that we had made a proposal to acquire all of Republic’s outstanding shares of common stock for $34.00 per share in an all-cash merger. On July 18, 2008, Republic announced that its Board of Directors had determined our proposal did not constitute, and could not reasonably be expected to lead to, a Superior Proposal and, as a result, they were rejecting our offer. Our Board of Directors and management team are currently evaluating the Company’s options and working diligently to prepare a response that addresses all of the issues raised by Republic’s Board of Directors in their letter dated July 18, 2008. On July 24, 2008, we made a filing with the Department of Justice to initiate the expected antitrust review of our proposed merger transaction with Republic and start the applicable Hart-Scott-Rodino waiting period based on our intended purchases of shares of Republic’s common stock. Our future results of operations will be impacted by our having made our proposal to acquire Republic, our decisions as to how we will proceed, and Republic’s response to our actions. The impacts may include (i) higher than expected expenditures in future quarters associated with the proposal; (ii) higher expenses to the extent these higher expenditures are not able to be capitalized in accordance with generally accepted accounting principles; and (iii) increased restructuring or similar charges that may be incurred if the merger proceeds.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2007. Actual results could differ materially from the estimates and assumptions that we use in the preparation of our financial statements.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operating revenues for the three and six months ended June 30, 2008 were $3.5 billion and $6.8 billion, respectively, compared with $3.4 billion and $6.5 billion for the three and six months ended June 30, 2007, respectively. Shown below (in millions) is the contribution to revenues during each period provided by our six operating Groups and our other waste services: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left="277"/>
              <w:spacing w:after="0"/>
              <w:rPr>
                <w:sz w:val="20"/>
                <w:szCs w:val="20"/>
                <w:color w:val="auto"/>
              </w:rPr>
            </w:pPr>
            <w:r>
              <w:rPr>
                <w:rFonts w:ascii="Arial" w:cs="Arial" w:eastAsia="Arial" w:hAnsi="Arial"/>
                <w:sz w:val="10"/>
                <w:szCs w:val="10"/>
                <w:b w:val="1"/>
                <w:bCs w:val="1"/>
                <w:color w:val="auto"/>
                <w:w w:val="97"/>
              </w:rPr>
              <w:t>Six Months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1,639</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838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811</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1,571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1,853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1,847</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848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845</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1,658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1,663</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WMRA</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275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Intercompany</w:t>
            </w:r>
          </w:p>
        </w:tc>
        <w:tc>
          <w:tcPr>
            <w:tcW w:w="120" w:type="dxa"/>
            <w:vAlign w:val="bottom"/>
          </w:tcPr>
          <w:p>
            <w:pPr>
              <w:spacing w:after="0"/>
              <w:rPr>
                <w:sz w:val="13"/>
                <w:szCs w:val="13"/>
                <w:color w:val="auto"/>
              </w:rPr>
            </w:pPr>
          </w:p>
        </w:tc>
        <w:tc>
          <w:tcPr>
            <w:tcW w:w="800" w:type="dxa"/>
            <w:vAlign w:val="bottom"/>
            <w:gridSpan w:val="2"/>
          </w:tcPr>
          <w:p>
            <w:pPr>
              <w:jc w:val="right"/>
              <w:ind w:right="308"/>
              <w:spacing w:after="0"/>
              <w:rPr>
                <w:sz w:val="20"/>
                <w:szCs w:val="20"/>
                <w:color w:val="auto"/>
              </w:rPr>
            </w:pPr>
            <w:r>
              <w:rPr>
                <w:rFonts w:ascii="Arial" w:cs="Arial" w:eastAsia="Arial" w:hAnsi="Arial"/>
                <w:sz w:val="13"/>
                <w:szCs w:val="13"/>
                <w:color w:val="auto"/>
              </w:rPr>
              <w:t>(563)</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(595)</w:t>
            </w: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(1,078)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3,489</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6,755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6,546</w:t>
            </w:r>
          </w:p>
        </w:tc>
        <w:tc>
          <w:tcPr>
            <w:tcW w:w="0" w:type="dxa"/>
            <w:vAlign w:val="bottom"/>
          </w:tcPr>
          <w:p>
            <w:pPr>
              <w:spacing w:after="0"/>
              <w:rPr>
                <w:sz w:val="1"/>
                <w:szCs w:val="1"/>
                <w:color w:val="auto"/>
              </w:rPr>
            </w:pPr>
          </w:p>
        </w:tc>
      </w:tr>
      <w:tr>
        <w:trPr>
          <w:trHeight w:val="254"/>
        </w:trPr>
        <w:tc>
          <w:tcPr>
            <w:tcW w:w="65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left="277"/>
              <w:spacing w:after="0"/>
              <w:rPr>
                <w:sz w:val="20"/>
                <w:szCs w:val="20"/>
                <w:color w:val="auto"/>
              </w:rPr>
            </w:pPr>
            <w:r>
              <w:rPr>
                <w:rFonts w:ascii="Arial" w:cs="Arial" w:eastAsia="Arial" w:hAnsi="Arial"/>
                <w:sz w:val="10"/>
                <w:szCs w:val="10"/>
                <w:b w:val="1"/>
                <w:bCs w:val="1"/>
                <w:color w:val="auto"/>
                <w:w w:val="97"/>
              </w:rPr>
              <w:t>Six Months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4,314</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786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791</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1,471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1,511</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804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(563)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3,489</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3,358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6,755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6,546</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Decreases in volume-related revenues in our collection and transfer lines of business have negatively affected the revenues in our landfill line of business. These collection and transfer volume declines generally have resulted in a decrease in intercompany revenues at our landfills and have not significantly affected the change in our net operating revenues for the landfill line of business. Changes in our third-party revenues when comparing the three and six months ended June 30, 2008 and 2007 are discussed further in the following table and analysis.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left="136"/>
              <w:spacing w:after="0"/>
              <w:rPr>
                <w:sz w:val="20"/>
                <w:szCs w:val="20"/>
                <w:color w:val="auto"/>
              </w:rPr>
            </w:pPr>
            <w:r>
              <w:rPr>
                <w:rFonts w:ascii="Arial" w:cs="Arial" w:eastAsia="Arial" w:hAnsi="Arial"/>
                <w:sz w:val="10"/>
                <w:szCs w:val="10"/>
                <w:b w:val="1"/>
                <w:bCs w:val="1"/>
                <w:color w:val="auto"/>
                <w:w w:val="94"/>
              </w:rPr>
              <w:t>Period-to-Period</w:t>
            </w: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left="136"/>
              <w:spacing w:after="0"/>
              <w:rPr>
                <w:sz w:val="20"/>
                <w:szCs w:val="20"/>
                <w:color w:val="auto"/>
              </w:rPr>
            </w:pPr>
            <w:r>
              <w:rPr>
                <w:rFonts w:ascii="Arial" w:cs="Arial" w:eastAsia="Arial" w:hAnsi="Arial"/>
                <w:sz w:val="10"/>
                <w:szCs w:val="10"/>
                <w:b w:val="1"/>
                <w:bCs w:val="1"/>
                <w:color w:val="auto"/>
                <w:w w:val="96"/>
              </w:rPr>
              <w:t>Period-to-Period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6"/>
              </w:rPr>
              <w:t>Change for the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4"/>
              </w:rPr>
              <w:t>Three Months</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7"/>
              </w:rPr>
              <w:t>Six Months</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4"/>
              </w:rPr>
              <w:t>June 30,</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89"/>
              </w:rPr>
              <w:t>June 30,</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4"/>
              </w:rPr>
              <w:t>2008 and 2007</w:t>
            </w:r>
          </w:p>
        </w:tc>
        <w:tc>
          <w:tcPr>
            <w:tcW w:w="32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94"/>
              </w:rPr>
              <w:t>2008 and 2007</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8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103</w:t>
            </w:r>
          </w:p>
        </w:tc>
        <w:tc>
          <w:tcPr>
            <w:tcW w:w="780" w:type="dxa"/>
            <w:vAlign w:val="bottom"/>
          </w:tcPr>
          <w:p>
            <w:pPr>
              <w:spacing w:after="0"/>
              <w:rPr>
                <w:sz w:val="13"/>
                <w:szCs w:val="13"/>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3"/>
                <w:szCs w:val="13"/>
                <w:color w:val="auto"/>
              </w:rPr>
              <w:t>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748"/>
              <w:spacing w:after="0"/>
              <w:rPr>
                <w:sz w:val="20"/>
                <w:szCs w:val="20"/>
                <w:color w:val="auto"/>
              </w:rPr>
            </w:pPr>
            <w:r>
              <w:rPr>
                <w:rFonts w:ascii="Arial" w:cs="Arial" w:eastAsia="Arial" w:hAnsi="Arial"/>
                <w:sz w:val="13"/>
                <w:szCs w:val="13"/>
                <w:color w:val="auto"/>
              </w:rPr>
              <w:t>203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7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48"/>
              <w:spacing w:after="0"/>
              <w:rPr>
                <w:sz w:val="20"/>
                <w:szCs w:val="20"/>
                <w:color w:val="auto"/>
              </w:rPr>
            </w:pPr>
            <w:r>
              <w:rPr>
                <w:rFonts w:ascii="Arial" w:cs="Arial" w:eastAsia="Arial" w:hAnsi="Arial"/>
                <w:sz w:val="13"/>
                <w:szCs w:val="13"/>
                <w:color w:val="auto"/>
              </w:rPr>
              <w:t>127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608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780" w:type="dxa"/>
            <w:vAlign w:val="bottom"/>
          </w:tcPr>
          <w:p>
            <w:pPr>
              <w:spacing w:after="0"/>
              <w:rPr>
                <w:sz w:val="13"/>
                <w:szCs w:val="13"/>
                <w:color w:val="auto"/>
              </w:rPr>
            </w:pPr>
          </w:p>
        </w:tc>
        <w:tc>
          <w:tcPr>
            <w:tcW w:w="1120" w:type="dxa"/>
            <w:vAlign w:val="bottom"/>
            <w:gridSpan w:val="2"/>
          </w:tcPr>
          <w:p>
            <w:pPr>
              <w:jc w:val="right"/>
              <w:ind w:right="8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748"/>
              <w:spacing w:after="0"/>
              <w:rPr>
                <w:sz w:val="20"/>
                <w:szCs w:val="20"/>
                <w:color w:val="auto"/>
              </w:rPr>
            </w:pPr>
            <w:r>
              <w:rPr>
                <w:rFonts w:ascii="Arial" w:cs="Arial" w:eastAsia="Arial" w:hAnsi="Arial"/>
                <w:sz w:val="13"/>
                <w:szCs w:val="13"/>
                <w:color w:val="auto"/>
              </w:rPr>
              <w:t>2</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48"/>
              <w:spacing w:after="0"/>
              <w:rPr>
                <w:sz w:val="20"/>
                <w:szCs w:val="20"/>
                <w:color w:val="auto"/>
              </w:rPr>
            </w:pPr>
            <w:r>
              <w:rPr>
                <w:rFonts w:ascii="Arial" w:cs="Arial" w:eastAsia="Arial" w:hAnsi="Arial"/>
                <w:sz w:val="13"/>
                <w:szCs w:val="13"/>
                <w:color w:val="auto"/>
              </w:rPr>
              <w:t>116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236</w:t>
            </w:r>
          </w:p>
        </w:tc>
        <w:tc>
          <w:tcPr>
            <w:tcW w:w="7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748"/>
              <w:spacing w:after="0"/>
              <w:rPr>
                <w:sz w:val="20"/>
                <w:szCs w:val="20"/>
                <w:color w:val="auto"/>
              </w:rPr>
            </w:pPr>
            <w:r>
              <w:rPr>
                <w:rFonts w:ascii="Arial" w:cs="Arial" w:eastAsia="Arial" w:hAnsi="Arial"/>
                <w:sz w:val="13"/>
                <w:szCs w:val="13"/>
                <w:color w:val="auto"/>
              </w:rPr>
              <w:t>448</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8"/>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w w:val="98"/>
              </w:rPr>
              <w:t>(128)</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08"/>
              <w:spacing w:after="0"/>
              <w:rPr>
                <w:sz w:val="20"/>
                <w:szCs w:val="20"/>
                <w:color w:val="auto"/>
              </w:rPr>
            </w:pPr>
            <w:r>
              <w:rPr>
                <w:rFonts w:ascii="Arial" w:cs="Arial" w:eastAsia="Arial" w:hAnsi="Arial"/>
                <w:sz w:val="13"/>
                <w:szCs w:val="13"/>
                <w:color w:val="auto"/>
                <w:w w:val="98"/>
              </w:rPr>
              <w:t>(251)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108</w:t>
            </w:r>
          </w:p>
        </w:tc>
        <w:tc>
          <w:tcPr>
            <w:tcW w:w="7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748"/>
              <w:spacing w:after="0"/>
              <w:rPr>
                <w:sz w:val="20"/>
                <w:szCs w:val="20"/>
                <w:color w:val="auto"/>
              </w:rPr>
            </w:pPr>
            <w:r>
              <w:rPr>
                <w:rFonts w:ascii="Arial" w:cs="Arial" w:eastAsia="Arial" w:hAnsi="Arial"/>
                <w:sz w:val="13"/>
                <w:szCs w:val="13"/>
                <w:color w:val="auto"/>
              </w:rPr>
              <w:t>197</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8"/>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7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48"/>
              <w:spacing w:after="0"/>
              <w:rPr>
                <w:sz w:val="20"/>
                <w:szCs w:val="20"/>
                <w:color w:val="auto"/>
              </w:rPr>
            </w:pPr>
            <w:r>
              <w:rPr>
                <w:rFonts w:ascii="Arial" w:cs="Arial" w:eastAsia="Arial" w:hAnsi="Arial"/>
                <w:sz w:val="13"/>
                <w:szCs w:val="13"/>
                <w:color w:val="auto"/>
              </w:rPr>
              <w:t>57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Divestitures</w:t>
            </w:r>
          </w:p>
        </w:tc>
        <w:tc>
          <w:tcPr>
            <w:tcW w:w="120" w:type="dxa"/>
            <w:vAlign w:val="bottom"/>
          </w:tcPr>
          <w:p>
            <w:pPr>
              <w:spacing w:after="0"/>
              <w:rPr>
                <w:sz w:val="13"/>
                <w:szCs w:val="13"/>
                <w:color w:val="auto"/>
              </w:rPr>
            </w:pPr>
          </w:p>
        </w:tc>
        <w:tc>
          <w:tcPr>
            <w:tcW w:w="1060" w:type="dxa"/>
            <w:vAlign w:val="bottom"/>
            <w:gridSpan w:val="2"/>
          </w:tcPr>
          <w:p>
            <w:pPr>
              <w:jc w:val="right"/>
              <w:ind w:right="688"/>
              <w:spacing w:after="0"/>
              <w:rPr>
                <w:sz w:val="20"/>
                <w:szCs w:val="20"/>
                <w:color w:val="auto"/>
              </w:rPr>
            </w:pPr>
            <w:r>
              <w:rPr>
                <w:rFonts w:ascii="Arial" w:cs="Arial" w:eastAsia="Arial" w:hAnsi="Arial"/>
                <w:sz w:val="13"/>
                <w:szCs w:val="13"/>
                <w:color w:val="auto"/>
              </w:rPr>
              <w:t>(25)</w:t>
            </w:r>
          </w:p>
        </w:tc>
        <w:tc>
          <w:tcPr>
            <w:tcW w:w="1120" w:type="dxa"/>
            <w:vAlign w:val="bottom"/>
            <w:gridSpan w:val="2"/>
          </w:tcPr>
          <w:p>
            <w:pPr>
              <w:jc w:val="right"/>
              <w:ind w:right="76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080" w:type="dxa"/>
            <w:vAlign w:val="bottom"/>
            <w:gridSpan w:val="2"/>
          </w:tcPr>
          <w:p>
            <w:pPr>
              <w:jc w:val="right"/>
              <w:ind w:right="708"/>
              <w:spacing w:after="0"/>
              <w:rPr>
                <w:sz w:val="20"/>
                <w:szCs w:val="20"/>
                <w:color w:val="auto"/>
              </w:rPr>
            </w:pPr>
            <w:r>
              <w:rPr>
                <w:rFonts w:ascii="Arial" w:cs="Arial" w:eastAsia="Arial" w:hAnsi="Arial"/>
                <w:sz w:val="13"/>
                <w:szCs w:val="13"/>
                <w:color w:val="auto"/>
              </w:rPr>
              <w:t>(86)</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48"/>
              <w:spacing w:after="0"/>
              <w:rPr>
                <w:sz w:val="20"/>
                <w:szCs w:val="20"/>
                <w:color w:val="auto"/>
              </w:rPr>
            </w:pPr>
            <w:r>
              <w:rPr>
                <w:rFonts w:ascii="Arial" w:cs="Arial" w:eastAsia="Arial" w:hAnsi="Arial"/>
                <w:sz w:val="13"/>
                <w:szCs w:val="13"/>
                <w:color w:val="auto"/>
              </w:rPr>
              <w:t>41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131</w:t>
            </w:r>
          </w:p>
        </w:tc>
        <w:tc>
          <w:tcPr>
            <w:tcW w:w="780" w:type="dxa"/>
            <w:vAlign w:val="bottom"/>
          </w:tcPr>
          <w:p>
            <w:pPr>
              <w:spacing w:after="0"/>
              <w:rPr>
                <w:sz w:val="13"/>
                <w:szCs w:val="13"/>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3"/>
                <w:szCs w:val="13"/>
                <w:color w:val="auto"/>
              </w:rPr>
              <w:t>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748"/>
              <w:spacing w:after="0"/>
              <w:rPr>
                <w:sz w:val="20"/>
                <w:szCs w:val="20"/>
                <w:color w:val="auto"/>
              </w:rPr>
            </w:pPr>
            <w:r>
              <w:rPr>
                <w:rFonts w:ascii="Arial" w:cs="Arial" w:eastAsia="Arial" w:hAnsi="Arial"/>
                <w:sz w:val="13"/>
                <w:szCs w:val="13"/>
                <w:color w:val="auto"/>
              </w:rPr>
              <w:t>209</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30"/>
        </w:trPr>
        <w:tc>
          <w:tcPr>
            <w:tcW w:w="6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Base Business </w:t>
      </w:r>
      <w:r>
        <w:rPr>
          <w:rFonts w:ascii="Arial" w:cs="Arial" w:eastAsia="Arial" w:hAnsi="Arial"/>
          <w:sz w:val="13"/>
          <w:szCs w:val="13"/>
          <w:color w:val="auto"/>
        </w:rPr>
        <w:t>— Yield on base business reflects the effect on our revenue from the pricing activities of our collection, transfer, disposal and waste-to-energy operations, exclusive of</w:t>
      </w:r>
      <w:r>
        <w:rPr>
          <w:rFonts w:ascii="Arial" w:cs="Arial" w:eastAsia="Arial" w:hAnsi="Arial"/>
          <w:sz w:val="13"/>
          <w:szCs w:val="13"/>
          <w:i w:val="1"/>
          <w:iCs w:val="1"/>
          <w:color w:val="auto"/>
        </w:rPr>
        <w:t xml:space="preserve"> </w:t>
      </w:r>
      <w:r>
        <w:rPr>
          <w:rFonts w:ascii="Arial" w:cs="Arial" w:eastAsia="Arial" w:hAnsi="Arial"/>
          <w:sz w:val="13"/>
          <w:szCs w:val="13"/>
          <w:color w:val="auto"/>
        </w:rPr>
        <w:t>volume changes. Revenue growth from base business yield includes not only price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When comparing the three and six months ended June 30, 2008 with the comparable prior year periods, our pricing excellence initiative continues to be the primary contributor to our revenue growth from base business yield. The increase in revenue from base business yield was driven by our collection operations. However, our transfer stations and landfill municipal solid waste streams also contributed significant improvements. We also saw an increase in revenue from yield at our waste-to-energy facilities, largely due to annual rate increases for electricity under long-term contracts and favorable energy market pricing, which is generally indexed to natural gas prices.</w:t>
      </w:r>
    </w:p>
    <w:p>
      <w:pPr>
        <w:spacing w:after="0" w:line="7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Revenues from our environmental fee, which we include in our base business yield, were $47 million and $88 million during the three and six months ended June 30, 2008, respectively, compared with $31 million and $53 million in the comparable prior year periods. The increase in revenues from our environmental fee is due to an increase of 1.2% in the fee charged to customers receiving services subject to the fee.</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Commodity </w:t>
      </w:r>
      <w:r>
        <w:rPr>
          <w:rFonts w:ascii="Arial" w:cs="Arial" w:eastAsia="Arial" w:hAnsi="Arial"/>
          <w:sz w:val="13"/>
          <w:szCs w:val="13"/>
          <w:color w:val="auto"/>
        </w:rPr>
        <w:t>— Increases in the prices of recycling commodities contributed $56 million and $127 million of revenue growth during the three and six months ended June 30, 2008,</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During the first six months of 2008, average prices for old corrugated cardboard increased by 21% and average prices for old newsprint increased by 20%. A significant portion of revenues attributable to commodities is rebated to our suppliers of recyclable materials. Accordingly, changes in our revenues due to fluctuations in commodity prices have a corresponding impact on our cost of goods sold.</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Fuel surcharges and mandated fees </w:t>
      </w:r>
      <w:r>
        <w:rPr>
          <w:rFonts w:ascii="Arial" w:cs="Arial" w:eastAsia="Arial" w:hAnsi="Arial"/>
          <w:sz w:val="12"/>
          <w:szCs w:val="12"/>
          <w:color w:val="auto"/>
        </w:rPr>
        <w:t>— Fuel surcharges increased revenues by $75 million and $118 million during the three and six months ended June 30, 2008, respectively. This</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is due to our continued effort to pass on our higher fuel costs to our customers through fuel surcharges. Although our fuel surcharge program is designed to respond to changes in the market price for fuel, there is a delay between the time our fuel costs increase and when we are able to recover those increases through the surcharge. This timing difference has negatively affected our ability to fully recover our cost increases in the first six months of 2008 due to the continued increases in the cost of fuel during the year.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840" w:firstLine="399"/>
        <w:spacing w:after="0" w:line="316" w:lineRule="auto"/>
        <w:rPr>
          <w:sz w:val="20"/>
          <w:szCs w:val="20"/>
          <w:color w:val="auto"/>
        </w:rPr>
      </w:pPr>
      <w:r>
        <w:rPr>
          <w:rFonts w:ascii="Arial" w:cs="Arial" w:eastAsia="Arial" w:hAnsi="Arial"/>
          <w:sz w:val="11"/>
          <w:szCs w:val="11"/>
          <w:i w:val="1"/>
          <w:iCs w:val="1"/>
          <w:color w:val="auto"/>
        </w:rPr>
        <w:t xml:space="preserve">Volume </w:t>
      </w:r>
      <w:r>
        <w:rPr>
          <w:rFonts w:ascii="Arial" w:cs="Arial" w:eastAsia="Arial" w:hAnsi="Arial"/>
          <w:sz w:val="11"/>
          <w:szCs w:val="11"/>
          <w:color w:val="auto"/>
        </w:rPr>
        <w:t>— The $128 million and $251 million declines in revenues due to lower volumes when comparing the three and six months ended June 30, 2008 with the corresponding prior</w:t>
      </w:r>
      <w:r>
        <w:rPr>
          <w:rFonts w:ascii="Arial" w:cs="Arial" w:eastAsia="Arial" w:hAnsi="Arial"/>
          <w:sz w:val="11"/>
          <w:szCs w:val="11"/>
          <w:i w:val="1"/>
          <w:iCs w:val="1"/>
          <w:color w:val="auto"/>
        </w:rPr>
        <w:t xml:space="preserve"> </w:t>
      </w:r>
      <w:r>
        <w:rPr>
          <w:rFonts w:ascii="Arial" w:cs="Arial" w:eastAsia="Arial" w:hAnsi="Arial"/>
          <w:sz w:val="11"/>
          <w:szCs w:val="11"/>
          <w:color w:val="auto"/>
        </w:rPr>
        <w:t>year periods have been driven by declines in our collection volumes. Declines in revenues due to reduced volumes in our collection business accounted for $121 million of the decrease for the three-month period and $230 million of the decrease for the six-month period. Our revenues from collection volumes continue to be affected by our focus on improving margins through increased pricing. However, the continued slowdown in the economy also had a significant impact on each of our collection lines of business for the first six months of 2008. Our industrial collection operations experienced the most significant revenue declines due to lower volumes as a result of the significant slowdown in residential construction across the United States.</w:t>
      </w:r>
    </w:p>
    <w:p>
      <w:pPr>
        <w:spacing w:after="0" w:line="42" w:lineRule="exact"/>
        <w:rPr>
          <w:sz w:val="20"/>
          <w:szCs w:val="20"/>
          <w:color w:val="auto"/>
        </w:rPr>
      </w:pPr>
    </w:p>
    <w:p>
      <w:pPr>
        <w:ind w:left="680" w:right="860" w:firstLine="399"/>
        <w:spacing w:after="0" w:line="257" w:lineRule="auto"/>
        <w:rPr>
          <w:sz w:val="20"/>
          <w:szCs w:val="20"/>
          <w:color w:val="auto"/>
        </w:rPr>
      </w:pPr>
      <w:r>
        <w:rPr>
          <w:rFonts w:ascii="Arial" w:cs="Arial" w:eastAsia="Arial" w:hAnsi="Arial"/>
          <w:sz w:val="13"/>
          <w:szCs w:val="13"/>
          <w:color w:val="auto"/>
        </w:rPr>
        <w:t>Revenue from waste-to-energy disposal volumes also declined during the three and six months ended June 30, 2008, largely due to the termination of an operating and maintenance agreement in May 2007. For the six months ended June 30, 2008, we also experienced declines in third-party revenue at our landfills due to reduced construction and demolition and municipal solid waste volumes, partially offset by an increase in special waste disposal volumes. However, for the three months ended June 30, 2008, third-party revenue at our landfills was up slightly as a result of increased special waste disposal volumes, particularly in our Southern Group. The revenue growth from special waste disposal volumes was largely offset by declines in our municipal solid waste and construction and demolition waste disposal volumes, although the volume decline in our construction and demolition waste stream is at a slower rate than it had been in the past several quarters.</w:t>
      </w:r>
    </w:p>
    <w:p>
      <w:pPr>
        <w:spacing w:after="0" w:line="72"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Revenues increased $32 million during the three months ended June 30, 2008 due to acquisitions, while divestitures accounted for decreased revenues</w:t>
      </w:r>
      <w:r>
        <w:rPr>
          <w:rFonts w:ascii="Arial" w:cs="Arial" w:eastAsia="Arial" w:hAnsi="Arial"/>
          <w:sz w:val="13"/>
          <w:szCs w:val="13"/>
          <w:i w:val="1"/>
          <w:iCs w:val="1"/>
          <w:color w:val="auto"/>
        </w:rPr>
        <w:t xml:space="preserve"> </w:t>
      </w:r>
      <w:r>
        <w:rPr>
          <w:rFonts w:ascii="Arial" w:cs="Arial" w:eastAsia="Arial" w:hAnsi="Arial"/>
          <w:sz w:val="13"/>
          <w:szCs w:val="13"/>
          <w:color w:val="auto"/>
        </w:rPr>
        <w:t>of $25 million for the same period. This represents the first time in over two years that revenue growth from acquisitions exceeded revenue declines from divestitures, reflecting (i) that there are less under-performing operations that are being considered for divestiture and (ii) the resulting shift of focus to accretive acquisitions. Acquisitions contributed $57 million of additional revenues when comparing the six months ended June 30, 2008 with the comparable prior year period, and divestitures of under-performing or non-strategic operations accounted for decreased revenues of $86 million.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major components of our operating expenses, including the impact of foreign currency translation, for the three- and six-month periods ended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30 (dollars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600" w:type="dxa"/>
            <w:vAlign w:val="bottom"/>
            <w:gridSpan w:val="2"/>
            <w:vMerge w:val="restart"/>
          </w:tcPr>
          <w:p>
            <w:pPr>
              <w:jc w:val="center"/>
              <w:ind w:left="116"/>
              <w:spacing w:after="0"/>
              <w:rPr>
                <w:sz w:val="20"/>
                <w:szCs w:val="20"/>
                <w:color w:val="auto"/>
              </w:rPr>
            </w:pPr>
            <w:r>
              <w:rPr>
                <w:rFonts w:ascii="Arial" w:cs="Arial" w:eastAsia="Arial" w:hAnsi="Arial"/>
                <w:sz w:val="10"/>
                <w:szCs w:val="10"/>
                <w:b w:val="1"/>
                <w:bCs w:val="1"/>
                <w:color w:val="auto"/>
                <w:w w:val="96"/>
              </w:rPr>
              <w:t>Period to</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3"/>
              </w:rPr>
              <w:t>Six Months</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6"/>
              </w:rPr>
              <w:t>Period to</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0"/>
                <w:szCs w:val="10"/>
                <w:b w:val="1"/>
                <w:bCs w:val="1"/>
                <w:color w:val="auto"/>
                <w:w w:val="89"/>
              </w:rPr>
              <w:t>June 30,</w:t>
            </w: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0"/>
                <w:szCs w:val="10"/>
                <w:b w:val="1"/>
                <w:bCs w:val="1"/>
                <w:color w:val="auto"/>
                <w:w w:val="94"/>
              </w:rPr>
              <w:t>June 30,</w:t>
            </w:r>
          </w:p>
        </w:tc>
        <w:tc>
          <w:tcPr>
            <w:tcW w:w="3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602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3"/>
                <w:szCs w:val="13"/>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3"/>
                <w:szCs w:val="13"/>
                <w:color w:val="auto"/>
              </w:rPr>
              <w:t>(16)</w:t>
            </w: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536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575</w:t>
            </w:r>
          </w:p>
        </w:tc>
        <w:tc>
          <w:tcPr>
            <w:tcW w:w="80" w:type="dxa"/>
            <w:vAlign w:val="bottom"/>
          </w:tcPr>
          <w:p>
            <w:pPr>
              <w:spacing w:after="0"/>
              <w:rPr>
                <w:sz w:val="13"/>
                <w:szCs w:val="13"/>
                <w:color w:val="auto"/>
              </w:rPr>
            </w:pPr>
          </w:p>
        </w:tc>
        <w:tc>
          <w:tcPr>
            <w:tcW w:w="620" w:type="dxa"/>
            <w:vAlign w:val="bottom"/>
            <w:gridSpan w:val="2"/>
          </w:tcPr>
          <w:p>
            <w:pPr>
              <w:jc w:val="right"/>
              <w:ind w:right="308"/>
              <w:spacing w:after="0"/>
              <w:rPr>
                <w:sz w:val="20"/>
                <w:szCs w:val="20"/>
                <w:color w:val="auto"/>
              </w:rPr>
            </w:pPr>
            <w:r>
              <w:rPr>
                <w:rFonts w:ascii="Arial" w:cs="Arial" w:eastAsia="Arial" w:hAnsi="Arial"/>
                <w:sz w:val="13"/>
                <w:szCs w:val="13"/>
                <w:color w:val="auto"/>
              </w:rPr>
              <w:t>(39)</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226</w:t>
            </w:r>
          </w:p>
        </w:tc>
        <w:tc>
          <w:tcPr>
            <w:tcW w:w="80" w:type="dxa"/>
            <w:vAlign w:val="bottom"/>
          </w:tcPr>
          <w:p>
            <w:pPr>
              <w:spacing w:after="0"/>
              <w:rPr>
                <w:sz w:val="13"/>
                <w:szCs w:val="13"/>
                <w:color w:val="auto"/>
              </w:rPr>
            </w:pPr>
          </w:p>
        </w:tc>
        <w:tc>
          <w:tcPr>
            <w:tcW w:w="600" w:type="dxa"/>
            <w:vAlign w:val="bottom"/>
            <w:gridSpan w:val="2"/>
          </w:tcPr>
          <w:p>
            <w:pPr>
              <w:jc w:val="right"/>
              <w:ind w:right="348"/>
              <w:spacing w:after="0"/>
              <w:rPr>
                <w:sz w:val="20"/>
                <w:szCs w:val="20"/>
                <w:color w:val="auto"/>
              </w:rPr>
            </w:pPr>
            <w:r>
              <w:rPr>
                <w:rFonts w:ascii="Arial" w:cs="Arial" w:eastAsia="Arial" w:hAnsi="Arial"/>
                <w:sz w:val="13"/>
                <w:szCs w:val="13"/>
                <w:color w:val="auto"/>
              </w:rPr>
              <w:t>13</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456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439</w:t>
            </w:r>
          </w:p>
        </w:tc>
        <w:tc>
          <w:tcPr>
            <w:tcW w:w="80" w:type="dxa"/>
            <w:vAlign w:val="bottom"/>
          </w:tcPr>
          <w:p>
            <w:pPr>
              <w:spacing w:after="0"/>
              <w:rPr>
                <w:sz w:val="13"/>
                <w:szCs w:val="13"/>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3"/>
                <w:szCs w:val="13"/>
                <w:color w:val="auto"/>
              </w:rPr>
              <w:t>17</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29</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352</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600" w:type="dxa"/>
            <w:vAlign w:val="bottom"/>
            <w:gridSpan w:val="2"/>
          </w:tcPr>
          <w:p>
            <w:pPr>
              <w:jc w:val="right"/>
              <w:ind w:right="348"/>
              <w:spacing w:after="0"/>
              <w:rPr>
                <w:sz w:val="20"/>
                <w:szCs w:val="20"/>
                <w:color w:val="auto"/>
              </w:rPr>
            </w:pPr>
            <w:r>
              <w:rPr>
                <w:rFonts w:ascii="Arial" w:cs="Arial" w:eastAsia="Arial" w:hAnsi="Arial"/>
                <w:sz w:val="13"/>
                <w:szCs w:val="13"/>
                <w:color w:val="auto"/>
              </w:rPr>
              <w:t>67</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46.2</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380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3"/>
                <w:szCs w:val="13"/>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106</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38.7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3"/>
                <w:szCs w:val="13"/>
                <w:color w:val="auto"/>
              </w:rPr>
            </w:pPr>
          </w:p>
        </w:tc>
        <w:tc>
          <w:tcPr>
            <w:tcW w:w="600" w:type="dxa"/>
            <w:vAlign w:val="bottom"/>
            <w:gridSpan w:val="2"/>
          </w:tcPr>
          <w:p>
            <w:pPr>
              <w:jc w:val="right"/>
              <w:ind w:right="348"/>
              <w:spacing w:after="0"/>
              <w:rPr>
                <w:sz w:val="20"/>
                <w:szCs w:val="20"/>
                <w:color w:val="auto"/>
              </w:rPr>
            </w:pPr>
            <w:r>
              <w:rPr>
                <w:rFonts w:ascii="Arial" w:cs="Arial" w:eastAsia="Arial" w:hAnsi="Arial"/>
                <w:sz w:val="13"/>
                <w:szCs w:val="13"/>
                <w:color w:val="auto"/>
              </w:rPr>
              <w:t>6</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3"/>
                <w:szCs w:val="13"/>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3"/>
                <w:szCs w:val="13"/>
                <w:color w:val="auto"/>
              </w:rPr>
              <w:t>7</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88"/>
              <w:spacing w:after="0"/>
              <w:rPr>
                <w:sz w:val="20"/>
                <w:szCs w:val="20"/>
                <w:color w:val="auto"/>
              </w:rPr>
            </w:pPr>
            <w:r>
              <w:rPr>
                <w:rFonts w:ascii="Arial" w:cs="Arial" w:eastAsia="Arial" w:hAnsi="Arial"/>
                <w:sz w:val="13"/>
                <w:szCs w:val="13"/>
                <w:color w:val="auto"/>
              </w:rPr>
              <w:t>(12)</w:t>
            </w: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w w:val="88"/>
              </w:rPr>
              <w:t>(12.5)</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183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213</w:t>
            </w:r>
          </w:p>
        </w:tc>
        <w:tc>
          <w:tcPr>
            <w:tcW w:w="80" w:type="dxa"/>
            <w:vAlign w:val="bottom"/>
          </w:tcPr>
          <w:p>
            <w:pPr>
              <w:spacing w:after="0"/>
              <w:rPr>
                <w:sz w:val="13"/>
                <w:szCs w:val="13"/>
                <w:color w:val="auto"/>
              </w:rPr>
            </w:pPr>
          </w:p>
        </w:tc>
        <w:tc>
          <w:tcPr>
            <w:tcW w:w="620" w:type="dxa"/>
            <w:vAlign w:val="bottom"/>
            <w:gridSpan w:val="2"/>
          </w:tcPr>
          <w:p>
            <w:pPr>
              <w:jc w:val="right"/>
              <w:ind w:right="308"/>
              <w:spacing w:after="0"/>
              <w:rPr>
                <w:sz w:val="20"/>
                <w:szCs w:val="20"/>
                <w:color w:val="auto"/>
              </w:rPr>
            </w:pPr>
            <w:r>
              <w:rPr>
                <w:rFonts w:ascii="Arial" w:cs="Arial" w:eastAsia="Arial" w:hAnsi="Arial"/>
                <w:sz w:val="13"/>
                <w:szCs w:val="13"/>
                <w:color w:val="auto"/>
              </w:rPr>
              <w:t>(30)</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w w:val="88"/>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89</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147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334" w:lineRule="auto"/>
        <w:rPr>
          <w:sz w:val="20"/>
          <w:szCs w:val="20"/>
          <w:color w:val="auto"/>
        </w:rPr>
      </w:pPr>
      <w:r>
        <w:rPr>
          <w:rFonts w:ascii="Arial" w:cs="Arial" w:eastAsia="Arial" w:hAnsi="Arial"/>
          <w:sz w:val="11"/>
          <w:szCs w:val="11"/>
          <w:color w:val="auto"/>
        </w:rPr>
        <w:t>Our operating expenses as a percentage of revenues increased from 62.3% for the three months ended June 30, 2007 to 62.5% for the current period. Operating expenses as a percentage of revenues increased by 0.3 percentage points for the six months ended June 30, 2008, from 63.0% for the six months ended June 30, 2007 to 63.3% for the six months ended June 30, 2008. The increases in our operating expenses during the three and six months ended June 30, 2008 can largely be attributed to the following economic and market conditions:</w:t>
      </w:r>
    </w:p>
    <w:p>
      <w:pPr>
        <w:spacing w:after="0" w:line="32" w:lineRule="exact"/>
        <w:rPr>
          <w:sz w:val="20"/>
          <w:szCs w:val="20"/>
          <w:color w:val="auto"/>
        </w:rPr>
      </w:pPr>
    </w:p>
    <w:p>
      <w:pPr>
        <w:ind w:left="1280" w:right="6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Fuel cost increases — </w:t>
      </w:r>
      <w:r>
        <w:rPr>
          <w:rFonts w:ascii="Arial" w:cs="Arial" w:eastAsia="Arial" w:hAnsi="Arial"/>
          <w:sz w:val="13"/>
          <w:szCs w:val="13"/>
          <w:color w:val="auto"/>
        </w:rPr>
        <w:t>On average, diesel fuel prices increased 56% from $2.82 per gallon in the second quarter of 2007 to $4.40 per gallon in the second quarter of 2008.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six months ended June 30, 2008, the average diesel fuel price increased 48% from $2.68 per gallon for the first six months of 2007 to $3.97 per gallon for the first six months of 2008. Higher fuel costs caused increases in both our direct fuel costs and our subcontractor costs throughout the first half of 2008.</w:t>
      </w:r>
    </w:p>
    <w:p>
      <w:pPr>
        <w:spacing w:after="0" w:line="57"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Higher market prices for commodities — </w:t>
      </w:r>
      <w:r>
        <w:rPr>
          <w:rFonts w:ascii="Arial" w:cs="Arial" w:eastAsia="Arial" w:hAnsi="Arial"/>
          <w:sz w:val="13"/>
          <w:szCs w:val="13"/>
          <w:color w:val="auto"/>
        </w:rPr>
        <w:t>Market prices for commodities rose sharply when comparing the three and six months ended June 30, 2008 with the corresponding prior</w:t>
      </w:r>
      <w:r>
        <w:rPr>
          <w:rFonts w:ascii="Arial" w:cs="Arial" w:eastAsia="Arial" w:hAnsi="Arial"/>
          <w:sz w:val="13"/>
          <w:szCs w:val="13"/>
          <w:i w:val="1"/>
          <w:iCs w:val="1"/>
          <w:color w:val="auto"/>
        </w:rPr>
        <w:t xml:space="preserve"> </w:t>
      </w:r>
      <w:r>
        <w:rPr>
          <w:rFonts w:ascii="Arial" w:cs="Arial" w:eastAsia="Arial" w:hAnsi="Arial"/>
          <w:sz w:val="13"/>
          <w:szCs w:val="13"/>
          <w:color w:val="auto"/>
        </w:rPr>
        <w:t>year periods. This significant increase in market prices was the driver of the current quarter and year-to-date increases in cost of goods sold.</w:t>
      </w:r>
    </w:p>
    <w:p>
      <w:pPr>
        <w:spacing w:after="0" w:line="49" w:lineRule="exact"/>
        <w:rPr>
          <w:rFonts w:ascii="Arial" w:cs="Arial" w:eastAsia="Arial" w:hAnsi="Arial"/>
          <w:sz w:val="13"/>
          <w:szCs w:val="13"/>
          <w:color w:val="auto"/>
        </w:rPr>
      </w:pPr>
    </w:p>
    <w:p>
      <w:pPr>
        <w:ind w:left="1280" w:hanging="190"/>
        <w:spacing w:after="0" w:line="296" w:lineRule="auto"/>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 xml:space="preserve">Strengthening of the Canadian dollar </w:t>
      </w:r>
      <w:r>
        <w:rPr>
          <w:rFonts w:ascii="Arial" w:cs="Arial" w:eastAsia="Arial" w:hAnsi="Arial"/>
          <w:sz w:val="12"/>
          <w:szCs w:val="12"/>
          <w:color w:val="auto"/>
        </w:rPr>
        <w:t>— When comparing the average exchange rate for the three months ended June 30, 2008 with the same 2007 period, the Canadian rate</w:t>
      </w:r>
      <w:r>
        <w:rPr>
          <w:rFonts w:ascii="Arial" w:cs="Arial" w:eastAsia="Arial" w:hAnsi="Arial"/>
          <w:sz w:val="12"/>
          <w:szCs w:val="12"/>
          <w:i w:val="1"/>
          <w:iCs w:val="1"/>
          <w:color w:val="auto"/>
        </w:rPr>
        <w:t xml:space="preserve"> </w:t>
      </w:r>
      <w:r>
        <w:rPr>
          <w:rFonts w:ascii="Arial" w:cs="Arial" w:eastAsia="Arial" w:hAnsi="Arial"/>
          <w:sz w:val="12"/>
          <w:szCs w:val="12"/>
          <w:color w:val="auto"/>
        </w:rPr>
        <w:t>strengthened by approximately 9%, while for the six months ended June 30, 2008 the rate strengthened by approximately 13%. The strengthening of the Canadian dollar increased our expenses in all operating cost categories, increasing total operating expenses by $13 million for the three-month period and $32 million for the six-month period.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After considering the significant impacts that these general economic conditions had on our operating expenses, we are encouraged that our results continue to reflect our focus on</w:t>
      </w:r>
    </w:p>
    <w:p>
      <w:pPr>
        <w:spacing w:after="0" w:line="27" w:lineRule="exact"/>
        <w:rPr>
          <w:sz w:val="20"/>
          <w:szCs w:val="20"/>
          <w:color w:val="auto"/>
        </w:rPr>
      </w:pPr>
    </w:p>
    <w:p>
      <w:pPr>
        <w:ind w:left="680" w:right="240" w:firstLine="7"/>
        <w:spacing w:after="0" w:line="264" w:lineRule="auto"/>
        <w:tabs>
          <w:tab w:leader="none" w:pos="836" w:val="left"/>
        </w:tabs>
        <w:numPr>
          <w:ilvl w:val="0"/>
          <w:numId w:val="22"/>
        </w:numPr>
        <w:rPr>
          <w:rFonts w:ascii="Arial" w:cs="Arial" w:eastAsia="Arial" w:hAnsi="Arial"/>
          <w:sz w:val="13"/>
          <w:szCs w:val="13"/>
          <w:color w:val="auto"/>
        </w:rPr>
      </w:pPr>
      <w:r>
        <w:rPr>
          <w:rFonts w:ascii="Arial" w:cs="Arial" w:eastAsia="Arial" w:hAnsi="Arial"/>
          <w:sz w:val="13"/>
          <w:szCs w:val="13"/>
          <w:color w:val="auto"/>
        </w:rPr>
        <w:t>identifying operational efficiencies that translate into cost savings; (ii) managing our fixed costs and reducing our variable costs as volumes decline due to our pricing program and the slowdown in the economy; and (iii) reducing our costs in light of recent divestitures.</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Other items affecting the comparability of our operating expenses by category for the three and six months ended June 30, 2008 and 2007 include the following:</w:t>
      </w:r>
    </w:p>
    <w:p>
      <w:pPr>
        <w:spacing w:after="0" w:line="96" w:lineRule="exact"/>
        <w:rPr>
          <w:sz w:val="20"/>
          <w:szCs w:val="20"/>
          <w:color w:val="auto"/>
        </w:rPr>
      </w:pPr>
    </w:p>
    <w:p>
      <w:pPr>
        <w:ind w:left="1280" w:right="18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Although we have experienced higher labor costs due to (i) annual merit increases and (ii) additional overtime and other labor costs attributed to</w:t>
      </w:r>
      <w:r>
        <w:rPr>
          <w:rFonts w:ascii="Arial" w:cs="Arial" w:eastAsia="Arial" w:hAnsi="Arial"/>
          <w:sz w:val="13"/>
          <w:szCs w:val="13"/>
          <w:i w:val="1"/>
          <w:iCs w:val="1"/>
          <w:color w:val="auto"/>
        </w:rPr>
        <w:t xml:space="preserve"> </w:t>
      </w:r>
      <w:r>
        <w:rPr>
          <w:rFonts w:ascii="Arial" w:cs="Arial" w:eastAsia="Arial" w:hAnsi="Arial"/>
          <w:sz w:val="13"/>
          <w:szCs w:val="13"/>
          <w:color w:val="auto"/>
        </w:rPr>
        <w:t>severe winter weather conditions experienced during the first quarter of 2008 in our Midwest Group, our costs are flat year-over-year due to offsetting cost savings provided by our operational efficiencies mentioned above.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Transfer and disposal costs </w:t>
      </w:r>
      <w:r>
        <w:rPr>
          <w:rFonts w:ascii="Arial" w:cs="Arial" w:eastAsia="Arial" w:hAnsi="Arial"/>
          <w:sz w:val="12"/>
          <w:szCs w:val="12"/>
          <w:color w:val="auto"/>
        </w:rPr>
        <w:t>— These costs have decreased due to volume declines and, to a lesser extent, divestitures, which largely impacted the first quarter of 2008.</w:t>
      </w:r>
    </w:p>
    <w:p>
      <w:pPr>
        <w:spacing w:after="0" w:line="97" w:lineRule="exact"/>
        <w:rPr>
          <w:rFonts w:ascii="Arial" w:cs="Arial" w:eastAsia="Arial" w:hAnsi="Arial"/>
          <w:sz w:val="12"/>
          <w:szCs w:val="12"/>
          <w:color w:val="auto"/>
        </w:rPr>
      </w:pPr>
    </w:p>
    <w:p>
      <w:pPr>
        <w:ind w:left="1280" w:right="24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Increases in these costs can be attributed to (i) changes in the timing and the increased scope of maintenance projects at our waste-to-energy and</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gas-to-energy facilities and (ii) higher costs for steel parts and oil-based supplies such as lubricants. These increases were offset in part by cost savings due to our fleet maintenance improvement efforts.</w:t>
      </w:r>
    </w:p>
    <w:p>
      <w:pPr>
        <w:spacing w:after="0" w:line="57" w:lineRule="exact"/>
        <w:rPr>
          <w:rFonts w:ascii="Arial" w:cs="Arial" w:eastAsia="Arial" w:hAnsi="Arial"/>
          <w:sz w:val="13"/>
          <w:szCs w:val="13"/>
          <w:color w:val="auto"/>
        </w:rPr>
      </w:pPr>
    </w:p>
    <w:p>
      <w:pPr>
        <w:ind w:left="1280" w:right="120" w:hanging="190"/>
        <w:spacing w:after="0" w:line="260"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In addition to the sharp rise in market prices for commodities mentioned above, our cost of goods sold is higher for the six months ended June 30, 2008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the prior year period due to an increase in our brokerage volumes. However, during the three months ended June 30, 2008, we experienced lower brokerage and recycling facility volumes, which we believe were generally due to pricing competition and the downturn in the economy, partially offsetting the effect of higher commodity prices.</w:t>
      </w:r>
    </w:p>
    <w:p>
      <w:pPr>
        <w:spacing w:after="0" w:line="5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Disposal and franchise fees and taxes </w:t>
      </w:r>
      <w:r>
        <w:rPr>
          <w:rFonts w:ascii="Arial" w:cs="Arial" w:eastAsia="Arial" w:hAnsi="Arial"/>
          <w:sz w:val="13"/>
          <w:szCs w:val="13"/>
          <w:color w:val="auto"/>
        </w:rPr>
        <w:t>— The favorable resolution of a tax matter in our Eastern Group reduced expenses by $15 million during the first quarter of 2007 and</w:t>
      </w:r>
      <w:r>
        <w:rPr>
          <w:rFonts w:ascii="Arial" w:cs="Arial" w:eastAsia="Arial" w:hAnsi="Arial"/>
          <w:sz w:val="13"/>
          <w:szCs w:val="13"/>
          <w:i w:val="1"/>
          <w:iCs w:val="1"/>
          <w:color w:val="auto"/>
        </w:rPr>
        <w:t xml:space="preserve"> </w:t>
      </w:r>
      <w:r>
        <w:rPr>
          <w:rFonts w:ascii="Arial" w:cs="Arial" w:eastAsia="Arial" w:hAnsi="Arial"/>
          <w:sz w:val="13"/>
          <w:szCs w:val="13"/>
          <w:color w:val="auto"/>
        </w:rPr>
        <w:t>$3 million during the first quarter of 2008. In addition, volume declines have reduced these costs during the first half of 2008.</w:t>
      </w:r>
    </w:p>
    <w:p>
      <w:pPr>
        <w:spacing w:after="0" w:line="49" w:lineRule="exact"/>
        <w:rPr>
          <w:rFonts w:ascii="Arial" w:cs="Arial" w:eastAsia="Arial" w:hAnsi="Arial"/>
          <w:sz w:val="13"/>
          <w:szCs w:val="13"/>
          <w:color w:val="auto"/>
        </w:rPr>
      </w:pPr>
    </w:p>
    <w:p>
      <w:pPr>
        <w:ind w:left="1280" w:right="40" w:hanging="190"/>
        <w:spacing w:after="0" w:line="320" w:lineRule="auto"/>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Landfill operating costs </w:t>
      </w:r>
      <w:r>
        <w:rPr>
          <w:rFonts w:ascii="Arial" w:cs="Arial" w:eastAsia="Arial" w:hAnsi="Arial"/>
          <w:sz w:val="12"/>
          <w:szCs w:val="12"/>
          <w:color w:val="auto"/>
        </w:rPr>
        <w:t>— The increase in costs during 2008 can be attributed to (i) the unfavorable impact of the January 1, 2008 adoption of SFAS No. 157, which resulted in a</w:t>
      </w:r>
      <w:r>
        <w:rPr>
          <w:rFonts w:ascii="Arial" w:cs="Arial" w:eastAsia="Arial" w:hAnsi="Arial"/>
          <w:sz w:val="12"/>
          <w:szCs w:val="12"/>
          <w:i w:val="1"/>
          <w:iCs w:val="1"/>
          <w:color w:val="auto"/>
        </w:rPr>
        <w:t xml:space="preserve"> </w:t>
      </w:r>
      <w:r>
        <w:rPr>
          <w:rFonts w:ascii="Arial" w:cs="Arial" w:eastAsia="Arial" w:hAnsi="Arial"/>
          <w:sz w:val="12"/>
          <w:szCs w:val="12"/>
          <w:color w:val="auto"/>
        </w:rPr>
        <w:t>$6 million charge to landfill operating costs; (ii) increased leachate collection, trucking, treatment and disposal costs that were attributed, in part, to</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920"/>
        <w:spacing w:after="0" w:line="264" w:lineRule="auto"/>
        <w:rPr>
          <w:sz w:val="20"/>
          <w:szCs w:val="20"/>
          <w:color w:val="auto"/>
        </w:rPr>
      </w:pPr>
      <w:r>
        <w:rPr>
          <w:rFonts w:ascii="Arial" w:cs="Arial" w:eastAsia="Arial" w:hAnsi="Arial"/>
          <w:sz w:val="13"/>
          <w:szCs w:val="13"/>
          <w:color w:val="auto"/>
        </w:rPr>
        <w:t>higher precipitation levels experienced during 2008; and (iii) charges recognized during the current quarter for changes in the expected costs for the settlement of environmental remediation obligations. Our landfill operating costs for the six months ended June 30, 2007 included an $8 million charge for a revision in our estimate associated with remediation costs at one of our closed landfills.</w:t>
      </w:r>
    </w:p>
    <w:p>
      <w:pPr>
        <w:spacing w:after="0" w:line="67" w:lineRule="exact"/>
        <w:rPr>
          <w:sz w:val="20"/>
          <w:szCs w:val="20"/>
          <w:color w:val="auto"/>
        </w:rPr>
      </w:pPr>
    </w:p>
    <w:p>
      <w:pPr>
        <w:ind w:left="1280" w:right="90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 </w:t>
      </w:r>
      <w:r>
        <w:rPr>
          <w:rFonts w:ascii="Arial" w:cs="Arial" w:eastAsia="Arial" w:hAnsi="Arial"/>
          <w:sz w:val="13"/>
          <w:szCs w:val="13"/>
          <w:color w:val="auto"/>
        </w:rPr>
        <w:t>These cost decreases are due primarily to lower claims costs, which can be attributed to our continuous focus on safety as reflected by reduced accident and</w:t>
      </w:r>
      <w:r>
        <w:rPr>
          <w:rFonts w:ascii="Arial" w:cs="Arial" w:eastAsia="Arial" w:hAnsi="Arial"/>
          <w:sz w:val="13"/>
          <w:szCs w:val="13"/>
          <w:i w:val="1"/>
          <w:iCs w:val="1"/>
          <w:color w:val="auto"/>
        </w:rPr>
        <w:t xml:space="preserve"> </w:t>
      </w:r>
      <w:r>
        <w:rPr>
          <w:rFonts w:ascii="Arial" w:cs="Arial" w:eastAsia="Arial" w:hAnsi="Arial"/>
          <w:sz w:val="13"/>
          <w:szCs w:val="13"/>
          <w:color w:val="auto"/>
        </w:rPr>
        <w:t>injury rates.</w:t>
      </w:r>
    </w:p>
    <w:p>
      <w:pPr>
        <w:spacing w:after="0" w:line="49" w:lineRule="exact"/>
        <w:rPr>
          <w:rFonts w:ascii="Arial" w:cs="Arial" w:eastAsia="Arial" w:hAnsi="Arial"/>
          <w:sz w:val="13"/>
          <w:szCs w:val="13"/>
          <w:color w:val="auto"/>
        </w:rPr>
      </w:pPr>
    </w:p>
    <w:p>
      <w:pPr>
        <w:ind w:left="1280" w:right="820" w:hanging="190"/>
        <w:spacing w:after="0" w:line="260"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decrease in these costs when comparing the three months ended June 30, 2008 with the comparable prior year period is primarily due to the recognition of gains on</w:t>
      </w:r>
      <w:r>
        <w:rPr>
          <w:rFonts w:ascii="Arial" w:cs="Arial" w:eastAsia="Arial" w:hAnsi="Arial"/>
          <w:sz w:val="13"/>
          <w:szCs w:val="13"/>
          <w:i w:val="1"/>
          <w:iCs w:val="1"/>
          <w:color w:val="auto"/>
        </w:rPr>
        <w:t xml:space="preserve"> </w:t>
      </w:r>
      <w:r>
        <w:rPr>
          <w:rFonts w:ascii="Arial" w:cs="Arial" w:eastAsia="Arial" w:hAnsi="Arial"/>
          <w:sz w:val="13"/>
          <w:szCs w:val="13"/>
          <w:color w:val="auto"/>
        </w:rPr>
        <w:t>the sale of surplus real estate assets during the second quarter of 2008. The comparison of these costs for the six-month period is also significantly affected by $21 million of lease termination costs recognized in the first quarter of 2007 due to the purchase of one of our independent power production plants that we had previously operated through a lease agreement.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 and six-month periods ended June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13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4"/>
              </w:rPr>
              <w:t>Three Months</w:t>
            </w:r>
          </w:p>
        </w:tc>
        <w:tc>
          <w:tcPr>
            <w:tcW w:w="2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 to</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7"/>
              </w:rPr>
              <w:t>Six Months</w:t>
            </w:r>
          </w:p>
        </w:tc>
        <w:tc>
          <w:tcPr>
            <w:tcW w:w="2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 to</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8"/>
              </w:rPr>
              <w:t>Ended</w:t>
            </w: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1"/>
              </w:rPr>
              <w:t>Ended</w:t>
            </w: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89"/>
              </w:rPr>
              <w:t>June 30,</w:t>
            </w:r>
          </w:p>
        </w:tc>
        <w:tc>
          <w:tcPr>
            <w:tcW w:w="2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74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68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$ 217</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$ 204</w:t>
            </w:r>
          </w:p>
        </w:tc>
        <w:tc>
          <w:tcPr>
            <w:tcW w:w="72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78"/>
              </w:rPr>
              <w:t>$ 13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$ 434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$ 413</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86"/>
              </w:rPr>
              <w:t>$ 21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Professional fees</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36</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(2.8)</w:t>
            </w:r>
          </w:p>
        </w:tc>
        <w:tc>
          <w:tcPr>
            <w:tcW w:w="300" w:type="dxa"/>
            <w:vAlign w:val="bottom"/>
          </w:tcPr>
          <w:p>
            <w:pPr>
              <w:jc w:val="right"/>
              <w:spacing w:after="0"/>
              <w:rPr>
                <w:sz w:val="20"/>
                <w:szCs w:val="20"/>
                <w:color w:val="auto"/>
              </w:rPr>
            </w:pPr>
            <w:r>
              <w:rPr>
                <w:rFonts w:ascii="Arial" w:cs="Arial" w:eastAsia="Arial" w:hAnsi="Arial"/>
                <w:sz w:val="13"/>
                <w:szCs w:val="13"/>
                <w:color w:val="auto"/>
              </w:rPr>
              <w:t>72</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73</w:t>
            </w: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8"/>
              </w:rPr>
              <w:t>(20.0)</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19</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21.1</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93</w:t>
            </w:r>
          </w:p>
        </w:tc>
        <w:tc>
          <w:tcPr>
            <w:tcW w:w="720" w:type="dxa"/>
            <w:vAlign w:val="bottom"/>
            <w:gridSpan w:val="2"/>
          </w:tcPr>
          <w:p>
            <w:pPr>
              <w:jc w:val="right"/>
              <w:ind w:right="448"/>
              <w:spacing w:after="0"/>
              <w:rPr>
                <w:sz w:val="20"/>
                <w:szCs w:val="20"/>
                <w:color w:val="auto"/>
              </w:rPr>
            </w:pPr>
            <w:r>
              <w:rPr>
                <w:rFonts w:ascii="Arial" w:cs="Arial" w:eastAsia="Arial" w:hAnsi="Arial"/>
                <w:sz w:val="13"/>
                <w:szCs w:val="13"/>
                <w:color w:val="auto"/>
              </w:rPr>
              <w:t>5</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300" w:type="dxa"/>
            <w:vAlign w:val="bottom"/>
          </w:tcPr>
          <w:p>
            <w:pPr>
              <w:jc w:val="right"/>
              <w:spacing w:after="0"/>
              <w:rPr>
                <w:sz w:val="20"/>
                <w:szCs w:val="20"/>
                <w:color w:val="auto"/>
              </w:rPr>
            </w:pPr>
            <w:r>
              <w:rPr>
                <w:rFonts w:ascii="Arial" w:cs="Arial" w:eastAsia="Arial" w:hAnsi="Arial"/>
                <w:sz w:val="13"/>
                <w:szCs w:val="13"/>
                <w:color w:val="auto"/>
              </w:rPr>
              <w:t>197</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191</w:t>
            </w:r>
          </w:p>
        </w:tc>
        <w:tc>
          <w:tcPr>
            <w:tcW w:w="720" w:type="dxa"/>
            <w:vAlign w:val="bottom"/>
            <w:gridSpan w:val="2"/>
          </w:tcPr>
          <w:p>
            <w:pPr>
              <w:jc w:val="right"/>
              <w:ind w:right="428"/>
              <w:spacing w:after="0"/>
              <w:rPr>
                <w:sz w:val="20"/>
                <w:szCs w:val="20"/>
                <w:color w:val="auto"/>
              </w:rPr>
            </w:pPr>
            <w:r>
              <w:rPr>
                <w:rFonts w:ascii="Arial" w:cs="Arial" w:eastAsia="Arial" w:hAnsi="Arial"/>
                <w:sz w:val="13"/>
                <w:szCs w:val="13"/>
                <w:color w:val="auto"/>
              </w:rPr>
              <w:t>6</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$ 358</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$ 343</w:t>
            </w:r>
          </w:p>
        </w:tc>
        <w:tc>
          <w:tcPr>
            <w:tcW w:w="72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w w:val="78"/>
              </w:rPr>
              <w:t>$ 15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$ 726</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$ 696</w:t>
            </w:r>
          </w:p>
        </w:tc>
        <w:tc>
          <w:tcPr>
            <w:tcW w:w="7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w w:val="86"/>
              </w:rPr>
              <w:t>$ 30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current year increases are primarily attributable to (i) higher salaries and hourly wages driven by annual merit raises and an overall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headcount; (ii) higher non-cash compensation costs associated with the equity-based compensation provided for by our long-term incentive plans; and (iii) higher insurance and benefit costs. These increases were partially offset by lower bonus expenses in 2008.</w:t>
      </w:r>
    </w:p>
    <w:p>
      <w:pPr>
        <w:spacing w:after="0" w:line="67"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Our continued focus on our sales, marketing and other initiatives and identifying new customers resulted in an increase in our advertising costs and travel and entertainment</w:t>
      </w:r>
      <w:r>
        <w:rPr>
          <w:rFonts w:ascii="Arial" w:cs="Arial" w:eastAsia="Arial" w:hAnsi="Arial"/>
          <w:sz w:val="13"/>
          <w:szCs w:val="13"/>
          <w:i w:val="1"/>
          <w:iCs w:val="1"/>
          <w:color w:val="auto"/>
        </w:rPr>
        <w:t xml:space="preserve"> </w:t>
      </w:r>
      <w:r>
        <w:rPr>
          <w:rFonts w:ascii="Arial" w:cs="Arial" w:eastAsia="Arial" w:hAnsi="Arial"/>
          <w:sz w:val="13"/>
          <w:szCs w:val="13"/>
          <w:color w:val="auto"/>
        </w:rPr>
        <w:t>costs in the current year. When comparing the six months ended June 30, 2008 with the comparable prior year period, these increases were partially offset by the impact of a $4 million charge recognized during the first quarter of 2007 as a result of an unclaimed property audit settlement.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three- and six-month periods ended June 30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2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 to</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3"/>
              </w:rPr>
              <w:t>Six Months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 to</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680" w:type="dxa"/>
            <w:vAlign w:val="bottom"/>
            <w:tcBorders>
              <w:top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$ 198</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$ 199</w:t>
            </w:r>
          </w:p>
        </w:tc>
        <w:tc>
          <w:tcPr>
            <w:tcW w:w="7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89"/>
              </w:rPr>
              <w:t>$ (1)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3"/>
              </w:rPr>
              <w:t>(0.5)%</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$ 395</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$ 398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114</w:t>
            </w:r>
          </w:p>
        </w:tc>
        <w:tc>
          <w:tcPr>
            <w:tcW w:w="3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118</w:t>
            </w: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rPr>
              <w:t>(4)</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(3.4)</w:t>
            </w:r>
          </w:p>
        </w:tc>
        <w:tc>
          <w:tcPr>
            <w:tcW w:w="300" w:type="dxa"/>
            <w:vAlign w:val="bottom"/>
          </w:tcPr>
          <w:p>
            <w:pPr>
              <w:jc w:val="right"/>
              <w:spacing w:after="0"/>
              <w:rPr>
                <w:sz w:val="20"/>
                <w:szCs w:val="20"/>
                <w:color w:val="auto"/>
              </w:rPr>
            </w:pPr>
            <w:r>
              <w:rPr>
                <w:rFonts w:ascii="Arial" w:cs="Arial" w:eastAsia="Arial" w:hAnsi="Arial"/>
                <w:sz w:val="13"/>
                <w:szCs w:val="13"/>
                <w:color w:val="auto"/>
              </w:rPr>
              <w:t>208</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(15)</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86"/>
              </w:rPr>
              <w:t>20.0</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w w:val="93"/>
              </w:rPr>
              <w:t>(1.2)%</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w w:val="99"/>
              </w:rPr>
              <w:t>(2.7)%</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w w:val="85"/>
              </w:rPr>
              <w:t>$ 318</w:t>
            </w:r>
          </w:p>
        </w:tc>
        <w:tc>
          <w:tcPr>
            <w:tcW w:w="3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$ 322</w:t>
            </w:r>
          </w:p>
        </w:tc>
        <w:tc>
          <w:tcPr>
            <w:tcW w:w="700" w:type="dxa"/>
            <w:vAlign w:val="bottom"/>
            <w:gridSpan w:val="2"/>
          </w:tcPr>
          <w:p>
            <w:pPr>
              <w:jc w:val="right"/>
              <w:ind w:right="388"/>
              <w:spacing w:after="0"/>
              <w:rPr>
                <w:sz w:val="20"/>
                <w:szCs w:val="20"/>
                <w:color w:val="auto"/>
              </w:rPr>
            </w:pPr>
            <w:r>
              <w:rPr>
                <w:rFonts w:ascii="Arial" w:cs="Arial" w:eastAsia="Arial" w:hAnsi="Arial"/>
                <w:sz w:val="13"/>
                <w:szCs w:val="13"/>
                <w:color w:val="auto"/>
                <w:w w:val="89"/>
              </w:rPr>
              <w:t>$ (4)</w:t>
            </w:r>
          </w:p>
        </w:tc>
        <w:tc>
          <w:tcPr>
            <w:tcW w:w="680" w:type="dxa"/>
            <w:vAlign w:val="bottom"/>
            <w:gridSpan w:val="2"/>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$ 615</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$ 632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(17)</w:t>
            </w:r>
          </w:p>
        </w:tc>
        <w:tc>
          <w:tcPr>
            <w:tcW w:w="4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80" w:type="dxa"/>
            <w:vAlign w:val="bottom"/>
            <w:tcBorders>
              <w:top w:val="single" w:sz="8" w:color="auto"/>
            </w:tcBorders>
            <w:gridSpan w:val="3"/>
          </w:tcPr>
          <w:p>
            <w:pPr>
              <w:jc w:val="right"/>
              <w:ind w:right="288"/>
              <w:spacing w:after="0"/>
              <w:rPr>
                <w:sz w:val="20"/>
                <w:szCs w:val="20"/>
                <w:color w:val="auto"/>
              </w:rPr>
            </w:pPr>
            <w:r>
              <w:rPr>
                <w:rFonts w:ascii="Arial" w:cs="Arial" w:eastAsia="Arial" w:hAnsi="Arial"/>
                <w:sz w:val="13"/>
                <w:szCs w:val="13"/>
                <w:color w:val="auto"/>
              </w:rPr>
              <w:t>33</w:t>
            </w: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Depreciation and amortization expense for the three months ended June 30, 2008 was 9.1% of revenues compared with 9.6% of revenues for the comparable prior year period. Depreciation and amortization expense for the six months ended June 30, 2008 was 9.1% of revenues compared with 9.7% of revenues for the comparable prior year period. The decrease in depreciation and amortization expense in the first half of 2008 can generally be attributed to landfill volume declines.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first quarter of 2007, we restructured certain operations and functions, resulting in the recognition of a pre-tax charge of $9 million. We incurred an additional $1 million of costs for this restructuring during the second quarter of 2007, increasing the pre-tax costs incurred to date to $10 million. Approximately $7 million of our restructuring costs was incurred by our Corporate organization, $2 million was incurred by our Midwest Group and $1 million was incurred by our Western Group. These charges included $8 million for employee severance and benefit costs and $2 million related to operating lease agreements.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We recognized $2 million of net gains on divestitures during the six months ended June 30, 2008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to the divestiture of operations in our Southern Group. Total proceeds from divestitures completed during the six months ended June 30, 2008 were $4 million. Proceeds received were largely the result of a non-monetary exchange of businesses.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recognized $33 million and $42 million of net gains from divestitures during the three and six months ended June 30, 2007, respectively. The net gains recognized during the first quarter of 2007 were primarily related to the divestiture of collection and disposal operations in our Southern Group and the net gains recognized during the second quarter of 2007 were primarily related to the divestiture of collection and transfer operations in our Eastern Group, WMRA operations and collection operations in our Western Group. Total proceeds from divestitures completed during the six months ended June 30, 2007 were $183 million, which were primarily received in cash.</w:t>
      </w:r>
    </w:p>
    <w:p>
      <w:pPr>
        <w:spacing w:after="0" w:line="7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the first quarter of 2007, we recorded impairment charges of $10 million attributable to two landfills in our Southern Group. The</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and six-month periods ended June 30 and provides explanations of significant factors contributing to the identified variances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tcPr>
          <w:p>
            <w:pPr>
              <w:jc w:val="center"/>
              <w:ind w:right="56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660" w:type="dxa"/>
            <w:vAlign w:val="bottom"/>
            <w:gridSpan w:val="2"/>
            <w:vMerge w:val="restart"/>
          </w:tcPr>
          <w:p>
            <w:pPr>
              <w:jc w:val="center"/>
              <w:ind w:left="96"/>
              <w:spacing w:after="0"/>
              <w:rPr>
                <w:sz w:val="20"/>
                <w:szCs w:val="20"/>
                <w:color w:val="auto"/>
              </w:rPr>
            </w:pPr>
            <w:r>
              <w:rPr>
                <w:rFonts w:ascii="Arial" w:cs="Arial" w:eastAsia="Arial" w:hAnsi="Arial"/>
                <w:sz w:val="10"/>
                <w:szCs w:val="10"/>
                <w:b w:val="1"/>
                <w:bCs w:val="1"/>
                <w:color w:val="auto"/>
                <w:w w:val="96"/>
              </w:rPr>
              <w:t>Period to</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217"/>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Period to</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2007</w:t>
            </w: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141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152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48"/>
              <w:spacing w:after="0"/>
              <w:rPr>
                <w:sz w:val="20"/>
                <w:szCs w:val="20"/>
                <w:color w:val="auto"/>
              </w:rPr>
            </w:pPr>
            <w:r>
              <w:rPr>
                <w:rFonts w:ascii="Arial" w:cs="Arial" w:eastAsia="Arial" w:hAnsi="Arial"/>
                <w:sz w:val="13"/>
                <w:szCs w:val="13"/>
                <w:color w:val="auto"/>
              </w:rPr>
              <w:t>(11)</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9"/>
              </w:rPr>
              <w:t>(7.2)%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255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272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(17)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131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8</w:t>
            </w:r>
          </w:p>
        </w:tc>
        <w:tc>
          <w:tcPr>
            <w:tcW w:w="7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376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3"/>
                <w:szCs w:val="13"/>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6</w:t>
            </w:r>
          </w:p>
        </w:tc>
        <w:tc>
          <w:tcPr>
            <w:tcW w:w="780" w:type="dxa"/>
            <w:vAlign w:val="bottom"/>
            <w:gridSpan w:val="2"/>
          </w:tcPr>
          <w:p>
            <w:pPr>
              <w:jc w:val="right"/>
              <w:ind w:right="54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12</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76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3"/>
                <w:szCs w:val="13"/>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66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20</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17.4</w:t>
            </w:r>
          </w:p>
        </w:tc>
        <w:tc>
          <w:tcPr>
            <w:tcW w:w="0" w:type="dxa"/>
            <w:vAlign w:val="bottom"/>
          </w:tcPr>
          <w:p>
            <w:pPr>
              <w:spacing w:after="0"/>
              <w:rPr>
                <w:sz w:val="1"/>
                <w:szCs w:val="1"/>
                <w:color w:val="auto"/>
              </w:rPr>
            </w:pPr>
          </w:p>
        </w:tc>
      </w:tr>
      <w:tr>
        <w:trPr>
          <w:trHeight w:val="157"/>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WMRA</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376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00" w:type="dxa"/>
            <w:vAlign w:val="bottom"/>
            <w:gridSpan w:val="2"/>
          </w:tcPr>
          <w:p>
            <w:pPr>
              <w:jc w:val="right"/>
              <w:ind w:right="288"/>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660" w:type="dxa"/>
            <w:vAlign w:val="bottom"/>
            <w:gridSpan w:val="2"/>
          </w:tcPr>
          <w:p>
            <w:pPr>
              <w:jc w:val="right"/>
              <w:ind w:right="348"/>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rPr>
              <w:t>(8)</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1,373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376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80" w:type="dxa"/>
            <w:vAlign w:val="bottom"/>
          </w:tcPr>
          <w:p>
            <w:pPr>
              <w:spacing w:after="0"/>
              <w:rPr>
                <w:sz w:val="13"/>
                <w:szCs w:val="13"/>
                <w:color w:val="auto"/>
              </w:rPr>
            </w:pPr>
          </w:p>
        </w:tc>
        <w:tc>
          <w:tcPr>
            <w:tcW w:w="700" w:type="dxa"/>
            <w:vAlign w:val="bottom"/>
            <w:gridSpan w:val="2"/>
          </w:tcPr>
          <w:p>
            <w:pPr>
              <w:jc w:val="right"/>
              <w:ind w:right="288"/>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3"/>
                <w:szCs w:val="13"/>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2</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3"/>
                <w:szCs w:val="13"/>
                <w:color w:val="auto"/>
              </w:rPr>
              <w:t>21</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1,114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i w:val="1"/>
          <w:iCs w:val="1"/>
          <w:color w:val="auto"/>
        </w:rPr>
        <w:t xml:space="preserve">Operating segments </w:t>
      </w:r>
      <w:r>
        <w:rPr>
          <w:rFonts w:ascii="Arial" w:cs="Arial" w:eastAsia="Arial" w:hAnsi="Arial"/>
          <w:sz w:val="12"/>
          <w:szCs w:val="12"/>
          <w:color w:val="auto"/>
        </w:rPr>
        <w:t>— The most significant items affecting the results of operations of our geographic operating segments continue to be (i) increased revenue from yield on base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as a result of our pricing strategies, particularly in our collection operations; (ii) declines in revenues due to lower volumes, which can be attributed to pricing competition, the significant downturn in residential construction and the slowdown of the general economy; (iii) our continued focus on controlling costs through operating efficiencies; and (iv) the unfavorable effect on both operating income and operating margins of significantly higher fuel costs, which in 2008 have not been fully recovered by our fuel surcharge.</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Other significant items affecting the comparability of the operating segments’ results of operations for the three and six months ended June 30, 2008 and 2007 are summarized below:</w:t>
      </w:r>
    </w:p>
    <w:p>
      <w:pPr>
        <w:spacing w:after="0" w:line="119" w:lineRule="exact"/>
        <w:rPr>
          <w:sz w:val="20"/>
          <w:szCs w:val="20"/>
          <w:color w:val="auto"/>
        </w:rPr>
      </w:pPr>
    </w:p>
    <w:p>
      <w:pPr>
        <w:ind w:left="1080" w:right="80" w:firstLine="383"/>
        <w:spacing w:after="0" w:line="264"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The Group’s operating income during the second quarter of 2007 included a $25 million net gain from divestitures. Additionally, the first quarter of 2007 included</w:t>
      </w:r>
      <w:r>
        <w:rPr>
          <w:rFonts w:ascii="Arial" w:cs="Arial" w:eastAsia="Arial" w:hAnsi="Arial"/>
          <w:sz w:val="13"/>
          <w:szCs w:val="13"/>
          <w:i w:val="1"/>
          <w:iCs w:val="1"/>
          <w:color w:val="auto"/>
        </w:rPr>
        <w:t xml:space="preserve"> </w:t>
      </w:r>
      <w:r>
        <w:rPr>
          <w:rFonts w:ascii="Arial" w:cs="Arial" w:eastAsia="Arial" w:hAnsi="Arial"/>
          <w:sz w:val="13"/>
          <w:szCs w:val="13"/>
          <w:color w:val="auto"/>
        </w:rPr>
        <w:t>a $15 million decrease in disposal fees and taxes due to the favorable resolution of a disposal tax matter. The same disposal tax matter resulted in a $3 million decrease in disposal fees and taxes in the first quarter of 2008.</w:t>
      </w:r>
    </w:p>
    <w:p>
      <w:pPr>
        <w:spacing w:after="0" w:line="67" w:lineRule="exact"/>
        <w:rPr>
          <w:sz w:val="20"/>
          <w:szCs w:val="20"/>
          <w:color w:val="auto"/>
        </w:rPr>
      </w:pPr>
    </w:p>
    <w:p>
      <w:pPr>
        <w:ind w:left="1080" w:right="180" w:firstLine="383"/>
        <w:spacing w:after="0" w:line="264"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The Group’s operating income for the three and six months ended June 30, 2008 included the recognition of a $6 million gain primarily related to the sale of</w:t>
      </w:r>
      <w:r>
        <w:rPr>
          <w:rFonts w:ascii="Arial" w:cs="Arial" w:eastAsia="Arial" w:hAnsi="Arial"/>
          <w:sz w:val="13"/>
          <w:szCs w:val="13"/>
          <w:i w:val="1"/>
          <w:iCs w:val="1"/>
          <w:color w:val="auto"/>
        </w:rPr>
        <w:t xml:space="preserve"> </w:t>
      </w:r>
      <w:r>
        <w:rPr>
          <w:rFonts w:ascii="Arial" w:cs="Arial" w:eastAsia="Arial" w:hAnsi="Arial"/>
          <w:sz w:val="13"/>
          <w:szCs w:val="13"/>
          <w:color w:val="auto"/>
        </w:rPr>
        <w:t>surplus real estate. For the six-month period, this increase in operating income was largely offset by the negative impacts of unfavorable weather conditions and increased bad debt expense experienced during the first quarter of 2008.</w:t>
      </w:r>
    </w:p>
    <w:p>
      <w:pPr>
        <w:spacing w:after="0" w:line="67"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The Group recognized $3 million of divestiture gains during the first quarter of 2008 and $7 million during the first quarter of 2007. In 2007, the impact of gains</w:t>
      </w:r>
      <w:r>
        <w:rPr>
          <w:rFonts w:ascii="Arial" w:cs="Arial" w:eastAsia="Arial" w:hAnsi="Arial"/>
          <w:sz w:val="13"/>
          <w:szCs w:val="13"/>
          <w:i w:val="1"/>
          <w:iCs w:val="1"/>
          <w:color w:val="auto"/>
        </w:rPr>
        <w:t xml:space="preserve"> </w:t>
      </w:r>
      <w:r>
        <w:rPr>
          <w:rFonts w:ascii="Arial" w:cs="Arial" w:eastAsia="Arial" w:hAnsi="Arial"/>
          <w:sz w:val="13"/>
          <w:szCs w:val="13"/>
          <w:color w:val="auto"/>
        </w:rPr>
        <w:t>on divestitures was more than offset by $10 million of impairment charges attributable to two landfills.</w:t>
      </w:r>
    </w:p>
    <w:p>
      <w:pPr>
        <w:spacing w:after="0" w:line="59" w:lineRule="exact"/>
        <w:rPr>
          <w:sz w:val="20"/>
          <w:szCs w:val="20"/>
          <w:color w:val="auto"/>
        </w:rPr>
      </w:pPr>
    </w:p>
    <w:p>
      <w:pPr>
        <w:ind w:left="1080" w:right="160" w:firstLine="383"/>
        <w:spacing w:after="0" w:line="260"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The decline in the Group’s operating income for the three and six months ended June 30, 2008 when compared with the prior year periods is largely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of gains on divestitures of $7 million during the second quarter of 2007. The Group’s 2008 operating income has benefited from (i) the recognition of a $6 million gain primarily related to the sale of surplus real estate during the second quarter; and (ii) a reduction in landfill amortization expense as a result of changes in certain estimates related to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final capping, closure and post-closure obligations. These favorable impacts were offset, in part, by an increase in bad debt expense.</w:t>
      </w:r>
    </w:p>
    <w:p>
      <w:pPr>
        <w:spacing w:after="0" w:line="96"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During the first quarter of 2007, the Group purchased an independent power production plant that it had previously operated through a lease agreement. The</w:t>
      </w:r>
      <w:r>
        <w:rPr>
          <w:rFonts w:ascii="Arial" w:cs="Arial" w:eastAsia="Arial" w:hAnsi="Arial"/>
          <w:sz w:val="13"/>
          <w:szCs w:val="13"/>
          <w:i w:val="1"/>
          <w:iCs w:val="1"/>
          <w:color w:val="auto"/>
        </w:rPr>
        <w:t xml:space="preserve"> </w:t>
      </w:r>
      <w:r>
        <w:rPr>
          <w:rFonts w:ascii="Arial" w:cs="Arial" w:eastAsia="Arial" w:hAnsi="Arial"/>
          <w:sz w:val="13"/>
          <w:szCs w:val="13"/>
          <w:color w:val="auto"/>
        </w:rPr>
        <w:t>early termination of the lease agreement resulted in a $21 million charge to “Operating” expenses.</w:t>
      </w:r>
    </w:p>
    <w:p>
      <w:pPr>
        <w:spacing w:after="0" w:line="59" w:lineRule="exact"/>
        <w:rPr>
          <w:sz w:val="20"/>
          <w:szCs w:val="20"/>
          <w:color w:val="auto"/>
        </w:rPr>
      </w:pPr>
    </w:p>
    <w:p>
      <w:pPr>
        <w:ind w:left="1080" w:right="80" w:firstLine="383"/>
        <w:spacing w:after="0" w:line="282" w:lineRule="auto"/>
        <w:rPr>
          <w:sz w:val="20"/>
          <w:szCs w:val="20"/>
          <w:color w:val="auto"/>
        </w:rPr>
      </w:pPr>
      <w:r>
        <w:rPr>
          <w:rFonts w:ascii="Arial" w:cs="Arial" w:eastAsia="Arial" w:hAnsi="Arial"/>
          <w:sz w:val="12"/>
          <w:szCs w:val="12"/>
          <w:i w:val="1"/>
          <w:iCs w:val="1"/>
          <w:color w:val="auto"/>
        </w:rPr>
        <w:t xml:space="preserve">WMRA </w:t>
      </w:r>
      <w:r>
        <w:rPr>
          <w:rFonts w:ascii="Arial" w:cs="Arial" w:eastAsia="Arial" w:hAnsi="Arial"/>
          <w:sz w:val="12"/>
          <w:szCs w:val="12"/>
          <w:color w:val="auto"/>
        </w:rPr>
        <w:t>— In the first six months of 2007 and 2008, the Group’s operating income benefited from substantial increases in market prices for commodities. In addition, the</w:t>
      </w:r>
      <w:r>
        <w:rPr>
          <w:rFonts w:ascii="Arial" w:cs="Arial" w:eastAsia="Arial" w:hAnsi="Arial"/>
          <w:sz w:val="12"/>
          <w:szCs w:val="12"/>
          <w:i w:val="1"/>
          <w:iCs w:val="1"/>
          <w:color w:val="auto"/>
        </w:rPr>
        <w:t xml:space="preserve"> </w:t>
      </w:r>
      <w:r>
        <w:rPr>
          <w:rFonts w:ascii="Arial" w:cs="Arial" w:eastAsia="Arial" w:hAnsi="Arial"/>
          <w:sz w:val="12"/>
          <w:szCs w:val="12"/>
          <w:color w:val="auto"/>
        </w:rPr>
        <w:t>Group experienced income growth due to an increased focus on maintaining or reducing rebates made to suppliers. During 2008, the Group has increased its brokerage activities, which contributed to an increase in their operating revenues. However, due to the low-margin nature of this business, which is acceptable to us because of the relatively low capital investment required, the Group’s operating margins have declined. Higher than normal operating expenses, including higher subcontractor, repair and maintenance, and facility start-up costs, have also negatively affected the Group’s operating margins in 2008. The comparison of the Group’s operating income for the periods presented has also been affected by $4 million of net gains from divestitures recognized during the second quarter of 2007.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Significant items affecting the comparability of the remaining components of our results of operations for the three and six months ended June 30, 2008 and 2007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1080" w:right="300" w:firstLine="383"/>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changes in operating results are largely related to certain quarter-end adjustments recorded in consolidation related to our reportable segments that were not</w:t>
      </w:r>
      <w:r>
        <w:rPr>
          <w:rFonts w:ascii="Arial" w:cs="Arial" w:eastAsia="Arial" w:hAnsi="Arial"/>
          <w:sz w:val="13"/>
          <w:szCs w:val="13"/>
          <w:i w:val="1"/>
          <w:iCs w:val="1"/>
          <w:color w:val="auto"/>
        </w:rPr>
        <w:t xml:space="preserve"> </w:t>
      </w:r>
      <w:r>
        <w:rPr>
          <w:rFonts w:ascii="Arial" w:cs="Arial" w:eastAsia="Arial" w:hAnsi="Arial"/>
          <w:sz w:val="13"/>
          <w:szCs w:val="13"/>
          <w:color w:val="auto"/>
        </w:rPr>
        <w:t>included in the measure of segment income from operations used to assess their performance for the periods disclosed.</w:t>
      </w:r>
    </w:p>
    <w:p>
      <w:pPr>
        <w:spacing w:after="0" w:line="59" w:lineRule="exact"/>
        <w:rPr>
          <w:sz w:val="20"/>
          <w:szCs w:val="20"/>
          <w:color w:val="auto"/>
        </w:rPr>
      </w:pPr>
    </w:p>
    <w:p>
      <w:pPr>
        <w:ind w:left="1080" w:right="180" w:firstLine="383"/>
        <w:spacing w:after="0" w:line="260" w:lineRule="auto"/>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The decline in expenses in 2008 as compared with 2007 is primarily due to (i) lower bonus expense in the current year; (ii) the recognition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$6 million of restructuring charges during the first quarter of 2007 for employee severance and benefit costs; and (iii) a $4 million charge recognized during the first quarter of 2007 due to a settlement reached with one of the states participating in our unclaimed property audits. These cost decreases were partially offset by an increase in advertising costs in the current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net income for the three- and six-month periods ended June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280" w:type="dxa"/>
            <w:vAlign w:val="bottom"/>
          </w:tcPr>
          <w:p>
            <w:pPr>
              <w:spacing w:after="0"/>
              <w:rPr>
                <w:sz w:val="10"/>
                <w:szCs w:val="10"/>
                <w:color w:val="auto"/>
              </w:rPr>
            </w:pPr>
          </w:p>
        </w:tc>
        <w:tc>
          <w:tcPr>
            <w:tcW w:w="1160" w:type="dxa"/>
            <w:vAlign w:val="bottom"/>
            <w:gridSpan w:val="2"/>
            <w:vMerge w:val="restart"/>
          </w:tcPr>
          <w:p>
            <w:pPr>
              <w:jc w:val="center"/>
              <w:ind w:right="740"/>
              <w:spacing w:after="0"/>
              <w:rPr>
                <w:sz w:val="20"/>
                <w:szCs w:val="20"/>
                <w:color w:val="auto"/>
              </w:rPr>
            </w:pPr>
            <w:r>
              <w:rPr>
                <w:rFonts w:ascii="Arial" w:cs="Arial" w:eastAsia="Arial" w:hAnsi="Arial"/>
                <w:sz w:val="10"/>
                <w:szCs w:val="10"/>
                <w:b w:val="1"/>
                <w:bCs w:val="1"/>
                <w:color w:val="auto"/>
                <w:w w:val="96"/>
              </w:rPr>
              <w:t>Period to</w:t>
            </w:r>
          </w:p>
        </w:tc>
        <w:tc>
          <w:tcPr>
            <w:tcW w:w="840" w:type="dxa"/>
            <w:vAlign w:val="bottom"/>
            <w:gridSpan w:val="3"/>
          </w:tcPr>
          <w:p>
            <w:pPr>
              <w:jc w:val="center"/>
              <w:ind w:left="258"/>
              <w:spacing w:after="0"/>
              <w:rPr>
                <w:sz w:val="20"/>
                <w:szCs w:val="20"/>
                <w:color w:val="auto"/>
              </w:rPr>
            </w:pPr>
            <w:r>
              <w:rPr>
                <w:rFonts w:ascii="Arial" w:cs="Arial" w:eastAsia="Arial" w:hAnsi="Arial"/>
                <w:sz w:val="10"/>
                <w:szCs w:val="10"/>
                <w:b w:val="1"/>
                <w:bCs w:val="1"/>
                <w:color w:val="auto"/>
                <w:w w:val="97"/>
              </w:rPr>
              <w:t>Six Months</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vMerge w:val="restart"/>
          </w:tcPr>
          <w:p>
            <w:pPr>
              <w:jc w:val="center"/>
              <w:ind w:left="259"/>
              <w:spacing w:after="0"/>
              <w:rPr>
                <w:sz w:val="20"/>
                <w:szCs w:val="20"/>
                <w:color w:val="auto"/>
              </w:rPr>
            </w:pPr>
            <w:r>
              <w:rPr>
                <w:rFonts w:ascii="Arial" w:cs="Arial" w:eastAsia="Arial" w:hAnsi="Arial"/>
                <w:sz w:val="10"/>
                <w:szCs w:val="10"/>
                <w:b w:val="1"/>
                <w:bCs w:val="1"/>
                <w:color w:val="auto"/>
                <w:w w:val="92"/>
              </w:rPr>
              <w:t>Period 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0"/>
                <w:szCs w:val="10"/>
                <w:b w:val="1"/>
                <w:bCs w:val="1"/>
                <w:color w:val="auto"/>
                <w:w w:val="96"/>
              </w:rPr>
              <w:t>Period</w:t>
            </w: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ind w:left="239"/>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400" w:type="dxa"/>
            <w:vAlign w:val="bottom"/>
          </w:tcPr>
          <w:p>
            <w:pPr>
              <w:jc w:val="right"/>
              <w:ind w:right="38"/>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40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2"/>
          </w:tcPr>
          <w:p>
            <w:pPr>
              <w:jc w:val="center"/>
              <w:ind w:right="740"/>
              <w:spacing w:after="0" w:line="98" w:lineRule="exact"/>
              <w:rPr>
                <w:sz w:val="20"/>
                <w:szCs w:val="20"/>
                <w:color w:val="auto"/>
              </w:rPr>
            </w:pPr>
            <w:r>
              <w:rPr>
                <w:rFonts w:ascii="Arial" w:cs="Arial" w:eastAsia="Arial" w:hAnsi="Arial"/>
                <w:sz w:val="10"/>
                <w:szCs w:val="10"/>
                <w:b w:val="1"/>
                <w:bCs w:val="1"/>
                <w:color w:val="auto"/>
                <w:w w:val="92"/>
              </w:rPr>
              <w:t>Change</w:t>
            </w:r>
          </w:p>
        </w:tc>
        <w:tc>
          <w:tcPr>
            <w:tcW w:w="380" w:type="dxa"/>
            <w:vAlign w:val="bottom"/>
          </w:tcPr>
          <w:p>
            <w:pPr>
              <w:jc w:val="right"/>
              <w:ind w:right="18"/>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760" w:type="dxa"/>
            <w:vAlign w:val="bottom"/>
          </w:tcPr>
          <w:p>
            <w:pPr>
              <w:jc w:val="center"/>
              <w:ind w:left="239"/>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93"/>
              </w:rPr>
              <w:t>$  (105)</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3"/>
              </w:rPr>
              <w:t>$  (132)</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$ 27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(20.5)%</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89"/>
              </w:rPr>
              <w:t>$  (227)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(267)</w:t>
            </w:r>
          </w:p>
        </w:tc>
        <w:tc>
          <w:tcPr>
            <w:tcW w:w="76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w w:val="96"/>
              </w:rPr>
              <w:t>$  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(15.0)%</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Interest income</w:t>
            </w: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4</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11</w:t>
            </w: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11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28"/>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29</w:t>
            </w:r>
          </w:p>
        </w:tc>
        <w:tc>
          <w:tcPr>
            <w:tcW w:w="760" w:type="dxa"/>
            <w:vAlign w:val="bottom"/>
          </w:tcPr>
          <w:p>
            <w:pPr>
              <w:jc w:val="right"/>
              <w:ind w:right="359"/>
              <w:spacing w:after="0"/>
              <w:rPr>
                <w:sz w:val="20"/>
                <w:szCs w:val="20"/>
                <w:color w:val="auto"/>
              </w:rPr>
            </w:pPr>
            <w:r>
              <w:rPr>
                <w:rFonts w:ascii="Arial" w:cs="Arial" w:eastAsia="Arial" w:hAnsi="Arial"/>
                <w:sz w:val="13"/>
                <w:szCs w:val="13"/>
                <w:color w:val="auto"/>
              </w:rPr>
              <w:t>(20)</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Equity in net earnings (losses) of unconsolidated entities</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w:t>
            </w:r>
          </w:p>
        </w:tc>
        <w:tc>
          <w:tcPr>
            <w:tcW w:w="76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42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Minority interest</w:t>
            </w: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(13)</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160" w:type="dxa"/>
            <w:vAlign w:val="bottom"/>
            <w:gridSpan w:val="2"/>
          </w:tcPr>
          <w:p>
            <w:pPr>
              <w:jc w:val="right"/>
              <w:ind w:right="440"/>
              <w:spacing w:after="0"/>
              <w:rPr>
                <w:sz w:val="20"/>
                <w:szCs w:val="20"/>
                <w:color w:val="auto"/>
              </w:rPr>
            </w:pPr>
            <w:r>
              <w:rPr>
                <w:rFonts w:ascii="Arial" w:cs="Arial" w:eastAsia="Arial" w:hAnsi="Arial"/>
                <w:sz w:val="13"/>
                <w:szCs w:val="13"/>
                <w:color w:val="auto"/>
              </w:rPr>
              <w:t>18.2</w:t>
            </w:r>
          </w:p>
        </w:tc>
        <w:tc>
          <w:tcPr>
            <w:tcW w:w="760" w:type="dxa"/>
            <w:vAlign w:val="bottom"/>
            <w:gridSpan w:val="2"/>
          </w:tcPr>
          <w:p>
            <w:pPr>
              <w:jc w:val="right"/>
              <w:ind w:right="288"/>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(21)</w:t>
            </w:r>
          </w:p>
        </w:tc>
        <w:tc>
          <w:tcPr>
            <w:tcW w:w="760" w:type="dxa"/>
            <w:vAlign w:val="bottom"/>
          </w:tcPr>
          <w:p>
            <w:pPr>
              <w:jc w:val="right"/>
              <w:ind w:right="399"/>
              <w:spacing w:after="0"/>
              <w:rPr>
                <w:sz w:val="20"/>
                <w:szCs w:val="20"/>
                <w:color w:val="auto"/>
              </w:rPr>
            </w:pPr>
            <w:r>
              <w:rPr>
                <w:rFonts w:ascii="Arial" w:cs="Arial" w:eastAsia="Arial" w:hAnsi="Arial"/>
                <w:sz w:val="13"/>
                <w:szCs w:val="13"/>
                <w:color w:val="auto"/>
              </w:rPr>
              <w:t>1</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76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22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199</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142</w:t>
            </w:r>
          </w:p>
        </w:tc>
        <w:tc>
          <w:tcPr>
            <w:tcW w:w="280" w:type="dxa"/>
            <w:vAlign w:val="bottom"/>
          </w:tcPr>
          <w:p>
            <w:pPr>
              <w:jc w:val="right"/>
              <w:spacing w:after="0"/>
              <w:rPr>
                <w:sz w:val="20"/>
                <w:szCs w:val="20"/>
                <w:color w:val="auto"/>
              </w:rPr>
            </w:pPr>
            <w:r>
              <w:rPr>
                <w:rFonts w:ascii="Arial" w:cs="Arial" w:eastAsia="Arial" w:hAnsi="Arial"/>
                <w:sz w:val="13"/>
                <w:szCs w:val="13"/>
                <w:color w:val="auto"/>
              </w:rPr>
              <w:t>57</w:t>
            </w:r>
          </w:p>
        </w:tc>
        <w:tc>
          <w:tcPr>
            <w:tcW w:w="11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28"/>
              <w:spacing w:after="0"/>
              <w:rPr>
                <w:sz w:val="20"/>
                <w:szCs w:val="20"/>
                <w:color w:val="auto"/>
              </w:rPr>
            </w:pPr>
            <w:r>
              <w:rPr>
                <w:rFonts w:ascii="Arial" w:cs="Arial" w:eastAsia="Arial" w:hAnsi="Arial"/>
                <w:sz w:val="13"/>
                <w:szCs w:val="13"/>
                <w:color w:val="auto"/>
              </w:rPr>
              <w:t>343</w:t>
            </w: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235</w:t>
            </w:r>
          </w:p>
        </w:tc>
        <w:tc>
          <w:tcPr>
            <w:tcW w:w="760" w:type="dxa"/>
            <w:vAlign w:val="bottom"/>
          </w:tcPr>
          <w:p>
            <w:pPr>
              <w:jc w:val="right"/>
              <w:ind w:right="399"/>
              <w:spacing w:after="0"/>
              <w:rPr>
                <w:sz w:val="20"/>
                <w:szCs w:val="20"/>
                <w:color w:val="auto"/>
              </w:rPr>
            </w:pPr>
            <w:r>
              <w:rPr>
                <w:rFonts w:ascii="Arial" w:cs="Arial" w:eastAsia="Arial" w:hAnsi="Arial"/>
                <w:sz w:val="13"/>
                <w:szCs w:val="13"/>
                <w:color w:val="auto"/>
              </w:rPr>
              <w:t>108</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Percentage change does not provide a meaningful comparison. Refer to the explanations below for a discussion of the relationship between current period and prior period activity.</w:t>
      </w:r>
    </w:p>
    <w:p>
      <w:pPr>
        <w:spacing w:after="0" w:line="108"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 Although our outstanding debt balances are relatively consistent year-over-year, our interest costs have declined significantly when comparing the three and six</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months ended June 30, 2008 with the prior year periods. The decrease in interest expense is generally related to (i) the maturity of higher rate debt that we have refinanced at lower interest rates; (ii) a decline in market interest rates, which has reduced the interest expense associated with our interest rate swaps and our variable rate debt; and (iii) the early redemption of $244 million of 8.75% senior notes during the second quarter of 2008, which resulted in the recognition of a credit to interest expense</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spacing w:after="0" w:line="276" w:lineRule="auto"/>
        <w:rPr>
          <w:sz w:val="20"/>
          <w:szCs w:val="20"/>
          <w:color w:val="auto"/>
        </w:rPr>
      </w:pPr>
      <w:r>
        <w:rPr>
          <w:rFonts w:ascii="Arial" w:cs="Arial" w:eastAsia="Arial" w:hAnsi="Arial"/>
          <w:sz w:val="13"/>
          <w:szCs w:val="13"/>
          <w:color w:val="auto"/>
        </w:rPr>
        <w:t>of approximately $10 million for the immediate recognition of fair value adjustments associated with terminated interest rate swaps that had been deferred and were being amortized over the life of the debt.</w:t>
      </w:r>
    </w:p>
    <w:p>
      <w:pPr>
        <w:spacing w:after="0" w:line="59" w:lineRule="exact"/>
        <w:rPr>
          <w:sz w:val="20"/>
          <w:szCs w:val="20"/>
          <w:color w:val="auto"/>
        </w:rPr>
      </w:pPr>
    </w:p>
    <w:p>
      <w:pPr>
        <w:ind w:left="680" w:right="10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Interest income </w:t>
      </w:r>
      <w:r>
        <w:rPr>
          <w:rFonts w:ascii="Arial" w:cs="Arial" w:eastAsia="Arial" w:hAnsi="Arial"/>
          <w:sz w:val="13"/>
          <w:szCs w:val="13"/>
          <w:color w:val="auto"/>
        </w:rPr>
        <w:t>— Decreases in our average cash and investment balances on a year-over-year basis resulted in a decline in interest income when comparing the first half of 2008</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the comparable prior year period. In addition, interest income for the first half of 2007 included $7 million of interest income received in connection with a favorable resolution of a disposal tax matter in our Eastern Group. The favorable resolution of this matter also had a $15 million favorable impact on the disposal fees and taxes component of our “Operating” expenses during the first half of 2007.</w:t>
      </w:r>
    </w:p>
    <w:p>
      <w:pPr>
        <w:spacing w:after="0" w:line="7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Equity in net losses of unconsolidated entities </w:t>
      </w:r>
      <w:r>
        <w:rPr>
          <w:rFonts w:ascii="Arial" w:cs="Arial" w:eastAsia="Arial" w:hAnsi="Arial"/>
          <w:sz w:val="13"/>
          <w:szCs w:val="13"/>
          <w:color w:val="auto"/>
        </w:rPr>
        <w:t>— The significant decline in these losses in 2008 as compared with the prior year is due to the expiration of our investments in the two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coal-based, synthetic fuel production facilities that have driven our equity losses for the last several years. The equity losses generated by the facilities were more than offset by the tax benefits realized as a result of the investments’ generation of Section 45K tax credits.</w:t>
      </w:r>
    </w:p>
    <w:p>
      <w:pPr>
        <w:spacing w:after="0" w:line="67" w:lineRule="exact"/>
        <w:rPr>
          <w:sz w:val="20"/>
          <w:szCs w:val="20"/>
          <w:color w:val="auto"/>
        </w:rPr>
      </w:pPr>
    </w:p>
    <w:p>
      <w:pPr>
        <w:ind w:left="680" w:right="860" w:firstLine="399"/>
        <w:spacing w:after="0" w:line="281" w:lineRule="auto"/>
        <w:rPr>
          <w:sz w:val="20"/>
          <w:szCs w:val="20"/>
          <w:color w:val="auto"/>
        </w:rPr>
      </w:pPr>
      <w:r>
        <w:rPr>
          <w:rFonts w:ascii="Arial" w:cs="Arial" w:eastAsia="Arial" w:hAnsi="Arial"/>
          <w:sz w:val="12"/>
          <w:szCs w:val="12"/>
          <w:b w:val="1"/>
          <w:bCs w:val="1"/>
          <w:i w:val="1"/>
          <w:iCs w:val="1"/>
          <w:color w:val="auto"/>
        </w:rPr>
        <w:t xml:space="preserve">Provision for income taxes </w:t>
      </w:r>
      <w:r>
        <w:rPr>
          <w:rFonts w:ascii="Arial" w:cs="Arial" w:eastAsia="Arial" w:hAnsi="Arial"/>
          <w:sz w:val="12"/>
          <w:szCs w:val="12"/>
          <w:color w:val="auto"/>
        </w:rPr>
        <w:t>— We recognized a provision for income taxes of $199 million during the second quarter of 2008, representing an effective tax rate of 38.4%, compared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a provision for income taxes of $142 million during the second quarter of 2007, representing a 29.7% effective tax rate. Our effective tax rate for the first half of 2008 was 38.0% compared with 29.0% for the first half of 2007. The significant increase in our provision for income taxes and our effective tax rate in 2008 is primarily due to (i) a decrease in the benefit of Section 45K tax credits due to the expiration of these tax credits at the end of 2007; and (ii) the impact of tax audit settlements. Section 45K tax credits reduced our provision for income taxes by $3 million during the first half of 2008 compared with $58 million during the first half of 2007. The settlement of tax audits reduced our provision for income taxes by $13 million during the first half of 2008 compared with a $27 million reduction of our provision for income taxes during the first half of 2007. The increase in our provision for income taxes when comparing the first half of 2008 with the prior year period is also due to the increase in our pre-tax income.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restricted trust and escrow accounts and debt balances as of June 30, 2008 and December 31, 2007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3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3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Other</w:t>
            </w: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33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Debt:</w:t>
            </w:r>
          </w:p>
        </w:tc>
        <w:tc>
          <w:tcPr>
            <w:tcW w:w="3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long-term debt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Long-term debt, less current portion</w:t>
            </w: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7,958</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8,008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long-term debt</w:t>
            </w:r>
          </w:p>
        </w:tc>
        <w:tc>
          <w:tcPr>
            <w:tcW w:w="3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vMerge w:val="restart"/>
          </w:tcPr>
          <w:p>
            <w:pPr>
              <w:spacing w:after="0"/>
              <w:rPr>
                <w:sz w:val="20"/>
                <w:szCs w:val="20"/>
                <w:color w:val="auto"/>
              </w:rPr>
            </w:pPr>
            <w:r>
              <w:rPr>
                <w:rFonts w:ascii="Arial" w:cs="Arial" w:eastAsia="Arial" w:hAnsi="Arial"/>
                <w:sz w:val="13"/>
                <w:szCs w:val="13"/>
                <w:color w:val="auto"/>
              </w:rPr>
              <w:t>Percentage of total debt at variable interest rates</w:t>
            </w: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w w:val="97"/>
              </w:rPr>
              <w:t>Increase in carrying value of debt due to hedge accounting for interest rate swaps</w:t>
            </w:r>
          </w:p>
        </w:tc>
        <w:tc>
          <w:tcPr>
            <w:tcW w:w="33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60" w:type="dxa"/>
            <w:vAlign w:val="bottom"/>
          </w:tcPr>
          <w:p>
            <w:pPr>
              <w:jc w:val="right"/>
              <w:ind w:right="2834"/>
              <w:spacing w:after="0"/>
              <w:rPr>
                <w:sz w:val="20"/>
                <w:szCs w:val="20"/>
                <w:color w:val="auto"/>
              </w:rPr>
            </w:pPr>
            <w:r>
              <w:rPr>
                <w:rFonts w:ascii="Arial" w:cs="Arial" w:eastAsia="Arial" w:hAnsi="Arial"/>
                <w:sz w:val="13"/>
                <w:szCs w:val="13"/>
                <w:color w:val="auto"/>
              </w:rPr>
              <w:t>37</w:t>
            </w: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Changes in our outstanding debt balances from December 31, 2007 to June 30, 2008 can primarily be attributed to (i) $971 million of cash borrowings, including $594 million in net proceeds from the March 2008 issuance of $600 million of 6.1% senior notes; (ii) the cash repayment of $757 million of outstanding borrowings at their scheduled maturities; (iii) the early redemption of $244 million of 8.75% senior notes with a scheduled maturity in May 2018, that became callable by us in May 2008; (iv) non-cash proceeds from tax-exempt borrowings of $79 million; (v) a $20 million decrease in the carrying value of our debt due to hedge accounting for interest rate swaps; and (vi) the impacts of accounting for other non-cash changes in our balances due to foreign currency translation, interest and capital leases.</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have $1.4 billion of scheduled debt maturities during the next twelve months. We have classified $951 million of these borrowings as long-term as of June 30, 2008 based on our intent and ability to refinance these borrowings on a long-term basis.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six-month periods ended June 30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Six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29"/>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The most significant items affecting the comparison of our operating cash flows for the six-month periods ended June 30, 2008 and</w:t>
      </w:r>
      <w:r>
        <w:rPr>
          <w:rFonts w:ascii="Arial" w:cs="Arial" w:eastAsia="Arial" w:hAnsi="Arial"/>
          <w:sz w:val="13"/>
          <w:szCs w:val="13"/>
          <w:i w:val="1"/>
          <w:iCs w:val="1"/>
          <w:color w:val="auto"/>
        </w:rPr>
        <w:t xml:space="preserve"> </w:t>
      </w:r>
      <w:r>
        <w:rPr>
          <w:rFonts w:ascii="Arial" w:cs="Arial" w:eastAsia="Arial" w:hAnsi="Arial"/>
          <w:sz w:val="13"/>
          <w:szCs w:val="13"/>
          <w:color w:val="auto"/>
        </w:rPr>
        <w:t>2007 are summarized below:</w:t>
      </w:r>
    </w:p>
    <w:p>
      <w:pPr>
        <w:spacing w:after="0" w:line="59" w:lineRule="exact"/>
        <w:rPr>
          <w:sz w:val="20"/>
          <w:szCs w:val="20"/>
          <w:color w:val="auto"/>
        </w:rPr>
      </w:pPr>
    </w:p>
    <w:p>
      <w:pPr>
        <w:ind w:left="1280" w:right="100" w:hanging="190"/>
        <w:spacing w:after="0" w:line="258"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Earnings improvements </w:t>
      </w:r>
      <w:r>
        <w:rPr>
          <w:rFonts w:ascii="Arial" w:cs="Arial" w:eastAsia="Arial" w:hAnsi="Arial"/>
          <w:sz w:val="13"/>
          <w:szCs w:val="13"/>
          <w:color w:val="auto"/>
        </w:rPr>
        <w:t>— Our income from operations, net of depreciation and amortization, and excluding the impact of asset impairments and unusual items, increased by</w:t>
      </w:r>
      <w:r>
        <w:rPr>
          <w:rFonts w:ascii="Arial" w:cs="Arial" w:eastAsia="Arial" w:hAnsi="Arial"/>
          <w:sz w:val="13"/>
          <w:szCs w:val="13"/>
          <w:i w:val="1"/>
          <w:iCs w:val="1"/>
          <w:color w:val="auto"/>
        </w:rPr>
        <w:t xml:space="preserve"> </w:t>
      </w:r>
      <w:r>
        <w:rPr>
          <w:rFonts w:ascii="Arial" w:cs="Arial" w:eastAsia="Arial" w:hAnsi="Arial"/>
          <w:sz w:val="13"/>
          <w:szCs w:val="13"/>
          <w:color w:val="auto"/>
        </w:rPr>
        <w:t>$42 million when comparing the six months ended June 30, 2008 with the comparable prior year period. We have excluded asset impairment and unusual items because the impact on income from operations was primarily a result of a gain recognized in 2007 for the divestiture of collection and transfer operations in our Eastern Group, and any cash flows associated with divestitures is included in cash flows from investing activities. The increase in operating income has positively affected our cash flows from operations in 2008.</w:t>
      </w:r>
    </w:p>
    <w:p>
      <w:pPr>
        <w:spacing w:after="0" w:line="61" w:lineRule="exact"/>
        <w:rPr>
          <w:rFonts w:ascii="Arial" w:cs="Arial" w:eastAsia="Arial" w:hAnsi="Arial"/>
          <w:sz w:val="13"/>
          <w:szCs w:val="13"/>
          <w:color w:val="auto"/>
        </w:rPr>
      </w:pPr>
    </w:p>
    <w:p>
      <w:pPr>
        <w:ind w:left="1280" w:right="100" w:hanging="190"/>
        <w:spacing w:after="0" w:line="320" w:lineRule="auto"/>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Changes in accounts payable and accrued liabilities — </w:t>
      </w:r>
      <w:r>
        <w:rPr>
          <w:rFonts w:ascii="Arial" w:cs="Arial" w:eastAsia="Arial" w:hAnsi="Arial"/>
          <w:sz w:val="12"/>
          <w:szCs w:val="12"/>
          <w:color w:val="auto"/>
        </w:rPr>
        <w:t>Although aggregate changes in accounts payable and accrued liabilities did not significantly affect the comparison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cash flows from operations for the reported periods, the following variances within our operating liabilities did have notable effects on operating cash flows:</w:t>
      </w:r>
    </w:p>
    <w:p>
      <w:pPr>
        <w:spacing w:after="0" w:line="35" w:lineRule="exact"/>
        <w:rPr>
          <w:rFonts w:ascii="Arial" w:cs="Arial" w:eastAsia="Arial" w:hAnsi="Arial"/>
          <w:sz w:val="12"/>
          <w:szCs w:val="12"/>
          <w:color w:val="auto"/>
        </w:rPr>
      </w:pPr>
    </w:p>
    <w:p>
      <w:pPr>
        <w:ind w:left="1500" w:right="20" w:hanging="214"/>
        <w:spacing w:after="0" w:line="264" w:lineRule="auto"/>
        <w:tabs>
          <w:tab w:leader="none" w:pos="1500" w:val="left"/>
        </w:tabs>
        <w:numPr>
          <w:ilvl w:val="1"/>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Accounts payable processes </w:t>
      </w:r>
      <w:r>
        <w:rPr>
          <w:rFonts w:ascii="Arial" w:cs="Arial" w:eastAsia="Arial" w:hAnsi="Arial"/>
          <w:sz w:val="13"/>
          <w:szCs w:val="13"/>
          <w:color w:val="auto"/>
        </w:rPr>
        <w:t>— In 2008, we began various initiatives to improve our working capital management, including reviewing our accounts payable process to ensure</w:t>
      </w:r>
      <w:r>
        <w:rPr>
          <w:rFonts w:ascii="Arial" w:cs="Arial" w:eastAsia="Arial" w:hAnsi="Arial"/>
          <w:sz w:val="13"/>
          <w:szCs w:val="13"/>
          <w:i w:val="1"/>
          <w:iCs w:val="1"/>
          <w:color w:val="auto"/>
        </w:rPr>
        <w:t xml:space="preserve"> </w:t>
      </w:r>
      <w:r>
        <w:rPr>
          <w:rFonts w:ascii="Arial" w:cs="Arial" w:eastAsia="Arial" w:hAnsi="Arial"/>
          <w:sz w:val="13"/>
          <w:szCs w:val="13"/>
          <w:color w:val="auto"/>
        </w:rPr>
        <w:t>vendor payments are made on a basis that results in more optimal cash management. The changes made to the timing of our vendor payments favorably affected the comparison of our cash flow from operations for the six months ended June 30, 2008 with the comparable prior year period.</w:t>
      </w:r>
    </w:p>
    <w:p>
      <w:pPr>
        <w:spacing w:after="0" w:line="57" w:lineRule="exact"/>
        <w:rPr>
          <w:rFonts w:ascii="Arial" w:cs="Arial" w:eastAsia="Arial" w:hAnsi="Arial"/>
          <w:sz w:val="13"/>
          <w:szCs w:val="13"/>
          <w:color w:val="auto"/>
        </w:rPr>
      </w:pPr>
    </w:p>
    <w:p>
      <w:pPr>
        <w:ind w:left="1500" w:right="120" w:hanging="214"/>
        <w:spacing w:after="0" w:line="276" w:lineRule="auto"/>
        <w:tabs>
          <w:tab w:leader="none" w:pos="1500" w:val="left"/>
        </w:tabs>
        <w:numPr>
          <w:ilvl w:val="1"/>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Increased income tax payments </w:t>
      </w:r>
      <w:r>
        <w:rPr>
          <w:rFonts w:ascii="Arial" w:cs="Arial" w:eastAsia="Arial" w:hAnsi="Arial"/>
          <w:sz w:val="13"/>
          <w:szCs w:val="13"/>
          <w:color w:val="auto"/>
        </w:rPr>
        <w:t>— Cash paid for income taxes, net of excess tax benefits associated with equity-based transactions, was approximately $85 million higher in</w:t>
      </w:r>
      <w:r>
        <w:rPr>
          <w:rFonts w:ascii="Arial" w:cs="Arial" w:eastAsia="Arial" w:hAnsi="Arial"/>
          <w:sz w:val="13"/>
          <w:szCs w:val="13"/>
          <w:i w:val="1"/>
          <w:iCs w:val="1"/>
          <w:color w:val="auto"/>
        </w:rPr>
        <w:t xml:space="preserve"> </w:t>
      </w:r>
      <w:r>
        <w:rPr>
          <w:rFonts w:ascii="Arial" w:cs="Arial" w:eastAsia="Arial" w:hAnsi="Arial"/>
          <w:sz w:val="13"/>
          <w:szCs w:val="13"/>
          <w:color w:val="auto"/>
        </w:rPr>
        <w:t>the six months ended June 30, 2008 due to an increase in both our taxable income and our effective tax rate.</w:t>
      </w:r>
    </w:p>
    <w:p>
      <w:pPr>
        <w:spacing w:after="0" w:line="49" w:lineRule="exact"/>
        <w:rPr>
          <w:rFonts w:ascii="Arial" w:cs="Arial" w:eastAsia="Arial" w:hAnsi="Arial"/>
          <w:sz w:val="13"/>
          <w:szCs w:val="13"/>
          <w:color w:val="auto"/>
        </w:rPr>
      </w:pPr>
    </w:p>
    <w:p>
      <w:pPr>
        <w:ind w:left="1500" w:right="20" w:hanging="214"/>
        <w:spacing w:after="0" w:line="260" w:lineRule="auto"/>
        <w:tabs>
          <w:tab w:leader="none" w:pos="1500" w:val="left"/>
        </w:tabs>
        <w:numPr>
          <w:ilvl w:val="1"/>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Decreased interest payments </w:t>
      </w:r>
      <w:r>
        <w:rPr>
          <w:rFonts w:ascii="Arial" w:cs="Arial" w:eastAsia="Arial" w:hAnsi="Arial"/>
          <w:sz w:val="13"/>
          <w:szCs w:val="13"/>
          <w:color w:val="auto"/>
        </w:rPr>
        <w:t>— Cash paid for interest was approximately $35 million lower in the six months ended June 30, 2008. This decline is due, in part, to a decline in</w:t>
      </w:r>
      <w:r>
        <w:rPr>
          <w:rFonts w:ascii="Arial" w:cs="Arial" w:eastAsia="Arial" w:hAnsi="Arial"/>
          <w:sz w:val="13"/>
          <w:szCs w:val="13"/>
          <w:i w:val="1"/>
          <w:iCs w:val="1"/>
          <w:color w:val="auto"/>
        </w:rPr>
        <w:t xml:space="preserve"> </w:t>
      </w:r>
      <w:r>
        <w:rPr>
          <w:rFonts w:ascii="Arial" w:cs="Arial" w:eastAsia="Arial" w:hAnsi="Arial"/>
          <w:sz w:val="13"/>
          <w:szCs w:val="13"/>
          <w:color w:val="auto"/>
        </w:rPr>
        <w:t>our weighted average borrowing rate, which can be attributed to the maturity of higher rate debt that we refinanced at lower rates and a decline in market interest rates. While we expect the decrease in interest payments associated with the decline in our weighted average borrowing rate to benefit the remainder of 2008, the decrease in cash interest payments during the first six months of 2008 is also due to the timing of scheduled interest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40"/>
        <w:spacing w:after="0" w:line="276" w:lineRule="auto"/>
        <w:rPr>
          <w:sz w:val="20"/>
          <w:szCs w:val="20"/>
          <w:color w:val="auto"/>
        </w:rPr>
      </w:pPr>
      <w:r>
        <w:rPr>
          <w:rFonts w:ascii="Arial" w:cs="Arial" w:eastAsia="Arial" w:hAnsi="Arial"/>
          <w:sz w:val="13"/>
          <w:szCs w:val="13"/>
          <w:color w:val="auto"/>
        </w:rPr>
        <w:t>payments for the $600 million of senior notes issued in March 2008. The first scheduled interest payment associated with this debt obligation is due in the third quarter of 2008.</w:t>
      </w:r>
    </w:p>
    <w:p>
      <w:pPr>
        <w:spacing w:after="0" w:line="59" w:lineRule="exact"/>
        <w:rPr>
          <w:sz w:val="20"/>
          <w:szCs w:val="20"/>
          <w:color w:val="auto"/>
        </w:rPr>
      </w:pPr>
    </w:p>
    <w:p>
      <w:pPr>
        <w:ind w:left="128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Changes in receivables — </w:t>
      </w:r>
      <w:r>
        <w:rPr>
          <w:rFonts w:ascii="Arial" w:cs="Arial" w:eastAsia="Arial" w:hAnsi="Arial"/>
          <w:sz w:val="12"/>
          <w:szCs w:val="12"/>
          <w:color w:val="auto"/>
        </w:rPr>
        <w:t>The change in our receivables for the six months ended June 30, 2008 generally reflects the impacts of the seasonal nature of our business, which</w:t>
      </w:r>
      <w:r>
        <w:rPr>
          <w:rFonts w:ascii="Arial" w:cs="Arial" w:eastAsia="Arial" w:hAnsi="Arial"/>
          <w:sz w:val="12"/>
          <w:szCs w:val="12"/>
          <w:i w:val="1"/>
          <w:iCs w:val="1"/>
          <w:color w:val="auto"/>
        </w:rPr>
        <w:t xml:space="preserve"> </w:t>
      </w:r>
      <w:r>
        <w:rPr>
          <w:rFonts w:ascii="Arial" w:cs="Arial" w:eastAsia="Arial" w:hAnsi="Arial"/>
          <w:sz w:val="12"/>
          <w:szCs w:val="12"/>
          <w:color w:val="auto"/>
        </w:rPr>
        <w:t>causes increases in trade receivables due to the higher revenues typical of the second quarter of each year. For the six months ended June 30, 2007, the impact of this general trend on cash flows from operations was more than offset by cash inflows associated with the collection of insurance, financial assurance and other receivables.</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July 2008, we received $83 million related to our investments in the synthetic fuel production facilities that provided us with Section 45K tax credits through 2007. Approximately $60 million of the cash received represents amounts that we paid to the facilities during 2006 and 2007 for which we did not ultimately realize a tax benefit, and will be reflected as an operating cash inflow in the third quarter of 2008. The remaining $23 million represents a return of our investment in the facilities, and it will be reflected as an investing cash inflow in the third quarter of 2008.</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most significant items affecting the comparison of our investing cash flows for the six-month periods ended June 30, 2008 and 2007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ind w:left="1280" w:right="20" w:hanging="190"/>
        <w:spacing w:after="0" w:line="322" w:lineRule="auto"/>
        <w:tabs>
          <w:tab w:leader="none" w:pos="1280" w:val="left"/>
        </w:tabs>
        <w:numPr>
          <w:ilvl w:val="0"/>
          <w:numId w:val="29"/>
        </w:numPr>
        <w:rPr>
          <w:rFonts w:ascii="Arial" w:cs="Arial" w:eastAsia="Arial" w:hAnsi="Arial"/>
          <w:sz w:val="11"/>
          <w:szCs w:val="11"/>
          <w:color w:val="auto"/>
        </w:rPr>
      </w:pPr>
      <w:r>
        <w:rPr>
          <w:rFonts w:ascii="Arial" w:cs="Arial" w:eastAsia="Arial" w:hAnsi="Arial"/>
          <w:sz w:val="11"/>
          <w:szCs w:val="11"/>
          <w:i w:val="1"/>
          <w:iCs w:val="1"/>
          <w:color w:val="auto"/>
        </w:rPr>
        <w:t xml:space="preserve">Acquisitions and divestitures </w:t>
      </w:r>
      <w:r>
        <w:rPr>
          <w:rFonts w:ascii="Arial" w:cs="Arial" w:eastAsia="Arial" w:hAnsi="Arial"/>
          <w:sz w:val="11"/>
          <w:szCs w:val="11"/>
          <w:color w:val="auto"/>
        </w:rPr>
        <w:t>— Proceeds from divestitures (net of cash divested) and other sales of assets were $38 million for the six months ended June 30, 2008 compared</w:t>
      </w:r>
      <w:r>
        <w:rPr>
          <w:rFonts w:ascii="Arial" w:cs="Arial" w:eastAsia="Arial" w:hAnsi="Arial"/>
          <w:sz w:val="11"/>
          <w:szCs w:val="11"/>
          <w:i w:val="1"/>
          <w:iCs w:val="1"/>
          <w:color w:val="auto"/>
        </w:rPr>
        <w:t xml:space="preserve"> </w:t>
      </w:r>
      <w:r>
        <w:rPr>
          <w:rFonts w:ascii="Arial" w:cs="Arial" w:eastAsia="Arial" w:hAnsi="Arial"/>
          <w:sz w:val="11"/>
          <w:szCs w:val="11"/>
          <w:color w:val="auto"/>
        </w:rPr>
        <w:t>with $216 million in the 2007 period. Our spending on acquisitions increased from $46 million for the six months ended June 30, 2007 to $127 million for the six months ended June 30, 2008. The decline in proceeds from divestitures and increase in acquisition spending is due to fewer under-performing businesses being for sale in 2008 and the resulting shift in focus to accretive acquisitions and other investments that will contribute to improved future results of operations and enhance and expand our existing service offerings.</w:t>
      </w:r>
    </w:p>
    <w:p>
      <w:pPr>
        <w:spacing w:after="0" w:line="28" w:lineRule="exact"/>
        <w:rPr>
          <w:rFonts w:ascii="Arial" w:cs="Arial" w:eastAsia="Arial" w:hAnsi="Arial"/>
          <w:sz w:val="11"/>
          <w:szCs w:val="11"/>
          <w:color w:val="auto"/>
        </w:rPr>
      </w:pPr>
    </w:p>
    <w:p>
      <w:pPr>
        <w:jc w:val="both"/>
        <w:ind w:left="1280" w:right="20" w:hanging="190"/>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Purchases and sales of short-term investments — </w:t>
      </w:r>
      <w:r>
        <w:rPr>
          <w:rFonts w:ascii="Arial" w:cs="Arial" w:eastAsia="Arial" w:hAnsi="Arial"/>
          <w:sz w:val="13"/>
          <w:szCs w:val="13"/>
          <w:color w:val="auto"/>
        </w:rPr>
        <w:t>Net sales of short-term investments provided $60 million of cash during the six months ended June 30, 2007, which was used to</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contribute to the funding of our common stock repurchases, dividend payments and debt repayments. We did not hold any short-term investments at December 31, 2007 or during the first half of 2008.</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The most significant items affecting the comparison of our financing cash flows for the six-month periods ended June 30, 2008 and 2007</w:t>
      </w:r>
      <w:r>
        <w:rPr>
          <w:rFonts w:ascii="Arial" w:cs="Arial" w:eastAsia="Arial" w:hAnsi="Arial"/>
          <w:sz w:val="13"/>
          <w:szCs w:val="13"/>
          <w:i w:val="1"/>
          <w:iCs w:val="1"/>
          <w:color w:val="auto"/>
        </w:rPr>
        <w:t xml:space="preserve"> </w:t>
      </w:r>
      <w:r>
        <w:rPr>
          <w:rFonts w:ascii="Arial" w:cs="Arial" w:eastAsia="Arial" w:hAnsi="Arial"/>
          <w:sz w:val="13"/>
          <w:szCs w:val="13"/>
          <w:color w:val="auto"/>
        </w:rPr>
        <w:t>are summarized below:</w:t>
      </w:r>
    </w:p>
    <w:p>
      <w:pPr>
        <w:spacing w:after="0" w:line="59" w:lineRule="exact"/>
        <w:rPr>
          <w:sz w:val="20"/>
          <w:szCs w:val="20"/>
          <w:color w:val="auto"/>
        </w:rPr>
      </w:pPr>
    </w:p>
    <w:p>
      <w:pPr>
        <w:jc w:val="both"/>
        <w:ind w:left="1280" w:right="20" w:hanging="190"/>
        <w:spacing w:after="0" w:line="264"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During the first half of 2008, we repurchased 12.2 million shares of our common stock in open market transactions for $403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$2 million of our second quarter 2008 share repurchases was paid in July 2008. We repurchased 19.6 million shares of our common stock for $686 million during the first half of 2007, of which approximately $3 million was paid in July 2007.</w:t>
      </w:r>
    </w:p>
    <w:p>
      <w:pPr>
        <w:spacing w:after="0" w:line="67" w:lineRule="exact"/>
        <w:rPr>
          <w:sz w:val="20"/>
          <w:szCs w:val="20"/>
          <w:color w:val="auto"/>
        </w:rPr>
      </w:pPr>
    </w:p>
    <w:p>
      <w:pPr>
        <w:jc w:val="both"/>
        <w:ind w:left="1280" w:right="340" w:firstLine="375"/>
        <w:spacing w:after="0" w:line="264" w:lineRule="auto"/>
        <w:rPr>
          <w:sz w:val="20"/>
          <w:szCs w:val="20"/>
          <w:color w:val="auto"/>
        </w:rPr>
      </w:pPr>
      <w:r>
        <w:rPr>
          <w:rFonts w:ascii="Arial" w:cs="Arial" w:eastAsia="Arial" w:hAnsi="Arial"/>
          <w:sz w:val="13"/>
          <w:szCs w:val="13"/>
          <w:color w:val="auto"/>
        </w:rPr>
        <w:t>We paid $266 million in aggregate cash dividends in the first and second quarters of 2008 compared with $251 million in the first and second quarters of 2007. The increase in dividend payments is due to our quarterly per share dividend increasing from $0.24 in 2007 to $0.27 in 2008, partially offset by a reduction in the number of our outstanding shares as a result of our share repurchase program.</w:t>
      </w:r>
    </w:p>
    <w:p>
      <w:pPr>
        <w:spacing w:after="0" w:line="67" w:lineRule="exact"/>
        <w:rPr>
          <w:sz w:val="20"/>
          <w:szCs w:val="20"/>
          <w:color w:val="auto"/>
        </w:rPr>
      </w:pPr>
    </w:p>
    <w:p>
      <w:pPr>
        <w:ind w:left="1280" w:right="300" w:firstLine="375"/>
        <w:spacing w:after="0" w:line="320" w:lineRule="auto"/>
        <w:rPr>
          <w:sz w:val="20"/>
          <w:szCs w:val="20"/>
          <w:color w:val="auto"/>
        </w:rPr>
      </w:pPr>
      <w:r>
        <w:rPr>
          <w:rFonts w:ascii="Arial" w:cs="Arial" w:eastAsia="Arial" w:hAnsi="Arial"/>
          <w:sz w:val="12"/>
          <w:szCs w:val="12"/>
          <w:color w:val="auto"/>
        </w:rPr>
        <w:t>Share repurchases and dividend payments during the remainder of 2008 will be made at the discretion of the Board of Directors and management, and will depend on various factors, including our net earnings, financial condition, cash required for future acquisitions and other factors the Board may deem relevant.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40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 </w:t>
      </w:r>
      <w:r>
        <w:rPr>
          <w:rFonts w:ascii="Arial" w:cs="Arial" w:eastAsia="Arial" w:hAnsi="Arial"/>
          <w:sz w:val="13"/>
          <w:szCs w:val="13"/>
          <w:color w:val="auto"/>
        </w:rPr>
        <w:t>Net debt repayments were $30 million for the first half of 2008 and net debt repayments were $137 million for the first half of 2007. The following</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summarizes our most significant cash borrowings and debt repayments made during each six-month period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78"/>
              <w:spacing w:after="0"/>
              <w:rPr>
                <w:sz w:val="20"/>
                <w:szCs w:val="20"/>
                <w:color w:val="auto"/>
              </w:rPr>
            </w:pPr>
            <w:r>
              <w:rPr>
                <w:rFonts w:ascii="Arial" w:cs="Arial" w:eastAsia="Arial" w:hAnsi="Arial"/>
                <w:sz w:val="10"/>
                <w:szCs w:val="10"/>
                <w:b w:val="1"/>
                <w:bCs w:val="1"/>
                <w:color w:val="auto"/>
                <w:w w:val="93"/>
              </w:rPr>
              <w:t>Six Months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left="178"/>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8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w:t>
            </w:r>
          </w:p>
        </w:tc>
      </w:tr>
      <w:tr>
        <w:trPr>
          <w:trHeight w:val="156"/>
        </w:trPr>
        <w:tc>
          <w:tcPr>
            <w:tcW w:w="8500" w:type="dxa"/>
            <w:vAlign w:val="bottom"/>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Revolving credit facility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(374)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(349)</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repayments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r>
      <w:tr>
        <w:trPr>
          <w:trHeight w:val="29"/>
        </w:trPr>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280" w:right="4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Proceeds and tax benefits from the exercise of options and warrants — </w:t>
      </w:r>
      <w:r>
        <w:rPr>
          <w:rFonts w:ascii="Arial" w:cs="Arial" w:eastAsia="Arial" w:hAnsi="Arial"/>
          <w:sz w:val="13"/>
          <w:szCs w:val="13"/>
          <w:color w:val="auto"/>
        </w:rPr>
        <w:t>The exercise of common stock options and warrants and the related excess tax benefits generated a total of</w:t>
      </w:r>
      <w:r>
        <w:rPr>
          <w:rFonts w:ascii="Arial" w:cs="Arial" w:eastAsia="Arial" w:hAnsi="Arial"/>
          <w:sz w:val="13"/>
          <w:szCs w:val="13"/>
          <w:i w:val="1"/>
          <w:iCs w:val="1"/>
          <w:color w:val="auto"/>
        </w:rPr>
        <w:t xml:space="preserve"> </w:t>
      </w:r>
      <w:r>
        <w:rPr>
          <w:rFonts w:ascii="Arial" w:cs="Arial" w:eastAsia="Arial" w:hAnsi="Arial"/>
          <w:sz w:val="13"/>
          <w:szCs w:val="13"/>
          <w:color w:val="auto"/>
        </w:rPr>
        <w:t>$39 million of financing cash inflows during the first half of 2008, compared with $131 million for the first half of 2007.</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Change in cash overdraft position — </w:t>
      </w:r>
      <w:r>
        <w:rPr>
          <w:rFonts w:ascii="Arial" w:cs="Arial" w:eastAsia="Arial" w:hAnsi="Arial"/>
          <w:sz w:val="13"/>
          <w:szCs w:val="13"/>
          <w:color w:val="auto"/>
        </w:rPr>
        <w:t>Changes in our cash overdraft position are reflected as “Other” financing activities in the Condensed Consolidated Statement of Cash Flows.</w:t>
      </w:r>
      <w:r>
        <w:rPr>
          <w:rFonts w:ascii="Arial" w:cs="Arial" w:eastAsia="Arial" w:hAnsi="Arial"/>
          <w:sz w:val="13"/>
          <w:szCs w:val="13"/>
          <w:i w:val="1"/>
          <w:iCs w:val="1"/>
          <w:color w:val="auto"/>
        </w:rPr>
        <w:t xml:space="preserve"> </w:t>
      </w:r>
      <w:r>
        <w:rPr>
          <w:rFonts w:ascii="Arial" w:cs="Arial" w:eastAsia="Arial" w:hAnsi="Arial"/>
          <w:sz w:val="13"/>
          <w:szCs w:val="13"/>
          <w:color w:val="auto"/>
        </w:rPr>
        <w:t>There are often significant changes in our overdraft positions at period ends, which are generally attributable to the timing of cash deposits.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7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six months ended June 30, 2008 nor are they expected to have a material impact on our future financial position, results of operations or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certain environmental remediation liabilities.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June 30, 2008. We determined that there were no changes in our internal control over financial reporting during the quarter ended June 30, 2008, that have materially affected, or are reasonably likely to materially affect, our internal control over financial reporting.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2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2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7,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8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2007 in response to Item 1A to Part I of Form 10-K.</w:t>
      </w:r>
    </w:p>
    <w:p>
      <w:pPr>
        <w:spacing w:after="0" w:line="23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Board of Directors has approved a capital allocation program that provides a maximum of $1,584 million in combined cash dividends and common stock repurchases in 2008.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of the common stock repurchases made in 2008 have been pursuant to this capital allocation program. The following table summarizes our second quarter 2008 activity:</w:t>
      </w:r>
    </w:p>
    <w:p>
      <w:pPr>
        <w:spacing w:after="0" w:line="213"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180" w:type="dxa"/>
            <w:vAlign w:val="bottom"/>
          </w:tcPr>
          <w:p>
            <w:pPr>
              <w:spacing w:after="0"/>
              <w:rPr>
                <w:sz w:val="10"/>
                <w:szCs w:val="1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8"/>
              </w:rPr>
              <w:t>Shares Purchased as</w:t>
            </w:r>
          </w:p>
        </w:tc>
        <w:tc>
          <w:tcPr>
            <w:tcW w:w="180" w:type="dxa"/>
            <w:vAlign w:val="bottom"/>
          </w:tcPr>
          <w:p>
            <w:pPr>
              <w:spacing w:after="0"/>
              <w:rPr>
                <w:sz w:val="9"/>
                <w:szCs w:val="9"/>
                <w:color w:val="auto"/>
              </w:rPr>
            </w:pPr>
          </w:p>
        </w:tc>
        <w:tc>
          <w:tcPr>
            <w:tcW w:w="16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4"/>
              </w:rPr>
              <w:t>Dollar Value of Shares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80" w:type="dxa"/>
            <w:vAlign w:val="bottom"/>
          </w:tcPr>
          <w:p>
            <w:pPr>
              <w:spacing w:after="0"/>
              <w:rPr>
                <w:sz w:val="9"/>
                <w:szCs w:val="9"/>
                <w:color w:val="auto"/>
              </w:rPr>
            </w:pPr>
          </w:p>
        </w:tc>
        <w:tc>
          <w:tcPr>
            <w:tcW w:w="16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that May yet be</w:t>
            </w:r>
          </w:p>
        </w:tc>
        <w:tc>
          <w:tcPr>
            <w:tcW w:w="0" w:type="dxa"/>
            <w:vAlign w:val="bottom"/>
          </w:tcPr>
          <w:p>
            <w:pPr>
              <w:spacing w:after="0"/>
              <w:rPr>
                <w:sz w:val="1"/>
                <w:szCs w:val="1"/>
                <w:color w:val="auto"/>
              </w:rPr>
            </w:pPr>
          </w:p>
        </w:tc>
      </w:tr>
      <w:tr>
        <w:trPr>
          <w:trHeight w:val="118"/>
        </w:trPr>
        <w:tc>
          <w:tcPr>
            <w:tcW w:w="41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1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Price Paid</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Announced Plans or</w:t>
            </w:r>
          </w:p>
        </w:tc>
        <w:tc>
          <w:tcPr>
            <w:tcW w:w="180" w:type="dxa"/>
            <w:vAlign w:val="bottom"/>
          </w:tcPr>
          <w:p>
            <w:pPr>
              <w:spacing w:after="0"/>
              <w:rPr>
                <w:sz w:val="10"/>
                <w:szCs w:val="1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4100" w:type="dxa"/>
            <w:vAlign w:val="bottom"/>
            <w:gridSpan w:val="2"/>
            <w:vMerge w:val="continue"/>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Share(a)</w:t>
            </w: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Programs</w:t>
            </w:r>
          </w:p>
        </w:tc>
        <w:tc>
          <w:tcPr>
            <w:tcW w:w="180" w:type="dxa"/>
            <w:vAlign w:val="bottom"/>
          </w:tcPr>
          <w:p>
            <w:pPr>
              <w:spacing w:after="0"/>
              <w:rPr>
                <w:sz w:val="10"/>
                <w:szCs w:val="1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1 — 30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2,311,600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34.85</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2,311,600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945 Million</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May 1 — 31</w:t>
            </w:r>
          </w:p>
        </w:tc>
        <w:tc>
          <w:tcPr>
            <w:tcW w:w="720" w:type="dxa"/>
            <w:vAlign w:val="bottom"/>
          </w:tcPr>
          <w:p>
            <w:pPr>
              <w:jc w:val="right"/>
              <w:spacing w:after="0"/>
              <w:rPr>
                <w:sz w:val="20"/>
                <w:szCs w:val="20"/>
                <w:color w:val="auto"/>
              </w:rPr>
            </w:pPr>
            <w:r>
              <w:rPr>
                <w:rFonts w:ascii="Arial" w:cs="Arial" w:eastAsia="Arial" w:hAnsi="Arial"/>
                <w:sz w:val="13"/>
                <w:szCs w:val="13"/>
                <w:color w:val="auto"/>
              </w:rPr>
              <w:t>595,000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36.92</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595,000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ind w:left="880"/>
              <w:spacing w:after="0"/>
              <w:rPr>
                <w:sz w:val="20"/>
                <w:szCs w:val="20"/>
                <w:color w:val="auto"/>
              </w:rPr>
            </w:pPr>
            <w:r>
              <w:rPr>
                <w:rFonts w:ascii="Arial" w:cs="Arial" w:eastAsia="Arial" w:hAnsi="Arial"/>
                <w:sz w:val="13"/>
                <w:szCs w:val="13"/>
                <w:color w:val="auto"/>
              </w:rPr>
              <w:t>923 Million</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1 — 30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210,418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37.93</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210,418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915 Million</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35.46</w:t>
            </w: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00" w:type="dxa"/>
            <w:vAlign w:val="bottom"/>
            <w:gridSpan w:val="2"/>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3,117,018</w:t>
            </w:r>
          </w:p>
        </w:tc>
        <w:tc>
          <w:tcPr>
            <w:tcW w:w="4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3,117,018</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080" w:hanging="393"/>
        <w:spacing w:after="0" w:line="260" w:lineRule="auto"/>
        <w:tabs>
          <w:tab w:leader="none" w:pos="10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net of the $266 million of dividends declared and paid in 2008. However, this amount does not include the impact of dividend payments we expect to make throughout the remainder of 2008 as a result of future dividend declarations. The approximate maximum dollar value of shares that may yet be purchased under the program is not necessarily an indication of the amount we intend to repurchase during the remainder of the year.</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held our 2008 Annual Meeting of Stockholders on May 9, 2008 in Houston, Texas. A total of 445,525,934 shares of common stock, which is approximately 90% of the common stock outstanding at that time, were represented either in person or by proxy. The following information summarizes the results of the vote on matters submitted at the 2008 Annual Meeting of Stockholders.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20" w:hanging="134"/>
        <w:spacing w:after="0"/>
        <w:tabs>
          <w:tab w:leader="none" w:pos="122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The nine directors listed below were elected until their successors are duly elected and qualified: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3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irectors</w:t>
            </w:r>
          </w:p>
        </w:tc>
        <w:tc>
          <w:tcPr>
            <w:tcW w:w="1500" w:type="dxa"/>
            <w:vAlign w:val="bottom"/>
            <w:gridSpan w:val="2"/>
          </w:tcPr>
          <w:p>
            <w:pPr>
              <w:jc w:val="right"/>
              <w:ind w:right="860"/>
              <w:spacing w:after="0"/>
              <w:rPr>
                <w:sz w:val="20"/>
                <w:szCs w:val="20"/>
                <w:color w:val="auto"/>
              </w:rPr>
            </w:pPr>
            <w:r>
              <w:rPr>
                <w:rFonts w:ascii="Arial" w:cs="Arial" w:eastAsia="Arial" w:hAnsi="Arial"/>
                <w:sz w:val="10"/>
                <w:szCs w:val="10"/>
                <w:b w:val="1"/>
                <w:bCs w:val="1"/>
                <w:color w:val="auto"/>
              </w:rPr>
              <w:t>For</w:t>
            </w:r>
          </w:p>
        </w:tc>
        <w:tc>
          <w:tcPr>
            <w:tcW w:w="1280" w:type="dxa"/>
            <w:vAlign w:val="bottom"/>
            <w:gridSpan w:val="2"/>
          </w:tcPr>
          <w:p>
            <w:pPr>
              <w:ind w:left="280"/>
              <w:spacing w:after="0"/>
              <w:rPr>
                <w:sz w:val="20"/>
                <w:szCs w:val="20"/>
                <w:color w:val="auto"/>
              </w:rPr>
            </w:pPr>
            <w:r>
              <w:rPr>
                <w:rFonts w:ascii="Arial" w:cs="Arial" w:eastAsia="Arial" w:hAnsi="Arial"/>
                <w:sz w:val="10"/>
                <w:szCs w:val="10"/>
                <w:b w:val="1"/>
                <w:bCs w:val="1"/>
                <w:color w:val="auto"/>
              </w:rPr>
              <w:t>Against</w:t>
            </w:r>
          </w:p>
        </w:tc>
        <w:tc>
          <w:tcPr>
            <w:tcW w:w="9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Abstain</w:t>
            </w:r>
          </w:p>
        </w:tc>
      </w:tr>
      <w:tr>
        <w:trPr>
          <w:trHeight w:val="29"/>
        </w:trPr>
        <w:tc>
          <w:tcPr>
            <w:tcW w:w="63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Pastora San Juan Cafferty</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436,036,001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5,250,059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4,239,874</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Frank M. Clark, Jr.</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438,800,094</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2,385,674</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4,339,977</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Patrick W. Gross</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418,271,732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22,845,631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4,408,381</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Thomas I. Morgan</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438,511,895</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2,684,325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4,329,313</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John C. Pope</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434,347,788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6,996,245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4,181,500</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W. Robert Reum</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438,752,197</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2,443,046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4,330,290</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Steven G. Rothmeier</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434,703,053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6,503,612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4,318,869</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David P. Steiner</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436,666,622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4,672,995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4,186,127</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Thomas H. Weidemeyer</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438,851,306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2,505,647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4,168,581</w:t>
            </w:r>
          </w:p>
        </w:tc>
      </w:tr>
    </w:tbl>
    <w:p>
      <w:pPr>
        <w:spacing w:after="0" w:line="80" w:lineRule="exact"/>
        <w:rPr>
          <w:sz w:val="20"/>
          <w:szCs w:val="20"/>
          <w:color w:val="auto"/>
        </w:rPr>
      </w:pPr>
    </w:p>
    <w:p>
      <w:pPr>
        <w:ind w:left="1220" w:hanging="134"/>
        <w:spacing w:after="0"/>
        <w:tabs>
          <w:tab w:leader="none" w:pos="122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The appointment of Ernst &amp; Young LLP as the Company’s Independent Registered Public Accounting Firm was ratified:</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135"/>
        </w:trPr>
        <w:tc>
          <w:tcPr>
            <w:tcW w:w="4520" w:type="dxa"/>
            <w:vAlign w:val="bottom"/>
          </w:tcPr>
          <w:p>
            <w:pPr>
              <w:jc w:val="right"/>
              <w:ind w:right="4041"/>
              <w:spacing w:after="0"/>
              <w:rPr>
                <w:sz w:val="20"/>
                <w:szCs w:val="20"/>
                <w:color w:val="auto"/>
              </w:rPr>
            </w:pPr>
            <w:r>
              <w:rPr>
                <w:rFonts w:ascii="Arial" w:cs="Arial" w:eastAsia="Arial" w:hAnsi="Arial"/>
                <w:sz w:val="10"/>
                <w:szCs w:val="10"/>
                <w:b w:val="1"/>
                <w:bCs w:val="1"/>
                <w:color w:val="auto"/>
              </w:rPr>
              <w:t>For</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3700" w:type="dxa"/>
            <w:vAlign w:val="bottom"/>
          </w:tcPr>
          <w:p>
            <w:pPr>
              <w:spacing w:after="0"/>
              <w:rPr>
                <w:sz w:val="11"/>
                <w:szCs w:val="1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Abstain</w:t>
            </w:r>
          </w:p>
        </w:tc>
      </w:tr>
      <w:tr>
        <w:trPr>
          <w:trHeight w:val="185"/>
        </w:trPr>
        <w:tc>
          <w:tcPr>
            <w:tcW w:w="4520" w:type="dxa"/>
            <w:vAlign w:val="bottom"/>
          </w:tcPr>
          <w:p>
            <w:pPr>
              <w:jc w:val="right"/>
              <w:ind w:right="3821"/>
              <w:spacing w:after="0"/>
              <w:rPr>
                <w:sz w:val="20"/>
                <w:szCs w:val="20"/>
                <w:color w:val="auto"/>
              </w:rPr>
            </w:pPr>
            <w:r>
              <w:rPr>
                <w:rFonts w:ascii="Arial" w:cs="Arial" w:eastAsia="Arial" w:hAnsi="Arial"/>
                <w:sz w:val="13"/>
                <w:szCs w:val="13"/>
                <w:color w:val="auto"/>
                <w:w w:val="85"/>
              </w:rPr>
              <w:t>440,808,567</w:t>
            </w:r>
          </w:p>
        </w:tc>
        <w:tc>
          <w:tcPr>
            <w:tcW w:w="660" w:type="dxa"/>
            <w:vAlign w:val="bottom"/>
          </w:tcPr>
          <w:p>
            <w:pPr>
              <w:jc w:val="right"/>
              <w:ind w:right="61"/>
              <w:spacing w:after="0"/>
              <w:rPr>
                <w:sz w:val="20"/>
                <w:szCs w:val="20"/>
                <w:color w:val="auto"/>
              </w:rPr>
            </w:pPr>
            <w:r>
              <w:rPr>
                <w:rFonts w:ascii="Arial" w:cs="Arial" w:eastAsia="Arial" w:hAnsi="Arial"/>
                <w:sz w:val="13"/>
                <w:szCs w:val="13"/>
                <w:color w:val="auto"/>
              </w:rPr>
              <w:t>816,891</w:t>
            </w:r>
          </w:p>
        </w:tc>
        <w:tc>
          <w:tcPr>
            <w:tcW w:w="4580" w:type="dxa"/>
            <w:vAlign w:val="bottom"/>
            <w:gridSpan w:val="2"/>
          </w:tcPr>
          <w:p>
            <w:pPr>
              <w:jc w:val="right"/>
              <w:spacing w:after="0"/>
              <w:rPr>
                <w:sz w:val="20"/>
                <w:szCs w:val="20"/>
                <w:color w:val="auto"/>
              </w:rPr>
            </w:pPr>
            <w:r>
              <w:rPr>
                <w:rFonts w:ascii="Arial" w:cs="Arial" w:eastAsia="Arial" w:hAnsi="Arial"/>
                <w:sz w:val="13"/>
                <w:szCs w:val="13"/>
                <w:color w:val="auto"/>
              </w:rPr>
              <w:t>3,900,475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-129540</wp:posOffset>
            </wp:positionV>
            <wp:extent cx="63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w:t>
      </w:r>
      <w:r>
        <w:rPr>
          <w:rFonts w:ascii="Arial" w:cs="Arial" w:eastAsia="Arial" w:hAnsi="Arial"/>
          <w:sz w:val="13"/>
          <w:szCs w:val="13"/>
          <w:i w:val="1"/>
          <w:iCs w:val="1"/>
          <w:color w:val="auto"/>
        </w:rPr>
        <w:t>. Stockholder’s proposal relating to disclosure of political contributions: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300" w:type="dxa"/>
            <w:vAlign w:val="bottom"/>
          </w:tcPr>
          <w:p>
            <w:pPr>
              <w:ind w:left="1060"/>
              <w:spacing w:after="0"/>
              <w:rPr>
                <w:sz w:val="20"/>
                <w:szCs w:val="20"/>
                <w:color w:val="auto"/>
              </w:rPr>
            </w:pPr>
            <w:r>
              <w:rPr>
                <w:rFonts w:ascii="Arial" w:cs="Arial" w:eastAsia="Arial" w:hAnsi="Arial"/>
                <w:sz w:val="10"/>
                <w:szCs w:val="10"/>
                <w:b w:val="1"/>
                <w:bCs w:val="1"/>
                <w:color w:val="auto"/>
              </w:rPr>
              <w:t>For</w:t>
            </w:r>
          </w:p>
        </w:tc>
        <w:tc>
          <w:tcPr>
            <w:tcW w:w="402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3700" w:type="dxa"/>
            <w:vAlign w:val="bottom"/>
            <w:gridSpan w:val="3"/>
          </w:tcPr>
          <w:p>
            <w:pPr>
              <w:spacing w:after="0"/>
              <w:rPr>
                <w:sz w:val="11"/>
                <w:szCs w:val="11"/>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Abstain</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320" w:type="dxa"/>
            <w:vAlign w:val="bottom"/>
            <w:gridSpan w:val="2"/>
          </w:tcPr>
          <w:p>
            <w:pPr>
              <w:ind w:left="860"/>
              <w:spacing w:after="0"/>
              <w:rPr>
                <w:sz w:val="20"/>
                <w:szCs w:val="20"/>
                <w:color w:val="auto"/>
              </w:rPr>
            </w:pPr>
            <w:r>
              <w:rPr>
                <w:rFonts w:ascii="Arial" w:cs="Arial" w:eastAsia="Arial" w:hAnsi="Arial"/>
                <w:sz w:val="13"/>
                <w:szCs w:val="13"/>
                <w:color w:val="auto"/>
              </w:rPr>
              <w:t>97,744,089</w:t>
            </w:r>
          </w:p>
        </w:tc>
        <w:tc>
          <w:tcPr>
            <w:tcW w:w="660" w:type="dxa"/>
            <w:vAlign w:val="bottom"/>
          </w:tcPr>
          <w:p>
            <w:pPr>
              <w:jc w:val="right"/>
              <w:spacing w:after="0"/>
              <w:rPr>
                <w:sz w:val="20"/>
                <w:szCs w:val="20"/>
                <w:color w:val="auto"/>
              </w:rPr>
            </w:pPr>
            <w:r>
              <w:rPr>
                <w:rFonts w:ascii="Arial" w:cs="Arial" w:eastAsia="Arial" w:hAnsi="Arial"/>
                <w:sz w:val="13"/>
                <w:szCs w:val="13"/>
                <w:color w:val="auto"/>
                <w:w w:val="88"/>
              </w:rPr>
              <w:t>234,734,553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3"/>
                <w:szCs w:val="13"/>
                <w:color w:val="auto"/>
              </w:rPr>
              <w:t>59,231,096</w:t>
            </w:r>
          </w:p>
        </w:tc>
        <w:tc>
          <w:tcPr>
            <w:tcW w:w="0" w:type="dxa"/>
            <w:vAlign w:val="bottom"/>
          </w:tcPr>
          <w:p>
            <w:pPr>
              <w:spacing w:after="0"/>
              <w:rPr>
                <w:sz w:val="1"/>
                <w:szCs w:val="1"/>
                <w:color w:val="auto"/>
              </w:rPr>
            </w:pPr>
          </w:p>
        </w:tc>
      </w:tr>
      <w:tr>
        <w:trPr>
          <w:trHeight w:val="324"/>
        </w:trPr>
        <w:tc>
          <w:tcPr>
            <w:tcW w:w="1300" w:type="dxa"/>
            <w:vAlign w:val="bottom"/>
          </w:tcPr>
          <w:p>
            <w:pPr>
              <w:ind w:left="680"/>
              <w:spacing w:after="0"/>
              <w:rPr>
                <w:sz w:val="20"/>
                <w:szCs w:val="20"/>
                <w:color w:val="auto"/>
              </w:rPr>
            </w:pPr>
            <w:r>
              <w:rPr>
                <w:rFonts w:ascii="Arial" w:cs="Arial" w:eastAsia="Arial" w:hAnsi="Arial"/>
                <w:sz w:val="13"/>
                <w:szCs w:val="13"/>
                <w:b w:val="1"/>
                <w:bCs w:val="1"/>
                <w:color w:val="auto"/>
              </w:rPr>
              <w:t>Item 6.</w:t>
            </w:r>
          </w:p>
        </w:tc>
        <w:tc>
          <w:tcPr>
            <w:tcW w:w="40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Exhibits.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00" w:type="dxa"/>
            <w:vAlign w:val="bottom"/>
          </w:tcPr>
          <w:p>
            <w:pPr>
              <w:ind w:left="780"/>
              <w:spacing w:after="0"/>
              <w:rPr>
                <w:sz w:val="20"/>
                <w:szCs w:val="20"/>
                <w:color w:val="auto"/>
              </w:rPr>
            </w:pPr>
            <w:r>
              <w:rPr>
                <w:rFonts w:ascii="Arial" w:cs="Arial" w:eastAsia="Arial" w:hAnsi="Arial"/>
                <w:sz w:val="10"/>
                <w:szCs w:val="10"/>
                <w:b w:val="1"/>
                <w:bCs w:val="1"/>
                <w:color w:val="auto"/>
              </w:rPr>
              <w:t>Exhibit</w:t>
            </w:r>
          </w:p>
        </w:tc>
        <w:tc>
          <w:tcPr>
            <w:tcW w:w="4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960"/>
              <w:spacing w:after="0"/>
              <w:rPr>
                <w:sz w:val="20"/>
                <w:szCs w:val="20"/>
                <w:color w:val="auto"/>
              </w:rPr>
            </w:pPr>
            <w:r>
              <w:rPr>
                <w:rFonts w:ascii="Arial" w:cs="Arial" w:eastAsia="Arial" w:hAnsi="Arial"/>
                <w:sz w:val="10"/>
                <w:szCs w:val="10"/>
                <w:b w:val="1"/>
                <w:bCs w:val="1"/>
                <w:color w:val="auto"/>
              </w:rPr>
              <w:t>No.</w:t>
            </w:r>
          </w:p>
        </w:tc>
        <w:tc>
          <w:tcPr>
            <w:tcW w:w="4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300" w:type="dxa"/>
            <w:vAlign w:val="bottom"/>
          </w:tcPr>
          <w:p>
            <w:pPr>
              <w:ind w:left="900"/>
              <w:spacing w:after="0"/>
              <w:rPr>
                <w:sz w:val="20"/>
                <w:szCs w:val="20"/>
                <w:color w:val="auto"/>
              </w:rPr>
            </w:pPr>
            <w:r>
              <w:rPr>
                <w:rFonts w:ascii="Arial" w:cs="Arial" w:eastAsia="Arial" w:hAnsi="Arial"/>
                <w:sz w:val="13"/>
                <w:szCs w:val="13"/>
                <w:color w:val="auto"/>
              </w:rPr>
              <w:t>12</w:t>
            </w:r>
          </w:p>
        </w:tc>
        <w:tc>
          <w:tcPr>
            <w:tcW w:w="4020" w:type="dxa"/>
            <w:vAlign w:val="bottom"/>
          </w:tcPr>
          <w:p>
            <w:pPr>
              <w:ind w:left="80"/>
              <w:spacing w:after="0"/>
              <w:rPr>
                <w:sz w:val="20"/>
                <w:szCs w:val="20"/>
                <w:color w:val="auto"/>
              </w:rPr>
            </w:pPr>
            <w:r>
              <w:rPr>
                <w:rFonts w:ascii="Arial" w:cs="Arial" w:eastAsia="Arial" w:hAnsi="Arial"/>
                <w:sz w:val="13"/>
                <w:szCs w:val="13"/>
                <w:color w:val="auto"/>
              </w:rPr>
              <w:t>—  Computation of Ratio of Earnings to Fixed Charges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900"/>
              <w:spacing w:after="0"/>
              <w:rPr>
                <w:sz w:val="20"/>
                <w:szCs w:val="20"/>
                <w:color w:val="auto"/>
              </w:rPr>
            </w:pPr>
            <w:r>
              <w:rPr>
                <w:rFonts w:ascii="Arial" w:cs="Arial" w:eastAsia="Arial" w:hAnsi="Arial"/>
                <w:sz w:val="13"/>
                <w:szCs w:val="13"/>
                <w:color w:val="auto"/>
              </w:rPr>
              <w:t>31.1</w:t>
            </w:r>
          </w:p>
        </w:tc>
        <w:tc>
          <w:tcPr>
            <w:tcW w:w="8380" w:type="dxa"/>
            <w:vAlign w:val="bottom"/>
            <w:gridSpan w:val="5"/>
          </w:tcPr>
          <w:p>
            <w:pPr>
              <w:ind w:left="80"/>
              <w:spacing w:after="0"/>
              <w:rPr>
                <w:sz w:val="20"/>
                <w:szCs w:val="20"/>
                <w:color w:val="auto"/>
              </w:rPr>
            </w:pPr>
            <w:r>
              <w:rPr>
                <w:rFonts w:ascii="Arial" w:cs="Arial" w:eastAsia="Arial" w:hAnsi="Arial"/>
                <w:sz w:val="13"/>
                <w:szCs w:val="13"/>
                <w:color w:val="auto"/>
                <w:w w:val="97"/>
              </w:rPr>
              <w:t>—  Certification Pursuant to Rule 15d — 14(a) under the Securities Exchange Act of 1934, as amended, of David P. Steiner, Chief Executive Officer</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900"/>
              <w:spacing w:after="0"/>
              <w:rPr>
                <w:sz w:val="20"/>
                <w:szCs w:val="20"/>
                <w:color w:val="auto"/>
              </w:rPr>
            </w:pPr>
            <w:r>
              <w:rPr>
                <w:rFonts w:ascii="Arial" w:cs="Arial" w:eastAsia="Arial" w:hAnsi="Arial"/>
                <w:sz w:val="13"/>
                <w:szCs w:val="13"/>
                <w:color w:val="auto"/>
              </w:rPr>
              <w:t>31.2</w:t>
            </w:r>
          </w:p>
        </w:tc>
        <w:tc>
          <w:tcPr>
            <w:tcW w:w="10160" w:type="dxa"/>
            <w:vAlign w:val="bottom"/>
            <w:gridSpan w:val="7"/>
          </w:tcPr>
          <w:p>
            <w:pPr>
              <w:ind w:left="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4020" w:type="dxa"/>
            <w:vAlign w:val="bottom"/>
          </w:tcPr>
          <w:p>
            <w:pPr>
              <w:ind w:left="320"/>
              <w:spacing w:after="0"/>
              <w:rPr>
                <w:sz w:val="20"/>
                <w:szCs w:val="20"/>
                <w:color w:val="auto"/>
              </w:rPr>
            </w:pPr>
            <w:r>
              <w:rPr>
                <w:rFonts w:ascii="Arial" w:cs="Arial" w:eastAsia="Arial" w:hAnsi="Arial"/>
                <w:sz w:val="13"/>
                <w:szCs w:val="13"/>
                <w:color w:val="auto"/>
              </w:rPr>
              <w:t>Officer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900"/>
              <w:spacing w:after="0"/>
              <w:rPr>
                <w:sz w:val="20"/>
                <w:szCs w:val="20"/>
                <w:color w:val="auto"/>
              </w:rPr>
            </w:pPr>
            <w:r>
              <w:rPr>
                <w:rFonts w:ascii="Arial" w:cs="Arial" w:eastAsia="Arial" w:hAnsi="Arial"/>
                <w:sz w:val="13"/>
                <w:szCs w:val="13"/>
                <w:color w:val="auto"/>
              </w:rPr>
              <w:t>32.1</w:t>
            </w:r>
          </w:p>
        </w:tc>
        <w:tc>
          <w:tcPr>
            <w:tcW w:w="8380" w:type="dxa"/>
            <w:vAlign w:val="bottom"/>
            <w:gridSpan w:val="5"/>
          </w:tcPr>
          <w:p>
            <w:pPr>
              <w:ind w:left="8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00" w:type="dxa"/>
            <w:vAlign w:val="bottom"/>
          </w:tcPr>
          <w:p>
            <w:pPr>
              <w:ind w:left="900"/>
              <w:spacing w:after="0"/>
              <w:rPr>
                <w:sz w:val="20"/>
                <w:szCs w:val="20"/>
                <w:color w:val="auto"/>
              </w:rPr>
            </w:pPr>
            <w:r>
              <w:rPr>
                <w:rFonts w:ascii="Arial" w:cs="Arial" w:eastAsia="Arial" w:hAnsi="Arial"/>
                <w:sz w:val="13"/>
                <w:szCs w:val="13"/>
                <w:color w:val="auto"/>
              </w:rPr>
              <w:t>32.2</w:t>
            </w:r>
          </w:p>
        </w:tc>
        <w:tc>
          <w:tcPr>
            <w:tcW w:w="8380" w:type="dxa"/>
            <w:vAlign w:val="bottom"/>
            <w:gridSpan w:val="5"/>
          </w:tcPr>
          <w:p>
            <w:pPr>
              <w:ind w:left="8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tcPr>
          <w:p>
            <w:pPr>
              <w:jc w:val="right"/>
              <w:ind w:right="179"/>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0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-1575435</wp:posOffset>
            </wp:positionV>
            <wp:extent cx="63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gridSpan w:val="2"/>
          </w:tcPr>
          <w:p>
            <w:pPr>
              <w:ind w:left="680"/>
              <w:spacing w:after="0"/>
              <w:rPr>
                <w:sz w:val="20"/>
                <w:szCs w:val="20"/>
                <w:color w:val="auto"/>
              </w:rPr>
            </w:pPr>
            <w:r>
              <w:rPr>
                <w:rFonts w:ascii="Arial" w:cs="Arial" w:eastAsia="Arial" w:hAnsi="Arial"/>
                <w:sz w:val="13"/>
                <w:szCs w:val="13"/>
                <w:color w:val="auto"/>
              </w:rPr>
              <w:t>authorized.</w:t>
            </w: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74"/>
        </w:trPr>
        <w:tc>
          <w:tcPr>
            <w:tcW w:w="7320" w:type="dxa"/>
            <w:vAlign w:val="bottom"/>
            <w:gridSpan w:val="2"/>
          </w:tcPr>
          <w:p>
            <w:pPr>
              <w:ind w:left="5580"/>
              <w:spacing w:after="0"/>
              <w:rPr>
                <w:sz w:val="20"/>
                <w:szCs w:val="20"/>
                <w:color w:val="auto"/>
              </w:rPr>
            </w:pPr>
            <w:r>
              <w:rPr>
                <w:rFonts w:ascii="Arial" w:cs="Arial" w:eastAsia="Arial" w:hAnsi="Arial"/>
                <w:sz w:val="13"/>
                <w:szCs w:val="13"/>
                <w:color w:val="auto"/>
                <w:w w:val="97"/>
              </w:rPr>
              <w:t>WASTE MANAGEMENT, INC.</w:t>
            </w: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7"/>
        </w:trPr>
        <w:tc>
          <w:tcPr>
            <w:tcW w:w="732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220" w:type="dxa"/>
            <w:vAlign w:val="bottom"/>
            <w:gridSpan w:val="2"/>
          </w:tcPr>
          <w:p>
            <w:pPr>
              <w:jc w:val="center"/>
              <w:ind w:right="2240"/>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9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gridSpan w:val="2"/>
          </w:tcPr>
          <w:p>
            <w:pPr>
              <w:jc w:val="center"/>
              <w:ind w:right="2220"/>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20" w:type="dxa"/>
            <w:vAlign w:val="bottom"/>
            <w:gridSpan w:val="2"/>
          </w:tcPr>
          <w:p>
            <w:pPr>
              <w:jc w:val="center"/>
              <w:ind w:right="2220"/>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7320" w:type="dxa"/>
            <w:vAlign w:val="bottom"/>
            <w:gridSpan w:val="2"/>
          </w:tcPr>
          <w:p>
            <w:pPr>
              <w:ind w:left="5580"/>
              <w:spacing w:after="0"/>
              <w:rPr>
                <w:sz w:val="20"/>
                <w:szCs w:val="20"/>
                <w:color w:val="auto"/>
              </w:rPr>
            </w:pPr>
            <w:r>
              <w:rPr>
                <w:rFonts w:ascii="Arial" w:cs="Arial" w:eastAsia="Arial" w:hAnsi="Arial"/>
                <w:sz w:val="13"/>
                <w:szCs w:val="13"/>
                <w:color w:val="auto"/>
                <w:w w:val="97"/>
              </w:rPr>
              <w:t>WASTE MANAGEMENT, INC.</w:t>
            </w: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2"/>
        </w:trPr>
        <w:tc>
          <w:tcPr>
            <w:tcW w:w="732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220" w:type="dxa"/>
            <w:vAlign w:val="bottom"/>
            <w:gridSpan w:val="2"/>
          </w:tcPr>
          <w:p>
            <w:pPr>
              <w:jc w:val="center"/>
              <w:ind w:right="2220"/>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9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gridSpan w:val="2"/>
          </w:tcPr>
          <w:p>
            <w:pPr>
              <w:jc w:val="center"/>
              <w:ind w:right="2220"/>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20" w:type="dxa"/>
            <w:vAlign w:val="bottom"/>
            <w:gridSpan w:val="2"/>
          </w:tcPr>
          <w:p>
            <w:pPr>
              <w:jc w:val="center"/>
              <w:ind w:right="2600"/>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20" w:type="dxa"/>
            <w:vAlign w:val="bottom"/>
            <w:gridSpan w:val="2"/>
          </w:tcPr>
          <w:p>
            <w:pPr>
              <w:jc w:val="center"/>
              <w:ind w:right="2620"/>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20" w:type="dxa"/>
            <w:vAlign w:val="bottom"/>
            <w:gridSpan w:val="2"/>
          </w:tcPr>
          <w:p>
            <w:pPr>
              <w:jc w:val="center"/>
              <w:ind w:right="2620"/>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7320" w:type="dxa"/>
            <w:vAlign w:val="bottom"/>
            <w:gridSpan w:val="2"/>
          </w:tcPr>
          <w:p>
            <w:pPr>
              <w:ind w:left="680"/>
              <w:spacing w:after="0"/>
              <w:rPr>
                <w:sz w:val="20"/>
                <w:szCs w:val="20"/>
                <w:color w:val="auto"/>
              </w:rPr>
            </w:pPr>
            <w:r>
              <w:rPr>
                <w:rFonts w:ascii="Arial" w:cs="Arial" w:eastAsia="Arial" w:hAnsi="Arial"/>
                <w:sz w:val="13"/>
                <w:szCs w:val="13"/>
                <w:color w:val="auto"/>
              </w:rPr>
              <w:t>Date: July 29, 2008</w:t>
            </w: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980" w:type="dxa"/>
            <w:vAlign w:val="bottom"/>
          </w:tcPr>
          <w:p>
            <w:pPr>
              <w:ind w:left="5620"/>
              <w:spacing w:after="0"/>
              <w:rPr>
                <w:sz w:val="20"/>
                <w:szCs w:val="20"/>
                <w:color w:val="auto"/>
              </w:rPr>
            </w:pPr>
            <w:r>
              <w:rPr>
                <w:rFonts w:ascii="Arial" w:cs="Arial" w:eastAsia="Arial" w:hAnsi="Arial"/>
                <w:sz w:val="13"/>
                <w:szCs w:val="13"/>
                <w:color w:val="auto"/>
              </w:rPr>
              <w:t>44</w:t>
            </w:r>
          </w:p>
        </w:tc>
        <w:tc>
          <w:tcPr>
            <w:tcW w:w="1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900" w:type="dxa"/>
            <w:vAlign w:val="bottom"/>
            <w:gridSpan w:val="3"/>
          </w:tcPr>
          <w:p>
            <w:pPr>
              <w:ind w:left="17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4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480" w:type="dxa"/>
            <w:vAlign w:val="bottom"/>
          </w:tcPr>
          <w:p>
            <w:pPr>
              <w:ind w:left="180"/>
              <w:spacing w:after="0"/>
              <w:rPr>
                <w:sz w:val="20"/>
                <w:szCs w:val="20"/>
                <w:color w:val="auto"/>
              </w:rPr>
            </w:pPr>
            <w:r>
              <w:rPr>
                <w:rFonts w:ascii="Arial" w:cs="Arial" w:eastAsia="Arial" w:hAnsi="Arial"/>
                <w:sz w:val="10"/>
                <w:szCs w:val="10"/>
                <w:b w:val="1"/>
                <w:bCs w:val="1"/>
                <w:color w:val="auto"/>
              </w:rPr>
              <w:t>No.</w:t>
            </w: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80" w:type="dxa"/>
            <w:vAlign w:val="bottom"/>
          </w:tcPr>
          <w:p>
            <w:pPr>
              <w:ind w:left="120"/>
              <w:spacing w:after="0"/>
              <w:rPr>
                <w:sz w:val="20"/>
                <w:szCs w:val="20"/>
                <w:color w:val="auto"/>
              </w:rPr>
            </w:pPr>
            <w:r>
              <w:rPr>
                <w:rFonts w:ascii="Arial" w:cs="Arial" w:eastAsia="Arial" w:hAnsi="Arial"/>
                <w:sz w:val="13"/>
                <w:szCs w:val="13"/>
                <w:color w:val="auto"/>
              </w:rPr>
              <w:t>12</w:t>
            </w:r>
          </w:p>
        </w:tc>
        <w:tc>
          <w:tcPr>
            <w:tcW w:w="4840" w:type="dxa"/>
            <w:vAlign w:val="bottom"/>
            <w:gridSpan w:val="3"/>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31.1</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31.2</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w w:val="90"/>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1820" w:type="dxa"/>
            <w:vAlign w:val="bottom"/>
          </w:tcPr>
          <w:p>
            <w:pPr>
              <w:ind w:left="36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Arial" w:cs="Arial" w:eastAsia="Arial" w:hAnsi="Arial"/>
                <w:sz w:val="13"/>
                <w:szCs w:val="13"/>
                <w:color w:val="auto"/>
              </w:rPr>
              <w:t>32.1</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480" w:type="dxa"/>
            <w:vAlign w:val="bottom"/>
          </w:tcPr>
          <w:p>
            <w:pPr>
              <w:ind w:left="120"/>
              <w:spacing w:after="0"/>
              <w:rPr>
                <w:sz w:val="20"/>
                <w:szCs w:val="20"/>
                <w:color w:val="auto"/>
              </w:rPr>
            </w:pPr>
            <w:r>
              <w:rPr>
                <w:rFonts w:ascii="Arial" w:cs="Arial" w:eastAsia="Arial" w:hAnsi="Arial"/>
                <w:sz w:val="13"/>
                <w:szCs w:val="13"/>
                <w:color w:val="auto"/>
              </w:rPr>
              <w:t>32.2</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320"/>
          </w:cols>
          <w:pgMar w:left="220" w:top="343" w:right="135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auto"/>
        </w:rPr>
        <w:t>EXHIBIT 12</w:t>
      </w:r>
    </w:p>
    <w:p>
      <w:pPr>
        <w:spacing w:after="0" w:line="244" w:lineRule="exact"/>
        <w:rPr>
          <w:sz w:val="20"/>
          <w:szCs w:val="20"/>
          <w:color w:val="auto"/>
        </w:rPr>
      </w:pPr>
    </w:p>
    <w:p>
      <w:pPr>
        <w:ind w:left="4821"/>
        <w:spacing w:after="0"/>
        <w:rPr>
          <w:sz w:val="20"/>
          <w:szCs w:val="20"/>
          <w:color w:val="auto"/>
        </w:rPr>
      </w:pPr>
      <w:r>
        <w:rPr>
          <w:rFonts w:ascii="Arial" w:cs="Arial" w:eastAsia="Arial" w:hAnsi="Arial"/>
          <w:sz w:val="13"/>
          <w:szCs w:val="13"/>
          <w:b w:val="1"/>
          <w:bCs w:val="1"/>
          <w:color w:val="auto"/>
        </w:rPr>
        <w:t>WASTE MANAGEMENT, INC.</w:t>
      </w:r>
    </w:p>
    <w:p>
      <w:pPr>
        <w:spacing w:after="0" w:line="86" w:lineRule="exact"/>
        <w:rPr>
          <w:sz w:val="20"/>
          <w:szCs w:val="20"/>
          <w:color w:val="auto"/>
        </w:rPr>
      </w:pPr>
    </w:p>
    <w:p>
      <w:pPr>
        <w:ind w:left="3761"/>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9" w:lineRule="exact"/>
        <w:rPr>
          <w:sz w:val="20"/>
          <w:szCs w:val="20"/>
          <w:color w:val="auto"/>
        </w:rPr>
      </w:pPr>
    </w:p>
    <w:p>
      <w:pPr>
        <w:jc w:val="center"/>
        <w:ind w:left="9180"/>
        <w:spacing w:after="0"/>
        <w:rPr>
          <w:sz w:val="20"/>
          <w:szCs w:val="20"/>
          <w:color w:val="auto"/>
        </w:rPr>
      </w:pPr>
      <w:r>
        <w:rPr>
          <w:rFonts w:ascii="Arial" w:cs="Arial" w:eastAsia="Arial" w:hAnsi="Arial"/>
          <w:sz w:val="10"/>
          <w:szCs w:val="10"/>
          <w:b w:val="1"/>
          <w:bCs w:val="1"/>
          <w:color w:val="auto"/>
        </w:rPr>
        <w:t>Six Months Ended</w:t>
      </w:r>
    </w:p>
    <w:p>
      <w:pPr>
        <w:spacing w:after="0" w:line="3" w:lineRule="exact"/>
        <w:rPr>
          <w:sz w:val="20"/>
          <w:szCs w:val="20"/>
          <w:color w:val="auto"/>
        </w:rPr>
      </w:pPr>
    </w:p>
    <w:p>
      <w:pPr>
        <w:jc w:val="center"/>
        <w:ind w:left="9180"/>
        <w:spacing w:after="0"/>
        <w:rPr>
          <w:sz w:val="20"/>
          <w:szCs w:val="20"/>
          <w:color w:val="auto"/>
        </w:rPr>
      </w:pPr>
      <w:r>
        <w:rPr>
          <w:rFonts w:ascii="Arial" w:cs="Arial" w:eastAsia="Arial" w:hAnsi="Arial"/>
          <w:sz w:val="10"/>
          <w:szCs w:val="10"/>
          <w:b w:val="1"/>
          <w:bCs w:val="1"/>
          <w:color w:val="auto"/>
        </w:rPr>
        <w:t>June 30,</w:t>
      </w:r>
    </w:p>
    <w:tbl>
      <w:tblPr>
        <w:tblLayout w:type="fixed"/>
        <w:tblInd w:w="1"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income taxes, losses in equity investments and minority interests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926</w:t>
            </w:r>
          </w:p>
        </w:tc>
        <w:tc>
          <w:tcPr>
            <w:tcW w:w="500" w:type="dxa"/>
            <w:vAlign w:val="bottom"/>
            <w:gridSpan w:val="2"/>
            <w:shd w:val="clear" w:color="auto" w:fill="CCEEFF"/>
          </w:tcPr>
          <w:p>
            <w:pPr>
              <w:jc w:val="right"/>
              <w:ind w:right="51"/>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56"/>
        </w:trPr>
        <w:tc>
          <w:tcPr>
            <w:tcW w:w="93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120"/>
              <w:spacing w:after="0"/>
              <w:rPr>
                <w:sz w:val="20"/>
                <w:szCs w:val="20"/>
                <w:color w:val="auto"/>
              </w:rPr>
            </w:pPr>
            <w:r>
              <w:rPr>
                <w:rFonts w:ascii="Arial" w:cs="Arial" w:eastAsia="Arial" w:hAnsi="Arial"/>
                <w:sz w:val="13"/>
                <w:szCs w:val="13"/>
                <w:color w:val="auto"/>
              </w:rPr>
              <w:t>Earnings available for fixed charges(a)</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227</w:t>
            </w:r>
          </w:p>
        </w:tc>
        <w:tc>
          <w:tcPr>
            <w:tcW w:w="5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Capitalized interest</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Arial" w:cs="Arial" w:eastAsia="Arial" w:hAnsi="Arial"/>
                <w:sz w:val="13"/>
                <w:szCs w:val="13"/>
                <w:color w:val="auto"/>
              </w:rPr>
              <w:t>Total fixed charges(a)</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254</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9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Ratio of earnings to fixed charges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4.6x</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right="120" w:hanging="461"/>
        <w:spacing w:after="0" w:line="264" w:lineRule="auto"/>
        <w:tabs>
          <w:tab w:leader="none" w:pos="46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11461"/>
          </w:cols>
          <w:pgMar w:left="219" w:top="127"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221" w:hanging="221"/>
        <w:spacing w:after="0"/>
        <w:tabs>
          <w:tab w:leader="none" w:pos="221" w:val="left"/>
        </w:tabs>
        <w:numPr>
          <w:ilvl w:val="0"/>
          <w:numId w:val="37"/>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221" w:right="200" w:hanging="221"/>
        <w:spacing w:after="0" w:line="276" w:lineRule="auto"/>
        <w:tabs>
          <w:tab w:leader="none" w:pos="22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681" w:right="340" w:hanging="455"/>
        <w:spacing w:after="0" w:line="320" w:lineRule="auto"/>
        <w:tabs>
          <w:tab w:leader="none" w:pos="681"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right="20" w:hanging="455"/>
        <w:spacing w:after="0" w:line="276" w:lineRule="auto"/>
        <w:tabs>
          <w:tab w:leader="none" w:pos="681"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right="160" w:hanging="455"/>
        <w:spacing w:after="0" w:line="276" w:lineRule="auto"/>
        <w:tabs>
          <w:tab w:leader="none" w:pos="681"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221" w:right="280" w:hanging="221"/>
        <w:spacing w:after="0" w:line="276" w:lineRule="auto"/>
        <w:tabs>
          <w:tab w:leader="none" w:pos="22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681" w:right="220" w:hanging="455"/>
        <w:spacing w:after="0" w:line="276" w:lineRule="auto"/>
        <w:tabs>
          <w:tab w:leader="none" w:pos="681" w:val="left"/>
        </w:tabs>
        <w:numPr>
          <w:ilvl w:val="1"/>
          <w:numId w:val="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241"/>
        <w:spacing w:after="0"/>
        <w:tabs>
          <w:tab w:leader="none" w:pos="7301"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10795</wp:posOffset>
            </wp:positionV>
            <wp:extent cx="289623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6235" cy="6350"/>
                    </a:xfrm>
                    <a:prstGeom prst="rect">
                      <a:avLst/>
                    </a:prstGeom>
                    <a:noFill/>
                  </pic:spPr>
                </pic:pic>
              </a:graphicData>
            </a:graphic>
          </wp:anchor>
        </w:drawing>
      </w:r>
    </w:p>
    <w:p>
      <w:pPr>
        <w:spacing w:after="0" w:line="7" w:lineRule="exact"/>
        <w:rPr>
          <w:sz w:val="20"/>
          <w:szCs w:val="20"/>
          <w:color w:val="auto"/>
        </w:rPr>
      </w:pPr>
    </w:p>
    <w:p>
      <w:pPr>
        <w:ind w:left="5541"/>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541"/>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July 29, 2008</w:t>
      </w:r>
    </w:p>
    <w:p>
      <w:pPr>
        <w:sectPr>
          <w:pgSz w:w="11900" w:h="16838" w:orient="portrait"/>
          <w:cols w:equalWidth="0" w:num="1">
            <w:col w:w="11461"/>
          </w:cols>
          <w:pgMar w:left="219" w:top="127" w:right="21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221" w:hanging="221"/>
        <w:spacing w:after="0"/>
        <w:tabs>
          <w:tab w:leader="none" w:pos="221" w:val="left"/>
        </w:tabs>
        <w:numPr>
          <w:ilvl w:val="0"/>
          <w:numId w:val="38"/>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221" w:right="200" w:hanging="221"/>
        <w:spacing w:after="0" w:line="276" w:lineRule="auto"/>
        <w:tabs>
          <w:tab w:leader="none" w:pos="22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681" w:right="340" w:hanging="455"/>
        <w:spacing w:after="0" w:line="320" w:lineRule="auto"/>
        <w:tabs>
          <w:tab w:leader="none" w:pos="681" w:val="left"/>
        </w:tabs>
        <w:numPr>
          <w:ilvl w:val="1"/>
          <w:numId w:val="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right="20" w:hanging="455"/>
        <w:spacing w:after="0" w:line="276" w:lineRule="auto"/>
        <w:tabs>
          <w:tab w:leader="none" w:pos="6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right="160" w:hanging="455"/>
        <w:spacing w:after="0" w:line="276" w:lineRule="auto"/>
        <w:tabs>
          <w:tab w:leader="none" w:pos="6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221" w:right="280" w:hanging="221"/>
        <w:spacing w:after="0" w:line="276" w:lineRule="auto"/>
        <w:tabs>
          <w:tab w:leader="none" w:pos="221"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681" w:right="220" w:hanging="455"/>
        <w:spacing w:after="0" w:line="276" w:lineRule="auto"/>
        <w:tabs>
          <w:tab w:leader="none" w:pos="6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241"/>
        <w:spacing w:after="0"/>
        <w:tabs>
          <w:tab w:leader="none" w:pos="7221"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10795</wp:posOffset>
            </wp:positionV>
            <wp:extent cx="28962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6235" cy="6350"/>
                    </a:xfrm>
                    <a:prstGeom prst="rect">
                      <a:avLst/>
                    </a:prstGeom>
                    <a:noFill/>
                  </pic:spPr>
                </pic:pic>
              </a:graphicData>
            </a:graphic>
          </wp:anchor>
        </w:drawing>
      </w:r>
    </w:p>
    <w:p>
      <w:pPr>
        <w:spacing w:after="0" w:line="7" w:lineRule="exact"/>
        <w:rPr>
          <w:sz w:val="20"/>
          <w:szCs w:val="20"/>
          <w:color w:val="auto"/>
        </w:rPr>
      </w:pPr>
    </w:p>
    <w:p>
      <w:pPr>
        <w:ind w:left="5541"/>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541"/>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July 29, 2008</w:t>
      </w:r>
    </w:p>
    <w:p>
      <w:pPr>
        <w:sectPr>
          <w:pgSz w:w="11900" w:h="16838" w:orient="portrait"/>
          <w:cols w:equalWidth="0" w:num="1">
            <w:col w:w="11461"/>
          </w:cols>
          <w:pgMar w:left="219" w:top="127"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June 30, 2008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500" w:hanging="174"/>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5240"/>
        <w:spacing w:after="0"/>
        <w:tabs>
          <w:tab w:leader="none" w:pos="73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10795</wp:posOffset>
            </wp:positionV>
            <wp:extent cx="289623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6235" cy="635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July 29, 2008</w:t>
      </w:r>
    </w:p>
    <w:p>
      <w:pPr>
        <w:sectPr>
          <w:pgSz w:w="11900" w:h="16838" w:orient="portrait"/>
          <w:cols w:equalWidth="0" w:num="1">
            <w:col w:w="11460"/>
          </w:cols>
          <w:pgMar w:left="220" w:top="127"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June 30, 2008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500" w:hanging="174"/>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5240"/>
        <w:spacing w:after="0"/>
        <w:tabs>
          <w:tab w:leader="none" w:pos="72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10795</wp:posOffset>
            </wp:positionV>
            <wp:extent cx="289623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6235" cy="635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July 29,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3"/>
    </w:lvl>
    <w:lvl w:ilvl="1">
      <w:lvlJc w:val="left"/>
      <w:lvlText w:val="•"/>
      <w:numFmt w:val="bullet"/>
      <w:start w:val="1"/>
    </w:lvl>
  </w:abstractNum>
  <w:abstractNum w:abstractNumId="6">
    <w:nsid w:val="6763845E"/>
    <w:multiLevelType w:val="hybridMultilevel"/>
    <w:lvl w:ilvl="0">
      <w:lvlJc w:val="left"/>
      <w:lvlText w:val="%1."/>
      <w:numFmt w:val="decimal"/>
      <w:start w:val="7"/>
    </w:lvl>
  </w:abstractNum>
  <w:abstractNum w:abstractNumId="7">
    <w:nsid w:val="75A2A8D4"/>
    <w:multiLevelType w:val="hybridMultilevel"/>
    <w:lvl w:ilvl="0">
      <w:lvlJc w:val="left"/>
      <w:lvlText w:val="%1."/>
      <w:numFmt w:val="decimal"/>
      <w:start w:val="8"/>
    </w:lvl>
  </w:abstractNum>
  <w:abstractNum w:abstractNumId="8">
    <w:nsid w:val="8EDBDAB"/>
    <w:multiLevelType w:val="hybridMultilevel"/>
    <w:lvl w:ilvl="0">
      <w:lvlJc w:val="left"/>
      <w:lvlText w:val="%1."/>
      <w:numFmt w:val="decimal"/>
      <w:start w:val="9"/>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0"/>
    </w:lvl>
  </w:abstractNum>
  <w:abstractNum w:abstractNumId="11">
    <w:nsid w:val="B03E0C6"/>
    <w:multiLevelType w:val="hybridMultilevel"/>
    <w:lvl w:ilvl="0">
      <w:lvlJc w:val="left"/>
      <w:lvlText w:val="%1."/>
      <w:numFmt w:val="decimal"/>
      <w:start w:val="11"/>
    </w:lvl>
  </w:abstractNum>
  <w:abstractNum w:abstractNumId="12">
    <w:nsid w:val="189A769B"/>
    <w:multiLevelType w:val="hybridMultilevel"/>
    <w:lvl w:ilvl="0">
      <w:lvlJc w:val="left"/>
      <w:lvlText w:val="%1."/>
      <w:numFmt w:val="decimal"/>
      <w:start w:val="12"/>
    </w:lvl>
  </w:abstractNum>
  <w:abstractNum w:abstractNumId="13">
    <w:nsid w:val="54E49EB4"/>
    <w:multiLevelType w:val="hybridMultilevel"/>
    <w:lvl w:ilvl="0">
      <w:lvlJc w:val="left"/>
      <w:lvlText w:val="%1."/>
      <w:numFmt w:val="decimal"/>
      <w:start w:val="13"/>
    </w:lvl>
  </w:abstractNum>
  <w:abstractNum w:abstractNumId="14">
    <w:nsid w:val="71F32454"/>
    <w:multiLevelType w:val="hybridMultilevel"/>
    <w:lvl w:ilvl="0">
      <w:lvlJc w:val="left"/>
      <w:lvlText w:val="%1."/>
      <w:numFmt w:val="decimal"/>
      <w:start w:val="14"/>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Roman"/>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lvl w:ilvl="1">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2019-12-20T04:15:05Z</dcterms:created>
  <dcterms:modified xsi:type="dcterms:W3CDTF">2019-12-20T04:15:05Z</dcterms:modified>
</cp:coreProperties>
</file>