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8"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5"/>
          <w:szCs w:val="15"/>
          <w:color w:val="auto"/>
        </w:rPr>
        <w:t>Filed pursuant to Rule 424(a)</w:t>
      </w:r>
    </w:p>
    <w:p>
      <w:pPr>
        <w:spacing w:after="0" w:line="8"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5"/>
          <w:szCs w:val="15"/>
          <w:color w:val="auto"/>
        </w:rPr>
        <w:t>Registration No. 33-62547</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INFORMATION CONTAINED HEREIN IS SUBJECT TO COMPLETION OR AMENDMENT. 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RELATING TO THESE SECURITIES HAS BEEN FILED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  WITH THE SECURITIES AND EXCHANGE COMMISSION. THESE SECURITIES MAY NOT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BE SOLD NOR MAY OFFERS TO BUY BE ACCEPTED PRIOR TO THE TIME THE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BECOMES EFFECTIVE. THIS PROSPECTUS SHALL NOT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CONSTITUTE AN OFFER TO SELL OR THE SOLICITATION OF AN OFFER TO BUY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NOR SHALL THERE BE ANY SALE OF THESE SECURITIES IN ANY STATE IN WHICH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SUCH OFFER, SOLICITATION OR SALE WOULD BE UNLAWFUL PRIOR 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REGISTRATION OR QUALIFICATION UNDER THE SECURITIES LAWS OF ANY SUCH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STATE.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5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SUBJECT TO COMPLETION, DATED SEPTEMBER 13, 1995</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 1995</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5,137,500 SHARES</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Of the 5,137,500 shares of Common Stock being offered hereby, 5,000,000 shares are being sold by the Company and 137,500 shares are being sold by the Selling Stockholder. See "Selling Stockholder." The Company will not receive any of the proceeds from the sale of shares of Common Stock by the Selling Stockholder. The Common Stock of the Company is traded on the New York Stock Exchange under the symbol "UW." On September 12, 1995, the last reported sale price of the Common Stock on the New York Stock Exchange was $19 1/2 per share.</w:t>
      </w:r>
    </w:p>
    <w:p>
      <w:pPr>
        <w:spacing w:after="0" w:line="176" w:lineRule="exact"/>
        <w:rPr>
          <w:sz w:val="24"/>
          <w:szCs w:val="24"/>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SEE "RISK FACTORS" BEGINNING ON PAGE 7 FOR A DISCUSSION OF CERTAIN MATTERS THAT SHOULD BE CONSIDERED BY PROSPECTIVE INVESTORS.</w:t>
      </w:r>
    </w:p>
    <w:p>
      <w:pPr>
        <w:spacing w:after="0" w:line="174" w:lineRule="exact"/>
        <w:rPr>
          <w:sz w:val="24"/>
          <w:szCs w:val="24"/>
          <w:color w:val="auto"/>
        </w:rPr>
      </w:pPr>
    </w:p>
    <w:p>
      <w:pPr>
        <w:ind w:left="365" w:right="3219" w:hanging="368"/>
        <w:spacing w:after="0" w:line="250"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4"/>
          <w:szCs w:val="24"/>
          <w:color w:val="auto"/>
        </w:rPr>
      </w:pPr>
    </w:p>
    <w:p>
      <w:pPr>
        <w:ind w:left="645"/>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8"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8" w:lineRule="exact"/>
        <w:rPr>
          <w:sz w:val="24"/>
          <w:szCs w:val="24"/>
          <w:color w:val="auto"/>
        </w:rPr>
      </w:pPr>
    </w:p>
    <w:p>
      <w:pPr>
        <w:ind w:left="1285"/>
        <w:spacing w:after="0"/>
        <w:rPr>
          <w:sz w:val="20"/>
          <w:szCs w:val="20"/>
          <w:color w:val="auto"/>
        </w:rPr>
      </w:pPr>
      <w:r>
        <w:rPr>
          <w:rFonts w:ascii="Courier New" w:cs="Courier New" w:eastAsia="Courier New" w:hAnsi="Courier New"/>
          <w:sz w:val="15"/>
          <w:szCs w:val="15"/>
          <w:color w:val="auto"/>
        </w:rPr>
        <w:t>PROSPECTUS. ANY REPRESENTATION TO THE CONTRARY IS</w:t>
      </w:r>
    </w:p>
    <w:p>
      <w:pPr>
        <w:spacing w:after="0" w:line="8" w:lineRule="exact"/>
        <w:rPr>
          <w:sz w:val="24"/>
          <w:szCs w:val="24"/>
          <w:color w:val="auto"/>
        </w:rPr>
      </w:pPr>
    </w:p>
    <w:p>
      <w:pPr>
        <w:ind w:left="1565"/>
        <w:spacing w:after="0"/>
        <w:rPr>
          <w:sz w:val="20"/>
          <w:szCs w:val="20"/>
          <w:color w:val="auto"/>
        </w:rPr>
      </w:pPr>
      <w:r>
        <w:rPr>
          <w:rFonts w:ascii="Courier New" w:cs="Courier New" w:eastAsia="Courier New" w:hAnsi="Courier New"/>
          <w:sz w:val="15"/>
          <w:szCs w:val="15"/>
          <w:color w:val="auto"/>
        </w:rPr>
        <w:t>A CRIMINAL OFFENSE.</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36" w:right="1440" w:bottom="785" w:gutter="0" w:footer="0" w:header="0"/>
        </w:sectPr>
      </w:pPr>
    </w:p>
    <w:p>
      <w:pPr>
        <w:spacing w:after="0" w:line="200" w:lineRule="exact"/>
        <w:rPr>
          <w:sz w:val="24"/>
          <w:szCs w:val="24"/>
          <w:color w:val="auto"/>
        </w:rPr>
      </w:pPr>
    </w:p>
    <w:p>
      <w:pPr>
        <w:spacing w:after="0" w:line="340"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PRICE</w:t>
      </w:r>
    </w:p>
    <w:p>
      <w:pPr>
        <w:spacing w:after="0" w:line="8" w:lineRule="exact"/>
        <w:rPr>
          <w:sz w:val="24"/>
          <w:szCs w:val="24"/>
          <w:color w:val="auto"/>
        </w:rPr>
      </w:pPr>
    </w:p>
    <w:p>
      <w:pPr>
        <w:ind w:left="3605"/>
        <w:spacing w:after="0"/>
        <w:rPr>
          <w:sz w:val="20"/>
          <w:szCs w:val="20"/>
          <w:color w:val="auto"/>
        </w:rPr>
      </w:pPr>
      <w:r>
        <w:rPr>
          <w:rFonts w:ascii="Courier New" w:cs="Courier New" w:eastAsia="Courier New" w:hAnsi="Courier New"/>
          <w:sz w:val="14"/>
          <w:szCs w:val="14"/>
          <w:color w:val="auto"/>
        </w:rPr>
        <w:t>TO THE</w:t>
      </w:r>
    </w:p>
    <w:p>
      <w:pPr>
        <w:spacing w:after="0" w:line="19"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PUBLIC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ind w:firstLine="92"/>
        <w:spacing w:after="0" w:line="252" w:lineRule="auto"/>
        <w:rPr>
          <w:sz w:val="20"/>
          <w:szCs w:val="20"/>
          <w:color w:val="auto"/>
        </w:rPr>
      </w:pPr>
      <w:r>
        <w:rPr>
          <w:rFonts w:ascii="Courier New" w:cs="Courier New" w:eastAsia="Courier New" w:hAnsi="Courier New"/>
          <w:sz w:val="15"/>
          <w:szCs w:val="15"/>
          <w:color w:val="auto"/>
        </w:rPr>
        <w:t>UNDERWRITING DISCOUNTS AND COMMISSIONS(1)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jc w:val="center"/>
        <w:spacing w:after="0" w:line="252" w:lineRule="auto"/>
        <w:rPr>
          <w:sz w:val="20"/>
          <w:szCs w:val="20"/>
          <w:color w:val="auto"/>
        </w:rPr>
      </w:pPr>
      <w:r>
        <w:rPr>
          <w:rFonts w:ascii="Courier New" w:cs="Courier New" w:eastAsia="Courier New" w:hAnsi="Courier New"/>
          <w:sz w:val="15"/>
          <w:szCs w:val="15"/>
          <w:color w:val="auto"/>
        </w:rPr>
        <w:t>PROCEEDS TO THE COMPANY(2)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PROCEEDS TO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SELLING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STOCKHOLDER</w:t>
      </w:r>
    </w:p>
    <w:p>
      <w:pPr>
        <w:spacing w:after="0" w:line="185" w:lineRule="exact"/>
        <w:rPr>
          <w:sz w:val="24"/>
          <w:szCs w:val="24"/>
          <w:color w:val="auto"/>
        </w:rPr>
      </w:pPr>
    </w:p>
    <w:p>
      <w:pPr>
        <w:sectPr>
          <w:pgSz w:w="11900" w:h="16838" w:orient="portrait"/>
          <w:cols w:equalWidth="0" w:num="4">
            <w:col w:w="4145" w:space="560"/>
            <w:col w:w="1300" w:space="360"/>
            <w:col w:w="920" w:space="460"/>
            <w:col w:w="2479"/>
          </w:cols>
          <w:pgMar w:left="235" w:top="236" w:right="1440" w:bottom="785"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both"/>
        <w:ind w:left="5" w:right="1919"/>
        <w:spacing w:after="0" w:line="246" w:lineRule="auto"/>
        <w:rPr>
          <w:sz w:val="20"/>
          <w:szCs w:val="20"/>
          <w:color w:val="auto"/>
        </w:rPr>
      </w:pPr>
      <w:r>
        <w:rPr>
          <w:rFonts w:ascii="Courier New" w:cs="Courier New" w:eastAsia="Courier New" w:hAnsi="Courier New"/>
          <w:sz w:val="15"/>
          <w:szCs w:val="15"/>
          <w:color w:val="auto"/>
        </w:rPr>
        <w:t>Per Share......................... $ $ $ $ Total(3).......................... $ $ $ $</w:t>
      </w:r>
    </w:p>
    <w:p>
      <w:pPr>
        <w:spacing w:after="0" w:line="200" w:lineRule="exact"/>
        <w:rPr>
          <w:sz w:val="24"/>
          <w:szCs w:val="24"/>
          <w:color w:val="auto"/>
        </w:rPr>
      </w:pPr>
    </w:p>
    <w:p>
      <w:pPr>
        <w:spacing w:after="0" w:line="336"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365" w:right="3119" w:hanging="365"/>
        <w:spacing w:after="0" w:line="250" w:lineRule="auto"/>
        <w:tabs>
          <w:tab w:leader="none" w:pos="3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have agreed to indemnify the Underwriters against certain liabilities, including liabilities under the Securities Act of 1933.</w:t>
      </w:r>
    </w:p>
    <w:p>
      <w:pPr>
        <w:spacing w:after="0" w:line="1"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$550,000.</w:t>
      </w:r>
    </w:p>
    <w:p>
      <w:pPr>
        <w:spacing w:after="0" w:line="7" w:lineRule="exact"/>
        <w:rPr>
          <w:rFonts w:ascii="Courier New" w:cs="Courier New" w:eastAsia="Courier New" w:hAnsi="Courier New"/>
          <w:sz w:val="15"/>
          <w:szCs w:val="15"/>
          <w:color w:val="auto"/>
        </w:rPr>
      </w:pPr>
    </w:p>
    <w:p>
      <w:pPr>
        <w:ind w:left="365" w:right="3119" w:hanging="365"/>
        <w:spacing w:after="0" w:line="250" w:lineRule="auto"/>
        <w:tabs>
          <w:tab w:leader="none" w:pos="3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an option, exercisable within 30 days of the date hereof, to purchase up to 770,625 additional shares of Common Stock at the price to the public less underwriting discounts and commissions, for the purpose of covering over-allotments, if any. If the</w:t>
      </w:r>
    </w:p>
    <w:p>
      <w:pPr>
        <w:spacing w:after="0" w:line="2" w:lineRule="exact"/>
        <w:rPr>
          <w:sz w:val="24"/>
          <w:szCs w:val="24"/>
          <w:color w:val="auto"/>
        </w:rPr>
      </w:pPr>
    </w:p>
    <w:tbl>
      <w:tblPr>
        <w:tblLayout w:type="fixed"/>
        <w:tblInd w:w="365"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Underwriters</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 such</w:t>
            </w: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 in full, the total price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to the public,</w:t>
            </w:r>
          </w:p>
        </w:tc>
      </w:tr>
      <w:tr>
        <w:trPr>
          <w:trHeight w:val="177"/>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discounts and</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commissions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and proceeds to 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Company will be</w:t>
            </w:r>
          </w:p>
        </w:tc>
      </w:tr>
      <w:tr>
        <w:trPr>
          <w:trHeight w:val="177"/>
        </w:trPr>
        <w:tc>
          <w:tcPr>
            <w:tcW w:w="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and $</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 respectively. See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"Underwriting."</w:t>
            </w:r>
          </w:p>
        </w:tc>
      </w:tr>
    </w:tbl>
    <w:p>
      <w:pPr>
        <w:spacing w:after="0" w:line="183" w:lineRule="exact"/>
        <w:rPr>
          <w:sz w:val="24"/>
          <w:szCs w:val="24"/>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shares of Common Stock are being offered, subject to prior sale, when, as and if accepted by the Underwriters named herein and subject to various prior conditions, including their right to reject orders in whole or in part. It is expected that delivery of shares will be made against payment therefor in New</w:t>
      </w:r>
    </w:p>
    <w:p>
      <w:pPr>
        <w:spacing w:after="0" w:line="2"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York, New York on or about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pacing w:after="0" w:line="183" w:lineRule="exact"/>
        <w:rPr>
          <w:sz w:val="24"/>
          <w:szCs w:val="24"/>
          <w:color w:val="auto"/>
        </w:rPr>
      </w:pPr>
    </w:p>
    <w:p>
      <w:pPr>
        <w:jc w:val="right"/>
        <w:ind w:right="7639"/>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4"/>
          <w:szCs w:val="24"/>
          <w:color w:val="auto"/>
        </w:rPr>
      </w:pPr>
    </w:p>
    <w:p>
      <w:pPr>
        <w:jc w:val="right"/>
        <w:ind w:right="7639"/>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DEUTSCHE MORGAN GRENFELL</w:t>
      </w:r>
    </w:p>
    <w:p>
      <w:pPr>
        <w:spacing w:after="0" w:line="185" w:lineRule="exact"/>
        <w:rPr>
          <w:sz w:val="24"/>
          <w:szCs w:val="24"/>
          <w:color w:val="auto"/>
        </w:rPr>
      </w:pPr>
    </w:p>
    <w:p>
      <w:pPr>
        <w:ind w:left="5805"/>
        <w:spacing w:after="0"/>
        <w:rPr>
          <w:sz w:val="20"/>
          <w:szCs w:val="20"/>
          <w:color w:val="auto"/>
        </w:rPr>
      </w:pPr>
      <w:r>
        <w:rPr>
          <w:rFonts w:ascii="Courier New" w:cs="Courier New" w:eastAsia="Courier New" w:hAnsi="Courier New"/>
          <w:sz w:val="15"/>
          <w:szCs w:val="15"/>
          <w:color w:val="auto"/>
        </w:rPr>
        <w:t>SMITH BARNEY INC.</w:t>
      </w:r>
    </w:p>
    <w:p>
      <w:pPr>
        <w:sectPr>
          <w:pgSz w:w="11900" w:h="16838" w:orient="portrait"/>
          <w:cols w:equalWidth="0" w:num="1">
            <w:col w:w="10225"/>
          </w:cols>
          <w:pgMar w:left="235" w:top="236" w:right="1440" w:bottom="785"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AT A LEVEL ABOVE THAT WHICH MIGHT OTHERWISE PREVAIL IN THE OPEN MARKET. SUCH TRANSACTIONS MAY BE EFFECTED ON THE NEW YORK STOCK EXCHANGE, IN THE OVER-THE-COUNTER MARKET OR OTHERWISE. SUCH STABILIZING, IF COMMENCED, MAY BE DISCONTINUED AT ANY TIME.</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AVAILABLE INFORMATION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Services, Inc. (together with its subsidiaries, the "Company") is subject to the informational requirements of the Securities Exchange Act of 1934, as amended (the "Exchange Act"), and, in accordance therewith, files reports, proxy statements and other information with the Securities and Exchange Commission (the "Commission"). Reports and other information filed by the Company with the Commission may be inspected and copied at the public reference facilities maintained by the Commission at Room 1024, 450 Fifth Street, N.W., Judiciary Plaza, Washington, D.C. 20549, and at the following regional offices of the Commission: 500 West Madison, Suite 1400, Chicago, Illinois 60661; and at Seven World Trade Center, Suite 1300, New York, New York 10048. Copies of such material may also be obtained at prescribed rates from the Public Reference Section of the Commission at its principal office at 450 Fifth Street, N.W., Judiciary Plaza, Washington, D.C. 20549. The Company's securities are listed on the New York Stock Exchange and the Company's registration statements, reports, proxy and information statements and other information may also be inspected at the offices of the New York Stock Exchange, 20 Broad Street, New York, New York 10005.</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This Prospectus, which constitutes a part of a registration statement (the "Registration Statement") filed by the Company with the Commission under the Securities Act of 1933, as amended (the "Securities Act"), omits certain of the information set forth in the Registration Statement. Reference is hereby made to the Registration Statement and to the exhibits thereto for further information with respect to the Company and the securities offered hereby. Statements contained herein concerning the provisions of such documents are necessarily summaries of such documents, and each such statement is qualified in its entirety by reference to the copy of the applicable document filed with the Commission. Copies of the Registration Statement and the exhibits thereto are on file at the offices of the Commission and may be obtained upon payment of the fee prescribed by the Commission, or may be examined without charge at the public reference facilities of the Commission described above.</w:t>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following documents filed by the Company or its predecessors with the Commission are incorporated by reference in this Prospectus: (a) Annual Report on Form 10-K for the year ended December 31, 1994, as amended by Form 10-K/A dated April 25, 1995, (b) Current Report on Form 8-K dated February 28, 1994, as filed by Envirofil, Inc., as amended by Form 8-K/A dated May 11, 1994, including the combined financial statements of the Acquired New Jersey Solid Waste Companies (as defined therein) as of December 31, 1992 and 1993 and for each of the three years in the period ended December 31, 1993, (c) Quarterly Reports on Form 10-Q for the periods ended March 31, 1995 and June 30, 1995, (d) Joint Proxy Statement and Prospectus dated May 19, 1995, (e) Current Report on Form</w:t>
      </w:r>
    </w:p>
    <w:p>
      <w:pPr>
        <w:spacing w:after="0" w:line="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8-K dated June 30, 1995 and (f) the description of the Common Stock contained in the Company's Registration Statement on Form 8-A dated July 1, 1993, as amended by Form 8-B filed on July 13, 1995.</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All documents subsequently filed by the Company pursuant to Sections 13(a), 13(c), 14 or 15(d) of the Exchange Act subsequent to the date of this Prospectus and prior to the termination of this offering shall be deemed to be incorporated by reference in this Prospectus and to be a part hereof from the date of the filing of such documents. Any statement contained in a document incorporated by reference shall be deemed to be modified or superseded for purposes of this Prospectus to the extent that a statement contained herein or in any other subsequently filed incorporated document or in any accompanying prospectus supplement modifies or supersedes such statement. Any such statement so modified or superseded shall not be deemed, except as so modified or superseded, to constitute a part of this Prospectus.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written or oral request, a copy of any or all of the documents incorporated by reference as a part of the Registration Statement, other than exhibits to such documents. Requests should be directed to the Company at 5000 Quorum Drive, Suite 300, Dallas, Texas 75240, Attention: Corporate Secretary (telephone: (214) 383-7900).</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PROSPECTUS SUMMARY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and financial data included elsewhere or incorporated by reference in this Prospectus. All financial and operating information included in this Prospectus has been restated to give retroactive effect to the acquisitions of Chambers Development Company, Inc. and Envirofil, Inc. which have been accounted for as poolings of interests. Unless otherwise indicated, information included in this Prospectus assumes the Underwriters do not exercise their over-allotment option. References to "USA Waste" or the "Company" herein include USA Waste Services, Inc. and its subsidiaries.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COMPANY</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operations and approximately 9% was from transfer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intends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materially expanded its operations and markets with its acquisition of Chambers Development Company, Inc. ("Chambers") on June 30, 1995 (the "Chambers Merger"). With the addition of the Chambers operations, which include significant landfill capacity as well as collection and transfer station operations, the Company established its presence in the Mid-Atlantic and southeastern regions of the United States. Since the Chambers Merger, the Company has continued to expand its operations and revenue base through a series of smaller acquisitions that complemented and expanded the Company's operations. The Company completed eight acquisitions in July and August of 1995 resulting in the addition of four landfills, seven collection operations and seven transfer stations. The Company issued an aggregate of 2.3 million shares of its Common Stock and paid an aggregate of $11.4 million in cash in connection with these transactions. The acquired operations are based in Arkansas, Georgia, Missouri, Pennsylvania, Texas and Virginia. The Company has also executed a letter of intent to acquire an additional company with a hauling operation and a transfer station in Missouri.</w:t>
      </w:r>
    </w:p>
    <w:p>
      <w:pPr>
        <w:spacing w:after="0" w:line="184"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In August 1995, the Company entered into an agreement with the Town of North Hempstead Solid Waste Management Authority in North Hempstead, New York for the management of its solid waste</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3" w:name="page4"/>
    <w:bookmarkEnd w:id="3"/>
    <w:p>
      <w:pPr>
        <w:ind w:left="285"/>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disposal, transfer, transport and recycling operations. The contract has a 15-year term unless terminated earlier in accordance with the agreement (such as in the case of an event of default) and is expected to provide the Company annual revenues of approximately $9 million.</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currently has outstanding approximately $49.0 million principal amount of 8 1/2% Convertible Subordinated Debentures due October 15, 2002 (the "Convertible Debentures") which are convertible into Common Stock at $13.25 per share. Such debentures may be called for redemption at any time on or after October 15, 1995. The Board of Directors of the Company has approved the call of such debentures for redemption upon completion of this offering, or prior thereto subject to the negotiation of satisfactory standby underwriting arrangements.</w:t>
      </w:r>
    </w:p>
    <w:p>
      <w:pPr>
        <w:spacing w:after="0" w:line="353"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25"/>
          </w:cols>
          <w:pgMar w:left="235" w:top="2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right"/>
        <w:ind w:right="4140"/>
        <w:spacing w:after="0"/>
        <w:rPr>
          <w:sz w:val="20"/>
          <w:szCs w:val="20"/>
          <w:color w:val="auto"/>
        </w:rPr>
      </w:pPr>
      <w:r>
        <w:rPr>
          <w:rFonts w:ascii="Courier New" w:cs="Courier New" w:eastAsia="Courier New" w:hAnsi="Courier New"/>
          <w:sz w:val="15"/>
          <w:szCs w:val="15"/>
          <w:color w:val="auto"/>
        </w:rPr>
        <w:t>Common Stock offered:</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By the Company..................................................</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By the Selling Stockholder......................................</w:t>
      </w:r>
    </w:p>
    <w:p>
      <w:pPr>
        <w:spacing w:after="0" w:line="18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Common Stock to be outstanding after the offering.................</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Use of proceeds...................................................</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137,500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5,137,500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58,773,922 shares(1)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 of indebtedness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UW</w:t>
      </w:r>
    </w:p>
    <w:p>
      <w:pPr>
        <w:spacing w:after="0" w:line="200" w:lineRule="exact"/>
        <w:rPr>
          <w:sz w:val="20"/>
          <w:szCs w:val="20"/>
          <w:color w:val="auto"/>
        </w:rPr>
      </w:pPr>
    </w:p>
    <w:p>
      <w:pPr>
        <w:sectPr>
          <w:pgSz w:w="11900" w:h="16838" w:orient="portrait"/>
          <w:cols w:equalWidth="0" w:num="2">
            <w:col w:w="6085" w:space="180"/>
            <w:col w:w="3959"/>
          </w:cols>
          <w:pgMar w:left="235" w:top="295"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95" w:right="1440" w:bottom="1440" w:gutter="0" w:footer="0" w:header="0"/>
          <w:type w:val="continuous"/>
        </w:sectPr>
      </w:pPr>
    </w:p>
    <w:p>
      <w:pPr>
        <w:spacing w:after="0" w:line="185" w:lineRule="exact"/>
        <w:rPr>
          <w:sz w:val="20"/>
          <w:szCs w:val="20"/>
          <w:color w:val="auto"/>
        </w:rPr>
      </w:pPr>
    </w:p>
    <w:p>
      <w:pPr>
        <w:ind w:left="465" w:right="3019" w:hanging="465"/>
        <w:spacing w:after="0" w:line="252" w:lineRule="auto"/>
        <w:tabs>
          <w:tab w:leader="none" w:pos="3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13, 1995. Excludes approximately 3,642,791 shares issuable upon the conversion of the Convertible Debentures and 5,925,002 shares issuable upon the exercise of outstanding options and warrants.</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295"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85" w:lineRule="exact"/>
        <w:rPr>
          <w:sz w:val="20"/>
          <w:szCs w:val="20"/>
          <w:color w:val="auto"/>
        </w:rPr>
      </w:pPr>
    </w:p>
    <w:p>
      <w:pPr>
        <w:ind w:right="4140" w:firstLine="461"/>
        <w:spacing w:after="0" w:line="251" w:lineRule="auto"/>
        <w:rPr>
          <w:sz w:val="20"/>
          <w:szCs w:val="20"/>
          <w:color w:val="auto"/>
        </w:rPr>
      </w:pPr>
      <w:r>
        <w:rPr>
          <w:rFonts w:ascii="Courier New" w:cs="Courier New" w:eastAsia="Courier New" w:hAnsi="Courier New"/>
          <w:sz w:val="15"/>
          <w:szCs w:val="15"/>
          <w:color w:val="auto"/>
        </w:rPr>
        <w:t>The summary consolidated financial data presented below include the accounts of the Company and the businesses acquired at or before June 30, 1995 in transactions accounted for as poolings of interests as if such businesses had always been members of the same operating group. Accordingly, such data have been restated throughout all relevant periods herein. The accounts of the businesses acquired in transactions accounted for as purchases are included from their respective acquisition dates.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843"/>
              <w:spacing w:after="0"/>
              <w:rPr>
                <w:sz w:val="20"/>
                <w:szCs w:val="20"/>
                <w:color w:val="auto"/>
              </w:rPr>
            </w:pPr>
            <w:r>
              <w:rPr>
                <w:rFonts w:ascii="Courier New" w:cs="Courier New" w:eastAsia="Courier New" w:hAnsi="Courier New"/>
                <w:sz w:val="15"/>
                <w:szCs w:val="15"/>
                <w:color w:val="auto"/>
              </w:rPr>
              <w:t>THREE MONTHS</w:t>
            </w:r>
          </w:p>
        </w:tc>
        <w:tc>
          <w:tcPr>
            <w:tcW w:w="2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SIX</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MONTHS</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5"/>
          </w:tcPr>
          <w:p>
            <w:pPr>
              <w:jc w:val="right"/>
              <w:ind w:right="843"/>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5"/>
                <w:szCs w:val="15"/>
                <w:color w:val="auto"/>
              </w:rPr>
            </w:pPr>
          </w:p>
        </w:tc>
        <w:tc>
          <w:tcPr>
            <w:tcW w:w="2300" w:type="dxa"/>
            <w:vAlign w:val="bottom"/>
            <w:gridSpan w:val="3"/>
          </w:tcPr>
          <w:p>
            <w:pPr>
              <w:jc w:val="right"/>
              <w:ind w:right="743"/>
              <w:spacing w:after="0"/>
              <w:rPr>
                <w:sz w:val="20"/>
                <w:szCs w:val="20"/>
                <w:color w:val="auto"/>
              </w:rPr>
            </w:pPr>
            <w:r>
              <w:rPr>
                <w:rFonts w:ascii="Courier New" w:cs="Courier New" w:eastAsia="Courier New" w:hAnsi="Courier New"/>
                <w:sz w:val="15"/>
                <w:szCs w:val="15"/>
                <w:color w:val="auto"/>
              </w:rPr>
              <w:t>ENDED JUNE 30,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ENDED</w:t>
            </w:r>
          </w:p>
        </w:tc>
        <w:tc>
          <w:tcPr>
            <w:tcW w:w="146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w w:val="97"/>
              </w:rPr>
              <w:t>JUNE 30,</w:t>
            </w:r>
          </w:p>
        </w:tc>
      </w:tr>
      <w:tr>
        <w:trPr>
          <w:trHeight w:val="177"/>
        </w:trPr>
        <w:tc>
          <w:tcPr>
            <w:tcW w:w="30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5"/>
                <w:szCs w:val="5"/>
                <w:color w:val="auto"/>
                <w:w w:val="95"/>
              </w:rPr>
              <w: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80" w:type="dxa"/>
            <w:vAlign w:val="bottom"/>
            <w:gridSpan w:val="4"/>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1993</w:t>
            </w:r>
          </w:p>
        </w:tc>
        <w:tc>
          <w:tcPr>
            <w:tcW w:w="3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5"/>
                <w:szCs w:val="15"/>
                <w:color w:val="auto"/>
              </w:rPr>
            </w:pPr>
          </w:p>
        </w:tc>
        <w:tc>
          <w:tcPr>
            <w:tcW w:w="10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960" w:type="dxa"/>
            <w:vAlign w:val="bottom"/>
            <w:gridSpan w:val="6"/>
          </w:tcPr>
          <w:p>
            <w:pPr>
              <w:jc w:val="right"/>
              <w:ind w:right="103"/>
              <w:spacing w:after="0"/>
              <w:rPr>
                <w:sz w:val="20"/>
                <w:szCs w:val="20"/>
                <w:color w:val="auto"/>
              </w:rPr>
            </w:pPr>
            <w:r>
              <w:rPr>
                <w:rFonts w:ascii="Courier New" w:cs="Courier New" w:eastAsia="Courier New" w:hAnsi="Courier New"/>
                <w:sz w:val="15"/>
                <w:szCs w:val="15"/>
                <w:color w:val="auto"/>
              </w:rPr>
              <w:t>(IN THOUSANDS, EXCEPT PER SHARE AMOUNTS)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$351,359</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$382,234</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$ 434,224</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$113,514</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$111,229</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$211,485</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$212,471</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208,928</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217,345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257,370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66,754</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63,597</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124,987</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8"/>
              </w:rPr>
              <w:t>121,877</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75,426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66,968</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71,500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18,491</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16,941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34,626</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33,831</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51,047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2,672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8,863</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4,040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4,733</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3,782(1)</w:t>
            </w:r>
          </w:p>
        </w:tc>
        <w:tc>
          <w:tcPr>
            <w:tcW w:w="18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3,782(1)</w:t>
            </w:r>
          </w:p>
        </w:tc>
        <w:tc>
          <w:tcPr>
            <w:tcW w:w="1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25,073(2)</w:t>
            </w:r>
          </w:p>
        </w:tc>
        <w:tc>
          <w:tcPr>
            <w:tcW w:w="200" w:type="dxa"/>
            <w:vAlign w:val="bottom"/>
          </w:tcPr>
          <w:p>
            <w:pPr>
              <w:spacing w:after="0"/>
              <w:rPr>
                <w:sz w:val="15"/>
                <w:szCs w:val="15"/>
                <w:color w:val="auto"/>
              </w:rPr>
            </w:pP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3,782(1)</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25,073(2)</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44,139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52,222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56,139</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14,795</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14,222</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28,455</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27,201</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ind w:left="740"/>
              <w:spacing w:after="0"/>
              <w:rPr>
                <w:sz w:val="20"/>
                <w:szCs w:val="20"/>
                <w:color w:val="auto"/>
              </w:rPr>
            </w:pPr>
            <w:r>
              <w:rPr>
                <w:rFonts w:ascii="Courier New" w:cs="Courier New" w:eastAsia="Courier New" w:hAnsi="Courier New"/>
                <w:sz w:val="15"/>
                <w:szCs w:val="15"/>
                <w:color w:val="auto"/>
              </w:rPr>
              <w:t>Total costs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379,540</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339,207</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397,654</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103,822</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123,873</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191,850</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8"/>
              </w:rPr>
              <w:t>212,715</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(loss) from operations...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(28,181)</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43,027</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36,570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9,692</w:t>
            </w: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(12,644)(3)</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19,635</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(244)(3)</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Stockholder settlement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other litigation related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(10,853)</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(5,500)</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(79,400)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Early redemption premiums,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fees and nonrecurring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(1,254)</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(7,481)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(10,994)</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(35,840)</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(35,975)</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(32,804)</w:t>
            </w:r>
          </w:p>
        </w:tc>
        <w:tc>
          <w:tcPr>
            <w:tcW w:w="1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(8,368)</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(7,890)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(16,507)</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(16,103)</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5,435</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3,539</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2,641</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820</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751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1,397</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1,483</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1,915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1,877</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381</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254</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541</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1,367</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ind w:left="740"/>
              <w:spacing w:after="0"/>
              <w:rPr>
                <w:sz w:val="20"/>
                <w:szCs w:val="20"/>
                <w:color w:val="auto"/>
              </w:rPr>
            </w:pPr>
            <w:r>
              <w:rPr>
                <w:rFonts w:ascii="Courier New" w:cs="Courier New" w:eastAsia="Courier New" w:hAnsi="Courier New"/>
                <w:sz w:val="15"/>
                <w:szCs w:val="15"/>
                <w:color w:val="auto"/>
              </w:rPr>
              <w:t>Total other income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(39,559)</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(36,021)</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(108,940)</w:t>
            </w:r>
          </w:p>
        </w:tc>
        <w:tc>
          <w:tcPr>
            <w:tcW w:w="1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(7,167)</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(14,366)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(14,569)</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(24,247)</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(67,740)</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7,006</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(72,370)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2,525</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(27,010)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5,066</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(24,491)</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 provision(4).........</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6,018</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3,908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729</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829</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2,148</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3,166</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(68,219)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(76,278)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1,796</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(27,839)</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2,918</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(27,657)</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(Loss) from discontinued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(1,407)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discontinued operations,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income taxes...........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1,836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Extraordinary income from debt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forgiveness, net of income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10,066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(57,724)</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(76,278)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1,796</w:t>
            </w: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(27,839)(5)</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2,918</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(27,657)(5)</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Preferred dividends.............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565</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565</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available to</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stockholders...........</w:t>
            </w:r>
          </w:p>
        </w:tc>
        <w:tc>
          <w:tcPr>
            <w:tcW w:w="102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w w:val="98"/>
              </w:rPr>
              <w:t>$(57,876)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406</w:t>
            </w: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(76,843)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1,611</w:t>
            </w:r>
          </w:p>
        </w:tc>
        <w:tc>
          <w:tcPr>
            <w:tcW w:w="12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$(27,839)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2,353</w:t>
            </w:r>
          </w:p>
        </w:tc>
        <w:tc>
          <w:tcPr>
            <w:tcW w:w="146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$(27,657)</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 per common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(0.54)</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(0.54)</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 shares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equivalent....................</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42,707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45,885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49,671</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49,199</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51,704</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48,880</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51,409</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887"/>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AS OF JUNE 30,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24"/>
                <w:szCs w:val="24"/>
                <w:color w:val="auto"/>
              </w:rPr>
            </w:pP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ACTUAL</w:t>
            </w:r>
          </w:p>
        </w:tc>
        <w:tc>
          <w:tcPr>
            <w:tcW w:w="200" w:type="dxa"/>
            <w:vAlign w:val="bottom"/>
          </w:tcPr>
          <w:p>
            <w:pPr>
              <w:spacing w:after="0"/>
              <w:rPr>
                <w:sz w:val="15"/>
                <w:szCs w:val="15"/>
                <w:color w:val="auto"/>
              </w:rPr>
            </w:pPr>
          </w:p>
        </w:tc>
        <w:tc>
          <w:tcPr>
            <w:tcW w:w="220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AS ADJUSTED(6)</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8"/>
                <w:szCs w:val="8"/>
                <w:color w:val="auto"/>
                <w:w w:val="73"/>
              </w:rPr>
              <w:t>Cash and cash equivalents...............................................................</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$ 41,710</w:t>
            </w:r>
          </w:p>
        </w:tc>
        <w:tc>
          <w:tcPr>
            <w:tcW w:w="2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$ 41,710</w:t>
            </w:r>
          </w:p>
        </w:tc>
        <w:tc>
          <w:tcPr>
            <w:tcW w:w="1000" w:type="dxa"/>
            <w:vAlign w:val="bottom"/>
          </w:tcPr>
          <w:p>
            <w:pPr>
              <w:spacing w:after="0"/>
              <w:rPr>
                <w:sz w:val="15"/>
                <w:szCs w:val="15"/>
                <w:color w:val="auto"/>
              </w:rPr>
            </w:pP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8"/>
                <w:szCs w:val="8"/>
                <w:color w:val="auto"/>
                <w:w w:val="73"/>
              </w:rPr>
              <w:t>Working capital.........................................................................</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4,404</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6,246</w:t>
            </w:r>
          </w:p>
        </w:tc>
        <w:tc>
          <w:tcPr>
            <w:tcW w:w="1000" w:type="dxa"/>
            <w:vAlign w:val="bottom"/>
          </w:tcPr>
          <w:p>
            <w:pPr>
              <w:spacing w:after="0"/>
              <w:rPr>
                <w:sz w:val="15"/>
                <w:szCs w:val="15"/>
                <w:color w:val="auto"/>
              </w:rPr>
            </w:pP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8"/>
                <w:szCs w:val="8"/>
                <w:color w:val="auto"/>
                <w:w w:val="73"/>
              </w:rPr>
              <w:t>Total assets............................................................................</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813,708</w:t>
            </w:r>
          </w:p>
        </w:tc>
        <w:tc>
          <w:tcPr>
            <w:tcW w:w="2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813,708</w:t>
            </w:r>
          </w:p>
        </w:tc>
        <w:tc>
          <w:tcPr>
            <w:tcW w:w="1000" w:type="dxa"/>
            <w:vAlign w:val="bottom"/>
          </w:tcPr>
          <w:p>
            <w:pPr>
              <w:spacing w:after="0"/>
              <w:rPr>
                <w:sz w:val="15"/>
                <w:szCs w:val="15"/>
                <w:color w:val="auto"/>
              </w:rPr>
            </w:pPr>
          </w:p>
        </w:tc>
      </w:tr>
    </w:tbl>
    <w:p>
      <w:pPr>
        <w:sectPr>
          <w:pgSz w:w="11900" w:h="16838" w:orient="portrait"/>
          <w:cols w:equalWidth="0" w:num="1">
            <w:col w:w="11520"/>
          </w:cols>
          <w:pgMar w:left="240" w:top="295" w:right="1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w:t>
            </w:r>
          </w:p>
        </w:tc>
        <w:tc>
          <w:tcPr>
            <w:tcW w:w="7380" w:type="dxa"/>
            <w:vAlign w:val="bottom"/>
          </w:tcPr>
          <w:p>
            <w:pPr>
              <w:jc w:val="right"/>
              <w:ind w:right="5883"/>
              <w:spacing w:after="0"/>
              <w:rPr>
                <w:sz w:val="20"/>
                <w:szCs w:val="20"/>
                <w:color w:val="auto"/>
              </w:rPr>
            </w:pPr>
            <w:r>
              <w:rPr>
                <w:rFonts w:ascii="Courier New" w:cs="Courier New" w:eastAsia="Courier New" w:hAnsi="Courier New"/>
                <w:sz w:val="15"/>
                <w:szCs w:val="15"/>
                <w:color w:val="auto"/>
              </w:rPr>
              <w:t>debt, excluding</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7"/>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7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maturities(7).................................................................</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444,270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354,037</w:t>
            </w:r>
          </w:p>
        </w:tc>
      </w:tr>
      <w:tr>
        <w:trPr>
          <w:trHeight w:val="177"/>
        </w:trPr>
        <w:tc>
          <w:tcPr>
            <w:tcW w:w="8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Stockholders' equity....................................................................</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137,709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229,784</w:t>
            </w:r>
          </w:p>
        </w:tc>
      </w:tr>
    </w:tbl>
    <w:p>
      <w:pPr>
        <w:spacing w:after="0" w:line="360"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(footnotes on following page)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20"/>
          </w:cols>
          <w:pgMar w:left="240" w:top="142" w:right="1139"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3579" w:hanging="465"/>
        <w:spacing w:after="0" w:line="253" w:lineRule="auto"/>
        <w:tabs>
          <w:tab w:leader="none" w:pos="37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merger of the Company and Envirofil, Inc. on May 27, 1994.</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37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Chambers Merger, consisting of transaction costs ($11.9 million), severance and other termination benefits ($9.5 million), and nonrecurring costs relating to the integration of the operations of the combined companies ($3.7 million).</w:t>
      </w:r>
    </w:p>
    <w:p>
      <w:pPr>
        <w:spacing w:after="0" w:line="176"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operations excluding unusual items and merger costs was</w:t>
      </w:r>
    </w:p>
    <w:p>
      <w:pPr>
        <w:spacing w:after="0" w:line="8" w:lineRule="exact"/>
        <w:rPr>
          <w:sz w:val="20"/>
          <w:szCs w:val="20"/>
          <w:color w:val="auto"/>
        </w:rPr>
      </w:pPr>
    </w:p>
    <w:p>
      <w:pPr>
        <w:ind w:left="465" w:right="2839"/>
        <w:spacing w:after="0" w:line="253" w:lineRule="auto"/>
        <w:rPr>
          <w:sz w:val="20"/>
          <w:szCs w:val="20"/>
          <w:color w:val="auto"/>
        </w:rPr>
      </w:pPr>
      <w:r>
        <w:rPr>
          <w:rFonts w:ascii="Courier New" w:cs="Courier New" w:eastAsia="Courier New" w:hAnsi="Courier New"/>
          <w:sz w:val="15"/>
          <w:szCs w:val="15"/>
          <w:color w:val="auto"/>
        </w:rPr>
        <w:t>$16.5 million and $29.6 million for the three and six months ended June 30, 1995, respectively.</w:t>
      </w:r>
    </w:p>
    <w:p>
      <w:pPr>
        <w:spacing w:after="0" w:line="174" w:lineRule="exact"/>
        <w:rPr>
          <w:sz w:val="20"/>
          <w:szCs w:val="20"/>
          <w:color w:val="auto"/>
        </w:rPr>
      </w:pPr>
    </w:p>
    <w:p>
      <w:pPr>
        <w:ind w:left="465" w:right="2839" w:hanging="465"/>
        <w:spacing w:after="0" w:line="250" w:lineRule="auto"/>
        <w:tabs>
          <w:tab w:leader="none" w:pos="3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utilize Chambers' net operating loss carryforwards to offset future income for federal income tax purposes. As a result of an issuance of Common Stock in connection with one of the acquisitions in August 1995, an "ownership change" within the meaning of Section 382 of the Internal Revenue Code of 1986, as amended, occurred, which will limit the Company's potential utilization of Chambers' net operating loss carryforwards to a maximum of approximately $32 million on an annual basis. In connection with the settlement relating to certain stockholder litigation of Chambers, the Company made a settlement payment of $75.6 million for the benefit of certain Chambers stockholders. The portion of such payment that is not characterized as a return of capital to such stockholders may be available as a deduction to the Company to offset taxable income.</w:t>
      </w:r>
    </w:p>
    <w:p>
      <w:pPr>
        <w:spacing w:after="0" w:line="182" w:lineRule="exact"/>
        <w:rPr>
          <w:rFonts w:ascii="Courier New" w:cs="Courier New" w:eastAsia="Courier New" w:hAnsi="Courier New"/>
          <w:sz w:val="15"/>
          <w:szCs w:val="15"/>
          <w:color w:val="auto"/>
        </w:rPr>
      </w:pPr>
    </w:p>
    <w:p>
      <w:pPr>
        <w:ind w:left="465" w:right="2839" w:hanging="465"/>
        <w:spacing w:after="0" w:line="252" w:lineRule="auto"/>
        <w:tabs>
          <w:tab w:leader="none" w:pos="3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before unusual items, merger costs and early redemption premiums, fees and nonrecurring interest was $7.7 million and $11.6 million for the three and six months ended June 30, 1995, respectively.</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3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issuance and sale by the Company of 5,000,000 shares of Common Stock offered hereby (based on an assumed public offering price of $19 1/2 per share) and the application of the estimated net proceeds therefrom. See "Use of Proceeds." Does not include approximately $1.3 million to be received by the Company upon exercise of outstanding warrants by the Selling Stockholder.</w:t>
      </w:r>
    </w:p>
    <w:p>
      <w:pPr>
        <w:spacing w:after="0" w:line="175" w:lineRule="exact"/>
        <w:rPr>
          <w:rFonts w:ascii="Courier New" w:cs="Courier New" w:eastAsia="Courier New" w:hAnsi="Courier New"/>
          <w:sz w:val="15"/>
          <w:szCs w:val="15"/>
          <w:color w:val="auto"/>
        </w:rPr>
      </w:pPr>
    </w:p>
    <w:p>
      <w:pPr>
        <w:ind w:left="465" w:right="2939" w:hanging="465"/>
        <w:spacing w:after="0" w:line="251" w:lineRule="auto"/>
        <w:tabs>
          <w:tab w:leader="none" w:pos="3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June 30, 1995, the Company borrowed an additional $50 million under its credit facility to fund the settlement of certain stockholder litigation of Chambers, increasing long-term debt, excluding current maturities, to approximately $494 million (actual) and approximately $404 million (as adjusted).</w:t>
      </w: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In addition to other information set forth or incorporated by reference in this Prospectus, the following factors should be considered by prospective investors.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MANAGE AND MAINTAIN GROWTH</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Chambers, the Company's largest acquisition to date.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DEGREE OF LEVERAGE; NEED FOR CAPITAL</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long-term debt of the Company, including current maturities, as of July 31, 1995 was $525.2 million. Although the net proceeds to be received by the Company from this offering will be used to repay a portion of such indebtedness, the Company will continue to maintain significant amounts of debt and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at its sites or nearby properties, or resulting from its or its predecessors' transportation and collection operations, all of which could have a material adverse effect on the Company. The Company may also be subject to actions brought by individuals or community groups in connection with the permitting or licensing of its operations, any alleged violations of such permits and licenses, or other matters.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is subject to liability for environmental damage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 The Company may also be subject to liability for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net proceeds to be received by the Company from the sale of the Common Stock offered hereby (based on an assumed public offering price of $19 1/2 per share) are estimated to be $92.1 million ($106.4 million if the Underwriters' over-allotment option is exercised in full). All of such net proceeds will be used to repay outstanding indebtedness under the Company's credit facility (the "Credit Facility"). The Credit Facility requires that 25% of the net proceeds to be received by the Company from the sale of Common Stock offered hereby be applied to reduce debt under the term loan portion of the Credit Facility. Accordingly, approximately $23.0 million of the net proceeds will be applied to repayment of the term loan (of which $1.8 million will be applied to current maturities). Such payment will be applied against scheduled installments of principal due on a pro rata basis. The balance of the net proceeds will be used to reduce amounts outstanding under the revolving portion of the Credit Facility. Such amounts will be redrawn as the Company's needs dictate for use in the expansion of its business, including acquisitions, and for general corporate purposes.</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Under the terms of the Credit Facility, which expires June 30, 2000, the Company may borrow up to $300 million in a combination of revolving loans and standby letters of credit; provided, that revolving credit loans may not exceed $160 million. The Credit Facility also provides that the Company may borrow up to $250 million on a term loan basis. At June 30, 1995, the Company had $70 million drawn under the revolving facility and $250 million under the term facility, at a weighted average interest rate as of such date of 7.81% per annum. Subsequent to June 30, 1995, the Company borrowed an additional $50 million under the revolving loan portion of the Credit Facility to fund the settlement of certain stockholder litigation of Chambers. The interest rate under the Credit Facility is calculated as a spread plus the current Eurodollar rate (which is defined in the Credit Facility and approximates the London interbank offered rate). The applicable spread depends on the Company's ratio of funded debt to earnings before interest, taxes, depreciation and amortization ("EBITDA"). As a result of the application of the net proceeds of this offering and incremental earnings anticipated as a result of recent acquisitions, the Company expects its ratio of funded debt to EBITDA to decrease and, consequently, expects the applicable spread over the Eurodollar rate to decrease from 1.75% to 1.50% in November 1995. In addition, assuming all of the Convertible Debentures are converted into Common Stock, the applicable spread over the Eurodollar rate under the Credit Facility is expected to decrease further to 1.25%.</w:t>
      </w:r>
    </w:p>
    <w:p>
      <w:pPr>
        <w:spacing w:after="0" w:line="36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August 1995, the Company entered into a three year interest rate swap agreement whereby the Company fixed a maximum interest rate on $125 million of its Credit Facility. The interest rate is the fixed rate of approximately 5.9% plus the applicable spread over the Eurodollar rate as determined under the Credit Facility.</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5" w:right="1440" w:bottom="1440" w:gutter="0" w:footer="0" w:header="0"/>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CAPITALIZATION</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following table sets forth the current maturities of long-term debt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total capitalization of the Company as of June 30, 1995, on an actual basis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as adjusted to reflect the sale by the Company of the 5,000,000 shares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Common Stock offered hereby and the application of the net proceeds therefrom</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(estimated to be $92.1 million, based on an assumed public offering price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$19 1/2 per share). This table should be read in conjunction with the Company's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financial statements and the notes thereto incorporated by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reference herein.</w:t>
      </w:r>
    </w:p>
    <w:p>
      <w:pPr>
        <w:spacing w:after="0" w:line="200" w:lineRule="exact"/>
        <w:rPr>
          <w:sz w:val="20"/>
          <w:szCs w:val="20"/>
          <w:color w:val="auto"/>
        </w:rPr>
      </w:pPr>
    </w:p>
    <w:p>
      <w:pPr>
        <w:spacing w:after="0" w:line="340" w:lineRule="exact"/>
        <w:rPr>
          <w:sz w:val="20"/>
          <w:szCs w:val="20"/>
          <w:color w:val="auto"/>
        </w:rPr>
      </w:pPr>
    </w:p>
    <w:tbl>
      <w:tblPr>
        <w:tblLayout w:type="fixed"/>
        <w:tblInd w:w="365"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JUNE 30,</w:t>
            </w: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440" w:type="dxa"/>
            <w:vAlign w:val="bottom"/>
          </w:tcPr>
          <w:p>
            <w:pPr>
              <w:spacing w:after="0"/>
              <w:rPr>
                <w:sz w:val="15"/>
                <w:szCs w:val="15"/>
                <w:color w:val="auto"/>
              </w:rPr>
            </w:pPr>
          </w:p>
        </w:tc>
        <w:tc>
          <w:tcPr>
            <w:tcW w:w="26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6"/>
              </w:rPr>
              <w:t>ACTUAL</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(IN THOUSANDS)</w:t>
            </w:r>
          </w:p>
        </w:tc>
      </w:tr>
      <w:tr>
        <w:trPr>
          <w:trHeight w:val="355"/>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Current maturities of long-term debt......................</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29,655</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27,813</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Revolving loan(2).......................................</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70,000</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944</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Term loan...............................................</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230,000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208,823</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Industrial revenue bonds................................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80,500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80,500</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Convertible Debentures..................................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48,995</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48,995</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long-term debt....................................</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14,775</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14,775</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long-term debt(2).........................</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444,270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354,037</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Common Stock, $.01 par value, 150,000,000 authorized,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51,025,056 and 56,025,056 issued, respectively(3)....</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510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560</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Additional paid-in capital..............................</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521,043</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613,068</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Accumulated deficit.....................................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(381,883)</w:t>
            </w:r>
          </w:p>
        </w:tc>
        <w:tc>
          <w:tcPr>
            <w:tcW w:w="5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(381,883)</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Less treasury stock at cost, 149,285 shares.............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(1,961)</w:t>
            </w:r>
          </w:p>
        </w:tc>
        <w:tc>
          <w:tcPr>
            <w:tcW w:w="5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(1,961)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stockholders' equity......................</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137,709</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229,784</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capitalization............................</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581,979</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583,821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3119" w:hanging="465"/>
        <w:spacing w:after="0" w:line="252"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reflect the exercise of warrants to purchase 137,500 shares of Common Stock by the Selling Stockholder or the receipt by the Company of approximately $1.3 million upon such exercise.</w:t>
      </w:r>
    </w:p>
    <w:p>
      <w:pPr>
        <w:spacing w:after="0" w:line="174" w:lineRule="exact"/>
        <w:rPr>
          <w:rFonts w:ascii="Courier New" w:cs="Courier New" w:eastAsia="Courier New" w:hAnsi="Courier New"/>
          <w:sz w:val="15"/>
          <w:szCs w:val="15"/>
          <w:color w:val="auto"/>
        </w:rPr>
      </w:pPr>
    </w:p>
    <w:p>
      <w:pPr>
        <w:ind w:left="465" w:right="2939" w:hanging="465"/>
        <w:spacing w:after="0" w:line="251"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June 30, 1995, the Company borrowed an additional $50 million under the revolving loan portion of the Credit Facility to fund the settlement of certain stockholder litigation of Chambers. Giving effect to such additional borrowings as if made on June 30, 1995, the revolving loan amount would have been approximately $120 million (actual) and approximately $51 million (as adjusted) and the total long-term debt would have been approximately $494 million (actual) and approximately $404 million (as adjusted).</w:t>
      </w:r>
    </w:p>
    <w:p>
      <w:pPr>
        <w:spacing w:after="0" w:line="175" w:lineRule="exact"/>
        <w:rPr>
          <w:rFonts w:ascii="Courier New" w:cs="Courier New" w:eastAsia="Courier New" w:hAnsi="Courier New"/>
          <w:sz w:val="15"/>
          <w:szCs w:val="15"/>
          <w:color w:val="auto"/>
        </w:rPr>
      </w:pPr>
    </w:p>
    <w:p>
      <w:pPr>
        <w:ind w:left="465" w:right="3399" w:hanging="465"/>
        <w:spacing w:after="0" w:line="252"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3,697,835 shares issuable upon conversion of the Convertible Debentures and 5,142,089 shares issuable upon exercise of outstanding options and warrants as of June 30, 1995.</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 The Company manages its operations on a decentralized basis with a vice president in each region or division being responsible for the day-to-day operations and financial performance of that region or division.</w:t>
      </w:r>
    </w:p>
    <w:p>
      <w:pPr>
        <w:spacing w:after="0" w:line="175"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disposal fees and approximately 9% was from transfer operations. The remaining 7% was attributable to other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solid waste management industry in North America accounts for an estimated $30 billion per year in revenues. Despite the size of the solid waste management industry, historically it has been a fragmented industry, with primarily local operators servicing relatively small areas. In recent years, however, the industry has undergone a period of significant consolidation.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solid waste management industry has been significantly affected by increased regulation of collection and disposal activities. In October 1991, the Environmental Protection Agency adopted new regulations, pursuant to Subtitle D of the Resource Conservation and Recovery Act, governing the disposal of non-hazardous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 enhanced control systems to monitor more closely the waste streams being disposed at landfills, extensive post-closure monitoring of sites and financial assurances that landfill operators will be able to comply with the stringent regulations. The result of these regulatory requirements has been increased costs throughout the solid waste management industry, with particularly dramatic increases for landfill operators.</w:t>
      </w:r>
    </w:p>
    <w:p>
      <w:pPr>
        <w:spacing w:after="0" w:line="361"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rising costs associated with increasingly stringent industry regulations have tended to promote consolidation and acquisition activity within the industry. Many industry participants have found the increased costs difficult to bear. Consequently, many smaller, independent operators have decided to either close their operations or sell them to stronger operators. Some municipalities have chosen to discontinue their operations and have turned the management of solid waste services over to private concerns. In addition, compliance costs have directly affected costs in the transfer and collection markets as landfill operators have attempted to pass compliance costs on to customers by increasing fees for disposal.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85" w:lineRule="exact"/>
        <w:rPr>
          <w:sz w:val="20"/>
          <w:szCs w:val="20"/>
          <w:color w:val="auto"/>
        </w:rPr>
      </w:pPr>
    </w:p>
    <w:p>
      <w:pPr>
        <w:ind w:right="3219" w:firstLine="461"/>
        <w:spacing w:after="0" w:line="252" w:lineRule="auto"/>
        <w:rPr>
          <w:sz w:val="20"/>
          <w:szCs w:val="20"/>
          <w:color w:val="auto"/>
        </w:rPr>
      </w:pPr>
      <w:r>
        <w:rPr>
          <w:rFonts w:ascii="Courier New" w:cs="Courier New" w:eastAsia="Courier New" w:hAnsi="Courier New"/>
          <w:sz w:val="15"/>
          <w:szCs w:val="15"/>
          <w:color w:val="auto"/>
        </w:rPr>
        <w:t>The Company seeks to capitalize on the consolidation in the solid waste management industry in several ways. Key elements of the Company's strategy include:</w:t>
      </w:r>
    </w:p>
    <w:p>
      <w:pPr>
        <w:spacing w:after="0" w:line="175" w:lineRule="exact"/>
        <w:rPr>
          <w:sz w:val="20"/>
          <w:szCs w:val="20"/>
          <w:color w:val="auto"/>
        </w:rPr>
      </w:pPr>
    </w:p>
    <w:p>
      <w:pPr>
        <w:ind w:left="540" w:right="3019" w:hanging="84"/>
        <w:spacing w:after="0" w:line="250" w:lineRule="auto"/>
        <w:tabs>
          <w:tab w:leader="none" w:pos="63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productivity and operating efficiencies in existing and acquired operations. The Company seeks to increase productivity, achieve administrative and operating efficiencies and improve profitability in existing operations and acquired businesses, with the objective of becoming the low cost operator in each of its markets. Measures taken by the Company in this connection include consolidating and implementing uniform administrative and management systems, restructuring and consolidating collection routes, improving equipment utilization, and increasing employee productivity through incentive compensation and training programs. The Company's management believes that its ability to</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jc w:val="both"/>
        <w:ind w:left="540" w:right="3759"/>
        <w:spacing w:after="0" w:line="252" w:lineRule="auto"/>
        <w:rPr>
          <w:sz w:val="20"/>
          <w:szCs w:val="20"/>
          <w:color w:val="auto"/>
        </w:rPr>
      </w:pPr>
      <w:r>
        <w:rPr>
          <w:rFonts w:ascii="Courier New" w:cs="Courier New" w:eastAsia="Courier New" w:hAnsi="Courier New"/>
          <w:sz w:val="15"/>
          <w:szCs w:val="15"/>
          <w:color w:val="auto"/>
        </w:rPr>
        <w:t>serve markets as a low cost operator is fundamental to achieving sustainable internal growth and to realizing the benefits of its acquisition strategy.</w:t>
      </w:r>
    </w:p>
    <w:p>
      <w:pPr>
        <w:spacing w:after="0" w:line="175" w:lineRule="exact"/>
        <w:rPr>
          <w:sz w:val="20"/>
          <w:szCs w:val="20"/>
          <w:color w:val="auto"/>
        </w:rPr>
      </w:pPr>
    </w:p>
    <w:p>
      <w:pPr>
        <w:ind w:left="540" w:right="2839" w:hanging="84"/>
        <w:spacing w:after="0" w:line="251" w:lineRule="auto"/>
        <w:tabs>
          <w:tab w:leader="none" w:pos="63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through tuck-in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175" w:lineRule="exact"/>
        <w:rPr>
          <w:rFonts w:ascii="Courier New" w:cs="Courier New" w:eastAsia="Courier New" w:hAnsi="Courier New"/>
          <w:sz w:val="15"/>
          <w:szCs w:val="15"/>
          <w:color w:val="auto"/>
        </w:rPr>
      </w:pPr>
    </w:p>
    <w:p>
      <w:pPr>
        <w:ind w:left="540" w:right="2839" w:hanging="84"/>
        <w:spacing w:after="0" w:line="251" w:lineRule="auto"/>
        <w:tabs>
          <w:tab w:leader="none" w:pos="63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into new markets through acquisitions. The Company pursues acquisitions in new markets where the Company believes it can strengthen its overall competitive position as a national provider of integrated solid waste management services and where opportunities exist to apply the Company's operating and management expertise to enhance the performance of acquired operations.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Chambers Merger provided the Company the opportunity to capitalize on the substantial investment made by Chambers in the permitting, design and construction of its landfills. The Company has taken a variety of steps to increase waste flows and improve efficiencies of Chambers' collection and landfill operations, including the completion of recent acquisitions that complement existing Chambers operations, implementing various routing and other operating efficiencies and attracting additional customers. The Company has also undertaken to reduce overhead and operating costs and increase employee productivity. In this connection, the Company has closed the Chambers corporate headquarters in Pittsburgh, Pennsylvania, relocated two regional offices of Chambers to existing facilities of the Company and implemented headcount reductions. To increase productivity, the Company is implementing incentive compensation programs for Chambers employees where such programs were not previously available.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services include collection, transfer, disposal, recycling and certain other waste management services, including soil remediation and medical waste incineration. The Company operates in 21 states with 29 landfills, 42 collection operations and 21 transfer stations and serves more than 450,000 customers.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SOLID WASTE LANDFILLS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Municipal solid waste landfills are the primary depository for solid waste in North America. A landfill must be maintained carefully to meet federal, state and local regulations. Maintenance includes excavation, continuous spreading and compacting of waste, and covering of waste with earth or other inert material at least once a day. The cost of transferring solid waste to a disposal location places a geographic restriction on solid waste companies. Access to a disposal facility, such as a landfill, is a requirement for all solid waste management companies. While access can be obtained to disposal facilities owned or operated by unaffiliated parties, the Company believes that it is generally preferable for collection companies to own or operate their own disposal facilities so that access can be assured on favorable terms. Revenues from the Company's landfills, consisting of landfill disposal fees, are generated from third-party solid waste collectors and generators. Disposal fees are based on the weight or volume and the type of waste disposed at the landfills.</w:t>
      </w:r>
    </w:p>
    <w:p>
      <w:pPr>
        <w:spacing w:after="0" w:line="18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currently owns and operates 28 non-hazardous solid waste landfills, including two construction and demolition debris landfills, and operates one landfill pursuant to contract. The average remaining life of such landfills, based on the aggregate remaining permit capacity and the aggregate current average monthly disposal volumes, is approximately 22 years.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ownership or lease of a landfill site enables the Company to dispose of its collected waste without payment of disposal fees to others. The Company does not own or lease a landfill site in every metropolitan area in which it is engaged in waste collection. To date, the Company has not experienced excessive difficulty securing the use of disposal facilities owned or operated by others in those metropolitan areas in which it does not own or operate its own landfill. The Company's landfills are also used by other waste collection companies and government agencies on a contract or noncontract basis.</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Prior to the Chambers Merger, Chambers had invested substantial capital to develop landfills in compliance with strict environmental standards. Development activities included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leachate and methane collection and treatment systems, and stormwater and surface water management systems. A large portion of the infrastructure expenditures with respect to each site is nonrecurring and required only at the initial phase in order to prepare the site for the receipt of waste and to support the operation of the landfill throughout its useful life.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COLLECTION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Solid waste collection is generally provided under two primary types of arrangements, depending on the customer being served. Commercial and roll-off collection services are generally performed under one- to three-year service agreements. Many residential solid waste collection services are performed under contracts with, or franchises granted by, municipalities or regional authorities that give the Company exclusive rights to service all or a portion of the homes in their jurisdiction. Such contracts or franchises usually range in duration from one to five years. Collection fees are determined by such factors as collection frequency, type of collection equipment furnished by the Company, the type and volume or weight of the waste collected, the distance to the disposal facility and cost of disposal. Residential collection fees are either paid by the municipalities out of tax revenues or service charges or are paid directly by the residents receiving the service.</w:t>
      </w:r>
    </w:p>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As part of its services, the Company provides steel containers to most of its commercial and roll-off customers to store solid waste. These containers, ranging in size from one to 45 cubic yards, are designed to be lifted mechanically and either emptied into a collection vehicle's compaction hopper or, in the case of roll-off containers, to be loaded onto the collection vehicle. The use of containers enables the Company to service most of its commercial and roll-off customers with collection vehicles operated by a single employee.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The Company also solicits commercial and roll-off customers in areas surrounding acquired residential collection markets as a means of further improving operating efficiencies and increasing volumes of solid waste collection.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STATIONS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 transfer station is a facility where solid waste is received from collection vehicles and then transferred to and compacted in large, specially-constructed trailers for transportation to disposal facilities. This consolidation reduces costs by improving utilization of collection personnel and equipment, and is a standard procedure in the solid waste management industry. Fees are generally based upon such factors as the type and volume or weight of the waste transferred and the transport distance involved.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RECYCLING</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response to the increasing public environmental awareness and expanding federal and state regulations pertaining to waste recycling, the Company has developed recycling as a component of its integrated solid waste management plan. Curbside collection of recyclable materials for residential customers, commercial and industrial collection of recyclable materials, and, to a lesser extent, material recovery/waste reduction facilities are services in which the Company has become involved to complement its collection and transfer operations, and additional opportunities for expansion in these areas will continue to be evaluated.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owns and operates two soil remediation facilities in Pennsylvania serving the greater Philadelphia metropolitan area, New Jersey, and southern New York. In addition, the Company owns and operates a medical, special and municipal waste incineration facility in South Carolina which is permitted to incinerate 200 tons per day of medical waste, municipal solid waste and other approved non-hazardous special wastes.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SELLING STOCKHOLDER</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Common Stock as of the date of this offering and as adjusted to reflect the sale of the Common Stock offered hereby by the Selling Stockholder.</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5"/>
          <w:szCs w:val="15"/>
          <w:color w:val="auto"/>
        </w:rPr>
        <w:t>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TO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HEREBY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PERCENT</w:t>
      </w:r>
    </w:p>
    <w:p>
      <w:pPr>
        <w:spacing w:after="0" w:line="185" w:lineRule="exact"/>
        <w:rPr>
          <w:sz w:val="20"/>
          <w:szCs w:val="20"/>
          <w:color w:val="auto"/>
        </w:rPr>
      </w:pPr>
    </w:p>
    <w:p>
      <w:pPr>
        <w:sectPr>
          <w:pgSz w:w="11900" w:h="16838" w:orient="portrait"/>
          <w:cols w:equalWidth="0" w:num="4">
            <w:col w:w="2960" w:space="720"/>
            <w:col w:w="1940" w:space="380"/>
            <w:col w:w="1280" w:space="380"/>
            <w:col w:w="255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187,917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137,500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50,417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3600" w:space="260"/>
            <w:col w:w="660" w:space="640"/>
            <w:col w:w="480" w:space="720"/>
            <w:col w:w="760" w:space="720"/>
            <w:col w:w="560" w:space="720"/>
            <w:col w:w="1099"/>
          </w:cols>
          <w:pgMar w:left="240" w:top="29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UNDERWRITING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Subject to the terms and conditions contained in the Underwriting Agreement, a syndicate of underwriters named below (the "Underwriters"), for whom Donaldson, Lufkin &amp; Jenrette Securities Corporation, Deutsche Morgan Grenfell/C. J. Lawrence Inc. and Smith Barney Inc. are acting as representatives (the "Representatives"), has agreed to purchase 5,000,000 shares of Common Stock from the Company and 137,500 shares of Common Stock from the Selling Stockholder. The number of shares of Common Stock that each Underwriter has agreed to purchase is set forth below.</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5"/>
          <w:szCs w:val="15"/>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w:t>
      </w:r>
    </w:p>
    <w:p>
      <w:pPr>
        <w:spacing w:after="0" w:line="185" w:lineRule="exact"/>
        <w:rPr>
          <w:sz w:val="20"/>
          <w:szCs w:val="20"/>
          <w:color w:val="auto"/>
        </w:rPr>
      </w:pPr>
    </w:p>
    <w:p>
      <w:pPr>
        <w:sectPr>
          <w:pgSz w:w="11900" w:h="16838" w:orient="portrait"/>
          <w:cols w:equalWidth="0" w:num="2">
            <w:col w:w="6660" w:space="720"/>
            <w:col w:w="2839"/>
          </w:cols>
          <w:pgMar w:left="240" w:top="29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Deutsche Morgan Grenfell/C. J. Lawrence Inc................................</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Smith Barney Inc...........................................................</w:t>
      </w:r>
    </w:p>
    <w:p>
      <w:pPr>
        <w:spacing w:after="0" w:line="185"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Total............................................................ 5,137,500</w:t>
      </w:r>
    </w:p>
    <w:p>
      <w:pPr>
        <w:spacing w:after="0" w:line="8"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type w:val="continuous"/>
        </w:sectPr>
      </w:pP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pay for and accept delivery of the shares of Common Stock are subject to the approval of certain legal matters by counsel and to certain other conditions. If any of the shares of Common Stock are purchased by the Underwriters pursuant to the Underwriting Agreement, all such shares of Common Stock (other than the shares of Common Stock covered by the over-allotment option described below) must be so purchased.</w:t>
      </w:r>
    </w:p>
    <w:p>
      <w:pPr>
        <w:spacing w:after="0" w:line="176"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The Company and the Selling Stockholder have been advised by the Representatives that the Underwriters propose to offer the Common Stock to the</w:t>
      </w:r>
    </w:p>
    <w:p>
      <w:pPr>
        <w:spacing w:after="0" w:line="1"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public initially at the price to the public set forth on the cover page of this Prospectus and to certain dealers (who may include the Underwriters) at such price less a concession not to exceed $ per share. The Underwriters may allow, and such dealers may reallow, a discount not in excess of $ per share to any other Underwriter and certain other dealers.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Company has granted to the Underwriters an option to purchase up to 770,625 additional shares of Common Stock at the price set forth on the cover page of this Prospectus less underwriting discounts and commissions, solely to cover over-allotments. Such option may be exercised at any time until 30 days after the date of this Prospectus. To the extent that the Underwriters exercise such option, each of the Underwriters will be committed, subject to certain conditions, to purchase a number of option shares proportionate to such Underwriter's initial commitment as indicated in the preceding table.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subject to certain exceptions (including issuances of Common Stock in connection with acquisitions), and the officers, directors and certain stockholders (including the Selling Stockholder) of the Company have agreed not to offer, sell or otherwise dispose of any shares of Common Stock or any securities convertible into, or exercisable for, any shares of Common Stock prior to the expiration of 90 days from the date of this Prospectus, without the prior written consent of the Representatives.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and the Selling Stockholder have agreed to indemnify the Underwriters against certain liabilities, including liabilities under the Securities Act or to contribute to payment that the Underwriters may be required to make in respect thereof.</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Donaldson, Lufkin &amp; Jenrette Securities Corporation and Smith Barney Inc. have from time to time performed various investment banking and financial advisory services for the Company for which customary compensation has been received. Deutsche Bank Aktiengesellschaft, the parent of Deutsche Morgan Grenfell/C. J. Lawrence Inc., is a lender under the Company's Credit Facility.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jc w:val="both"/>
        <w:ind w:right="3119" w:firstLine="461"/>
        <w:spacing w:after="0" w:line="251" w:lineRule="auto"/>
        <w:rPr>
          <w:sz w:val="20"/>
          <w:szCs w:val="20"/>
          <w:color w:val="auto"/>
        </w:rPr>
      </w:pPr>
      <w:r>
        <w:rPr>
          <w:rFonts w:ascii="Courier New" w:cs="Courier New" w:eastAsia="Courier New" w:hAnsi="Courier New"/>
          <w:sz w:val="15"/>
          <w:szCs w:val="15"/>
          <w:color w:val="auto"/>
        </w:rPr>
        <w:t>The validity of the issuance of the shares offered hereby will be passed upon for the Company by Andrews &amp; Kurth L.L.P., Houston, Texas. Certain legal matters will be passed upon for the Underwriters by McDermott, Will &amp; Emery, Chicago, Illinois.</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consolidated financial statements of the Company (i) as of December 31, 1993 and 1994, and for each of the three years in the period ended December 31, 1994, which are included in the Company's Annual Report on Form 10-K for the fiscal year ended December 31, 1994, as amended by Form 10-K/A, and are included and incorporated by reference into the Company's Joint Proxy Statement and Prospectus dated May 19, 1995, and (ii) the supplemental consolidated financial statements of the Company as of December 31, 1993 and 1994, and for each of the three years in the period ended December 31, 1994, which are included in the Company's Current Report on Form 8-K dated June 30, 1995, incorporated in this Prospectus by reference have been audited by Coopers &amp; Lybrand L.L.P., independent accountants, given on the authority of that firm as experts in accounting and auditing.</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Envirofil, Inc. for the year ended June 30, 1993 and the combined financial statements of the Acquired New Jersey Solid Waste Companies as of December 31, 1992 and 1993 and for each of the three years in the period ended December 31, 1993 incorporated into this Prospectus by reference to Envirofil, Inc.'s Form 8-K filed with the Commission on February 28, 1994, as amended by Envirofil, Inc.'s Form 8-K/A filed with the Commission on May 11, 1994, have been incorporated by reference herein in reliance upon the report of Arthur Andersen LLP, independent public accountants, given on the authority of that firm as experts in accounting and auditing in giving said report.</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Chambers at December 31, 1993 and 1994, and for each of the three years in the period ended December 31, 1994, incorporated by reference in this Prospectus have been audited by Deloitte &amp; Touche LLP, independent auditors, as stated in their reports, which are incorporated by reference herein, and have been so incorporated in reliance upon the reports of such firm given upon their authority as experts in accounting and auditing.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IN OR INCORPORATED BY REFERENCE IN THIS PROSPECTUS AND, IF GIVEN OR MADE, SUCH INFORMATION OR REPRESENTATIONS MUST NOT BE RELIED UPON AS HAVING BEEN AUTHORIZED BY THE COMPANY, THE SELLING STOCKHOLDER OR THE UNDERWRITERS. THIS PROSPECTUS DOES NOT CONSTITUTE AN OFFER TO SELL OR A SOLICITATION OF AN OFFER TO BUY ANY OF THESE SECURITIES IN ANY JURISDICTION TO ANY PERSON TO WHOM IT IS UNLAWFUL TO MAKE SUCH OFFER OR SOLICITATION IN SUCH JURISDICTION. THE DELIVERY OF THIS PROSPECTUS AT ANY TIME DOES NOT IMPLY THAT THE INFORMATION CONTAINED OR INCORPORATED BY REFERENCE HEREIN IS CORRECT AS OF ANY TIME SUBSEQUENT TO ITS DATE.</w:t>
      </w: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PAGE</w:t>
      </w:r>
    </w:p>
    <w:p>
      <w:pPr>
        <w:spacing w:after="0" w:line="185"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8" w:lineRule="exact"/>
        <w:rPr>
          <w:sz w:val="20"/>
          <w:szCs w:val="20"/>
          <w:color w:val="auto"/>
        </w:rPr>
      </w:pPr>
    </w:p>
    <w:p>
      <w:pPr>
        <w:ind w:left="180"/>
        <w:spacing w:after="0"/>
        <w:tabs>
          <w:tab w:leader="dot" w:pos="384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2</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8</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Selling Stockholder</w:t>
      </w:r>
      <w:r>
        <w:rPr>
          <w:sz w:val="20"/>
          <w:szCs w:val="20"/>
          <w:color w:val="auto"/>
        </w:rPr>
        <w:tab/>
      </w:r>
      <w:r>
        <w:rPr>
          <w:rFonts w:ascii="Courier New" w:cs="Courier New" w:eastAsia="Courier New" w:hAnsi="Courier New"/>
          <w:sz w:val="15"/>
          <w:szCs w:val="15"/>
          <w:color w:val="auto"/>
        </w:rPr>
        <w:t>13</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14</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15</w:t>
      </w:r>
    </w:p>
    <w:p>
      <w:pPr>
        <w:spacing w:after="0" w:line="362"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5,137,500 SHARES</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USA WASTE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SERVICES, INC.</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DEUTSCHE MORGAN GRENFELL</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SMITH BARNEY INC.</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 1995</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2019-12-12T06:50:18Z</dcterms:created>
  <dcterms:modified xsi:type="dcterms:W3CDTF">2019-12-12T06:50:18Z</dcterms:modified>
</cp:coreProperties>
</file>