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36" w:lineRule="exact"/>
        <w:rPr>
          <w:sz w:val="24"/>
          <w:szCs w:val="24"/>
          <w:color w:val="auto"/>
        </w:rPr>
      </w:pPr>
    </w:p>
    <w:p>
      <w:pPr>
        <w:ind w:left="7840"/>
        <w:spacing w:after="0"/>
        <w:rPr>
          <w:sz w:val="20"/>
          <w:szCs w:val="20"/>
          <w:color w:val="auto"/>
        </w:rPr>
      </w:pPr>
      <w:r>
        <w:rPr>
          <w:rFonts w:ascii="Arial" w:cs="Arial" w:eastAsia="Arial" w:hAnsi="Arial"/>
          <w:sz w:val="15"/>
          <w:szCs w:val="15"/>
          <w:b w:val="1"/>
          <w:bCs w:val="1"/>
          <w:color w:val="auto"/>
        </w:rPr>
        <w:t>Registration File No. 333-264493</w:t>
      </w:r>
    </w:p>
    <w:p>
      <w:pPr>
        <w:spacing w:after="0" w:line="233"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(To Prospectus dated April 26, 2022)</w:t>
      </w:r>
    </w:p>
    <w:p>
      <w:pPr>
        <w:spacing w:after="0" w:line="202" w:lineRule="exact"/>
        <w:rPr>
          <w:sz w:val="24"/>
          <w:szCs w:val="24"/>
          <w:color w:val="auto"/>
        </w:rPr>
      </w:pPr>
    </w:p>
    <w:p>
      <w:pPr>
        <w:ind w:left="4620"/>
        <w:spacing w:after="0"/>
        <w:rPr>
          <w:sz w:val="20"/>
          <w:szCs w:val="20"/>
          <w:color w:val="auto"/>
        </w:rPr>
      </w:pPr>
      <w:r>
        <w:rPr>
          <w:rFonts w:ascii="Arial" w:cs="Arial" w:eastAsia="Arial" w:hAnsi="Arial"/>
          <w:sz w:val="25"/>
          <w:szCs w:val="25"/>
          <w:b w:val="1"/>
          <w:bCs w:val="1"/>
          <w:color w:val="auto"/>
        </w:rPr>
        <w:t>$1,000,000,000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2171700</wp:posOffset>
            </wp:positionH>
            <wp:positionV relativeFrom="paragraph">
              <wp:posOffset>123190</wp:posOffset>
            </wp:positionV>
            <wp:extent cx="2468880"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left="3860"/>
        <w:spacing w:after="0"/>
        <w:rPr>
          <w:sz w:val="20"/>
          <w:szCs w:val="20"/>
          <w:color w:val="auto"/>
        </w:rPr>
      </w:pPr>
      <w:r>
        <w:rPr>
          <w:rFonts w:ascii="Arial" w:cs="Arial" w:eastAsia="Arial" w:hAnsi="Arial"/>
          <w:sz w:val="25"/>
          <w:szCs w:val="25"/>
          <w:b w:val="1"/>
          <w:bCs w:val="1"/>
          <w:color w:val="auto"/>
        </w:rPr>
        <w:t>4.15% Senior Notes due 2032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140335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6" w:lineRule="exact"/>
        <w:rPr>
          <w:sz w:val="24"/>
          <w:szCs w:val="24"/>
          <w:color w:val="auto"/>
        </w:rPr>
      </w:pPr>
    </w:p>
    <w:p>
      <w:pPr>
        <w:ind w:left="500" w:right="140" w:firstLine="360"/>
        <w:spacing w:after="0" w:line="248" w:lineRule="auto"/>
        <w:rPr>
          <w:sz w:val="20"/>
          <w:szCs w:val="20"/>
          <w:color w:val="auto"/>
        </w:rPr>
      </w:pPr>
      <w:r>
        <w:rPr>
          <w:rFonts w:ascii="Arial" w:cs="Arial" w:eastAsia="Arial" w:hAnsi="Arial"/>
          <w:sz w:val="18"/>
          <w:szCs w:val="18"/>
          <w:color w:val="auto"/>
        </w:rPr>
        <w:t>We are offering $1,000,000,000 of our 4.15% senior notes due 2032 (the “notes”) . Interest on the notes will accrue from May 12, 2022 and will be payable on April 15 and October 15 of each year, beginning October 15, 2022. The notes will mature on April 15, 2032.</w:t>
      </w:r>
    </w:p>
    <w:p>
      <w:pPr>
        <w:spacing w:after="0" w:line="74" w:lineRule="exact"/>
        <w:rPr>
          <w:sz w:val="24"/>
          <w:szCs w:val="24"/>
          <w:color w:val="auto"/>
        </w:rPr>
      </w:pPr>
    </w:p>
    <w:p>
      <w:pPr>
        <w:ind w:left="500" w:right="40" w:firstLine="360"/>
        <w:spacing w:after="0" w:line="243" w:lineRule="auto"/>
        <w:rPr>
          <w:sz w:val="20"/>
          <w:szCs w:val="20"/>
          <w:color w:val="auto"/>
        </w:rPr>
      </w:pPr>
      <w:r>
        <w:rPr>
          <w:rFonts w:ascii="Arial" w:cs="Arial" w:eastAsia="Arial" w:hAnsi="Arial"/>
          <w:sz w:val="18"/>
          <w:szCs w:val="18"/>
          <w:color w:val="auto"/>
        </w:rPr>
        <w:t>The notes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80" w:lineRule="exact"/>
        <w:rPr>
          <w:sz w:val="24"/>
          <w:szCs w:val="24"/>
          <w:color w:val="auto"/>
        </w:rPr>
      </w:pPr>
    </w:p>
    <w:p>
      <w:pPr>
        <w:ind w:left="500" w:right="200" w:firstLine="360"/>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We may redeem the notes, in whole or in part, at any time at the redemption prices described beginning on page </w:t>
      </w:r>
      <w:hyperlink w:anchor="page12">
        <w:r>
          <w:rPr>
            <w:rFonts w:ascii="Arial" w:cs="Arial" w:eastAsia="Arial" w:hAnsi="Arial"/>
            <w:sz w:val="18"/>
            <w:szCs w:val="18"/>
            <w:u w:val="single" w:color="auto"/>
            <w:color w:val="0000EE"/>
          </w:rPr>
          <w:t>S-11</w:t>
        </w:r>
      </w:hyperlink>
      <w:r>
        <w:rPr>
          <w:rFonts w:ascii="Arial" w:cs="Arial" w:eastAsia="Arial" w:hAnsi="Arial"/>
          <w:sz w:val="18"/>
          <w:szCs w:val="18"/>
          <w:color w:val="auto"/>
        </w:rPr>
        <w:t xml:space="preserve">. If a change of control triggering event as described beginning on page </w:t>
      </w:r>
      <w:hyperlink w:anchor="page15">
        <w:r>
          <w:rPr>
            <w:rFonts w:ascii="Arial" w:cs="Arial" w:eastAsia="Arial" w:hAnsi="Arial"/>
            <w:sz w:val="18"/>
            <w:szCs w:val="18"/>
            <w:u w:val="single" w:color="auto"/>
            <w:color w:val="0000EE"/>
          </w:rPr>
          <w:t>S-14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occurs, we may be required to offer to purchase the notes from holders.</w:t>
      </w:r>
    </w:p>
    <w:p>
      <w:pPr>
        <w:spacing w:after="0" w:line="70" w:lineRule="exact"/>
        <w:rPr>
          <w:sz w:val="20"/>
          <w:szCs w:val="20"/>
          <w:color w:val="auto"/>
        </w:rPr>
      </w:pPr>
    </w:p>
    <w:p>
      <w:pPr>
        <w:ind w:left="500" w:right="180" w:firstLine="36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the notes involves risks.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beginning on page </w:t>
      </w:r>
      <w:hyperlink w:anchor="page5">
        <w:r>
          <w:rPr>
            <w:rFonts w:ascii="Arial" w:cs="Arial" w:eastAsia="Arial" w:hAnsi="Arial"/>
            <w:sz w:val="18"/>
            <w:szCs w:val="18"/>
            <w:b w:val="1"/>
            <w:bCs w:val="1"/>
            <w:u w:val="single" w:color="auto"/>
            <w:color w:val="0000EE"/>
          </w:rPr>
          <w:t>S-4</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 xml:space="preserve">of this prospectus supplement and page </w:t>
      </w:r>
      <w:hyperlink w:anchor="page45">
        <w:r>
          <w:rPr>
            <w:rFonts w:ascii="Arial" w:cs="Arial" w:eastAsia="Arial" w:hAnsi="Arial"/>
            <w:sz w:val="18"/>
            <w:szCs w:val="18"/>
            <w:b w:val="1"/>
            <w:bCs w:val="1"/>
            <w:u w:val="single" w:color="auto"/>
            <w:color w:val="0000EE"/>
          </w:rPr>
          <w:t>8</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97790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4" w:lineRule="exact"/>
        <w:rPr>
          <w:sz w:val="20"/>
          <w:szCs w:val="20"/>
          <w:color w:val="auto"/>
        </w:rPr>
      </w:pPr>
    </w:p>
    <w:p>
      <w:pPr>
        <w:ind w:left="500" w:right="360" w:firstLine="360"/>
        <w:spacing w:after="0" w:line="250"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98425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7"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 Note</w:t>
            </w:r>
          </w:p>
        </w:tc>
        <w:tc>
          <w:tcPr>
            <w:tcW w:w="100" w:type="dxa"/>
            <w:vAlign w:val="bottom"/>
          </w:tcPr>
          <w:p>
            <w:pPr>
              <w:spacing w:after="0"/>
              <w:rPr>
                <w:sz w:val="16"/>
                <w:szCs w:val="16"/>
                <w:color w:val="auto"/>
              </w:rPr>
            </w:pPr>
          </w:p>
        </w:tc>
        <w:tc>
          <w:tcPr>
            <w:tcW w:w="900" w:type="dxa"/>
            <w:vAlign w:val="bottom"/>
          </w:tcPr>
          <w:p>
            <w:pPr>
              <w:jc w:val="right"/>
              <w:ind w:right="255"/>
              <w:spacing w:after="0"/>
              <w:rPr>
                <w:sz w:val="20"/>
                <w:szCs w:val="20"/>
                <w:color w:val="auto"/>
              </w:rPr>
            </w:pPr>
            <w:r>
              <w:rPr>
                <w:rFonts w:ascii="Arial" w:cs="Arial" w:eastAsia="Arial" w:hAnsi="Arial"/>
                <w:sz w:val="14"/>
                <w:szCs w:val="14"/>
                <w:b w:val="1"/>
                <w:bCs w:val="1"/>
                <w:color w:val="auto"/>
              </w:rPr>
              <w:t>Total</w:t>
            </w:r>
          </w:p>
        </w:tc>
      </w:tr>
      <w:tr>
        <w:trPr>
          <w:trHeight w:val="25"/>
        </w:trPr>
        <w:tc>
          <w:tcPr>
            <w:tcW w:w="79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7"/>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r>
              <w:rPr>
                <w:rFonts w:ascii="Arial" w:cs="Arial" w:eastAsia="Arial" w:hAnsi="Arial"/>
                <w:sz w:val="23"/>
                <w:szCs w:val="23"/>
                <w:color w:val="auto"/>
                <w:vertAlign w:val="superscript"/>
              </w:rPr>
              <w:t>(1)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99.850%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998,500,000</w:t>
            </w:r>
          </w:p>
        </w:tc>
      </w:tr>
      <w:tr>
        <w:trPr>
          <w:trHeight w:val="256"/>
        </w:trPr>
        <w:tc>
          <w:tcPr>
            <w:tcW w:w="7940" w:type="dxa"/>
            <w:vAlign w:val="bottom"/>
          </w:tcPr>
          <w:p>
            <w:pPr>
              <w:spacing w:after="0"/>
              <w:rPr>
                <w:sz w:val="20"/>
                <w:szCs w:val="20"/>
                <w:color w:val="auto"/>
              </w:rPr>
            </w:pPr>
            <w:r>
              <w:rPr>
                <w:rFonts w:ascii="Arial" w:cs="Arial" w:eastAsia="Arial" w:hAnsi="Arial"/>
                <w:sz w:val="18"/>
                <w:szCs w:val="18"/>
                <w:color w:val="auto"/>
              </w:rPr>
              <w:t>Underwriting Discount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0.650%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6,500,000</w:t>
            </w:r>
          </w:p>
        </w:tc>
      </w:tr>
      <w:tr>
        <w:trPr>
          <w:trHeight w:val="257"/>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(excluding expenses)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99.200%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992,000,000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-513715</wp:posOffset>
            </wp:positionV>
            <wp:extent cx="5537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3783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146050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860" w:hanging="368"/>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from May 12, 2022, if delivery occurs after that date.</w:t>
      </w:r>
    </w:p>
    <w:p>
      <w:pPr>
        <w:spacing w:after="0" w:line="11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104" w:lineRule="exact"/>
        <w:rPr>
          <w:sz w:val="20"/>
          <w:szCs w:val="20"/>
          <w:color w:val="auto"/>
        </w:rPr>
      </w:pPr>
    </w:p>
    <w:p>
      <w:pPr>
        <w:ind w:left="500" w:right="260" w:firstLine="360"/>
        <w:spacing w:after="0" w:line="248" w:lineRule="auto"/>
        <w:rPr>
          <w:sz w:val="20"/>
          <w:szCs w:val="20"/>
          <w:color w:val="auto"/>
        </w:rPr>
      </w:pPr>
      <w:r>
        <w:rPr>
          <w:rFonts w:ascii="Arial" w:cs="Arial" w:eastAsia="Arial" w:hAnsi="Arial"/>
          <w:sz w:val="18"/>
          <w:szCs w:val="18"/>
          <w:color w:val="auto"/>
        </w:rPr>
        <w:t>The underwriters expect to deliver the notes to investors on or about May 12, 2022 only in book -entry form through the facilities of The Depository Trust Company and its participants, including Clearstream Banking S.A. and Euroclear Bank SA/ NV, as operator of the Euroclear System.</w:t>
      </w:r>
    </w:p>
    <w:p>
      <w:pPr>
        <w:spacing w:after="0" w:line="74"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2500" w:type="dxa"/>
            <w:vAlign w:val="bottom"/>
          </w:tcPr>
          <w:p>
            <w:pPr>
              <w:spacing w:after="0"/>
              <w:rPr>
                <w:sz w:val="18"/>
                <w:szCs w:val="18"/>
                <w:color w:val="auto"/>
              </w:rPr>
            </w:pPr>
          </w:p>
        </w:tc>
        <w:tc>
          <w:tcPr>
            <w:tcW w:w="4300" w:type="dxa"/>
            <w:vAlign w:val="bottom"/>
            <w:gridSpan w:val="2"/>
          </w:tcPr>
          <w:p>
            <w:pPr>
              <w:jc w:val="center"/>
              <w:ind w:left="317"/>
              <w:spacing w:after="0"/>
              <w:rPr>
                <w:sz w:val="20"/>
                <w:szCs w:val="20"/>
                <w:color w:val="auto"/>
              </w:rPr>
            </w:pPr>
            <w:r>
              <w:rPr>
                <w:rFonts w:ascii="Arial" w:cs="Arial" w:eastAsia="Arial" w:hAnsi="Arial"/>
                <w:sz w:val="18"/>
                <w:szCs w:val="18"/>
                <w:i w:val="1"/>
                <w:iCs w:val="1"/>
                <w:color w:val="auto"/>
                <w:w w:val="95"/>
              </w:rPr>
              <w:t>Joint Book-Running Managers</w:t>
            </w: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75"/>
        </w:trPr>
        <w:tc>
          <w:tcPr>
            <w:tcW w:w="6800" w:type="dxa"/>
            <w:vAlign w:val="bottom"/>
            <w:gridSpan w:val="3"/>
          </w:tcPr>
          <w:p>
            <w:pPr>
              <w:spacing w:after="0"/>
              <w:rPr>
                <w:sz w:val="20"/>
                <w:szCs w:val="20"/>
                <w:color w:val="auto"/>
              </w:rPr>
            </w:pPr>
            <w:r>
              <w:rPr>
                <w:rFonts w:ascii="Arial" w:cs="Arial" w:eastAsia="Arial" w:hAnsi="Arial"/>
                <w:sz w:val="29"/>
                <w:szCs w:val="29"/>
                <w:b w:val="1"/>
                <w:bCs w:val="1"/>
                <w:color w:val="auto"/>
                <w:w w:val="91"/>
              </w:rPr>
              <w:t>Barclays   BofA Securities   Deutsche Bank Securities</w:t>
            </w:r>
          </w:p>
        </w:tc>
        <w:tc>
          <w:tcPr>
            <w:tcW w:w="1280" w:type="dxa"/>
            <w:vAlign w:val="bottom"/>
          </w:tcPr>
          <w:p>
            <w:pPr>
              <w:ind w:left="160"/>
              <w:spacing w:after="0"/>
              <w:rPr>
                <w:sz w:val="20"/>
                <w:szCs w:val="20"/>
                <w:color w:val="auto"/>
              </w:rPr>
            </w:pPr>
            <w:r>
              <w:rPr>
                <w:rFonts w:ascii="Arial" w:cs="Arial" w:eastAsia="Arial" w:hAnsi="Arial"/>
                <w:sz w:val="29"/>
                <w:szCs w:val="29"/>
                <w:b w:val="1"/>
                <w:bCs w:val="1"/>
                <w:color w:val="auto"/>
              </w:rPr>
              <w:t>MUFG</w:t>
            </w:r>
          </w:p>
        </w:tc>
        <w:tc>
          <w:tcPr>
            <w:tcW w:w="1660" w:type="dxa"/>
            <w:vAlign w:val="bottom"/>
          </w:tcPr>
          <w:p>
            <w:pPr>
              <w:jc w:val="right"/>
              <w:spacing w:after="0"/>
              <w:rPr>
                <w:sz w:val="20"/>
                <w:szCs w:val="20"/>
                <w:color w:val="auto"/>
              </w:rPr>
            </w:pPr>
            <w:r>
              <w:rPr>
                <w:rFonts w:ascii="Arial" w:cs="Arial" w:eastAsia="Arial" w:hAnsi="Arial"/>
                <w:sz w:val="29"/>
                <w:szCs w:val="29"/>
                <w:b w:val="1"/>
                <w:bCs w:val="1"/>
                <w:color w:val="auto"/>
              </w:rPr>
              <w:t>Scotiabank</w:t>
            </w:r>
          </w:p>
        </w:tc>
      </w:tr>
      <w:tr>
        <w:trPr>
          <w:trHeight w:val="395"/>
        </w:trPr>
        <w:tc>
          <w:tcPr>
            <w:tcW w:w="2500" w:type="dxa"/>
            <w:vAlign w:val="bottom"/>
          </w:tcPr>
          <w:p>
            <w:pPr>
              <w:spacing w:after="0"/>
              <w:rPr>
                <w:sz w:val="20"/>
                <w:szCs w:val="20"/>
                <w:color w:val="auto"/>
              </w:rPr>
            </w:pPr>
            <w:r>
              <w:rPr>
                <w:rFonts w:ascii="Arial" w:cs="Arial" w:eastAsia="Arial" w:hAnsi="Arial"/>
                <w:sz w:val="25"/>
                <w:szCs w:val="25"/>
                <w:b w:val="1"/>
                <w:bCs w:val="1"/>
                <w:color w:val="auto"/>
              </w:rPr>
              <w:t>BNP PARIBAS</w:t>
            </w:r>
          </w:p>
        </w:tc>
        <w:tc>
          <w:tcPr>
            <w:tcW w:w="1800" w:type="dxa"/>
            <w:vAlign w:val="bottom"/>
          </w:tcPr>
          <w:p>
            <w:pPr>
              <w:ind w:left="480"/>
              <w:spacing w:after="0"/>
              <w:rPr>
                <w:sz w:val="20"/>
                <w:szCs w:val="20"/>
                <w:color w:val="auto"/>
              </w:rPr>
            </w:pPr>
            <w:r>
              <w:rPr>
                <w:rFonts w:ascii="Arial" w:cs="Arial" w:eastAsia="Arial" w:hAnsi="Arial"/>
                <w:sz w:val="25"/>
                <w:szCs w:val="25"/>
                <w:b w:val="1"/>
                <w:bCs w:val="1"/>
                <w:color w:val="auto"/>
                <w:w w:val="91"/>
              </w:rPr>
              <w:t>J.P. Morgan</w:t>
            </w:r>
          </w:p>
        </w:tc>
        <w:tc>
          <w:tcPr>
            <w:tcW w:w="3780" w:type="dxa"/>
            <w:vAlign w:val="bottom"/>
            <w:gridSpan w:val="2"/>
          </w:tcPr>
          <w:p>
            <w:pPr>
              <w:ind w:left="860"/>
              <w:spacing w:after="0"/>
              <w:rPr>
                <w:sz w:val="20"/>
                <w:szCs w:val="20"/>
                <w:color w:val="auto"/>
              </w:rPr>
            </w:pPr>
            <w:r>
              <w:rPr>
                <w:rFonts w:ascii="Arial" w:cs="Arial" w:eastAsia="Arial" w:hAnsi="Arial"/>
                <w:sz w:val="25"/>
                <w:szCs w:val="25"/>
                <w:b w:val="1"/>
                <w:bCs w:val="1"/>
                <w:color w:val="auto"/>
              </w:rPr>
              <w:t>Mizuho Securities</w:t>
            </w:r>
          </w:p>
        </w:tc>
        <w:tc>
          <w:tcPr>
            <w:tcW w:w="1660" w:type="dxa"/>
            <w:vAlign w:val="bottom"/>
          </w:tcPr>
          <w:p>
            <w:pPr>
              <w:jc w:val="right"/>
              <w:spacing w:after="0"/>
              <w:rPr>
                <w:sz w:val="20"/>
                <w:szCs w:val="20"/>
                <w:color w:val="auto"/>
              </w:rPr>
            </w:pPr>
            <w:r>
              <w:rPr>
                <w:rFonts w:ascii="Arial" w:cs="Arial" w:eastAsia="Arial" w:hAnsi="Arial"/>
                <w:sz w:val="25"/>
                <w:szCs w:val="25"/>
                <w:b w:val="1"/>
                <w:bCs w:val="1"/>
                <w:color w:val="auto"/>
              </w:rPr>
              <w:t>SMBC Nikko</w:t>
            </w:r>
          </w:p>
        </w:tc>
      </w:tr>
      <w:tr>
        <w:trPr>
          <w:trHeight w:val="234"/>
        </w:trPr>
        <w:tc>
          <w:tcPr>
            <w:tcW w:w="2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500" w:type="dxa"/>
            <w:vAlign w:val="bottom"/>
          </w:tcPr>
          <w:p>
            <w:pPr>
              <w:jc w:val="center"/>
              <w:ind w:right="1277"/>
              <w:spacing w:after="0"/>
              <w:rPr>
                <w:sz w:val="20"/>
                <w:szCs w:val="20"/>
                <w:color w:val="auto"/>
              </w:rPr>
            </w:pPr>
            <w:r>
              <w:rPr>
                <w:rFonts w:ascii="Arial" w:cs="Arial" w:eastAsia="Arial" w:hAnsi="Arial"/>
                <w:sz w:val="18"/>
                <w:szCs w:val="18"/>
                <w:i w:val="1"/>
                <w:iCs w:val="1"/>
                <w:color w:val="auto"/>
                <w:w w:val="95"/>
              </w:rPr>
              <w:t>Co-Managers</w:t>
            </w:r>
          </w:p>
        </w:tc>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65"/>
        </w:trPr>
        <w:tc>
          <w:tcPr>
            <w:tcW w:w="2500" w:type="dxa"/>
            <w:vAlign w:val="bottom"/>
          </w:tcPr>
          <w:p>
            <w:pPr>
              <w:spacing w:after="0"/>
              <w:rPr>
                <w:sz w:val="20"/>
                <w:szCs w:val="20"/>
                <w:color w:val="auto"/>
              </w:rPr>
            </w:pPr>
            <w:r>
              <w:rPr>
                <w:rFonts w:ascii="Arial" w:cs="Arial" w:eastAsia="Arial" w:hAnsi="Arial"/>
                <w:sz w:val="20"/>
                <w:szCs w:val="20"/>
                <w:b w:val="1"/>
                <w:bCs w:val="1"/>
                <w:color w:val="auto"/>
                <w:w w:val="95"/>
              </w:rPr>
              <w:t>Truist Securities CastleOak</w:t>
            </w:r>
          </w:p>
        </w:tc>
        <w:tc>
          <w:tcPr>
            <w:tcW w:w="1800" w:type="dxa"/>
            <w:vAlign w:val="bottom"/>
          </w:tcPr>
          <w:p>
            <w:pPr>
              <w:jc w:val="center"/>
              <w:spacing w:after="0"/>
              <w:rPr>
                <w:sz w:val="20"/>
                <w:szCs w:val="20"/>
                <w:color w:val="auto"/>
              </w:rPr>
            </w:pPr>
            <w:r>
              <w:rPr>
                <w:rFonts w:ascii="Arial" w:cs="Arial" w:eastAsia="Arial" w:hAnsi="Arial"/>
                <w:sz w:val="20"/>
                <w:szCs w:val="20"/>
                <w:b w:val="1"/>
                <w:bCs w:val="1"/>
                <w:color w:val="auto"/>
                <w:w w:val="87"/>
              </w:rPr>
              <w:t>US Bancorp</w:t>
            </w:r>
          </w:p>
        </w:tc>
        <w:tc>
          <w:tcPr>
            <w:tcW w:w="2500" w:type="dxa"/>
            <w:vAlign w:val="bottom"/>
          </w:tcPr>
          <w:p>
            <w:pPr>
              <w:ind w:left="680"/>
              <w:spacing w:after="0"/>
              <w:rPr>
                <w:sz w:val="20"/>
                <w:szCs w:val="20"/>
                <w:color w:val="auto"/>
              </w:rPr>
            </w:pPr>
            <w:r>
              <w:rPr>
                <w:rFonts w:ascii="Arial" w:cs="Arial" w:eastAsia="Arial" w:hAnsi="Arial"/>
                <w:sz w:val="20"/>
                <w:szCs w:val="20"/>
                <w:b w:val="1"/>
                <w:bCs w:val="1"/>
                <w:color w:val="auto"/>
                <w:w w:val="94"/>
              </w:rPr>
              <w:t>Academy Securities</w:t>
            </w:r>
          </w:p>
        </w:tc>
        <w:tc>
          <w:tcPr>
            <w:tcW w:w="2940" w:type="dxa"/>
            <w:vAlign w:val="bottom"/>
            <w:gridSpan w:val="2"/>
          </w:tcPr>
          <w:p>
            <w:pPr>
              <w:jc w:val="right"/>
              <w:spacing w:after="0"/>
              <w:rPr>
                <w:sz w:val="20"/>
                <w:szCs w:val="20"/>
                <w:color w:val="auto"/>
              </w:rPr>
            </w:pPr>
            <w:r>
              <w:rPr>
                <w:rFonts w:ascii="Arial" w:cs="Arial" w:eastAsia="Arial" w:hAnsi="Arial"/>
                <w:sz w:val="20"/>
                <w:szCs w:val="20"/>
                <w:b w:val="1"/>
                <w:bCs w:val="1"/>
                <w:color w:val="auto"/>
              </w:rPr>
              <w:t>Cabrera Capital Markets LLC</w:t>
            </w:r>
          </w:p>
        </w:tc>
      </w:tr>
      <w:tr>
        <w:trPr>
          <w:trHeight w:val="256"/>
        </w:trPr>
        <w:tc>
          <w:tcPr>
            <w:tcW w:w="2500" w:type="dxa"/>
            <w:vAlign w:val="bottom"/>
          </w:tcPr>
          <w:p>
            <w:pPr>
              <w:spacing w:after="0"/>
              <w:rPr>
                <w:sz w:val="20"/>
                <w:szCs w:val="20"/>
                <w:color w:val="auto"/>
              </w:rPr>
            </w:pPr>
            <w:r>
              <w:rPr>
                <w:rFonts w:ascii="Arial" w:cs="Arial" w:eastAsia="Arial" w:hAnsi="Arial"/>
                <w:sz w:val="20"/>
                <w:szCs w:val="20"/>
                <w:b w:val="1"/>
                <w:bCs w:val="1"/>
                <w:color w:val="auto"/>
              </w:rPr>
              <w:t>Securities, L.P.</w:t>
            </w:r>
          </w:p>
        </w:tc>
        <w:tc>
          <w:tcPr>
            <w:tcW w:w="1800" w:type="dxa"/>
            <w:vAlign w:val="bottom"/>
          </w:tcPr>
          <w:p>
            <w:pPr>
              <w:jc w:val="center"/>
              <w:ind w:left="17"/>
              <w:spacing w:after="0"/>
              <w:rPr>
                <w:sz w:val="20"/>
                <w:szCs w:val="20"/>
                <w:color w:val="auto"/>
              </w:rPr>
            </w:pPr>
            <w:r>
              <w:rPr>
                <w:rFonts w:ascii="Arial" w:cs="Arial" w:eastAsia="Arial" w:hAnsi="Arial"/>
                <w:sz w:val="20"/>
                <w:szCs w:val="20"/>
                <w:b w:val="1"/>
                <w:bCs w:val="1"/>
                <w:color w:val="auto"/>
                <w:w w:val="86"/>
              </w:rPr>
              <w:t>CAVU Securities</w:t>
            </w:r>
          </w:p>
        </w:tc>
        <w:tc>
          <w:tcPr>
            <w:tcW w:w="2500" w:type="dxa"/>
            <w:vAlign w:val="bottom"/>
          </w:tcPr>
          <w:p>
            <w:pPr>
              <w:ind w:left="680"/>
              <w:spacing w:after="0"/>
              <w:rPr>
                <w:sz w:val="20"/>
                <w:szCs w:val="20"/>
                <w:color w:val="auto"/>
              </w:rPr>
            </w:pPr>
            <w:r>
              <w:rPr>
                <w:rFonts w:ascii="Arial" w:cs="Arial" w:eastAsia="Arial" w:hAnsi="Arial"/>
                <w:sz w:val="20"/>
                <w:szCs w:val="20"/>
                <w:b w:val="1"/>
                <w:bCs w:val="1"/>
                <w:color w:val="auto"/>
                <w:w w:val="94"/>
              </w:rPr>
              <w:t>MFR Securities, Inc.</w:t>
            </w:r>
          </w:p>
        </w:tc>
        <w:tc>
          <w:tcPr>
            <w:tcW w:w="12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20"/>
                <w:szCs w:val="20"/>
                <w:b w:val="1"/>
                <w:bCs w:val="1"/>
                <w:color w:val="auto"/>
              </w:rPr>
              <w:t>Stern</w:t>
            </w:r>
          </w:p>
        </w:tc>
      </w:tr>
    </w:tbl>
    <w:p>
      <w:pPr>
        <w:spacing w:after="0" w:line="67" w:lineRule="exact"/>
        <w:rPr>
          <w:sz w:val="20"/>
          <w:szCs w:val="20"/>
          <w:color w:val="auto"/>
        </w:rPr>
      </w:pPr>
    </w:p>
    <w:p>
      <w:pPr>
        <w:sectPr>
          <w:pgSz w:w="11900" w:h="16838" w:orient="portrait"/>
          <w:cols w:equalWidth="0" w:num="1">
            <w:col w:w="10240"/>
          </w:cols>
          <w:pgMar w:left="580" w:top="239" w:right="1079" w:bottom="1440" w:gutter="0" w:footer="0" w:header="0"/>
        </w:sectPr>
      </w:pPr>
    </w:p>
    <w:p>
      <w:pPr>
        <w:jc w:val="center"/>
        <w:ind w:right="-499"/>
        <w:spacing w:after="0"/>
        <w:rPr>
          <w:sz w:val="20"/>
          <w:szCs w:val="20"/>
          <w:color w:val="auto"/>
        </w:rPr>
      </w:pPr>
      <w:r>
        <w:rPr>
          <w:rFonts w:ascii="Arial" w:cs="Arial" w:eastAsia="Arial" w:hAnsi="Arial"/>
          <w:sz w:val="17"/>
          <w:szCs w:val="17"/>
          <w:color w:val="auto"/>
        </w:rPr>
        <w:t>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239" w:right="107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399" w:firstLine="360"/>
        <w:spacing w:after="0" w:line="289" w:lineRule="auto"/>
        <w:rPr>
          <w:sz w:val="20"/>
          <w:szCs w:val="20"/>
          <w:color w:val="auto"/>
        </w:rPr>
      </w:pPr>
      <w:r>
        <w:rPr>
          <w:rFonts w:ascii="Arial" w:cs="Arial" w:eastAsia="Arial" w:hAnsi="Arial"/>
          <w:sz w:val="15"/>
          <w:szCs w:val="15"/>
          <w:b w:val="1"/>
          <w:bCs w:val="1"/>
          <w:color w:val="auto"/>
        </w:rPr>
        <w:t>Neither we nor the underwriters have authorized anyone to provide any information or to make any representations other than those contained in, or incorporated by reference into, this prospectus supplement, the accompanying base prospectus and any free writing prospectus prepared by or on behalf of us. We and the underwriters take no responsibility for, and can provide no assurance as to the reliability of, any other information that others may give you. We are not, and the underwriters are not, making an offer of these securities in any jurisdiction where the offer is not permitted. You should not assume that the information contained in this prospectus supplement, the accompanying prospectus and any related free writing prospectus is accurate as of any date other than the respective dates of those documents, or that the information we previously filed with the Securities and Exchange Commission (“SEC”) and incorporated by reference into this prospectus supplement, the accompanying prospectus and any related free writing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186055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0" w:type="dxa"/>
            <w:vAlign w:val="bottom"/>
            <w:gridSpan w:val="7"/>
          </w:tcPr>
          <w:p>
            <w:pPr>
              <w:jc w:val="center"/>
              <w:ind w:right="2620"/>
              <w:spacing w:after="0"/>
              <w:rPr>
                <w:sz w:val="20"/>
                <w:szCs w:val="20"/>
                <w:color w:val="auto"/>
              </w:rPr>
            </w:pPr>
            <w:r>
              <w:rPr>
                <w:rFonts w:ascii="Arial" w:cs="Arial" w:eastAsia="Arial" w:hAnsi="Arial"/>
                <w:sz w:val="18"/>
                <w:szCs w:val="18"/>
                <w:b w:val="1"/>
                <w:bCs w:val="1"/>
                <w:color w:val="auto"/>
                <w:w w:val="95"/>
              </w:rPr>
              <w:t>TABLE OF CONTENTS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0" w:type="dxa"/>
            <w:vAlign w:val="bottom"/>
            <w:gridSpan w:val="7"/>
          </w:tcPr>
          <w:p>
            <w:pPr>
              <w:jc w:val="center"/>
              <w:ind w:right="2620"/>
              <w:spacing w:after="0"/>
              <w:rPr>
                <w:sz w:val="20"/>
                <w:szCs w:val="20"/>
                <w:color w:val="auto"/>
              </w:rPr>
            </w:pPr>
            <w:r>
              <w:rPr>
                <w:rFonts w:ascii="Arial" w:cs="Arial" w:eastAsia="Arial" w:hAnsi="Arial"/>
                <w:sz w:val="18"/>
                <w:szCs w:val="18"/>
                <w:b w:val="1"/>
                <w:bCs w:val="1"/>
                <w:color w:val="auto"/>
                <w:w w:val="84"/>
              </w:rPr>
              <w:t>Prospectus Supplement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5"/>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09"/>
        </w:trPr>
        <w:tc>
          <w:tcPr>
            <w:tcW w:w="7820" w:type="dxa"/>
            <w:vAlign w:val="bottom"/>
            <w:gridSpan w:val="20"/>
            <w:shd w:val="clear" w:color="auto" w:fill="CCEEFF"/>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SUMMARY</w:t>
              </w:r>
            </w:hyperlink>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S-1</w:t>
              </w:r>
            </w:hyperlink>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16"/>
        </w:trPr>
        <w:tc>
          <w:tcPr>
            <w:tcW w:w="782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S-4</w:t>
              </w:r>
            </w:hyperlink>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37"/>
        </w:trPr>
        <w:tc>
          <w:tcPr>
            <w:tcW w:w="164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USE OF PROCEEDS</w:t>
              </w:r>
            </w:hyperlink>
          </w:p>
        </w:tc>
        <w:tc>
          <w:tcPr>
            <w:tcW w:w="6180" w:type="dxa"/>
            <w:vAlign w:val="bottom"/>
            <w:tcBorders>
              <w:bottom w:val="single" w:sz="8" w:color="CCEEFF"/>
            </w:tcBorders>
            <w:gridSpan w:val="14"/>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78"/>
              </w:rPr>
            </w:pPr>
            <w:hyperlink w:anchor="page8">
              <w:r>
                <w:rPr>
                  <w:rFonts w:ascii="Arial" w:cs="Arial" w:eastAsia="Arial" w:hAnsi="Arial"/>
                  <w:sz w:val="18"/>
                  <w:szCs w:val="18"/>
                  <w:color w:val="0000EE"/>
                  <w:w w:val="78"/>
                </w:rPr>
                <w:t>S-7</w:t>
              </w:r>
            </w:hyperlink>
          </w:p>
        </w:tc>
      </w:tr>
      <w:tr>
        <w:trPr>
          <w:trHeight w:val="230"/>
        </w:trPr>
        <w:tc>
          <w:tcPr>
            <w:tcW w:w="782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CAPITALIZATION</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4"/>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S-8</w:t>
              </w:r>
            </w:hyperlink>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30"/>
        </w:trPr>
        <w:tc>
          <w:tcPr>
            <w:tcW w:w="2140" w:type="dxa"/>
            <w:vAlign w:val="bottom"/>
            <w:gridSpan w:val="8"/>
            <w:shd w:val="clear" w:color="auto" w:fill="CCEEFF"/>
          </w:tcPr>
          <w:p>
            <w:pPr>
              <w:spacing w:after="0"/>
              <w:rPr>
                <w:rFonts w:ascii="Arial" w:cs="Arial" w:eastAsia="Arial" w:hAnsi="Arial"/>
                <w:sz w:val="18"/>
                <w:szCs w:val="18"/>
                <w:color w:val="0000EE"/>
                <w:w w:val="96"/>
              </w:rPr>
            </w:pPr>
            <w:hyperlink w:anchor="page11">
              <w:r>
                <w:rPr>
                  <w:rFonts w:ascii="Arial" w:cs="Arial" w:eastAsia="Arial" w:hAnsi="Arial"/>
                  <w:sz w:val="18"/>
                  <w:szCs w:val="18"/>
                  <w:color w:val="0000EE"/>
                  <w:w w:val="96"/>
                </w:rPr>
                <w:t>DESCRIPTION OF NOTES</w:t>
              </w:r>
            </w:hyperlink>
          </w:p>
        </w:tc>
        <w:tc>
          <w:tcPr>
            <w:tcW w:w="5680" w:type="dxa"/>
            <w:vAlign w:val="bottom"/>
            <w:gridSpan w:val="12"/>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S-10</w:t>
              </w:r>
            </w:hyperlink>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782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CERTAIN U.S. FEDERAL TAX CONSIDERATIONS FOR NON-U.S. HOLDERS</w:t>
              </w:r>
            </w:hyperlink>
          </w:p>
        </w:tc>
        <w:tc>
          <w:tcPr>
            <w:tcW w:w="380" w:type="dxa"/>
            <w:vAlign w:val="bottom"/>
            <w:gridSpan w:val="6"/>
          </w:tcPr>
          <w:p>
            <w:pPr>
              <w:jc w:val="right"/>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S-21</w:t>
              </w:r>
            </w:hyperlink>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30"/>
        </w:trPr>
        <w:tc>
          <w:tcPr>
            <w:tcW w:w="3840" w:type="dxa"/>
            <w:vAlign w:val="bottom"/>
            <w:gridSpan w:val="16"/>
            <w:shd w:val="clear" w:color="auto" w:fill="CCEEFF"/>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UNDERWRITING (CONFLICTS OF INTEREST)</w:t>
              </w:r>
            </w:hyperlink>
          </w:p>
        </w:tc>
        <w:tc>
          <w:tcPr>
            <w:tcW w:w="3980" w:type="dxa"/>
            <w:vAlign w:val="bottom"/>
            <w:gridSpan w:val="4"/>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S-25</w:t>
              </w:r>
            </w:hyperlink>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384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MATTERS</w:t>
              </w:r>
            </w:hyperlink>
          </w:p>
        </w:tc>
        <w:tc>
          <w:tcPr>
            <w:tcW w:w="3980" w:type="dxa"/>
            <w:vAlign w:val="bottom"/>
            <w:gridSpan w:val="4"/>
          </w:tcPr>
          <w:p>
            <w:pPr>
              <w:spacing w:after="0"/>
              <w:rPr>
                <w:sz w:val="19"/>
                <w:szCs w:val="19"/>
                <w:color w:val="auto"/>
              </w:rPr>
            </w:pPr>
          </w:p>
        </w:tc>
        <w:tc>
          <w:tcPr>
            <w:tcW w:w="380" w:type="dxa"/>
            <w:vAlign w:val="bottom"/>
            <w:gridSpan w:val="6"/>
          </w:tcPr>
          <w:p>
            <w:pPr>
              <w:jc w:val="right"/>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S-33</w:t>
              </w:r>
            </w:hyperlink>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30"/>
        </w:trPr>
        <w:tc>
          <w:tcPr>
            <w:tcW w:w="800" w:type="dxa"/>
            <w:vAlign w:val="bottom"/>
            <w:shd w:val="clear" w:color="auto" w:fill="CCEEFF"/>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EXPERTS</w:t>
              </w:r>
            </w:hyperlink>
          </w:p>
        </w:tc>
        <w:tc>
          <w:tcPr>
            <w:tcW w:w="7020" w:type="dxa"/>
            <w:vAlign w:val="bottom"/>
            <w:gridSpan w:val="19"/>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S-33</w:t>
              </w:r>
            </w:hyperlink>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782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INCORPORATION OF CERTAIN DOCUMENTS BY REFERENCE</w:t>
              </w:r>
            </w:hyperlink>
          </w:p>
        </w:tc>
        <w:tc>
          <w:tcPr>
            <w:tcW w:w="380" w:type="dxa"/>
            <w:vAlign w:val="bottom"/>
            <w:gridSpan w:val="6"/>
          </w:tcPr>
          <w:p>
            <w:pPr>
              <w:jc w:val="right"/>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S-34</w:t>
              </w:r>
            </w:hyperlink>
          </w:p>
        </w:tc>
      </w:tr>
      <w:tr>
        <w:trPr>
          <w:trHeight w:val="453"/>
        </w:trPr>
        <w:tc>
          <w:tcPr>
            <w:tcW w:w="8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80" w:type="dxa"/>
            <w:vAlign w:val="bottom"/>
            <w:tcBorders>
              <w:top w:val="single" w:sz="8" w:color="0000EE"/>
            </w:tcBorders>
            <w:gridSpan w:val="3"/>
          </w:tcPr>
          <w:p>
            <w:pPr>
              <w:jc w:val="center"/>
              <w:ind w:right="560"/>
              <w:spacing w:after="0"/>
              <w:rPr>
                <w:sz w:val="20"/>
                <w:szCs w:val="20"/>
                <w:color w:val="auto"/>
              </w:rPr>
            </w:pPr>
            <w:r>
              <w:rPr>
                <w:rFonts w:ascii="Arial" w:cs="Arial" w:eastAsia="Arial" w:hAnsi="Arial"/>
                <w:sz w:val="18"/>
                <w:szCs w:val="18"/>
                <w:b w:val="1"/>
                <w:bCs w:val="1"/>
                <w:color w:val="auto"/>
                <w:w w:val="81"/>
              </w:rPr>
              <w:t>Prospectus</w:t>
            </w:r>
          </w:p>
        </w:tc>
        <w:tc>
          <w:tcPr>
            <w:tcW w:w="2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r>
        <w:trPr>
          <w:trHeight w:val="366"/>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5"/>
        </w:trPr>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302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97"/>
              </w:rPr>
            </w:pPr>
            <w:hyperlink w:anchor="page38">
              <w:r>
                <w:rPr>
                  <w:rFonts w:ascii="Arial" w:cs="Arial" w:eastAsia="Arial" w:hAnsi="Arial"/>
                  <w:sz w:val="18"/>
                  <w:szCs w:val="18"/>
                  <w:color w:val="0000EE"/>
                  <w:w w:val="97"/>
                </w:rPr>
                <w:t>FORWARD-LOOKING STATEMENTS</w:t>
              </w:r>
            </w:hyperlink>
          </w:p>
        </w:tc>
        <w:tc>
          <w:tcPr>
            <w:tcW w:w="4800" w:type="dxa"/>
            <w:vAlign w:val="bottom"/>
            <w:tcBorders>
              <w:bottom w:val="single" w:sz="8" w:color="CCEEFF"/>
            </w:tcBorders>
            <w:gridSpan w:val="7"/>
            <w:shd w:val="clear" w:color="auto" w:fill="CCEEFF"/>
          </w:tcPr>
          <w:p>
            <w:pPr>
              <w:spacing w:after="0"/>
              <w:rPr>
                <w:sz w:val="20"/>
                <w:szCs w:val="20"/>
                <w:color w:val="auto"/>
              </w:rPr>
            </w:pPr>
          </w:p>
        </w:tc>
        <w:tc>
          <w:tcPr>
            <w:tcW w:w="220" w:type="dxa"/>
            <w:vAlign w:val="bottom"/>
            <w:tcBorders>
              <w:bottom w:val="single" w:sz="8" w:color="CCEEFF"/>
            </w:tcBorders>
            <w:gridSpan w:val="4"/>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1</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782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ABOUT THIS PROSPECTUS</w:t>
              </w:r>
            </w:hyperlink>
          </w:p>
        </w:tc>
        <w:tc>
          <w:tcPr>
            <w:tcW w:w="320" w:type="dxa"/>
            <w:vAlign w:val="bottom"/>
            <w:gridSpan w:val="5"/>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5</w:t>
              </w:r>
            </w:hyperlink>
          </w:p>
        </w:tc>
        <w:tc>
          <w:tcPr>
            <w:tcW w:w="60" w:type="dxa"/>
            <w:vAlign w:val="bottom"/>
          </w:tcPr>
          <w:p>
            <w:pPr>
              <w:spacing w:after="0"/>
              <w:rPr>
                <w:sz w:val="20"/>
                <w:szCs w:val="20"/>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7820" w:type="dxa"/>
            <w:vAlign w:val="bottom"/>
            <w:gridSpan w:val="20"/>
            <w:shd w:val="clear" w:color="auto" w:fill="CCEEFF"/>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INCORPORATION OF CERTAIN DOCUMENTS BY REFERENCE</w:t>
              </w:r>
            </w:hyperlink>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6</w:t>
              </w:r>
            </w:hyperlink>
          </w:p>
        </w:tc>
        <w:tc>
          <w:tcPr>
            <w:tcW w:w="60" w:type="dxa"/>
            <w:vAlign w:val="bottom"/>
            <w:shd w:val="clear" w:color="auto" w:fill="CCEEFF"/>
          </w:tcPr>
          <w:p>
            <w:pPr>
              <w:spacing w:after="0"/>
              <w:rPr>
                <w:sz w:val="20"/>
                <w:szCs w:val="20"/>
                <w:color w:val="auto"/>
              </w:rPr>
            </w:pPr>
          </w:p>
        </w:tc>
      </w:tr>
      <w:tr>
        <w:trPr>
          <w:trHeight w:val="237"/>
        </w:trPr>
        <w:tc>
          <w:tcPr>
            <w:tcW w:w="3940" w:type="dxa"/>
            <w:vAlign w:val="bottom"/>
            <w:tcBorders>
              <w:top w:val="single" w:sz="8" w:color="0000EE"/>
              <w:bottom w:val="single" w:sz="8" w:color="0000EE"/>
            </w:tcBorders>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WHERE YOU CAN FIND MORE INFORMATION</w:t>
              </w:r>
            </w:hyperlink>
          </w:p>
        </w:tc>
        <w:tc>
          <w:tcPr>
            <w:tcW w:w="1280" w:type="dxa"/>
            <w:vAlign w:val="bottom"/>
            <w:tcBorders>
              <w:top w:val="single" w:sz="8" w:color="0000EE"/>
            </w:tcBorders>
          </w:tcPr>
          <w:p>
            <w:pPr>
              <w:spacing w:after="0"/>
              <w:rPr>
                <w:sz w:val="20"/>
                <w:szCs w:val="20"/>
                <w:color w:val="auto"/>
              </w:rPr>
            </w:pPr>
          </w:p>
        </w:tc>
        <w:tc>
          <w:tcPr>
            <w:tcW w:w="2600" w:type="dxa"/>
            <w:vAlign w:val="bottom"/>
            <w:tcBorders>
              <w:top w:val="single" w:sz="8" w:color="CCEEFF"/>
            </w:tcBorders>
            <w:gridSpan w:val="2"/>
          </w:tcPr>
          <w:p>
            <w:pPr>
              <w:spacing w:after="0"/>
              <w:rPr>
                <w:sz w:val="20"/>
                <w:szCs w:val="20"/>
                <w:color w:val="auto"/>
              </w:rPr>
            </w:pPr>
          </w:p>
        </w:tc>
        <w:tc>
          <w:tcPr>
            <w:tcW w:w="220" w:type="dxa"/>
            <w:vAlign w:val="bottom"/>
            <w:tcBorders>
              <w:top w:val="single" w:sz="8" w:color="CCEEFF"/>
            </w:tcBorders>
            <w:gridSpan w:val="4"/>
          </w:tcPr>
          <w:p>
            <w:pPr>
              <w:spacing w:after="0"/>
              <w:rPr>
                <w:sz w:val="20"/>
                <w:szCs w:val="20"/>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7</w:t>
              </w:r>
            </w:hyperlink>
          </w:p>
        </w:tc>
        <w:tc>
          <w:tcPr>
            <w:tcW w:w="60" w:type="dxa"/>
            <w:vAlign w:val="bottom"/>
            <w:tcBorders>
              <w:top w:val="single" w:sz="8" w:color="CCEEFF"/>
            </w:tcBorders>
          </w:tcPr>
          <w:p>
            <w:pPr>
              <w:spacing w:after="0"/>
              <w:rPr>
                <w:sz w:val="20"/>
                <w:szCs w:val="20"/>
                <w:color w:val="auto"/>
              </w:rPr>
            </w:pPr>
          </w:p>
        </w:tc>
      </w:tr>
      <w:tr>
        <w:trPr>
          <w:trHeight w:val="236"/>
        </w:trPr>
        <w:tc>
          <w:tcPr>
            <w:tcW w:w="132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THE COMPANY</w:t>
              </w:r>
            </w:hyperlink>
          </w:p>
        </w:tc>
        <w:tc>
          <w:tcPr>
            <w:tcW w:w="6500" w:type="dxa"/>
            <w:vAlign w:val="bottom"/>
            <w:tcBorders>
              <w:bottom w:val="single" w:sz="8" w:color="CCEEFF"/>
            </w:tcBorders>
            <w:gridSpan w:val="16"/>
            <w:shd w:val="clear" w:color="auto" w:fill="CCEEFF"/>
          </w:tcPr>
          <w:p>
            <w:pPr>
              <w:spacing w:after="0"/>
              <w:rPr>
                <w:sz w:val="20"/>
                <w:szCs w:val="20"/>
                <w:color w:val="auto"/>
              </w:rPr>
            </w:pPr>
          </w:p>
        </w:tc>
        <w:tc>
          <w:tcPr>
            <w:tcW w:w="220" w:type="dxa"/>
            <w:vAlign w:val="bottom"/>
            <w:tcBorders>
              <w:bottom w:val="single" w:sz="8" w:color="CCEEFF"/>
            </w:tcBorders>
            <w:gridSpan w:val="4"/>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8</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50"/>
        </w:trPr>
        <w:tc>
          <w:tcPr>
            <w:tcW w:w="130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45">
              <w:r>
                <w:rPr>
                  <w:rFonts w:ascii="Arial" w:cs="Arial" w:eastAsia="Arial" w:hAnsi="Arial"/>
                  <w:sz w:val="18"/>
                  <w:szCs w:val="18"/>
                  <w:color w:val="0000EE"/>
                  <w:w w:val="96"/>
                </w:rPr>
                <w:t>RISK FACTORS</w:t>
              </w:r>
            </w:hyperlink>
          </w:p>
        </w:tc>
        <w:tc>
          <w:tcPr>
            <w:tcW w:w="6520" w:type="dxa"/>
            <w:vAlign w:val="bottom"/>
            <w:gridSpan w:val="17"/>
          </w:tcPr>
          <w:p>
            <w:pPr>
              <w:spacing w:after="0"/>
              <w:rPr>
                <w:sz w:val="21"/>
                <w:szCs w:val="21"/>
                <w:color w:val="auto"/>
              </w:rPr>
            </w:pPr>
          </w:p>
        </w:tc>
        <w:tc>
          <w:tcPr>
            <w:tcW w:w="220" w:type="dxa"/>
            <w:vAlign w:val="bottom"/>
            <w:gridSpan w:val="4"/>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8</w:t>
              </w:r>
            </w:hyperlink>
          </w:p>
        </w:tc>
        <w:tc>
          <w:tcPr>
            <w:tcW w:w="60" w:type="dxa"/>
            <w:vAlign w:val="bottom"/>
          </w:tcPr>
          <w:p>
            <w:pPr>
              <w:spacing w:after="0"/>
              <w:rPr>
                <w:sz w:val="21"/>
                <w:szCs w:val="21"/>
                <w:color w:val="auto"/>
              </w:rPr>
            </w:pPr>
          </w:p>
        </w:tc>
      </w:tr>
      <w:tr>
        <w:trPr>
          <w:trHeight w:val="250"/>
        </w:trPr>
        <w:tc>
          <w:tcPr>
            <w:tcW w:w="164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USE OF PROCEEDS</w:t>
              </w:r>
            </w:hyperlink>
          </w:p>
        </w:tc>
        <w:tc>
          <w:tcPr>
            <w:tcW w:w="6180" w:type="dxa"/>
            <w:vAlign w:val="bottom"/>
            <w:tcBorders>
              <w:bottom w:val="single" w:sz="8" w:color="CCEEFF"/>
            </w:tcBorders>
            <w:gridSpan w:val="14"/>
            <w:shd w:val="clear" w:color="auto" w:fill="CCEEFF"/>
          </w:tcPr>
          <w:p>
            <w:pPr>
              <w:spacing w:after="0"/>
              <w:rPr>
                <w:sz w:val="21"/>
                <w:szCs w:val="21"/>
                <w:color w:val="auto"/>
              </w:rPr>
            </w:pPr>
          </w:p>
        </w:tc>
        <w:tc>
          <w:tcPr>
            <w:tcW w:w="22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9</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50"/>
        </w:trPr>
        <w:tc>
          <w:tcPr>
            <w:tcW w:w="3540" w:type="dxa"/>
            <w:vAlign w:val="bottom"/>
            <w:gridSpan w:val="15"/>
          </w:tcPr>
          <w:p>
            <w:pPr>
              <w:spacing w:after="0"/>
              <w:rPr>
                <w:rFonts w:ascii="Arial" w:cs="Arial" w:eastAsia="Arial" w:hAnsi="Arial"/>
                <w:sz w:val="18"/>
                <w:szCs w:val="18"/>
                <w:color w:val="0000EE"/>
                <w:w w:val="97"/>
              </w:rPr>
            </w:pPr>
            <w:hyperlink w:anchor="page47">
              <w:r>
                <w:rPr>
                  <w:rFonts w:ascii="Arial" w:cs="Arial" w:eastAsia="Arial" w:hAnsi="Arial"/>
                  <w:sz w:val="18"/>
                  <w:szCs w:val="18"/>
                  <w:color w:val="0000EE"/>
                  <w:w w:val="97"/>
                </w:rPr>
                <w:t>DESCRIPTION OF THE DEBT SECURITIES</w:t>
              </w:r>
            </w:hyperlink>
          </w:p>
        </w:tc>
        <w:tc>
          <w:tcPr>
            <w:tcW w:w="4280" w:type="dxa"/>
            <w:vAlign w:val="bottom"/>
            <w:gridSpan w:val="5"/>
          </w:tcPr>
          <w:p>
            <w:pPr>
              <w:spacing w:after="0"/>
              <w:rPr>
                <w:sz w:val="21"/>
                <w:szCs w:val="21"/>
                <w:color w:val="auto"/>
              </w:rPr>
            </w:pPr>
          </w:p>
        </w:tc>
        <w:tc>
          <w:tcPr>
            <w:tcW w:w="320" w:type="dxa"/>
            <w:vAlign w:val="bottom"/>
            <w:gridSpan w:val="5"/>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10</w:t>
              </w:r>
            </w:hyperlink>
          </w:p>
        </w:tc>
        <w:tc>
          <w:tcPr>
            <w:tcW w:w="60" w:type="dxa"/>
            <w:vAlign w:val="bottom"/>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780" w:type="dxa"/>
            <w:vAlign w:val="bottom"/>
            <w:gridSpan w:val="11"/>
            <w:shd w:val="clear" w:color="auto" w:fill="CCEEFF"/>
          </w:tcPr>
          <w:p>
            <w:pPr>
              <w:spacing w:after="0"/>
              <w:rPr>
                <w:rFonts w:ascii="Arial" w:cs="Arial" w:eastAsia="Arial" w:hAnsi="Arial"/>
                <w:sz w:val="18"/>
                <w:szCs w:val="18"/>
                <w:color w:val="0000EE"/>
                <w:w w:val="97"/>
              </w:rPr>
            </w:pPr>
            <w:hyperlink w:anchor="page55">
              <w:r>
                <w:rPr>
                  <w:rFonts w:ascii="Arial" w:cs="Arial" w:eastAsia="Arial" w:hAnsi="Arial"/>
                  <w:sz w:val="18"/>
                  <w:szCs w:val="18"/>
                  <w:color w:val="0000EE"/>
                  <w:w w:val="97"/>
                </w:rPr>
                <w:t>DESCRIPTION OF GUARANTEES</w:t>
              </w:r>
            </w:hyperlink>
          </w:p>
        </w:tc>
        <w:tc>
          <w:tcPr>
            <w:tcW w:w="760" w:type="dxa"/>
            <w:vAlign w:val="bottom"/>
            <w:gridSpan w:val="4"/>
            <w:shd w:val="clear" w:color="auto" w:fill="CCEEFF"/>
          </w:tcPr>
          <w:p>
            <w:pPr>
              <w:spacing w:after="0"/>
              <w:rPr>
                <w:sz w:val="21"/>
                <w:szCs w:val="21"/>
                <w:color w:val="auto"/>
              </w:rPr>
            </w:pPr>
          </w:p>
        </w:tc>
        <w:tc>
          <w:tcPr>
            <w:tcW w:w="4280" w:type="dxa"/>
            <w:vAlign w:val="bottom"/>
            <w:gridSpan w:val="5"/>
            <w:shd w:val="clear" w:color="auto" w:fill="CCEEFF"/>
          </w:tcPr>
          <w:p>
            <w:pPr>
              <w:spacing w:after="0"/>
              <w:rPr>
                <w:sz w:val="21"/>
                <w:szCs w:val="21"/>
                <w:color w:val="auto"/>
              </w:rPr>
            </w:pPr>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18</w:t>
              </w:r>
            </w:hyperlink>
          </w:p>
        </w:tc>
        <w:tc>
          <w:tcPr>
            <w:tcW w:w="60" w:type="dxa"/>
            <w:vAlign w:val="bottom"/>
            <w:shd w:val="clear" w:color="auto" w:fill="CCEEFF"/>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7820" w:type="dxa"/>
            <w:vAlign w:val="bottom"/>
            <w:gridSpan w:val="2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DESCRIPTION OF CAPITAL STOCK</w:t>
              </w:r>
            </w:hyperlink>
          </w:p>
        </w:tc>
        <w:tc>
          <w:tcPr>
            <w:tcW w:w="320" w:type="dxa"/>
            <w:vAlign w:val="bottom"/>
            <w:gridSpan w:val="5"/>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19</w:t>
              </w:r>
            </w:hyperlink>
          </w:p>
        </w:tc>
        <w:tc>
          <w:tcPr>
            <w:tcW w:w="60" w:type="dxa"/>
            <w:vAlign w:val="bottom"/>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820" w:type="dxa"/>
            <w:vAlign w:val="bottom"/>
            <w:gridSpan w:val="20"/>
            <w:shd w:val="clear" w:color="auto" w:fill="CCEEFF"/>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DESCRIPTION OF OTHER SECURITIES</w:t>
              </w:r>
            </w:hyperlink>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22</w:t>
              </w:r>
            </w:hyperlink>
          </w:p>
        </w:tc>
        <w:tc>
          <w:tcPr>
            <w:tcW w:w="60" w:type="dxa"/>
            <w:vAlign w:val="bottom"/>
            <w:shd w:val="clear" w:color="auto" w:fill="CCEEFF"/>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2120" w:type="dxa"/>
            <w:vAlign w:val="bottom"/>
            <w:gridSpan w:val="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PLAN OF DISTRIBUTION</w:t>
              </w:r>
            </w:hyperlink>
          </w:p>
        </w:tc>
        <w:tc>
          <w:tcPr>
            <w:tcW w:w="1140" w:type="dxa"/>
            <w:vAlign w:val="bottom"/>
            <w:gridSpan w:val="7"/>
          </w:tcPr>
          <w:p>
            <w:pPr>
              <w:spacing w:after="0"/>
              <w:rPr>
                <w:sz w:val="21"/>
                <w:szCs w:val="21"/>
                <w:color w:val="auto"/>
              </w:rPr>
            </w:pPr>
          </w:p>
        </w:tc>
        <w:tc>
          <w:tcPr>
            <w:tcW w:w="4560" w:type="dxa"/>
            <w:vAlign w:val="bottom"/>
            <w:gridSpan w:val="6"/>
          </w:tcPr>
          <w:p>
            <w:pPr>
              <w:spacing w:after="0"/>
              <w:rPr>
                <w:sz w:val="21"/>
                <w:szCs w:val="21"/>
                <w:color w:val="auto"/>
              </w:rPr>
            </w:pPr>
          </w:p>
        </w:tc>
        <w:tc>
          <w:tcPr>
            <w:tcW w:w="320" w:type="dxa"/>
            <w:vAlign w:val="bottom"/>
            <w:gridSpan w:val="5"/>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23</w:t>
              </w:r>
            </w:hyperlink>
          </w:p>
        </w:tc>
        <w:tc>
          <w:tcPr>
            <w:tcW w:w="60" w:type="dxa"/>
            <w:vAlign w:val="bottom"/>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820" w:type="dxa"/>
            <w:vAlign w:val="bottom"/>
            <w:gridSpan w:val="20"/>
            <w:shd w:val="clear" w:color="auto" w:fill="CCEEFF"/>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SELLING SECURITYHOLDERS</w:t>
              </w:r>
            </w:hyperlink>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25</w:t>
              </w:r>
            </w:hyperlink>
          </w:p>
        </w:tc>
        <w:tc>
          <w:tcPr>
            <w:tcW w:w="60" w:type="dxa"/>
            <w:vAlign w:val="bottom"/>
            <w:shd w:val="clear" w:color="auto" w:fill="CCEEFF"/>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500" w:type="dxa"/>
            <w:vAlign w:val="bottom"/>
            <w:gridSpan w:val="5"/>
          </w:tcPr>
          <w:p>
            <w:pPr>
              <w:spacing w:after="0"/>
              <w:rPr>
                <w:rFonts w:ascii="Arial" w:cs="Arial" w:eastAsia="Arial" w:hAnsi="Arial"/>
                <w:sz w:val="18"/>
                <w:szCs w:val="18"/>
                <w:color w:val="0000EE"/>
                <w:w w:val="99"/>
              </w:rPr>
            </w:pPr>
            <w:hyperlink w:anchor="page63">
              <w:r>
                <w:rPr>
                  <w:rFonts w:ascii="Arial" w:cs="Arial" w:eastAsia="Arial" w:hAnsi="Arial"/>
                  <w:sz w:val="18"/>
                  <w:szCs w:val="18"/>
                  <w:color w:val="0000EE"/>
                  <w:w w:val="99"/>
                </w:rPr>
                <w:t>LEGAL MATTERS</w:t>
              </w:r>
            </w:hyperlink>
          </w:p>
        </w:tc>
        <w:tc>
          <w:tcPr>
            <w:tcW w:w="1080" w:type="dxa"/>
            <w:vAlign w:val="bottom"/>
            <w:gridSpan w:val="5"/>
          </w:tcPr>
          <w:p>
            <w:pPr>
              <w:spacing w:after="0"/>
              <w:rPr>
                <w:sz w:val="21"/>
                <w:szCs w:val="21"/>
                <w:color w:val="auto"/>
              </w:rPr>
            </w:pPr>
          </w:p>
        </w:tc>
        <w:tc>
          <w:tcPr>
            <w:tcW w:w="5240" w:type="dxa"/>
            <w:vAlign w:val="bottom"/>
            <w:gridSpan w:val="10"/>
          </w:tcPr>
          <w:p>
            <w:pPr>
              <w:spacing w:after="0"/>
              <w:rPr>
                <w:sz w:val="21"/>
                <w:szCs w:val="21"/>
                <w:color w:val="auto"/>
              </w:rPr>
            </w:pPr>
          </w:p>
        </w:tc>
        <w:tc>
          <w:tcPr>
            <w:tcW w:w="320" w:type="dxa"/>
            <w:vAlign w:val="bottom"/>
            <w:gridSpan w:val="5"/>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26</w:t>
              </w:r>
            </w:hyperlink>
          </w:p>
        </w:tc>
        <w:tc>
          <w:tcPr>
            <w:tcW w:w="60" w:type="dxa"/>
            <w:vAlign w:val="bottom"/>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800" w:type="dxa"/>
            <w:vAlign w:val="bottom"/>
            <w:shd w:val="clear" w:color="auto" w:fill="CCEEFF"/>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EXPERTS</w:t>
              </w:r>
            </w:hyperlink>
          </w:p>
        </w:tc>
        <w:tc>
          <w:tcPr>
            <w:tcW w:w="700" w:type="dxa"/>
            <w:vAlign w:val="bottom"/>
            <w:gridSpan w:val="4"/>
            <w:shd w:val="clear" w:color="auto" w:fill="CCEEFF"/>
          </w:tcPr>
          <w:p>
            <w:pPr>
              <w:spacing w:after="0"/>
              <w:rPr>
                <w:sz w:val="21"/>
                <w:szCs w:val="21"/>
                <w:color w:val="auto"/>
              </w:rPr>
            </w:pPr>
          </w:p>
        </w:tc>
        <w:tc>
          <w:tcPr>
            <w:tcW w:w="6320" w:type="dxa"/>
            <w:vAlign w:val="bottom"/>
            <w:gridSpan w:val="15"/>
            <w:shd w:val="clear" w:color="auto" w:fill="CCEEFF"/>
          </w:tcPr>
          <w:p>
            <w:pPr>
              <w:spacing w:after="0"/>
              <w:rPr>
                <w:sz w:val="21"/>
                <w:szCs w:val="21"/>
                <w:color w:val="auto"/>
              </w:rPr>
            </w:pPr>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26</w:t>
              </w:r>
            </w:hyperlink>
          </w:p>
        </w:tc>
        <w:tc>
          <w:tcPr>
            <w:tcW w:w="60" w:type="dxa"/>
            <w:vAlign w:val="bottom"/>
            <w:shd w:val="clear" w:color="auto" w:fill="CCEEFF"/>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-4756785</wp:posOffset>
            </wp:positionV>
            <wp:extent cx="49720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72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-2536825</wp:posOffset>
            </wp:positionV>
            <wp:extent cx="50063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06340" cy="8890"/>
                    </a:xfrm>
                    <a:prstGeom prst="rect">
                      <a:avLst/>
                    </a:prstGeom>
                    <a:noFill/>
                  </pic:spPr>
                </pic:pic>
              </a:graphicData>
            </a:graphic>
          </wp:anchor>
        </w:drawing>
      </w:r>
    </w:p>
    <w:p>
      <w:pPr>
        <w:spacing w:after="0" w:line="35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67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w:t>
      </w:r>
    </w:p>
    <w:p>
      <w:pPr>
        <w:spacing w:after="0" w:line="148" w:lineRule="exact"/>
        <w:rPr>
          <w:sz w:val="20"/>
          <w:szCs w:val="20"/>
          <w:color w:val="auto"/>
        </w:rPr>
      </w:pPr>
    </w:p>
    <w:p>
      <w:pPr>
        <w:ind w:left="1280" w:right="459" w:firstLine="360"/>
        <w:spacing w:after="0" w:line="272" w:lineRule="auto"/>
        <w:rPr>
          <w:sz w:val="20"/>
          <w:szCs w:val="20"/>
          <w:color w:val="auto"/>
        </w:rPr>
      </w:pPr>
      <w:r>
        <w:rPr>
          <w:rFonts w:ascii="Arial" w:cs="Arial" w:eastAsia="Arial" w:hAnsi="Arial"/>
          <w:sz w:val="17"/>
          <w:szCs w:val="17"/>
          <w:i w:val="1"/>
          <w:iCs w:val="1"/>
          <w:color w:val="auto"/>
        </w:rPr>
        <w:t>This summary highlights selected information from this prospectus supplement, the accompanying prospectus and any free writing prospectus prepared by us or on behalf of us, but does not contain all information that may be important to you. This prospectus supplement, the accompanying prospectus and any related free writing prospectus include specific terms of the offering of the notes, information about our business and financial data. We encourage you to read this prospectus supplement, the accompanying prospectus and any related free writing prospectus, together with the documents incorporated by reference, in their entirety before making an investment decision.</w:t>
      </w:r>
    </w:p>
    <w:p>
      <w:pPr>
        <w:spacing w:after="0" w:line="110" w:lineRule="exact"/>
        <w:rPr>
          <w:sz w:val="20"/>
          <w:szCs w:val="20"/>
          <w:color w:val="auto"/>
        </w:rPr>
      </w:pPr>
    </w:p>
    <w:p>
      <w:pPr>
        <w:ind w:left="1280" w:right="419" w:firstLine="360"/>
        <w:spacing w:after="0" w:line="263" w:lineRule="auto"/>
        <w:rPr>
          <w:sz w:val="20"/>
          <w:szCs w:val="20"/>
          <w:color w:val="auto"/>
        </w:rPr>
      </w:pPr>
      <w:r>
        <w:rPr>
          <w:rFonts w:ascii="Arial" w:cs="Arial" w:eastAsia="Arial" w:hAnsi="Arial"/>
          <w:sz w:val="18"/>
          <w:szCs w:val="18"/>
          <w:i w:val="1"/>
          <w:iCs w:val="1"/>
          <w:color w:val="auto"/>
        </w:rPr>
        <w:t>As used in this prospectus supplement, the terms “we,” “us” or “our” refer to Waste Management, Inc. and its consolidated subsidiaries and consolidated variable interest entities, taken as a whole, unless the context clearly indicates otherwise.</w:t>
      </w:r>
    </w:p>
    <w:p>
      <w:pPr>
        <w:spacing w:after="0" w:line="180"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Waste Management, Inc.</w:t>
      </w:r>
    </w:p>
    <w:p>
      <w:pPr>
        <w:spacing w:after="0" w:line="162" w:lineRule="exact"/>
        <w:rPr>
          <w:sz w:val="20"/>
          <w:szCs w:val="20"/>
          <w:color w:val="auto"/>
        </w:rPr>
      </w:pPr>
    </w:p>
    <w:p>
      <w:pPr>
        <w:ind w:left="1280" w:right="419" w:firstLine="360"/>
        <w:spacing w:after="0" w:line="253" w:lineRule="auto"/>
        <w:rPr>
          <w:sz w:val="20"/>
          <w:szCs w:val="20"/>
          <w:color w:val="auto"/>
        </w:rPr>
      </w:pPr>
      <w:r>
        <w:rPr>
          <w:rFonts w:ascii="Arial" w:cs="Arial" w:eastAsia="Arial" w:hAnsi="Arial"/>
          <w:sz w:val="18"/>
          <w:szCs w:val="18"/>
          <w:color w:val="auto"/>
        </w:rPr>
        <w:t>We are North America’s leading provider of comprehensive waste management environmental services,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and our WM Renewable Energy business, we are also a leading developer, operator and owner of landfill gas-to-energy facilities in the U.S. that produce renewable natural gas, which is a significant source of fuel for our natural gas fleet.</w:t>
      </w:r>
    </w:p>
    <w:p>
      <w:pPr>
        <w:spacing w:after="0" w:line="115" w:lineRule="exact"/>
        <w:rPr>
          <w:sz w:val="20"/>
          <w:szCs w:val="20"/>
          <w:color w:val="auto"/>
        </w:rPr>
      </w:pPr>
    </w:p>
    <w:p>
      <w:pPr>
        <w:ind w:left="1280" w:right="439" w:firstLine="360"/>
        <w:spacing w:after="0" w:line="254" w:lineRule="auto"/>
        <w:rPr>
          <w:sz w:val="20"/>
          <w:szCs w:val="20"/>
          <w:color w:val="auto"/>
        </w:rPr>
      </w:pPr>
      <w:r>
        <w:rPr>
          <w:rFonts w:ascii="Arial" w:cs="Arial" w:eastAsia="Arial" w:hAnsi="Arial"/>
          <w:sz w:val="18"/>
          <w:szCs w:val="18"/>
          <w:color w:val="auto"/>
        </w:rPr>
        <w:t xml:space="preserve">Our principal executive offices are located at 800 Capitol Street, Suite 3000, Houston, Texas 77002. Our telephone number is (713) 512-6200. Our website address is </w:t>
      </w:r>
      <w:r>
        <w:rPr>
          <w:rFonts w:ascii="Arial" w:cs="Arial" w:eastAsia="Arial" w:hAnsi="Arial"/>
          <w:sz w:val="18"/>
          <w:szCs w:val="18"/>
          <w:i w:val="1"/>
          <w:iCs w:val="1"/>
          <w:color w:val="auto"/>
        </w:rPr>
        <w:t>www.wm.com</w:t>
      </w:r>
      <w:r>
        <w:rPr>
          <w:rFonts w:ascii="Arial" w:cs="Arial" w:eastAsia="Arial" w:hAnsi="Arial"/>
          <w:sz w:val="18"/>
          <w:szCs w:val="18"/>
          <w:color w:val="auto"/>
        </w:rPr>
        <w:t>. Our annual reports on Form 10-K, quarterly reports on Form 10-Q and current reports on Form 8-K are all available, free of charge, on our website as soon as practicable after we file the reports with the SEC. Information contained on, or that can be accessed through, our website is not incorporated by reference into this prospectus supplement and does not constitute a part of this prospectus supplement. Our common stock is traded on the New York Stock Exchange under the symbol “WM.”</w:t>
      </w:r>
    </w:p>
    <w:p>
      <w:pPr>
        <w:spacing w:after="0" w:line="19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Waste Management Holdings, Inc.</w:t>
      </w:r>
    </w:p>
    <w:p>
      <w:pPr>
        <w:spacing w:after="0" w:line="162" w:lineRule="exact"/>
        <w:rPr>
          <w:sz w:val="20"/>
          <w:szCs w:val="20"/>
          <w:color w:val="auto"/>
        </w:rPr>
      </w:pPr>
    </w:p>
    <w:p>
      <w:pPr>
        <w:ind w:left="1280" w:right="879" w:firstLine="360"/>
        <w:spacing w:after="0" w:line="263"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Inc. WM Holdings is a holding company and all operations are conducted by subsidiaries.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281305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76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Offering</w:t>
      </w:r>
    </w:p>
    <w:p>
      <w:pPr>
        <w:spacing w:after="0" w:line="148" w:lineRule="exact"/>
        <w:rPr>
          <w:sz w:val="20"/>
          <w:szCs w:val="20"/>
          <w:color w:val="auto"/>
        </w:rPr>
      </w:pPr>
    </w:p>
    <w:p>
      <w:pPr>
        <w:ind w:left="1280" w:right="499" w:firstLine="360"/>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65"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Waste Management, Inc.</w:t>
      </w:r>
    </w:p>
    <w:p>
      <w:pPr>
        <w:spacing w:after="0" w:line="104"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7"/>
          <w:szCs w:val="17"/>
          <w:color w:val="auto"/>
        </w:rPr>
        <w:t>$1,000,000,000 aggregate principal amount of 4.15% Senior Notes</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due 2032</w:t>
      </w:r>
    </w:p>
    <w:p>
      <w:pPr>
        <w:spacing w:after="0" w:line="76"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Subsidiary Guarantees</w:t>
      </w:r>
      <w:r>
        <w:rPr>
          <w:sz w:val="20"/>
          <w:szCs w:val="20"/>
          <w:color w:val="auto"/>
        </w:rPr>
        <w:tab/>
      </w:r>
      <w:r>
        <w:rPr>
          <w:rFonts w:ascii="Arial" w:cs="Arial" w:eastAsia="Arial" w:hAnsi="Arial"/>
          <w:sz w:val="17"/>
          <w:szCs w:val="17"/>
          <w:color w:val="auto"/>
        </w:rPr>
        <w:t>WM Holdings will fully and unconditionally guarantee, on a senior</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unsecured basis, the full and prompt payment of the principal and</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any premium and interest on the notes, when and as they become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due and payable, whether at maturity or otherwise.</w:t>
      </w:r>
    </w:p>
    <w:p>
      <w:pPr>
        <w:spacing w:after="0" w:line="89"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Maturity Date</w:t>
      </w:r>
      <w:r>
        <w:rPr>
          <w:sz w:val="20"/>
          <w:szCs w:val="20"/>
          <w:color w:val="auto"/>
        </w:rPr>
        <w:tab/>
      </w:r>
      <w:r>
        <w:rPr>
          <w:rFonts w:ascii="Arial" w:cs="Arial" w:eastAsia="Arial" w:hAnsi="Arial"/>
          <w:sz w:val="17"/>
          <w:szCs w:val="17"/>
          <w:color w:val="auto"/>
        </w:rPr>
        <w:t>April 15, 2032</w:t>
      </w:r>
    </w:p>
    <w:p>
      <w:pPr>
        <w:spacing w:after="0" w:line="104"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Interest Rate</w:t>
      </w:r>
      <w:r>
        <w:rPr>
          <w:sz w:val="20"/>
          <w:szCs w:val="20"/>
          <w:color w:val="auto"/>
        </w:rPr>
        <w:tab/>
      </w:r>
      <w:r>
        <w:rPr>
          <w:rFonts w:ascii="Arial" w:cs="Arial" w:eastAsia="Arial" w:hAnsi="Arial"/>
          <w:sz w:val="16"/>
          <w:szCs w:val="16"/>
          <w:color w:val="auto"/>
        </w:rPr>
        <w:t>4.15% per year</w:t>
      </w:r>
    </w:p>
    <w:p>
      <w:pPr>
        <w:spacing w:after="0" w:line="90"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7"/>
          <w:szCs w:val="17"/>
          <w:color w:val="auto"/>
        </w:rPr>
        <w:t>April 15 and October 15 of each year, beginning October 15, 2022.</w:t>
      </w:r>
    </w:p>
    <w:p>
      <w:pPr>
        <w:spacing w:after="0" w:line="104"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Optional Redemption</w:t>
      </w:r>
      <w:r>
        <w:rPr>
          <w:sz w:val="20"/>
          <w:szCs w:val="20"/>
          <w:color w:val="auto"/>
        </w:rPr>
        <w:tab/>
      </w:r>
      <w:r>
        <w:rPr>
          <w:rFonts w:ascii="Arial" w:cs="Arial" w:eastAsia="Arial" w:hAnsi="Arial"/>
          <w:sz w:val="16"/>
          <w:szCs w:val="16"/>
          <w:color w:val="auto"/>
        </w:rPr>
        <w:t>We may elect to redeem and repay any or all of the notes at any time</w:t>
      </w:r>
    </w:p>
    <w:p>
      <w:pPr>
        <w:spacing w:after="0" w:line="23" w:lineRule="exact"/>
        <w:rPr>
          <w:sz w:val="20"/>
          <w:szCs w:val="20"/>
          <w:color w:val="auto"/>
        </w:rPr>
      </w:pPr>
    </w:p>
    <w:p>
      <w:pPr>
        <w:ind w:left="4300" w:right="579"/>
        <w:spacing w:after="0" w:line="260" w:lineRule="auto"/>
        <w:rPr>
          <w:sz w:val="20"/>
          <w:szCs w:val="20"/>
          <w:color w:val="auto"/>
        </w:rPr>
      </w:pPr>
      <w:r>
        <w:rPr>
          <w:rFonts w:ascii="Arial" w:cs="Arial" w:eastAsia="Arial" w:hAnsi="Arial"/>
          <w:sz w:val="18"/>
          <w:szCs w:val="18"/>
          <w:color w:val="auto"/>
        </w:rPr>
        <w:t>and from time to time in minimum principal amounts of $2,000 or any integral multiple of $1,000 in excess thereof.</w:t>
      </w:r>
    </w:p>
    <w:p>
      <w:pPr>
        <w:spacing w:after="0" w:line="64" w:lineRule="exact"/>
        <w:rPr>
          <w:sz w:val="20"/>
          <w:szCs w:val="20"/>
          <w:color w:val="auto"/>
        </w:rPr>
      </w:pPr>
    </w:p>
    <w:p>
      <w:pPr>
        <w:ind w:left="4300" w:right="399"/>
        <w:spacing w:after="0" w:line="269" w:lineRule="auto"/>
        <w:rPr>
          <w:sz w:val="20"/>
          <w:szCs w:val="20"/>
          <w:color w:val="auto"/>
        </w:rPr>
      </w:pPr>
      <w:r>
        <w:rPr>
          <w:rFonts w:ascii="Arial" w:cs="Arial" w:eastAsia="Arial" w:hAnsi="Arial"/>
          <w:sz w:val="17"/>
          <w:szCs w:val="17"/>
          <w:color w:val="auto"/>
        </w:rPr>
        <w:t>Prior to January 15, 2032, we may redeem the notes at our option, in whole or in part, at any time and from time to time, at a redemption price equal to the greater of: (1)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under “Description of Notes — Optional Redemption”) plus 20 basis points less (b) interest accrued to the date of redemption, and (2) 100% of the principal amount of the notes to be redeemed, plus, in either case, accrued and unpaid interest thereon to the redemption date.</w:t>
      </w:r>
    </w:p>
    <w:p>
      <w:pPr>
        <w:spacing w:after="0" w:line="44" w:lineRule="exact"/>
        <w:rPr>
          <w:sz w:val="20"/>
          <w:szCs w:val="20"/>
          <w:color w:val="auto"/>
        </w:rPr>
      </w:pPr>
    </w:p>
    <w:p>
      <w:pPr>
        <w:ind w:left="4300" w:right="419"/>
        <w:spacing w:after="0" w:line="257" w:lineRule="auto"/>
        <w:rPr>
          <w:sz w:val="20"/>
          <w:szCs w:val="20"/>
          <w:color w:val="auto"/>
        </w:rPr>
      </w:pPr>
      <w:r>
        <w:rPr>
          <w:rFonts w:ascii="Arial" w:cs="Arial" w:eastAsia="Arial" w:hAnsi="Arial"/>
          <w:sz w:val="18"/>
          <w:szCs w:val="18"/>
          <w:color w:val="auto"/>
        </w:rPr>
        <w:t>On or after January 15, 2032, we may redeem the notes at our option, in whole or in part, at any time and from time to time, at a redemption price equal to 100% of the principal amount of the notes to be redeemed, plus accrued and unpaid interest thereon to the redemption date.</w:t>
      </w:r>
    </w:p>
    <w:p>
      <w:pPr>
        <w:spacing w:after="0" w:line="6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See “Description of Notes — Optional Redemption” in this</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prospectus supplement.</w:t>
      </w:r>
    </w:p>
    <w:p>
      <w:pPr>
        <w:spacing w:after="0" w:line="89"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Change of Control Offer</w:t>
      </w:r>
      <w:r>
        <w:rPr>
          <w:sz w:val="20"/>
          <w:szCs w:val="20"/>
          <w:color w:val="auto"/>
        </w:rPr>
        <w:tab/>
      </w:r>
      <w:r>
        <w:rPr>
          <w:rFonts w:ascii="Arial" w:cs="Arial" w:eastAsia="Arial" w:hAnsi="Arial"/>
          <w:sz w:val="17"/>
          <w:szCs w:val="17"/>
          <w:color w:val="auto"/>
        </w:rPr>
        <w:t>If a change of control triggering event occurs, holders of the notes</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may require us to purchase all or a portion of such holders’ notes at</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 price equal to 101% of the principal amount, plus accrued interest,</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if any, to the date of purchase. See “Description of Notes — Change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 Control Offer” in this prospectus supplement.</w:t>
      </w:r>
    </w:p>
    <w:p>
      <w:pPr>
        <w:spacing w:after="0" w:line="76"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7"/>
          <w:szCs w:val="17"/>
          <w:color w:val="auto"/>
        </w:rPr>
        <w:t>Ranking</w:t>
      </w:r>
      <w:r>
        <w:rPr>
          <w:sz w:val="20"/>
          <w:szCs w:val="20"/>
          <w:color w:val="auto"/>
        </w:rPr>
        <w:tab/>
      </w:r>
      <w:r>
        <w:rPr>
          <w:rFonts w:ascii="Arial" w:cs="Arial" w:eastAsia="Arial" w:hAnsi="Arial"/>
          <w:sz w:val="17"/>
          <w:szCs w:val="17"/>
          <w:color w:val="auto"/>
        </w:rPr>
        <w:t>The notes and the guarantees will constitute the senior unsecured</w:t>
      </w:r>
    </w:p>
    <w:p>
      <w:pPr>
        <w:spacing w:after="0" w:line="35" w:lineRule="exact"/>
        <w:rPr>
          <w:sz w:val="20"/>
          <w:szCs w:val="20"/>
          <w:color w:val="auto"/>
        </w:rPr>
      </w:pPr>
    </w:p>
    <w:p>
      <w:pPr>
        <w:ind w:left="4300" w:right="399"/>
        <w:spacing w:after="0" w:line="255" w:lineRule="auto"/>
        <w:rPr>
          <w:sz w:val="20"/>
          <w:szCs w:val="20"/>
          <w:color w:val="auto"/>
        </w:rPr>
      </w:pPr>
      <w:r>
        <w:rPr>
          <w:rFonts w:ascii="Arial" w:cs="Arial" w:eastAsia="Arial" w:hAnsi="Arial"/>
          <w:sz w:val="18"/>
          <w:szCs w:val="18"/>
          <w:color w:val="auto"/>
        </w:rPr>
        <w:t>debt of Waste Management, Inc. and WM Holdings, respectively, and will rank equally with all of our and its other existing and future senior obligations from time to time outstanding.</w:t>
      </w:r>
    </w:p>
    <w:p>
      <w:pPr>
        <w:spacing w:after="0" w:line="68"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7"/>
          <w:szCs w:val="17"/>
          <w:color w:val="auto"/>
        </w:rPr>
        <w:t>Covenants</w:t>
      </w:r>
      <w:r>
        <w:rPr>
          <w:sz w:val="20"/>
          <w:szCs w:val="20"/>
          <w:color w:val="auto"/>
        </w:rPr>
        <w:tab/>
      </w:r>
      <w:r>
        <w:rPr>
          <w:rFonts w:ascii="Arial" w:cs="Arial" w:eastAsia="Arial" w:hAnsi="Arial"/>
          <w:sz w:val="17"/>
          <w:szCs w:val="17"/>
          <w:color w:val="auto"/>
        </w:rPr>
        <w:t>We will issue the notes under an indenture containing covenants for</w:t>
      </w:r>
    </w:p>
    <w:p>
      <w:pPr>
        <w:spacing w:after="0" w:line="3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your benefit. These covenants restrict our ability, with certain</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exceptions, to:</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02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980" w:type="dxa"/>
            <w:vAlign w:val="bottom"/>
          </w:tcPr>
          <w:p>
            <w:pPr>
              <w:ind w:left="760"/>
              <w:spacing w:after="0"/>
              <w:rPr>
                <w:sz w:val="20"/>
                <w:szCs w:val="20"/>
                <w:color w:val="auto"/>
              </w:rPr>
            </w:pPr>
            <w:r>
              <w:rPr>
                <w:rFonts w:ascii="Arial" w:cs="Arial" w:eastAsia="Arial" w:hAnsi="Arial"/>
                <w:sz w:val="18"/>
                <w:szCs w:val="18"/>
                <w:color w:val="auto"/>
              </w:rPr>
              <w:t>•</w:t>
            </w:r>
          </w:p>
        </w:tc>
        <w:tc>
          <w:tcPr>
            <w:tcW w:w="4960" w:type="dxa"/>
            <w:vAlign w:val="bottom"/>
            <w:gridSpan w:val="5"/>
          </w:tcPr>
          <w:p>
            <w:pPr>
              <w:ind w:left="140"/>
              <w:spacing w:after="0"/>
              <w:rPr>
                <w:sz w:val="20"/>
                <w:szCs w:val="20"/>
                <w:color w:val="auto"/>
              </w:rPr>
            </w:pPr>
            <w:r>
              <w:rPr>
                <w:rFonts w:ascii="Arial" w:cs="Arial" w:eastAsia="Arial" w:hAnsi="Arial"/>
                <w:sz w:val="18"/>
                <w:szCs w:val="18"/>
                <w:color w:val="auto"/>
              </w:rPr>
              <w:t>create, incur or assume debt secured by liens;</w:t>
            </w:r>
          </w:p>
        </w:tc>
      </w:tr>
      <w:tr>
        <w:trPr>
          <w:trHeight w:val="297"/>
        </w:trPr>
        <w:tc>
          <w:tcPr>
            <w:tcW w:w="2260" w:type="dxa"/>
            <w:vAlign w:val="bottom"/>
          </w:tcPr>
          <w:p>
            <w:pPr>
              <w:spacing w:after="0"/>
              <w:rPr>
                <w:sz w:val="24"/>
                <w:szCs w:val="24"/>
                <w:color w:val="auto"/>
              </w:rPr>
            </w:pPr>
          </w:p>
        </w:tc>
        <w:tc>
          <w:tcPr>
            <w:tcW w:w="980" w:type="dxa"/>
            <w:vAlign w:val="bottom"/>
          </w:tcPr>
          <w:p>
            <w:pPr>
              <w:ind w:left="760"/>
              <w:spacing w:after="0"/>
              <w:rPr>
                <w:sz w:val="20"/>
                <w:szCs w:val="20"/>
                <w:color w:val="auto"/>
              </w:rPr>
            </w:pPr>
            <w:r>
              <w:rPr>
                <w:rFonts w:ascii="Arial" w:cs="Arial" w:eastAsia="Arial" w:hAnsi="Arial"/>
                <w:sz w:val="18"/>
                <w:szCs w:val="18"/>
                <w:color w:val="auto"/>
              </w:rPr>
              <w:t>•</w:t>
            </w:r>
          </w:p>
        </w:tc>
        <w:tc>
          <w:tcPr>
            <w:tcW w:w="4960" w:type="dxa"/>
            <w:vAlign w:val="bottom"/>
            <w:gridSpan w:val="5"/>
          </w:tcPr>
          <w:p>
            <w:pPr>
              <w:ind w:left="140"/>
              <w:spacing w:after="0"/>
              <w:rPr>
                <w:sz w:val="20"/>
                <w:szCs w:val="20"/>
                <w:color w:val="auto"/>
              </w:rPr>
            </w:pPr>
            <w:r>
              <w:rPr>
                <w:rFonts w:ascii="Arial" w:cs="Arial" w:eastAsia="Arial" w:hAnsi="Arial"/>
                <w:sz w:val="18"/>
                <w:szCs w:val="18"/>
                <w:color w:val="auto"/>
              </w:rPr>
              <w:t>engage in sale and leaseback transactions; and</w:t>
            </w:r>
          </w:p>
        </w:tc>
      </w:tr>
      <w:tr>
        <w:trPr>
          <w:trHeight w:val="283"/>
        </w:trPr>
        <w:tc>
          <w:tcPr>
            <w:tcW w:w="2260" w:type="dxa"/>
            <w:vAlign w:val="bottom"/>
          </w:tcPr>
          <w:p>
            <w:pPr>
              <w:spacing w:after="0"/>
              <w:rPr>
                <w:sz w:val="24"/>
                <w:szCs w:val="24"/>
                <w:color w:val="auto"/>
              </w:rPr>
            </w:pPr>
          </w:p>
        </w:tc>
        <w:tc>
          <w:tcPr>
            <w:tcW w:w="980" w:type="dxa"/>
            <w:vAlign w:val="bottom"/>
          </w:tcPr>
          <w:p>
            <w:pPr>
              <w:ind w:left="760"/>
              <w:spacing w:after="0"/>
              <w:rPr>
                <w:sz w:val="20"/>
                <w:szCs w:val="20"/>
                <w:color w:val="auto"/>
              </w:rPr>
            </w:pPr>
            <w:r>
              <w:rPr>
                <w:rFonts w:ascii="Arial" w:cs="Arial" w:eastAsia="Arial" w:hAnsi="Arial"/>
                <w:sz w:val="18"/>
                <w:szCs w:val="18"/>
                <w:color w:val="auto"/>
              </w:rPr>
              <w:t>•</w:t>
            </w:r>
          </w:p>
        </w:tc>
        <w:tc>
          <w:tcPr>
            <w:tcW w:w="4960" w:type="dxa"/>
            <w:vAlign w:val="bottom"/>
            <w:gridSpan w:val="5"/>
          </w:tcPr>
          <w:p>
            <w:pPr>
              <w:ind w:left="140"/>
              <w:spacing w:after="0"/>
              <w:rPr>
                <w:sz w:val="20"/>
                <w:szCs w:val="20"/>
                <w:color w:val="auto"/>
              </w:rPr>
            </w:pPr>
            <w:r>
              <w:rPr>
                <w:rFonts w:ascii="Arial" w:cs="Arial" w:eastAsia="Arial" w:hAnsi="Arial"/>
                <w:sz w:val="18"/>
                <w:szCs w:val="18"/>
                <w:color w:val="auto"/>
              </w:rPr>
              <w:t>merge, consolidate or transfer all or substantially all of our</w:t>
            </w:r>
          </w:p>
        </w:tc>
      </w:tr>
      <w:tr>
        <w:trPr>
          <w:trHeight w:val="230"/>
        </w:trPr>
        <w:tc>
          <w:tcPr>
            <w:tcW w:w="2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960" w:type="dxa"/>
            <w:vAlign w:val="bottom"/>
            <w:gridSpan w:val="5"/>
          </w:tcPr>
          <w:p>
            <w:pPr>
              <w:ind w:left="140"/>
              <w:spacing w:after="0"/>
              <w:rPr>
                <w:sz w:val="20"/>
                <w:szCs w:val="20"/>
                <w:color w:val="auto"/>
              </w:rPr>
            </w:pPr>
            <w:r>
              <w:rPr>
                <w:rFonts w:ascii="Arial" w:cs="Arial" w:eastAsia="Arial" w:hAnsi="Arial"/>
                <w:sz w:val="18"/>
                <w:szCs w:val="18"/>
                <w:color w:val="auto"/>
              </w:rPr>
              <w:t>assets.</w:t>
            </w:r>
          </w:p>
        </w:tc>
      </w:t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Use of Proceeds</w:t>
            </w: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We expect the net proceeds from the offering of the notes to be</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$989.6 million, after deducting the underwriting discounts and</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estimated expenses of the offering that we will pay. We intend to</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9"/>
              </w:rPr>
              <w:t>use the net proceeds from the offering of the notes to redeem our</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5"/>
              </w:rPr>
              <w:t>$500 million aggregate principal amount of 2.90% Senior Notes due</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9"/>
              </w:rPr>
              <w:t>2022. This prospectus supplement does not constitute a notice of</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4"/>
              </w:rPr>
              <w:t>redemption under the indenture governing such 2.90% Senior Notes</w:t>
            </w:r>
          </w:p>
        </w:tc>
      </w:tr>
      <w:tr>
        <w:trPr>
          <w:trHeight w:val="230"/>
        </w:trPr>
        <w:tc>
          <w:tcPr>
            <w:tcW w:w="2260" w:type="dxa"/>
            <w:vAlign w:val="bottom"/>
          </w:tcPr>
          <w:p>
            <w:pPr>
              <w:spacing w:after="0"/>
              <w:rPr>
                <w:sz w:val="20"/>
                <w:szCs w:val="20"/>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due 2022.</w:t>
            </w:r>
          </w:p>
        </w:tc>
      </w:tr>
      <w:tr>
        <w:trPr>
          <w:trHeight w:val="283"/>
        </w:trPr>
        <w:tc>
          <w:tcPr>
            <w:tcW w:w="2260" w:type="dxa"/>
            <w:vAlign w:val="bottom"/>
          </w:tcPr>
          <w:p>
            <w:pPr>
              <w:spacing w:after="0"/>
              <w:rPr>
                <w:sz w:val="24"/>
                <w:szCs w:val="24"/>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8"/>
              </w:rPr>
              <w:t>Pending application of the net proceeds as described immediately</w:t>
            </w:r>
          </w:p>
        </w:tc>
      </w:tr>
      <w:tr>
        <w:trPr>
          <w:trHeight w:val="203"/>
        </w:trPr>
        <w:tc>
          <w:tcPr>
            <w:tcW w:w="2260" w:type="dxa"/>
            <w:vAlign w:val="bottom"/>
          </w:tcPr>
          <w:p>
            <w:pPr>
              <w:spacing w:after="0"/>
              <w:rPr>
                <w:sz w:val="17"/>
                <w:szCs w:val="17"/>
                <w:color w:val="auto"/>
              </w:rPr>
            </w:pPr>
          </w:p>
        </w:tc>
        <w:tc>
          <w:tcPr>
            <w:tcW w:w="5940" w:type="dxa"/>
            <w:vAlign w:val="bottom"/>
            <w:gridSpan w:val="6"/>
          </w:tcPr>
          <w:p>
            <w:pPr>
              <w:ind w:left="760"/>
              <w:spacing w:after="0" w:line="202" w:lineRule="exact"/>
              <w:rPr>
                <w:sz w:val="20"/>
                <w:szCs w:val="20"/>
                <w:color w:val="auto"/>
              </w:rPr>
            </w:pPr>
            <w:r>
              <w:rPr>
                <w:rFonts w:ascii="Arial" w:cs="Arial" w:eastAsia="Arial" w:hAnsi="Arial"/>
                <w:sz w:val="18"/>
                <w:szCs w:val="18"/>
                <w:color w:val="auto"/>
              </w:rPr>
              <w:t>above, we may repay borrowings under our commercial paper</w:t>
            </w:r>
          </w:p>
        </w:tc>
      </w:tr>
      <w:tr>
        <w:trPr>
          <w:trHeight w:val="203"/>
        </w:trPr>
        <w:tc>
          <w:tcPr>
            <w:tcW w:w="2260" w:type="dxa"/>
            <w:vAlign w:val="bottom"/>
          </w:tcPr>
          <w:p>
            <w:pPr>
              <w:spacing w:after="0"/>
              <w:rPr>
                <w:sz w:val="17"/>
                <w:szCs w:val="17"/>
                <w:color w:val="auto"/>
              </w:rPr>
            </w:pPr>
          </w:p>
        </w:tc>
        <w:tc>
          <w:tcPr>
            <w:tcW w:w="5940" w:type="dxa"/>
            <w:vAlign w:val="bottom"/>
            <w:gridSpan w:val="6"/>
          </w:tcPr>
          <w:p>
            <w:pPr>
              <w:ind w:left="760"/>
              <w:spacing w:after="0" w:line="202" w:lineRule="exact"/>
              <w:rPr>
                <w:sz w:val="20"/>
                <w:szCs w:val="20"/>
                <w:color w:val="auto"/>
              </w:rPr>
            </w:pPr>
            <w:r>
              <w:rPr>
                <w:rFonts w:ascii="Arial" w:cs="Arial" w:eastAsia="Arial" w:hAnsi="Arial"/>
                <w:sz w:val="18"/>
                <w:szCs w:val="18"/>
                <w:color w:val="auto"/>
              </w:rPr>
              <w:t>program used for working capital, which is fully supported by our</w:t>
            </w:r>
          </w:p>
        </w:tc>
      </w:tr>
      <w:tr>
        <w:trPr>
          <w:trHeight w:val="203"/>
        </w:trPr>
        <w:tc>
          <w:tcPr>
            <w:tcW w:w="2260" w:type="dxa"/>
            <w:vAlign w:val="bottom"/>
          </w:tcPr>
          <w:p>
            <w:pPr>
              <w:spacing w:after="0"/>
              <w:rPr>
                <w:sz w:val="17"/>
                <w:szCs w:val="17"/>
                <w:color w:val="auto"/>
              </w:rPr>
            </w:pPr>
          </w:p>
        </w:tc>
        <w:tc>
          <w:tcPr>
            <w:tcW w:w="5940" w:type="dxa"/>
            <w:vAlign w:val="bottom"/>
            <w:gridSpan w:val="6"/>
          </w:tcPr>
          <w:p>
            <w:pPr>
              <w:ind w:left="760"/>
              <w:spacing w:after="0" w:line="202" w:lineRule="exact"/>
              <w:rPr>
                <w:sz w:val="20"/>
                <w:szCs w:val="20"/>
                <w:color w:val="auto"/>
              </w:rPr>
            </w:pPr>
            <w:r>
              <w:rPr>
                <w:rFonts w:ascii="Arial" w:cs="Arial" w:eastAsia="Arial" w:hAnsi="Arial"/>
                <w:sz w:val="18"/>
                <w:szCs w:val="18"/>
                <w:color w:val="auto"/>
                <w:w w:val="99"/>
              </w:rPr>
              <w:t>$3.5 billion revolving credit facility, and we may temporarily invest</w:t>
            </w:r>
          </w:p>
        </w:tc>
      </w:tr>
      <w:tr>
        <w:trPr>
          <w:trHeight w:val="203"/>
        </w:trPr>
        <w:tc>
          <w:tcPr>
            <w:tcW w:w="2260" w:type="dxa"/>
            <w:vAlign w:val="bottom"/>
          </w:tcPr>
          <w:p>
            <w:pPr>
              <w:spacing w:after="0"/>
              <w:rPr>
                <w:sz w:val="17"/>
                <w:szCs w:val="17"/>
                <w:color w:val="auto"/>
              </w:rPr>
            </w:pPr>
          </w:p>
        </w:tc>
        <w:tc>
          <w:tcPr>
            <w:tcW w:w="5940" w:type="dxa"/>
            <w:vAlign w:val="bottom"/>
            <w:gridSpan w:val="6"/>
          </w:tcPr>
          <w:p>
            <w:pPr>
              <w:ind w:left="760"/>
              <w:spacing w:after="0" w:line="202" w:lineRule="exact"/>
              <w:rPr>
                <w:sz w:val="20"/>
                <w:szCs w:val="20"/>
                <w:color w:val="auto"/>
              </w:rPr>
            </w:pPr>
            <w:r>
              <w:rPr>
                <w:rFonts w:ascii="Arial" w:cs="Arial" w:eastAsia="Arial" w:hAnsi="Arial"/>
                <w:sz w:val="18"/>
                <w:szCs w:val="18"/>
                <w:color w:val="auto"/>
                <w:w w:val="95"/>
              </w:rPr>
              <w:t>in short-term investments. Any excess net proceeds will be used for</w:t>
            </w:r>
          </w:p>
        </w:tc>
      </w:tr>
      <w:tr>
        <w:trPr>
          <w:trHeight w:val="230"/>
        </w:trPr>
        <w:tc>
          <w:tcPr>
            <w:tcW w:w="2260" w:type="dxa"/>
            <w:vAlign w:val="bottom"/>
          </w:tcPr>
          <w:p>
            <w:pPr>
              <w:spacing w:after="0"/>
              <w:rPr>
                <w:sz w:val="20"/>
                <w:szCs w:val="20"/>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general corporate purposes.</w:t>
            </w:r>
          </w:p>
        </w:tc>
      </w:tr>
      <w:tr>
        <w:trPr>
          <w:trHeight w:val="283"/>
        </w:trPr>
        <w:tc>
          <w:tcPr>
            <w:tcW w:w="2260" w:type="dxa"/>
            <w:vAlign w:val="bottom"/>
          </w:tcPr>
          <w:p>
            <w:pPr>
              <w:spacing w:after="0"/>
              <w:rPr>
                <w:sz w:val="24"/>
                <w:szCs w:val="24"/>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See “Use of Proceeds” in this prospectus supplement.</w:t>
            </w:r>
          </w:p>
        </w:tc>
      </w:tr>
      <w:tr>
        <w:trPr>
          <w:trHeight w:val="296"/>
        </w:trPr>
        <w:tc>
          <w:tcPr>
            <w:tcW w:w="2260" w:type="dxa"/>
            <w:vAlign w:val="bottom"/>
          </w:tcPr>
          <w:p>
            <w:pPr>
              <w:spacing w:after="0"/>
              <w:rPr>
                <w:sz w:val="20"/>
                <w:szCs w:val="20"/>
                <w:color w:val="auto"/>
              </w:rPr>
            </w:pPr>
            <w:r>
              <w:rPr>
                <w:rFonts w:ascii="Arial" w:cs="Arial" w:eastAsia="Arial" w:hAnsi="Arial"/>
                <w:sz w:val="18"/>
                <w:szCs w:val="18"/>
                <w:color w:val="auto"/>
              </w:rPr>
              <w:t>Conflicts of Interest</w:t>
            </w: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7"/>
              </w:rPr>
              <w:t>Certain underwriters or their respective affiliates in this offering are</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7"/>
              </w:rPr>
              <w:t>lenders to us under our $3.5 billion revolving credit facility and may</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6"/>
              </w:rPr>
              <w:t>receive 5% or more of the net proceeds of this offering by reason of</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6"/>
              </w:rPr>
              <w:t>the repayment of amounts outstanding under our commercial paper</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program, which is fully supported by such credit facility, pending</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8"/>
              </w:rPr>
              <w:t>application of the net proceeds as described in the first paragraph</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under “Use of Proceeds” in this prospectus supplement.</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Accordingly, such underwriters are deemed to have a “conflict of</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8"/>
              </w:rPr>
              <w:t>interest” within the meaning of Rule 5121 of the Financial Industry</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Regulatory Authority, Inc. (“FINRA Rule 5121”), and this offering</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will be conducted in accordance with FINRA Rule 5121, which</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6"/>
              </w:rPr>
              <w:t>requires prominent disclosure of the nature of the conflict of interest</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7"/>
              </w:rPr>
              <w:t>in the prospectus supplement. Pursuant to FINRA Rule 5121(a)(1)</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7"/>
              </w:rPr>
              <w:t>(C), the appointment of a “qualified independent underwriter” is not</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necessary in connection with this offering as the notes offered</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hereby are “investment grade rated” (as defined in FINRA</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Rule 5121). See “Underwriting (Conflicts of Interest) — Conflicts</w:t>
            </w:r>
          </w:p>
        </w:tc>
      </w:tr>
      <w:tr>
        <w:trPr>
          <w:trHeight w:val="230"/>
        </w:trPr>
        <w:tc>
          <w:tcPr>
            <w:tcW w:w="2260" w:type="dxa"/>
            <w:vAlign w:val="bottom"/>
          </w:tcPr>
          <w:p>
            <w:pPr>
              <w:spacing w:after="0"/>
              <w:rPr>
                <w:sz w:val="20"/>
                <w:szCs w:val="20"/>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of Interest” in this prospectus supplement.</w:t>
            </w:r>
          </w:p>
        </w:tc>
      </w:tr>
      <w:tr>
        <w:trPr>
          <w:trHeight w:val="310"/>
        </w:trPr>
        <w:tc>
          <w:tcPr>
            <w:tcW w:w="2260" w:type="dxa"/>
            <w:vAlign w:val="bottom"/>
          </w:tcPr>
          <w:p>
            <w:pPr>
              <w:spacing w:after="0"/>
              <w:rPr>
                <w:sz w:val="20"/>
                <w:szCs w:val="20"/>
                <w:color w:val="auto"/>
              </w:rPr>
            </w:pPr>
            <w:r>
              <w:rPr>
                <w:rFonts w:ascii="Arial" w:cs="Arial" w:eastAsia="Arial" w:hAnsi="Arial"/>
                <w:sz w:val="18"/>
                <w:szCs w:val="18"/>
                <w:color w:val="auto"/>
              </w:rPr>
              <w:t>Trustee</w:t>
            </w: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The Bank of New York Mellon Trust Company, N.A.</w:t>
            </w:r>
          </w:p>
        </w:tc>
      </w:t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Further Issuances</w:t>
            </w: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We may create and issue additional notes ranking equally and</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8"/>
              </w:rPr>
              <w:t>ratably with the notes offered by this prospectus supplement in all</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4"/>
              </w:rPr>
              <w:t>respects, so that such additional notes will be consolidated and form</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5"/>
              </w:rPr>
              <w:t>a single series with the notes offered by this prospectus supplement</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5"/>
              </w:rPr>
              <w:t>and will have the same terms, as to status, redemption or otherwise</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except for the issue date, the initial interest payment date, if</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9"/>
              </w:rPr>
              <w:t>applicable, and the payment of interest accruing prior to the issue</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9"/>
              </w:rPr>
              <w:t>date of such additional notes; provided, however, that a separate</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CUSIP or ISIN will be issued for the additional notes unless the</w:t>
            </w:r>
          </w:p>
        </w:tc>
      </w:tr>
      <w:tr>
        <w:trPr>
          <w:trHeight w:val="216"/>
        </w:trPr>
        <w:tc>
          <w:tcPr>
            <w:tcW w:w="2260" w:type="dxa"/>
            <w:vAlign w:val="bottom"/>
          </w:tcPr>
          <w:p>
            <w:pPr>
              <w:spacing w:after="0"/>
              <w:rPr>
                <w:sz w:val="18"/>
                <w:szCs w:val="18"/>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7"/>
              </w:rPr>
              <w:t>notes and the additional notes are fungible for U.S. federal income</w:t>
            </w:r>
          </w:p>
        </w:tc>
      </w:tr>
      <w:tr>
        <w:trPr>
          <w:trHeight w:val="230"/>
        </w:trPr>
        <w:tc>
          <w:tcPr>
            <w:tcW w:w="2260" w:type="dxa"/>
            <w:vAlign w:val="bottom"/>
          </w:tcPr>
          <w:p>
            <w:pPr>
              <w:spacing w:after="0"/>
              <w:rPr>
                <w:sz w:val="20"/>
                <w:szCs w:val="20"/>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tax purposes.</w:t>
            </w:r>
          </w:p>
        </w:tc>
      </w:t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Risk Factors</w:t>
            </w:r>
          </w:p>
        </w:tc>
        <w:tc>
          <w:tcPr>
            <w:tcW w:w="5940" w:type="dxa"/>
            <w:vAlign w:val="bottom"/>
            <w:gridSpan w:val="6"/>
          </w:tcPr>
          <w:p>
            <w:pPr>
              <w:ind w:left="760"/>
              <w:spacing w:after="0"/>
              <w:rPr>
                <w:rFonts w:ascii="Arial" w:cs="Arial" w:eastAsia="Arial" w:hAnsi="Arial"/>
                <w:sz w:val="18"/>
                <w:szCs w:val="18"/>
                <w:color w:val="auto"/>
              </w:rPr>
            </w:pPr>
            <w:r>
              <w:rPr>
                <w:rFonts w:ascii="Arial" w:cs="Arial" w:eastAsia="Arial" w:hAnsi="Arial"/>
                <w:sz w:val="18"/>
                <w:szCs w:val="18"/>
                <w:color w:val="auto"/>
              </w:rPr>
              <w:t xml:space="preserve">See page </w:t>
            </w:r>
            <w:hyperlink w:anchor="page5">
              <w:r>
                <w:rPr>
                  <w:rFonts w:ascii="Arial" w:cs="Arial" w:eastAsia="Arial" w:hAnsi="Arial"/>
                  <w:sz w:val="18"/>
                  <w:szCs w:val="18"/>
                  <w:color w:val="0000EE"/>
                </w:rPr>
                <w:t>S-4</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of this prospectus supplement and page </w:t>
            </w:r>
            <w:hyperlink w:anchor="page45">
              <w:r>
                <w:rPr>
                  <w:rFonts w:ascii="Arial" w:cs="Arial" w:eastAsia="Arial" w:hAnsi="Arial"/>
                  <w:sz w:val="18"/>
                  <w:szCs w:val="18"/>
                  <w:color w:val="0000EE"/>
                </w:rPr>
                <w:t>8</w:t>
              </w:r>
              <w:r>
                <w:rPr>
                  <w:rFonts w:ascii="Arial" w:cs="Arial" w:eastAsia="Arial" w:hAnsi="Arial"/>
                  <w:sz w:val="18"/>
                  <w:szCs w:val="18"/>
                  <w:color w:val="auto"/>
                </w:rPr>
                <w:t xml:space="preserve"> </w:t>
              </w:r>
            </w:hyperlink>
            <w:r>
              <w:rPr>
                <w:rFonts w:ascii="Arial" w:cs="Arial" w:eastAsia="Arial" w:hAnsi="Arial"/>
                <w:sz w:val="18"/>
                <w:szCs w:val="18"/>
                <w:color w:val="auto"/>
              </w:rPr>
              <w:t>of the</w:t>
            </w:r>
          </w:p>
        </w:tc>
      </w:tr>
      <w:tr>
        <w:trPr>
          <w:trHeight w:val="20"/>
        </w:trPr>
        <w:tc>
          <w:tcPr>
            <w:tcW w:w="2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2"/>
        </w:trPr>
        <w:tc>
          <w:tcPr>
            <w:tcW w:w="2260" w:type="dxa"/>
            <w:vAlign w:val="bottom"/>
          </w:tcPr>
          <w:p>
            <w:pPr>
              <w:spacing w:after="0"/>
              <w:rPr>
                <w:sz w:val="19"/>
                <w:szCs w:val="19"/>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w w:val="98"/>
              </w:rPr>
              <w:t>accompanying prospectus for a discussion of the risks you should</w:t>
            </w:r>
          </w:p>
        </w:tc>
      </w:tr>
      <w:tr>
        <w:trPr>
          <w:trHeight w:val="230"/>
        </w:trPr>
        <w:tc>
          <w:tcPr>
            <w:tcW w:w="2260" w:type="dxa"/>
            <w:vAlign w:val="bottom"/>
          </w:tcPr>
          <w:p>
            <w:pPr>
              <w:spacing w:after="0"/>
              <w:rPr>
                <w:sz w:val="20"/>
                <w:szCs w:val="20"/>
                <w:color w:val="auto"/>
              </w:rPr>
            </w:pPr>
          </w:p>
        </w:tc>
        <w:tc>
          <w:tcPr>
            <w:tcW w:w="5940" w:type="dxa"/>
            <w:vAlign w:val="bottom"/>
            <w:gridSpan w:val="6"/>
          </w:tcPr>
          <w:p>
            <w:pPr>
              <w:ind w:left="760"/>
              <w:spacing w:after="0"/>
              <w:rPr>
                <w:sz w:val="20"/>
                <w:szCs w:val="20"/>
                <w:color w:val="auto"/>
              </w:rPr>
            </w:pPr>
            <w:r>
              <w:rPr>
                <w:rFonts w:ascii="Arial" w:cs="Arial" w:eastAsia="Arial" w:hAnsi="Arial"/>
                <w:sz w:val="18"/>
                <w:szCs w:val="18"/>
                <w:color w:val="auto"/>
              </w:rPr>
              <w:t>consider before investing in the notes.</w:t>
            </w: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204"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519" w:firstLine="360"/>
        <w:spacing w:after="0" w:line="252" w:lineRule="auto"/>
        <w:rPr>
          <w:rFonts w:ascii="Arial" w:cs="Arial" w:eastAsia="Arial" w:hAnsi="Arial"/>
          <w:sz w:val="17"/>
          <w:szCs w:val="17"/>
          <w:i w:val="1"/>
          <w:iCs w:val="1"/>
          <w:color w:val="0000EE"/>
        </w:rPr>
      </w:pPr>
      <w:r>
        <w:rPr>
          <w:rFonts w:ascii="Arial" w:cs="Arial" w:eastAsia="Arial" w:hAnsi="Arial"/>
          <w:sz w:val="17"/>
          <w:szCs w:val="17"/>
          <w:i w:val="1"/>
          <w:iCs w:val="1"/>
          <w:color w:val="auto"/>
        </w:rPr>
        <w:t xml:space="preserve">You should carefully consider the risk factors identified in Part I, Item 1A., “Risk Factors,” of our </w:t>
      </w:r>
      <w:hyperlink r:id="rId25">
        <w:r>
          <w:rPr>
            <w:rFonts w:ascii="Arial" w:cs="Arial" w:eastAsia="Arial" w:hAnsi="Arial"/>
            <w:sz w:val="17"/>
            <w:szCs w:val="17"/>
            <w:i w:val="1"/>
            <w:iCs w:val="1"/>
            <w:u w:val="single" w:color="auto"/>
            <w:color w:val="0000EE"/>
          </w:rPr>
          <w:t>Annual Report on Form 10 -K for the year ended December 31, 2021</w:t>
        </w:r>
        <w:r>
          <w:rPr>
            <w:rFonts w:ascii="Arial" w:cs="Arial" w:eastAsia="Arial" w:hAnsi="Arial"/>
            <w:sz w:val="17"/>
            <w:szCs w:val="17"/>
            <w:i w:val="1"/>
            <w:iCs w:val="1"/>
            <w:color w:val="0000EE"/>
          </w:rPr>
          <w:t xml:space="preserve"> </w:t>
        </w:r>
      </w:hyperlink>
      <w:r>
        <w:rPr>
          <w:rFonts w:ascii="Arial" w:cs="Arial" w:eastAsia="Arial" w:hAnsi="Arial"/>
          <w:sz w:val="17"/>
          <w:szCs w:val="17"/>
          <w:i w:val="1"/>
          <w:iCs w:val="1"/>
          <w:color w:val="000000"/>
        </w:rPr>
        <w:t>and</w:t>
      </w:r>
      <w:r>
        <w:rPr>
          <w:rFonts w:ascii="Arial" w:cs="Arial" w:eastAsia="Arial" w:hAnsi="Arial"/>
          <w:sz w:val="17"/>
          <w:szCs w:val="17"/>
          <w:i w:val="1"/>
          <w:iCs w:val="1"/>
          <w:color w:val="0000EE"/>
        </w:rPr>
        <w:t xml:space="preserve"> </w:t>
      </w:r>
      <w:r>
        <w:rPr>
          <w:rFonts w:ascii="Arial" w:cs="Arial" w:eastAsia="Arial" w:hAnsi="Arial"/>
          <w:sz w:val="17"/>
          <w:szCs w:val="17"/>
          <w:i w:val="1"/>
          <w:iCs w:val="1"/>
          <w:color w:val="000000"/>
        </w:rPr>
        <w:t>the risks identified in our other</w:t>
      </w:r>
      <w:r>
        <w:rPr>
          <w:rFonts w:ascii="Arial" w:cs="Arial" w:eastAsia="Arial" w:hAnsi="Arial"/>
          <w:sz w:val="17"/>
          <w:szCs w:val="17"/>
          <w:i w:val="1"/>
          <w:iCs w:val="1"/>
          <w:color w:val="0000EE"/>
        </w:rPr>
        <w:t xml:space="preserve"> </w:t>
      </w:r>
      <w:r>
        <w:rPr>
          <w:rFonts w:ascii="Arial" w:cs="Arial" w:eastAsia="Arial" w:hAnsi="Arial"/>
          <w:sz w:val="17"/>
          <w:szCs w:val="17"/>
          <w:i w:val="1"/>
          <w:iCs w:val="1"/>
          <w:color w:val="000000"/>
        </w:rPr>
        <w:t>filings with the SEC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18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Risks Related to the Notes</w:t>
      </w:r>
    </w:p>
    <w:p>
      <w:pPr>
        <w:spacing w:after="0" w:line="229" w:lineRule="exact"/>
        <w:rPr>
          <w:sz w:val="20"/>
          <w:szCs w:val="20"/>
          <w:color w:val="auto"/>
        </w:rPr>
      </w:pPr>
    </w:p>
    <w:p>
      <w:pPr>
        <w:ind w:left="1260" w:right="759"/>
        <w:spacing w:after="0" w:line="261" w:lineRule="auto"/>
        <w:rPr>
          <w:sz w:val="20"/>
          <w:szCs w:val="20"/>
          <w:color w:val="auto"/>
        </w:rPr>
      </w:pPr>
      <w:r>
        <w:rPr>
          <w:rFonts w:ascii="Arial" w:cs="Arial" w:eastAsia="Arial" w:hAnsi="Arial"/>
          <w:sz w:val="18"/>
          <w:szCs w:val="18"/>
          <w:b w:val="1"/>
          <w:bCs w:val="1"/>
          <w:i w:val="1"/>
          <w:iCs w:val="1"/>
          <w:color w:val="auto"/>
        </w:rPr>
        <w:t>Our substantial indebtedness could impair our financial condition and our ability to fulfill our debt obligations, including our obligations under the notes.</w:t>
      </w:r>
    </w:p>
    <w:p>
      <w:pPr>
        <w:spacing w:after="0" w:line="103"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7"/>
          <w:szCs w:val="17"/>
          <w:color w:val="auto"/>
        </w:rPr>
        <w:t>We have substantial indebtedness. At March 31, 2022, our ratio of total debt to total capitalization was 65.4%, and we had $ 13.5 billion of total debt. In addition, as of March 31, 2022, we had approximately $935 million of total letters of credit outstanding under our various facilities and certain bi-lateral agreements, including $166 million of such outstanding letters of credit that were issued under and supported by our $3.5 billion revolving credit facility. Our indebtedness that bears interest at a floating rate makes us vulnerable to changes in interest rates. As of March 31, 2022, we had approximately $ 3.0 billion of debt maturing within the next 12 months, including: (i) $1.7 billion of short-term borrowings (net of related discount on issuance) under our commercial paper program; (ii) $645 million of tax -exempt bonds with term interest rate periods that expire within the next 12 months, which is prior to their scheduled maturities; and (iii) $180 million of other debt with scheduled maturities within the next 12 months, including $71 million of tax-exempt bonds. Our level of indebtedness and the covenants contained in the agreements governing our debt could have important consequences, including:</w:t>
      </w:r>
    </w:p>
    <w:p>
      <w:pPr>
        <w:spacing w:after="0" w:line="75" w:lineRule="exact"/>
        <w:rPr>
          <w:sz w:val="20"/>
          <w:szCs w:val="20"/>
          <w:color w:val="auto"/>
        </w:rPr>
      </w:pPr>
    </w:p>
    <w:p>
      <w:pPr>
        <w:ind w:left="1800" w:right="839" w:hanging="180"/>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62" w:lineRule="exact"/>
        <w:rPr>
          <w:rFonts w:ascii="Arial" w:cs="Arial" w:eastAsia="Arial" w:hAnsi="Arial"/>
          <w:sz w:val="18"/>
          <w:szCs w:val="18"/>
          <w:color w:val="auto"/>
        </w:rPr>
      </w:pPr>
    </w:p>
    <w:p>
      <w:pPr>
        <w:ind w:left="1800" w:right="115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62" w:lineRule="exact"/>
        <w:rPr>
          <w:rFonts w:ascii="Arial" w:cs="Arial" w:eastAsia="Arial" w:hAnsi="Arial"/>
          <w:sz w:val="18"/>
          <w:szCs w:val="18"/>
          <w:color w:val="auto"/>
        </w:rPr>
      </w:pPr>
    </w:p>
    <w:p>
      <w:pPr>
        <w:jc w:val="both"/>
        <w:ind w:left="1800" w:right="1039" w:hanging="180"/>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75"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and</w:t>
      </w:r>
    </w:p>
    <w:p>
      <w:pPr>
        <w:spacing w:after="0" w:line="62"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w:t>
      </w:r>
    </w:p>
    <w:p>
      <w:pPr>
        <w:spacing w:after="0" w:line="89"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8"/>
          <w:szCs w:val="18"/>
          <w:color w:val="auto"/>
        </w:rPr>
        <w:t>We are not prohibited under the indenture governing the notes from incurring additional indebtedness. Although our $3.5 billion revolving credit facility requires us to maintain a specified ratio of Total Debt to EBITDA (as defined in our $3.5 billion revolving credit facility), following this offering of notes and the use of proceeds contemplated hereby, we expect to have the ability to incur additional indebtedness while remaining in compliance with this covenant. Our incurrence of additional indebtedness would exacerbate the negative consequences mentioned above, and could adversely affect our ability to service and repay the notes.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are a holding company and we depend upon cash distributions from our subsidiaries to service our debt.</w:t>
      </w:r>
    </w:p>
    <w:p>
      <w:pPr>
        <w:spacing w:after="0" w:line="192"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7"/>
          <w:szCs w:val="17"/>
          <w:color w:val="auto"/>
        </w:rPr>
        <w:t>As a holding company, we conduct our operations through our operating subsidiaries, and our only significant assets are the capital stock of our subsidiaries. Accordingly, our ability to meet our cash</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The notes will be effectively subordinated to certain of our subsidiaries’ debt and our secured debt.</w:t>
      </w:r>
    </w:p>
    <w:p>
      <w:pPr>
        <w:spacing w:after="0" w:line="15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While the notes will be guaranteed by WM Holdings and will rank equally with all of our and WM</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Holdings’ existing and future senior indebtedness, the notes will be structurally subordinated to all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obligations of our subsidiaries other than WM Holdings, including trade payables of our operating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subsidiaries. This means that holders of the notes will have a junior position to the claims of creditors of our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operating subsidiaries on their assets and earnings. The notes will also be effectively subordinated to any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secured debt we have or may incur, to the extent of the value of the assets securing that debt. The indenture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governing the notes does not limit the amount of debt our subsidiaries can incur, and it permits us to incur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some secured debt. Our debt balances are generally unsecured, except for capital leases and notes payable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associated with our investment in federal low-income housing tax credits. The balance on such notes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payable as of March 31, 2022 was $372 million. As of March 31, 2022, our operating subsidiaries had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$2.261 billion of indebtedness and WM Holdings had $223 million of long-term debt (excluding guarantees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$7.845 billion of our senior debt), in each case excluding intercompany loans. For a description of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ranking of the notes, see “Description of Notes — Ranking” in this prospectus supplement.</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guarantees of the notes.</w:t>
      </w:r>
    </w:p>
    <w:p>
      <w:pPr>
        <w:spacing w:after="0" w:line="15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Our obligations under the notes will be guaranteed by our wholly owned subsidiary, WM Holdings. The guarantees may be subject to review under various laws for the protection of creditors. It is possible that the creditors of WM Holdings may challenge the guarantees as fraudulent transfers under relevant federal and state laws. Under certain circumstances, including a finding that WM Holdings was insolvent at the time its guarantees were issued, a court could hold that the obligations of WM Holdings under the guarantees may be voided or are subordinate to other obligations of WM Holdings, or that the amount for which WM Holdings is liable under its guarantees of the notes may be limited. Different jurisdictions define “insolvency” differently, and we cannot assure you as to what standard a court would apply to determine whether WM Holdings was insolvent. If a court determined that WM Holdings was insolvent on the date the guarantees of the notes were issued, or that the guarantees constituted a fraudulent transfer on another ground, the claims of creditors of WM Holdings would effectively have priority with respect to WM Holdings’ assets and earnings over the claims of the holders of the notes.</w:t>
      </w:r>
    </w:p>
    <w:p>
      <w:pPr>
        <w:spacing w:after="0" w:line="179" w:lineRule="exact"/>
        <w:rPr>
          <w:sz w:val="20"/>
          <w:szCs w:val="20"/>
          <w:color w:val="auto"/>
        </w:rPr>
      </w:pPr>
    </w:p>
    <w:p>
      <w:pPr>
        <w:ind w:left="1260" w:right="399"/>
        <w:spacing w:after="0" w:line="277" w:lineRule="auto"/>
        <w:rPr>
          <w:sz w:val="20"/>
          <w:szCs w:val="20"/>
          <w:color w:val="auto"/>
        </w:rPr>
      </w:pPr>
      <w:r>
        <w:rPr>
          <w:rFonts w:ascii="Arial" w:cs="Arial" w:eastAsia="Arial" w:hAnsi="Arial"/>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103"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Holders of the notes may require us to purchase their notes upon a “change of control triggering event” as defined under “Description of Notes —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then-existing debt.</w:t>
      </w:r>
    </w:p>
    <w:p>
      <w:pPr>
        <w:spacing w:after="0" w:line="9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change of control offer covenant is limited to the transactions specified in “Description of Notes</w:t>
      </w:r>
    </w:p>
    <w:p>
      <w:pPr>
        <w:spacing w:after="0" w:line="35"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ectPr>
          <w:pgSz w:w="11900" w:h="16838" w:orient="portrait"/>
          <w:cols w:equalWidth="0" w:num="1">
            <w:col w:w="9879"/>
          </w:cols>
          <w:pgMar w:left="580" w:top="131" w:right="1440" w:bottom="1440" w:gutter="0" w:footer="0" w:header="0"/>
        </w:sectPr>
      </w:pPr>
    </w:p>
    <w:p>
      <w:pPr>
        <w:spacing w:after="0" w:line="38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You may not be able to sell the notes for a profit or at all.</w:t>
      </w:r>
    </w:p>
    <w:p>
      <w:pPr>
        <w:spacing w:after="0" w:line="144"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The notes will be a new issue of securities. There is no existing active trading market for the notes, and a market may never develop. We do not currently intend to apply for listing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include increases in then prevailing interest rates, a decline in our credit worthiness based on our business, operating results or financial condition, weakness in the markets for similar securities and declining general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both"/>
        <w:ind w:left="1260" w:right="719" w:firstLine="360"/>
        <w:spacing w:after="0" w:line="257" w:lineRule="auto"/>
        <w:rPr>
          <w:sz w:val="20"/>
          <w:szCs w:val="20"/>
          <w:color w:val="auto"/>
        </w:rPr>
      </w:pPr>
      <w:r>
        <w:rPr>
          <w:rFonts w:ascii="Arial" w:cs="Arial" w:eastAsia="Arial" w:hAnsi="Arial"/>
          <w:sz w:val="18"/>
          <w:szCs w:val="18"/>
          <w:color w:val="auto"/>
        </w:rPr>
        <w:t>We expect the net proceeds from the offering of the notes to be $989.6 million, after deducting the underwriting discounts and estimated expenses of the offering that we will pay. We intend to use the net proceeds from the offering of the notes to redeem our $500 million aggregate principal amount of 2.90% Senior Notes due 2022. This prospectus supplement does not constitute a notice of redemption under the indenture governing such 2.90% Senior Notes due 2022.</w:t>
      </w:r>
    </w:p>
    <w:p>
      <w:pPr>
        <w:spacing w:after="0" w:line="120"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Pending application of the net proceeds as described immediately above, we may repay borrowings under our commercial paper program used for working capital, which is fully supported by our $3.5 billion revolving credit facility, and we may temporarily invest in short-term investments. Any excess net proceeds will be used for general corporate purposes.</w:t>
      </w:r>
    </w:p>
    <w:p>
      <w:pPr>
        <w:spacing w:after="0" w:line="119"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Certain underwriters or their respective affiliates in this offering are lenders to us under our $3.5 billion revolving credit facility and may receive 5% or more of the net proceeds of this offering by reason of the repayment of amounts outstanding under our commercial paper program, which is fully supported by such credit facility, pending application of the net proceeds as described in the first paragraph under this section. Accordingly, such underwriters are deemed to have a “conflict of interest” within the meaning of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 See “Underwriting (Conflicts of Interest) — Conflicts of Interest” in this prospectus supplement.</w:t>
      </w:r>
    </w:p>
    <w:p>
      <w:pPr>
        <w:spacing w:after="0" w:line="18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Commercial Paper Program</w:t>
      </w:r>
    </w:p>
    <w:p>
      <w:pPr>
        <w:spacing w:after="0" w:line="148" w:lineRule="exact"/>
        <w:rPr>
          <w:sz w:val="20"/>
          <w:szCs w:val="20"/>
          <w:color w:val="auto"/>
        </w:rPr>
      </w:pPr>
    </w:p>
    <w:p>
      <w:pPr>
        <w:ind w:left="1260" w:right="639" w:firstLine="360"/>
        <w:spacing w:after="0" w:line="255" w:lineRule="auto"/>
        <w:rPr>
          <w:sz w:val="20"/>
          <w:szCs w:val="20"/>
          <w:color w:val="auto"/>
        </w:rPr>
      </w:pPr>
      <w:r>
        <w:rPr>
          <w:rFonts w:ascii="Arial" w:cs="Arial" w:eastAsia="Arial" w:hAnsi="Arial"/>
          <w:sz w:val="18"/>
          <w:szCs w:val="18"/>
          <w:color w:val="auto"/>
        </w:rPr>
        <w:t>Our commercial paper program enables us to borrow up to $3.5 billion, which capacity is reduced by the aggregate amount of borrowings outstanding under our $3.5 billion revolving credit facility, for up to 397 days at competitive interest rates. As of April 25, 2022, we had $1.429 billion of outstanding borrowings under our commercial paper program with a weighted average interest rate of 0.50% and a weighted average maturity of 100.35 days. The proceeds of our commercial paper program were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8"/>
          <w:szCs w:val="18"/>
          <w:color w:val="auto"/>
        </w:rPr>
        <w:t>The following table sets forth our consolidated cash and cash equivalents and consolidated capitalization as of March 31, 2022 on an actual basis and as adjusted to give effect to the offering of the notes but not the use of proceeds thereof. For purposes of this table, the net proceeds of the offering of the notes, after deducting the underwriting discounts and estimated expenses of the offering that we will pay, are reflected in As Adjusted Cash and Cash Equivalents.</w:t>
      </w:r>
    </w:p>
    <w:p>
      <w:pPr>
        <w:spacing w:after="0" w:line="120"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March 31, 2022</w:t>
            </w:r>
          </w:p>
        </w:tc>
      </w:tr>
      <w:tr>
        <w:trPr>
          <w:trHeight w:val="26"/>
        </w:trPr>
        <w:tc>
          <w:tcPr>
            <w:tcW w:w="19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r>
      <w:tr>
        <w:trPr>
          <w:trHeight w:val="223"/>
        </w:trPr>
        <w:tc>
          <w:tcPr>
            <w:tcW w:w="19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8"/>
              </w:rPr>
              <w:t>As Adjusted</w:t>
            </w:r>
            <w:r>
              <w:rPr>
                <w:rFonts w:ascii="Arial" w:cs="Arial" w:eastAsia="Arial" w:hAnsi="Arial"/>
                <w:sz w:val="17"/>
                <w:szCs w:val="17"/>
                <w:b w:val="1"/>
                <w:bCs w:val="1"/>
                <w:color w:val="auto"/>
                <w:w w:val="98"/>
                <w:vertAlign w:val="superscript"/>
              </w:rPr>
              <w:t>(a)</w:t>
            </w:r>
          </w:p>
        </w:tc>
      </w:tr>
      <w:tr>
        <w:trPr>
          <w:trHeight w:val="197"/>
        </w:trPr>
        <w:tc>
          <w:tcPr>
            <w:tcW w:w="19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91"/>
              </w:rPr>
              <w:t>(Unaudited, Dollars in millions)</w:t>
            </w:r>
          </w:p>
        </w:tc>
      </w:tr>
      <w:tr>
        <w:trPr>
          <w:trHeight w:val="26"/>
        </w:trPr>
        <w:tc>
          <w:tcPr>
            <w:tcW w:w="19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4"/>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40" w:type="dxa"/>
            <w:vAlign w:val="bottom"/>
            <w:shd w:val="clear" w:color="auto" w:fill="CCEEFF"/>
          </w:tcPr>
          <w:p>
            <w:pPr>
              <w:spacing w:after="0"/>
              <w:rPr>
                <w:sz w:val="22"/>
                <w:szCs w:val="22"/>
                <w:color w:val="auto"/>
              </w:rPr>
            </w:pPr>
          </w:p>
        </w:tc>
      </w:tr>
      <w:tr>
        <w:trPr>
          <w:trHeight w:val="256"/>
        </w:trPr>
        <w:tc>
          <w:tcPr>
            <w:tcW w:w="60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Debt:</w:t>
            </w:r>
          </w:p>
        </w:tc>
        <w:tc>
          <w:tcPr>
            <w:tcW w:w="2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r>
      <w:tr>
        <w:trPr>
          <w:trHeight w:val="284"/>
        </w:trPr>
        <w:tc>
          <w:tcPr>
            <w:tcW w:w="6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paper program</w:t>
            </w:r>
            <w:r>
              <w:rPr>
                <w:rFonts w:ascii="Arial" w:cs="Arial" w:eastAsia="Arial" w:hAnsi="Arial"/>
                <w:sz w:val="23"/>
                <w:szCs w:val="23"/>
                <w:color w:val="auto"/>
                <w:vertAlign w:val="superscript"/>
              </w:rPr>
              <w:t>(b)</w:t>
            </w: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1,689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40" w:type="dxa"/>
            <w:vAlign w:val="bottom"/>
            <w:shd w:val="clear" w:color="auto" w:fill="CCEEFF"/>
          </w:tcPr>
          <w:p>
            <w:pPr>
              <w:spacing w:after="0"/>
              <w:rPr>
                <w:sz w:val="24"/>
                <w:szCs w:val="24"/>
                <w:color w:val="auto"/>
              </w:rPr>
            </w:pPr>
          </w:p>
        </w:tc>
      </w:tr>
      <w:tr>
        <w:trPr>
          <w:trHeight w:val="283"/>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$3.5 billion revolving credit facility</w:t>
            </w:r>
            <w:r>
              <w:rPr>
                <w:rFonts w:ascii="Arial" w:cs="Arial" w:eastAsia="Arial" w:hAnsi="Arial"/>
                <w:sz w:val="23"/>
                <w:szCs w:val="23"/>
                <w:color w:val="auto"/>
                <w:vertAlign w:val="superscript"/>
              </w:rPr>
              <w:t>(b)(c)</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56"/>
        </w:trPr>
        <w:tc>
          <w:tcPr>
            <w:tcW w:w="6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notes, maturing through 2050</w:t>
            </w: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8,126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140" w:type="dxa"/>
            <w:vAlign w:val="bottom"/>
            <w:shd w:val="clear" w:color="auto" w:fill="CCEEFF"/>
          </w:tcPr>
          <w:p>
            <w:pPr>
              <w:spacing w:after="0"/>
              <w:rPr>
                <w:sz w:val="22"/>
                <w:szCs w:val="22"/>
                <w:color w:val="auto"/>
              </w:rPr>
            </w:pPr>
          </w:p>
        </w:tc>
      </w:tr>
      <w:tr>
        <w:trPr>
          <w:trHeight w:val="284"/>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Canadian senior notes, C$500 million maturing September 2026</w:t>
            </w:r>
            <w:r>
              <w:rPr>
                <w:rFonts w:ascii="Arial" w:cs="Arial" w:eastAsia="Arial" w:hAnsi="Arial"/>
                <w:sz w:val="23"/>
                <w:szCs w:val="23"/>
                <w:color w:val="auto"/>
                <w:vertAlign w:val="superscript"/>
              </w:rPr>
              <w:t>(d)</w:t>
            </w:r>
          </w:p>
        </w:tc>
        <w:tc>
          <w:tcPr>
            <w:tcW w:w="1140" w:type="dxa"/>
            <w:vAlign w:val="bottom"/>
            <w:gridSpan w:val="4"/>
          </w:tcPr>
          <w:p>
            <w:pPr>
              <w:jc w:val="right"/>
              <w:ind w:right="200"/>
              <w:spacing w:after="0"/>
              <w:rPr>
                <w:sz w:val="20"/>
                <w:szCs w:val="20"/>
                <w:color w:val="auto"/>
              </w:rPr>
            </w:pPr>
            <w:r>
              <w:rPr>
                <w:rFonts w:ascii="Arial" w:cs="Arial" w:eastAsia="Arial" w:hAnsi="Arial"/>
                <w:sz w:val="18"/>
                <w:szCs w:val="18"/>
                <w:color w:val="auto"/>
              </w:rPr>
              <w:t>400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24"/>
                <w:szCs w:val="24"/>
                <w:color w:val="auto"/>
              </w:rPr>
            </w:pPr>
          </w:p>
        </w:tc>
      </w:tr>
      <w:tr>
        <w:trPr>
          <w:trHeight w:val="229"/>
        </w:trPr>
        <w:tc>
          <w:tcPr>
            <w:tcW w:w="6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4.15% Senior Notes due 2032 offered hereby (including unamortized</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44"/>
        </w:trPr>
        <w:tc>
          <w:tcPr>
            <w:tcW w:w="6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discount)</w:t>
            </w: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1"/>
                <w:szCs w:val="21"/>
                <w:color w:val="auto"/>
              </w:rPr>
            </w:pPr>
          </w:p>
        </w:tc>
      </w:tr>
      <w:tr>
        <w:trPr>
          <w:trHeight w:val="283"/>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Tax-exempt bonds, maturing through 2048</w:t>
            </w:r>
            <w:r>
              <w:rPr>
                <w:rFonts w:ascii="Arial" w:cs="Arial" w:eastAsia="Arial" w:hAnsi="Arial"/>
                <w:sz w:val="23"/>
                <w:szCs w:val="23"/>
                <w:color w:val="auto"/>
                <w:vertAlign w:val="superscript"/>
              </w:rPr>
              <w:t>(e)</w:t>
            </w:r>
          </w:p>
        </w:tc>
        <w:tc>
          <w:tcPr>
            <w:tcW w:w="1140" w:type="dxa"/>
            <w:vAlign w:val="bottom"/>
            <w:gridSpan w:val="4"/>
          </w:tcPr>
          <w:p>
            <w:pPr>
              <w:jc w:val="right"/>
              <w:ind w:right="200"/>
              <w:spacing w:after="0"/>
              <w:rPr>
                <w:sz w:val="20"/>
                <w:szCs w:val="20"/>
                <w:color w:val="auto"/>
              </w:rPr>
            </w:pPr>
            <w:r>
              <w:rPr>
                <w:rFonts w:ascii="Arial" w:cs="Arial" w:eastAsia="Arial" w:hAnsi="Arial"/>
                <w:sz w:val="18"/>
                <w:szCs w:val="18"/>
                <w:color w:val="auto"/>
              </w:rPr>
              <w:t>2,619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2,619</w:t>
            </w:r>
          </w:p>
        </w:tc>
        <w:tc>
          <w:tcPr>
            <w:tcW w:w="140" w:type="dxa"/>
            <w:vAlign w:val="bottom"/>
          </w:tcPr>
          <w:p>
            <w:pPr>
              <w:spacing w:after="0"/>
              <w:rPr>
                <w:sz w:val="24"/>
                <w:szCs w:val="24"/>
                <w:color w:val="auto"/>
              </w:rPr>
            </w:pPr>
          </w:p>
        </w:tc>
      </w:tr>
      <w:tr>
        <w:trPr>
          <w:trHeight w:val="256"/>
        </w:trPr>
        <w:tc>
          <w:tcPr>
            <w:tcW w:w="6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Financing leases and other, maturing through 2085</w:t>
            </w: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40" w:type="dxa"/>
            <w:vAlign w:val="bottom"/>
            <w:shd w:val="clear" w:color="auto" w:fill="CCEEFF"/>
          </w:tcPr>
          <w:p>
            <w:pPr>
              <w:spacing w:after="0"/>
              <w:rPr>
                <w:sz w:val="22"/>
                <w:szCs w:val="22"/>
                <w:color w:val="auto"/>
              </w:rPr>
            </w:pPr>
          </w:p>
        </w:tc>
      </w:tr>
      <w:tr>
        <w:trPr>
          <w:trHeight w:val="297"/>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Debt issuance costs, discounts and other</w:t>
            </w:r>
            <w:r>
              <w:rPr>
                <w:rFonts w:ascii="Arial" w:cs="Arial" w:eastAsia="Arial" w:hAnsi="Arial"/>
                <w:sz w:val="23"/>
                <w:szCs w:val="23"/>
                <w:color w:val="auto"/>
                <w:vertAlign w:val="superscript"/>
              </w:rPr>
              <w:t>(f)</w:t>
            </w:r>
          </w:p>
        </w:tc>
        <w:tc>
          <w:tcPr>
            <w:tcW w:w="280" w:type="dxa"/>
            <w:vAlign w:val="bottom"/>
            <w:gridSpan w:val="2"/>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(78)</w:t>
            </w:r>
          </w:p>
        </w:tc>
      </w:tr>
      <w:tr>
        <w:trPr>
          <w:trHeight w:val="257"/>
        </w:trPr>
        <w:tc>
          <w:tcPr>
            <w:tcW w:w="60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8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13,487</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56"/>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7"/>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Waste Management, Inc. Stockholders’ Equity:</w:t>
            </w: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229"/>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Common stock, $0.01 par value; 1,500,000,000 shares authorized;</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7"/>
        </w:trPr>
        <w:tc>
          <w:tcPr>
            <w:tcW w:w="6040" w:type="dxa"/>
            <w:vAlign w:val="bottom"/>
            <w:gridSpan w:val="2"/>
          </w:tcPr>
          <w:p>
            <w:pPr>
              <w:ind w:left="360"/>
              <w:spacing w:after="0"/>
              <w:rPr>
                <w:sz w:val="20"/>
                <w:szCs w:val="20"/>
                <w:color w:val="auto"/>
              </w:rPr>
            </w:pPr>
            <w:r>
              <w:rPr>
                <w:rFonts w:ascii="Arial" w:cs="Arial" w:eastAsia="Arial" w:hAnsi="Arial"/>
                <w:sz w:val="18"/>
                <w:szCs w:val="18"/>
                <w:color w:val="auto"/>
              </w:rPr>
              <w:t>630,282,461 shares issued</w:t>
            </w:r>
          </w:p>
        </w:tc>
        <w:tc>
          <w:tcPr>
            <w:tcW w:w="1140" w:type="dxa"/>
            <w:vAlign w:val="bottom"/>
            <w:gridSpan w:val="4"/>
          </w:tcPr>
          <w:p>
            <w:pPr>
              <w:jc w:val="right"/>
              <w:ind w:right="200"/>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r>
      <w:tr>
        <w:trPr>
          <w:trHeight w:val="263"/>
        </w:trPr>
        <w:tc>
          <w:tcPr>
            <w:tcW w:w="6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5,178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5,178</w:t>
            </w:r>
          </w:p>
        </w:tc>
        <w:tc>
          <w:tcPr>
            <w:tcW w:w="140" w:type="dxa"/>
            <w:vAlign w:val="bottom"/>
            <w:shd w:val="clear" w:color="auto" w:fill="CCEEFF"/>
          </w:tcPr>
          <w:p>
            <w:pPr>
              <w:spacing w:after="0"/>
              <w:rPr>
                <w:sz w:val="22"/>
                <w:szCs w:val="22"/>
                <w:color w:val="auto"/>
              </w:rPr>
            </w:pPr>
          </w:p>
        </w:tc>
      </w:tr>
      <w:tr>
        <w:trPr>
          <w:trHeight w:val="257"/>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1140" w:type="dxa"/>
            <w:vAlign w:val="bottom"/>
            <w:gridSpan w:val="4"/>
          </w:tcPr>
          <w:p>
            <w:pPr>
              <w:jc w:val="right"/>
              <w:ind w:right="200"/>
              <w:spacing w:after="0"/>
              <w:rPr>
                <w:sz w:val="20"/>
                <w:szCs w:val="20"/>
                <w:color w:val="auto"/>
              </w:rPr>
            </w:pPr>
            <w:r>
              <w:rPr>
                <w:rFonts w:ascii="Arial" w:cs="Arial" w:eastAsia="Arial" w:hAnsi="Arial"/>
                <w:sz w:val="18"/>
                <w:szCs w:val="18"/>
                <w:color w:val="auto"/>
              </w:rPr>
              <w:t>12,247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12,247</w:t>
            </w:r>
          </w:p>
        </w:tc>
        <w:tc>
          <w:tcPr>
            <w:tcW w:w="140" w:type="dxa"/>
            <w:vAlign w:val="bottom"/>
          </w:tcPr>
          <w:p>
            <w:pPr>
              <w:spacing w:after="0"/>
              <w:rPr>
                <w:sz w:val="22"/>
                <w:szCs w:val="22"/>
                <w:color w:val="auto"/>
              </w:rPr>
            </w:pPr>
          </w:p>
        </w:tc>
      </w:tr>
      <w:tr>
        <w:trPr>
          <w:trHeight w:val="256"/>
        </w:trPr>
        <w:tc>
          <w:tcPr>
            <w:tcW w:w="6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2"/>
                <w:szCs w:val="22"/>
                <w:color w:val="auto"/>
              </w:rPr>
            </w:pPr>
          </w:p>
        </w:tc>
      </w:tr>
      <w:tr>
        <w:trPr>
          <w:trHeight w:val="264"/>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Treasury stock at cost, 215,102,120 shares</w:t>
            </w:r>
          </w:p>
        </w:tc>
        <w:tc>
          <w:tcPr>
            <w:tcW w:w="280" w:type="dxa"/>
            <w:vAlign w:val="bottom"/>
            <w:gridSpan w:val="2"/>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(10,302)</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(10,302)</w:t>
            </w:r>
          </w:p>
        </w:tc>
      </w:tr>
      <w:tr>
        <w:trPr>
          <w:trHeight w:val="256"/>
        </w:trPr>
        <w:tc>
          <w:tcPr>
            <w:tcW w:w="60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Waste Management, Inc. stockholders’ equity</w:t>
            </w:r>
          </w:p>
        </w:tc>
        <w:tc>
          <w:tcPr>
            <w:tcW w:w="280" w:type="dxa"/>
            <w:vAlign w:val="bottom"/>
            <w:tcBorders>
              <w:top w:val="single" w:sz="8" w:color="CCEEFF"/>
            </w:tcBorders>
            <w:gridSpan w:val="2"/>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7,144</w:t>
            </w:r>
          </w:p>
        </w:tc>
        <w:tc>
          <w:tcPr>
            <w:tcW w:w="2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7,144</w:t>
            </w:r>
          </w:p>
        </w:tc>
        <w:tc>
          <w:tcPr>
            <w:tcW w:w="140" w:type="dxa"/>
            <w:vAlign w:val="bottom"/>
            <w:tcBorders>
              <w:top w:val="single" w:sz="8" w:color="CCEEFF"/>
            </w:tcBorders>
            <w:shd w:val="clear" w:color="auto" w:fill="CCEEFF"/>
          </w:tcPr>
          <w:p>
            <w:pPr>
              <w:spacing w:after="0"/>
              <w:rPr>
                <w:sz w:val="22"/>
                <w:szCs w:val="22"/>
                <w:color w:val="auto"/>
              </w:rPr>
            </w:pPr>
          </w:p>
        </w:tc>
      </w:tr>
      <w:tr>
        <w:trPr>
          <w:trHeight w:val="264"/>
        </w:trPr>
        <w:tc>
          <w:tcPr>
            <w:tcW w:w="6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gridSpan w:val="2"/>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22"/>
                <w:szCs w:val="22"/>
                <w:color w:val="auto"/>
              </w:rPr>
            </w:pPr>
          </w:p>
        </w:tc>
      </w:tr>
      <w:tr>
        <w:trPr>
          <w:trHeight w:val="263"/>
        </w:trPr>
        <w:tc>
          <w:tcPr>
            <w:tcW w:w="6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CCEEFF"/>
            </w:tcBorders>
            <w:gridSpan w:val="2"/>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70"/>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Total debt and equity</w:t>
            </w:r>
          </w:p>
        </w:tc>
        <w:tc>
          <w:tcPr>
            <w:tcW w:w="1140" w:type="dxa"/>
            <w:vAlign w:val="bottom"/>
            <w:gridSpan w:val="4"/>
          </w:tcPr>
          <w:p>
            <w:pPr>
              <w:jc w:val="right"/>
              <w:ind w:right="200"/>
              <w:spacing w:after="0"/>
              <w:rPr>
                <w:sz w:val="20"/>
                <w:szCs w:val="20"/>
                <w:color w:val="auto"/>
              </w:rPr>
            </w:pPr>
            <w:r>
              <w:rPr>
                <w:rFonts w:ascii="Arial" w:cs="Arial" w:eastAsia="Arial" w:hAnsi="Arial"/>
                <w:sz w:val="18"/>
                <w:szCs w:val="18"/>
                <w:color w:val="auto"/>
              </w:rPr>
              <w:t>$ 20,633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$ 21,633</w:t>
            </w:r>
          </w:p>
        </w:tc>
        <w:tc>
          <w:tcPr>
            <w:tcW w:w="140" w:type="dxa"/>
            <w:vAlign w:val="bottom"/>
          </w:tcPr>
          <w:p>
            <w:pPr>
              <w:spacing w:after="0"/>
              <w:rPr>
                <w:sz w:val="23"/>
                <w:szCs w:val="23"/>
                <w:color w:val="auto"/>
              </w:rPr>
            </w:pPr>
          </w:p>
        </w:tc>
      </w:tr>
      <w:tr>
        <w:trPr>
          <w:trHeight w:val="20"/>
        </w:trPr>
        <w:tc>
          <w:tcPr>
            <w:tcW w:w="19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-471170</wp:posOffset>
            </wp:positionV>
            <wp:extent cx="5212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-814070</wp:posOffset>
            </wp:positionV>
            <wp:extent cx="52120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-2287905</wp:posOffset>
            </wp:positionV>
            <wp:extent cx="5212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-4319905</wp:posOffset>
            </wp:positionV>
            <wp:extent cx="137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jc w:val="both"/>
        <w:ind w:left="1620" w:right="499" w:hanging="360"/>
        <w:spacing w:after="0" w:line="279" w:lineRule="auto"/>
        <w:tabs>
          <w:tab w:leader="none" w:pos="1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As Adjusted column gives effect to the offering of the notes but does not give effect to any use of proceeds thereof. After giving effect to the redemption of our $500 million aggregate principal amount of 2.90% Senior Notes due 2022, As Adjusted Cash and Cash Equivalents would be $645 million, and As Adjusted Senior notes, maturing through 2050, would be $7.6 billion.</w:t>
      </w:r>
    </w:p>
    <w:p>
      <w:pPr>
        <w:spacing w:after="0" w:line="49" w:lineRule="exact"/>
        <w:rPr>
          <w:rFonts w:ascii="Arial" w:cs="Arial" w:eastAsia="Arial" w:hAnsi="Arial"/>
          <w:sz w:val="17"/>
          <w:szCs w:val="17"/>
          <w:color w:val="auto"/>
        </w:rPr>
      </w:pPr>
    </w:p>
    <w:p>
      <w:pPr>
        <w:ind w:left="1620" w:right="459" w:hanging="360"/>
        <w:spacing w:after="0" w:line="279" w:lineRule="auto"/>
        <w:tabs>
          <w:tab w:leader="none" w:pos="1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$3.5 billion revolving credit facility expires in November 2024 and is our primary source of letter of credit capacity. Our remaining uncommitted letter of credit capacity is provided under facilities with terms extending through April 2023. As of March 31, 2022, we had $1.7 billion of outstanding borrowings (net of related discount on issuance) under our commercial paper program, which is fully</w:t>
      </w:r>
    </w:p>
    <w:p>
      <w:pPr>
        <w:sectPr>
          <w:pgSz w:w="11900" w:h="16838" w:orient="portrait"/>
          <w:cols w:equalWidth="0" w:num="1">
            <w:col w:w="9879"/>
          </w:cols>
          <w:pgMar w:left="580" w:top="131" w:right="1440" w:bottom="1440" w:gutter="0" w:footer="0" w:header="0"/>
        </w:sectPr>
      </w:pPr>
    </w:p>
    <w:p>
      <w:pPr>
        <w:spacing w:after="0" w:line="347"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79"/>
        <w:spacing w:after="0" w:line="257" w:lineRule="auto"/>
        <w:rPr>
          <w:sz w:val="20"/>
          <w:szCs w:val="20"/>
          <w:color w:val="auto"/>
        </w:rPr>
      </w:pPr>
      <w:r>
        <w:rPr>
          <w:rFonts w:ascii="Arial" w:cs="Arial" w:eastAsia="Arial" w:hAnsi="Arial"/>
          <w:sz w:val="18"/>
          <w:szCs w:val="18"/>
          <w:color w:val="auto"/>
        </w:rPr>
        <w:t>supported by our $3.5 billion revolving credit facility. Additionally, as of March 31, 2022, we had no borrowings under, and $166 million of letters of credit issued under and supported by, our $3.5 billion revolving credit facility, leaving unused and available credit capacity under this facility of $1.6 billion. As of April 25, 2022, we had $1.429 billion of outstanding borrowings under our commercial paper program, which were used for general corporate purposes.</w:t>
      </w:r>
    </w:p>
    <w:p>
      <w:pPr>
        <w:spacing w:after="0" w:line="39" w:lineRule="exact"/>
        <w:rPr>
          <w:sz w:val="20"/>
          <w:szCs w:val="20"/>
          <w:color w:val="auto"/>
        </w:rPr>
      </w:pPr>
    </w:p>
    <w:p>
      <w:pPr>
        <w:ind w:left="1620" w:right="499" w:hanging="360"/>
        <w:spacing w:after="0" w:line="272" w:lineRule="auto"/>
        <w:tabs>
          <w:tab w:leader="none" w:pos="1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$3.5 billion revolving credit facility provides us with credit capacity to be used for cash borrowings, including borrowings in Canadian dollars up to the U.S. dollar equivalent of $375 million, to support letters of credit and to support our commercial paper program. The rates we pay for outstanding U.S. or Canadian loans are generally based on LIBOR (or a LIBOR successor rate, if applicable, as provided for in the underlying credit agreement) or CDOR, respectively, plus a spread depending on our debt rating assigned by Moody’s and S&amp;P (each as defined below). WM Holdings guarantees all of the obligations under our $3.5 billion revolving credit facility.</w:t>
      </w:r>
    </w:p>
    <w:p>
      <w:pPr>
        <w:spacing w:after="0" w:line="28" w:lineRule="exact"/>
        <w:rPr>
          <w:rFonts w:ascii="Arial" w:cs="Arial" w:eastAsia="Arial" w:hAnsi="Arial"/>
          <w:sz w:val="17"/>
          <w:szCs w:val="17"/>
          <w:color w:val="auto"/>
        </w:rPr>
      </w:pPr>
    </w:p>
    <w:p>
      <w:pPr>
        <w:ind w:left="1620" w:right="539" w:hanging="360"/>
        <w:spacing w:after="0" w:line="259"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September 2019, Waste Management of Canada Corporation, our indirect wholly owned subsidiary, issued C$500 million, or $400 million based on the conversion rate as of March 31, 2022, of 2.6% senior notes due 2026, all of which are fully and unconditionally guaranteed on a senior unsecured basis by us and WM Holdings.</w:t>
      </w:r>
    </w:p>
    <w:p>
      <w:pPr>
        <w:spacing w:after="0" w:line="51" w:lineRule="exact"/>
        <w:rPr>
          <w:rFonts w:ascii="Arial" w:cs="Arial" w:eastAsia="Arial" w:hAnsi="Arial"/>
          <w:sz w:val="18"/>
          <w:szCs w:val="18"/>
          <w:color w:val="auto"/>
        </w:rPr>
      </w:pPr>
    </w:p>
    <w:p>
      <w:pPr>
        <w:ind w:left="1620" w:right="499" w:hanging="360"/>
        <w:spacing w:after="0" w:line="259"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38" w:lineRule="exact"/>
        <w:rPr>
          <w:rFonts w:ascii="Arial" w:cs="Arial" w:eastAsia="Arial" w:hAnsi="Arial"/>
          <w:sz w:val="18"/>
          <w:szCs w:val="18"/>
          <w:color w:val="auto"/>
        </w:rPr>
      </w:pPr>
    </w:p>
    <w:p>
      <w:pPr>
        <w:ind w:left="1620" w:right="879" w:hanging="360"/>
        <w:spacing w:after="0" w:line="277"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As Adjusted column with respect to this line item does not include any debt issuance costs or unamortized discounts associated with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NOTES</w:t>
      </w:r>
    </w:p>
    <w:p>
      <w:pPr>
        <w:spacing w:after="0" w:line="14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i w:val="1"/>
          <w:iCs w:val="1"/>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17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We are offering $1,000,000,000 of our 4.15% senior notes due 2032. The notes will be issued under and pursuant to an Indenture dated as of September 10, 1997 (the “Indenture”), between us and The Bank of New York Mellon Trust Company, N.A. (the current successor to the initial trustee, Texas Commerce Bank National Association), as trustee (the “Trustee”). We will issue the notes pursuant to a resolution of our Board of Directors and an accompanying officers’ certificate setting forth the specific terms applicable to the notes.</w:t>
      </w:r>
    </w:p>
    <w:p>
      <w:pPr>
        <w:spacing w:after="0" w:line="122" w:lineRule="exact"/>
        <w:rPr>
          <w:sz w:val="20"/>
          <w:szCs w:val="20"/>
          <w:color w:val="auto"/>
        </w:rPr>
      </w:pPr>
    </w:p>
    <w:p>
      <w:pPr>
        <w:ind w:left="1620"/>
        <w:spacing w:after="0"/>
        <w:tabs>
          <w:tab w:leader="none" w:pos="2540" w:val="left"/>
        </w:tabs>
        <w:rPr>
          <w:sz w:val="20"/>
          <w:szCs w:val="20"/>
          <w:color w:val="auto"/>
        </w:rPr>
      </w:pPr>
      <w:r>
        <w:rPr>
          <w:rFonts w:ascii="Arial" w:cs="Arial" w:eastAsia="Arial" w:hAnsi="Arial"/>
          <w:sz w:val="18"/>
          <w:szCs w:val="18"/>
          <w:i w:val="1"/>
          <w:iCs w:val="1"/>
          <w:color w:val="auto"/>
        </w:rPr>
        <w:t>The Notes.</w:t>
      </w:r>
      <w:r>
        <w:rPr>
          <w:sz w:val="20"/>
          <w:szCs w:val="20"/>
          <w:color w:val="auto"/>
        </w:rPr>
        <w:tab/>
      </w:r>
      <w:r>
        <w:rPr>
          <w:rFonts w:ascii="Arial" w:cs="Arial" w:eastAsia="Arial" w:hAnsi="Arial"/>
          <w:sz w:val="17"/>
          <w:szCs w:val="17"/>
          <w:color w:val="auto"/>
        </w:rPr>
        <w:t>The notes will:</w:t>
      </w:r>
    </w:p>
    <w:p>
      <w:pPr>
        <w:spacing w:after="0" w:line="104" w:lineRule="exact"/>
        <w:rPr>
          <w:sz w:val="20"/>
          <w:szCs w:val="20"/>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constitute a new and separate series of debt securities issued under the Indenture and will be initially limited to an aggregate principal amount of $1,000,000,000;</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mature on April 15, 2032;</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117"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62" w:lineRule="exact"/>
        <w:rPr>
          <w:rFonts w:ascii="Arial" w:cs="Arial" w:eastAsia="Arial" w:hAnsi="Arial"/>
          <w:sz w:val="18"/>
          <w:szCs w:val="18"/>
          <w:color w:val="auto"/>
        </w:rPr>
      </w:pPr>
    </w:p>
    <w:p>
      <w:pPr>
        <w:ind w:left="1800" w:right="479" w:hanging="180"/>
        <w:spacing w:after="0" w:line="259"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pacing w:after="0" w:line="106" w:lineRule="exact"/>
        <w:rPr>
          <w:sz w:val="20"/>
          <w:szCs w:val="20"/>
          <w:color w:val="auto"/>
        </w:rPr>
      </w:pPr>
    </w:p>
    <w:p>
      <w:pPr>
        <w:ind w:left="1620"/>
        <w:spacing w:after="0"/>
        <w:tabs>
          <w:tab w:leader="none" w:pos="2360" w:val="left"/>
        </w:tabs>
        <w:rPr>
          <w:sz w:val="20"/>
          <w:szCs w:val="20"/>
          <w:color w:val="auto"/>
        </w:rPr>
      </w:pPr>
      <w:r>
        <w:rPr>
          <w:rFonts w:ascii="Arial" w:cs="Arial" w:eastAsia="Arial" w:hAnsi="Arial"/>
          <w:sz w:val="18"/>
          <w:szCs w:val="18"/>
          <w:i w:val="1"/>
          <w:iCs w:val="1"/>
          <w:color w:val="auto"/>
        </w:rPr>
        <w:t>Interest.</w:t>
      </w:r>
      <w:r>
        <w:rPr>
          <w:sz w:val="20"/>
          <w:szCs w:val="20"/>
          <w:color w:val="auto"/>
        </w:rPr>
        <w:tab/>
      </w:r>
      <w:r>
        <w:rPr>
          <w:rFonts w:ascii="Arial" w:cs="Arial" w:eastAsia="Arial" w:hAnsi="Arial"/>
          <w:sz w:val="18"/>
          <w:szCs w:val="18"/>
          <w:color w:val="auto"/>
        </w:rPr>
        <w:t>Interest will:</w:t>
      </w:r>
    </w:p>
    <w:p>
      <w:pPr>
        <w:spacing w:after="0" w:line="117" w:lineRule="exact"/>
        <w:rPr>
          <w:sz w:val="20"/>
          <w:szCs w:val="20"/>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accrue on the notes at the rate of 4.15% per annum;</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accrue from May 12, 2022 or the most recent interest payment date;</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payable in cash semi-annually in arrears on April 15 and October 15 of each year, beginning on October 15, 2022;</w:t>
      </w:r>
    </w:p>
    <w:p>
      <w:pPr>
        <w:spacing w:after="0" w:line="62"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payable to holders of record on the April 1 and October 1 immediately preceding the related interest payment dates;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22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Payment and Transfer</w:t>
      </w:r>
    </w:p>
    <w:p>
      <w:pPr>
        <w:spacing w:after="0" w:line="148"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240 Greenwich Street, New York, New York 10286).</w:t>
      </w:r>
    </w:p>
    <w:p>
      <w:pPr>
        <w:spacing w:after="0" w:line="122"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w:t>
      </w:r>
    </w:p>
    <w:p>
      <w:pPr>
        <w:spacing w:after="0" w:line="34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59"/>
        <w:spacing w:after="0" w:line="261" w:lineRule="auto"/>
        <w:rPr>
          <w:sz w:val="20"/>
          <w:szCs w:val="20"/>
          <w:color w:val="auto"/>
        </w:rPr>
      </w:pPr>
      <w:r>
        <w:rPr>
          <w:rFonts w:ascii="Arial" w:cs="Arial" w:eastAsia="Arial" w:hAnsi="Arial"/>
          <w:sz w:val="18"/>
          <w:szCs w:val="18"/>
          <w:color w:val="auto"/>
        </w:rPr>
        <w:t>trust office of The Bank of New York Mellon, by check mailed directly to registered holders at their registered addresses or by wire transfer to an account designated by a registered holder.</w:t>
      </w:r>
    </w:p>
    <w:p>
      <w:pPr>
        <w:spacing w:after="0" w:line="90"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Optional Redemption</w:t>
      </w:r>
    </w:p>
    <w:p>
      <w:pPr>
        <w:spacing w:after="0" w:line="162" w:lineRule="exact"/>
        <w:rPr>
          <w:sz w:val="20"/>
          <w:szCs w:val="20"/>
          <w:color w:val="auto"/>
        </w:rPr>
      </w:pPr>
    </w:p>
    <w:p>
      <w:pPr>
        <w:ind w:left="1260" w:right="479" w:firstLine="360"/>
        <w:spacing w:after="0" w:line="294" w:lineRule="auto"/>
        <w:rPr>
          <w:sz w:val="20"/>
          <w:szCs w:val="20"/>
          <w:color w:val="auto"/>
        </w:rPr>
      </w:pPr>
      <w:r>
        <w:rPr>
          <w:rFonts w:ascii="Arial" w:cs="Arial" w:eastAsia="Arial" w:hAnsi="Arial"/>
          <w:sz w:val="16"/>
          <w:szCs w:val="16"/>
          <w:color w:val="auto"/>
        </w:rPr>
        <w:t>Prior to January 15, 2032 (three months prior to their maturity date) (the “Par Call Date”), we may redeem the notes at our option, in whole or in part, at any time and from time to time, at a redemption price (expressed as a percentage of principal amount and rounded to three decimal places) equal to the greater of:</w:t>
      </w:r>
    </w:p>
    <w:p>
      <w:pPr>
        <w:spacing w:after="0" w:line="66" w:lineRule="exact"/>
        <w:rPr>
          <w:sz w:val="20"/>
          <w:szCs w:val="20"/>
          <w:color w:val="auto"/>
        </w:rPr>
      </w:pPr>
    </w:p>
    <w:p>
      <w:pPr>
        <w:jc w:val="both"/>
        <w:ind w:left="1260" w:right="719" w:firstLine="360"/>
        <w:spacing w:after="0" w:line="255" w:lineRule="auto"/>
        <w:tabs>
          <w:tab w:leader="none" w:pos="1986" w:val="left"/>
        </w:tabs>
        <w:numPr>
          <w:ilvl w:val="0"/>
          <w:numId w:val="8"/>
        </w:numPr>
        <w:rPr>
          <w:rFonts w:ascii="Arial" w:cs="Arial" w:eastAsia="Arial" w:hAnsi="Arial"/>
          <w:sz w:val="17"/>
          <w:szCs w:val="17"/>
          <w:color w:val="auto"/>
        </w:rPr>
      </w:pPr>
      <w:r>
        <w:rPr>
          <w:rFonts w:ascii="Arial" w:cs="Arial" w:eastAsia="Arial" w:hAnsi="Arial"/>
          <w:sz w:val="17"/>
          <w:szCs w:val="17"/>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w:t>
      </w:r>
    </w:p>
    <w:p>
      <w:pPr>
        <w:ind w:left="1260"/>
        <w:spacing w:after="0"/>
        <w:rPr>
          <w:rFonts w:ascii="Arial" w:cs="Arial" w:eastAsia="Arial" w:hAnsi="Arial"/>
          <w:sz w:val="17"/>
          <w:szCs w:val="17"/>
          <w:color w:val="auto"/>
        </w:rPr>
      </w:pPr>
      <w:r>
        <w:rPr>
          <w:rFonts w:ascii="Arial" w:cs="Arial" w:eastAsia="Arial" w:hAnsi="Arial"/>
          <w:sz w:val="18"/>
          <w:szCs w:val="18"/>
          <w:color w:val="auto"/>
        </w:rPr>
        <w:t>plus 20 basis points less (b) interest accrued to the date of redemption, and</w:t>
      </w:r>
    </w:p>
    <w:p>
      <w:pPr>
        <w:spacing w:after="0" w:line="128" w:lineRule="exact"/>
        <w:rPr>
          <w:rFonts w:ascii="Arial" w:cs="Arial" w:eastAsia="Arial" w:hAnsi="Arial"/>
          <w:sz w:val="17"/>
          <w:szCs w:val="17"/>
          <w:color w:val="auto"/>
        </w:rPr>
      </w:pPr>
    </w:p>
    <w:p>
      <w:pPr>
        <w:ind w:left="1980" w:hanging="360"/>
        <w:spacing w:after="0"/>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pacing w:after="0" w:line="144" w:lineRule="exact"/>
        <w:rPr>
          <w:sz w:val="20"/>
          <w:szCs w:val="20"/>
          <w:color w:val="auto"/>
        </w:rPr>
      </w:pPr>
    </w:p>
    <w:p>
      <w:pPr>
        <w:ind w:left="1260" w:right="639" w:firstLine="360"/>
        <w:spacing w:after="0" w:line="248" w:lineRule="auto"/>
        <w:rPr>
          <w:sz w:val="20"/>
          <w:szCs w:val="20"/>
          <w:color w:val="auto"/>
        </w:rPr>
      </w:pPr>
      <w:r>
        <w:rPr>
          <w:rFonts w:ascii="Arial" w:cs="Arial" w:eastAsia="Arial" w:hAnsi="Arial"/>
          <w:sz w:val="18"/>
          <w:szCs w:val="18"/>
          <w:color w:val="auto"/>
        </w:rPr>
        <w:t>On or after the Par Call Date, we may redeem the notes at our option, in whole or in part, at any time and from time to time, at a redemption price equal to 100% of the principal amount of the notes to be redeemed, plus accrued and unpaid interest thereon to the redemption date.</w:t>
      </w:r>
    </w:p>
    <w:p>
      <w:pPr>
        <w:spacing w:after="0" w:line="114"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“Treasury Rate” means, with respect to any redemption date, the yield determined by us in accordance with the following two paragraphs.</w:t>
      </w:r>
    </w:p>
    <w:p>
      <w:pPr>
        <w:spacing w:after="0" w:line="10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26" w:lineRule="exact"/>
        <w:rPr>
          <w:sz w:val="20"/>
          <w:szCs w:val="20"/>
          <w:color w:val="auto"/>
        </w:rPr>
      </w:pPr>
    </w:p>
    <w:p>
      <w:pPr>
        <w:jc w:val="both"/>
        <w:ind w:left="1260" w:right="499" w:firstLine="360"/>
        <w:spacing w:after="0" w:line="275" w:lineRule="auto"/>
        <w:rPr>
          <w:sz w:val="20"/>
          <w:szCs w:val="20"/>
          <w:color w:val="auto"/>
        </w:rPr>
      </w:pPr>
      <w:r>
        <w:rPr>
          <w:rFonts w:ascii="Arial" w:cs="Arial" w:eastAsia="Arial" w:hAnsi="Arial"/>
          <w:sz w:val="17"/>
          <w:szCs w:val="17"/>
          <w:color w:val="auto"/>
        </w:rPr>
        <w:t>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w:t>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0" w:lineRule="auto"/>
        <w:rPr>
          <w:sz w:val="20"/>
          <w:szCs w:val="20"/>
          <w:color w:val="auto"/>
        </w:rPr>
      </w:pPr>
      <w:r>
        <w:rPr>
          <w:rFonts w:ascii="Arial" w:cs="Arial" w:eastAsia="Arial" w:hAnsi="Arial"/>
          <w:sz w:val="17"/>
          <w:szCs w:val="17"/>
          <w:color w:val="auto"/>
        </w:rPr>
        <w:t>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w:t>
      </w:r>
    </w:p>
    <w:p>
      <w:pPr>
        <w:spacing w:after="0" w:line="5" w:lineRule="exact"/>
        <w:rPr>
          <w:sz w:val="20"/>
          <w:szCs w:val="20"/>
          <w:color w:val="auto"/>
        </w:rPr>
      </w:pPr>
    </w:p>
    <w:p>
      <w:pPr>
        <w:ind w:left="1260" w:right="1019"/>
        <w:spacing w:after="0" w:line="243" w:lineRule="auto"/>
        <w:rPr>
          <w:sz w:val="20"/>
          <w:szCs w:val="20"/>
          <w:color w:val="auto"/>
        </w:rPr>
      </w:pPr>
      <w:r>
        <w:rPr>
          <w:rFonts w:ascii="Arial" w:cs="Arial" w:eastAsia="Arial" w:hAnsi="Arial"/>
          <w:sz w:val="18"/>
          <w:szCs w:val="18"/>
          <w:color w:val="auto"/>
        </w:rPr>
        <w:t>a percentage of principal amount) at 11:00 a.m., New York City time, of such United States Treasury security, and rounded to three decimal places.</w:t>
      </w:r>
    </w:p>
    <w:p>
      <w:pPr>
        <w:spacing w:after="0" w:line="105"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Our actions and determinations in determining the redemption price shall be conclusive and binding for all purposes, absent manifest error. We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05"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Notes called for redemption become due on the date fixed for redemption. Notices of redemption will be mailed or electronically delivered (or otherwise transmitted in accordance with the depositary’s procedures) at least 10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$ 2,000 or any integral multiple of $1,000 in excess thereof. If less than all the notes are redeemed at any time, the Trustee will select the notes to be redeemed on a pro rata basis, by lot or by such other method as the Trustee in its sole discretion deems appropriate and fair. In the case of notes in global form, DTC will determine the allocation of the redemption price among beneficial owners in such global notes in accordance with DTC’s applicable procedures.</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Defeasance</w:t>
      </w:r>
    </w:p>
    <w:p>
      <w:pPr>
        <w:spacing w:after="0" w:line="162" w:lineRule="exact"/>
        <w:rPr>
          <w:sz w:val="20"/>
          <w:szCs w:val="20"/>
          <w:color w:val="auto"/>
        </w:rPr>
      </w:pPr>
    </w:p>
    <w:p>
      <w:pPr>
        <w:ind w:left="1260" w:right="959" w:firstLine="360"/>
        <w:spacing w:after="0" w:line="263" w:lineRule="auto"/>
        <w:rPr>
          <w:sz w:val="20"/>
          <w:szCs w:val="20"/>
          <w:color w:val="auto"/>
        </w:rPr>
      </w:pPr>
      <w:r>
        <w:rPr>
          <w:rFonts w:ascii="Arial" w:cs="Arial" w:eastAsia="Arial" w:hAnsi="Arial"/>
          <w:sz w:val="18"/>
          <w:szCs w:val="18"/>
          <w:color w:val="auto"/>
        </w:rPr>
        <w:t>The notes will be subject to legal defeasance and to covenant defeasance as provided under “Description of the Debt Securities — Provisions Applicable to Each Indenture — Defeasance” in the accompanying prospectus.</w:t>
      </w:r>
    </w:p>
    <w:p>
      <w:pPr>
        <w:spacing w:after="0" w:line="18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Satisfaction and Discharge</w:t>
      </w:r>
    </w:p>
    <w:p>
      <w:pPr>
        <w:spacing w:after="0" w:line="148"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when:</w:t>
      </w:r>
    </w:p>
    <w:p>
      <w:pPr>
        <w:spacing w:after="0" w:line="116" w:lineRule="exact"/>
        <w:rPr>
          <w:sz w:val="20"/>
          <w:szCs w:val="20"/>
          <w:color w:val="auto"/>
        </w:rPr>
      </w:pPr>
    </w:p>
    <w:p>
      <w:pPr>
        <w:ind w:left="1980" w:hanging="360"/>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either:</w:t>
      </w:r>
    </w:p>
    <w:p>
      <w:pPr>
        <w:spacing w:after="0" w:line="157" w:lineRule="exact"/>
        <w:rPr>
          <w:rFonts w:ascii="Arial" w:cs="Arial" w:eastAsia="Arial" w:hAnsi="Arial"/>
          <w:sz w:val="18"/>
          <w:szCs w:val="18"/>
          <w:color w:val="auto"/>
        </w:rPr>
      </w:pPr>
    </w:p>
    <w:p>
      <w:pPr>
        <w:ind w:left="1620" w:right="579" w:firstLine="360"/>
        <w:spacing w:after="0" w:line="259" w:lineRule="auto"/>
        <w:tabs>
          <w:tab w:leader="none" w:pos="2336"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105" w:lineRule="exact"/>
        <w:rPr>
          <w:rFonts w:ascii="Arial" w:cs="Arial" w:eastAsia="Arial" w:hAnsi="Arial"/>
          <w:sz w:val="18"/>
          <w:szCs w:val="18"/>
          <w:color w:val="auto"/>
        </w:rPr>
      </w:pPr>
    </w:p>
    <w:p>
      <w:pPr>
        <w:ind w:left="1620" w:right="439" w:firstLine="360"/>
        <w:spacing w:after="0" w:line="254" w:lineRule="auto"/>
        <w:tabs>
          <w:tab w:leader="none" w:pos="2346"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not theretofore delivered to the Trustee for cancellation, including any premium and interest on such notes to the maturity date or redemption date (provided that, upon any redemption that requires the payment of any make-whole premium,</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63" w:lineRule="auto"/>
        <w:tabs>
          <w:tab w:leader="none" w:pos="18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of cash that must be deposited will be determined using an assumed premium calculated as of the date of such deposit and (y) we will deposit any deficit in trust on or prior to the redemption date as necessary to pay the premium as determined by such date);</w:t>
      </w:r>
    </w:p>
    <w:p>
      <w:pPr>
        <w:spacing w:after="0" w:line="103" w:lineRule="exact"/>
        <w:rPr>
          <w:sz w:val="20"/>
          <w:szCs w:val="20"/>
          <w:color w:val="auto"/>
        </w:rPr>
      </w:pPr>
    </w:p>
    <w:p>
      <w:pPr>
        <w:ind w:left="1980" w:hanging="360"/>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with respect to the notes; and</w:t>
      </w:r>
    </w:p>
    <w:p>
      <w:pPr>
        <w:spacing w:after="0" w:line="157" w:lineRule="exact"/>
        <w:rPr>
          <w:rFonts w:ascii="Arial" w:cs="Arial" w:eastAsia="Arial" w:hAnsi="Arial"/>
          <w:sz w:val="18"/>
          <w:szCs w:val="18"/>
          <w:color w:val="auto"/>
        </w:rPr>
      </w:pPr>
    </w:p>
    <w:p>
      <w:pPr>
        <w:ind w:left="1260" w:right="599" w:firstLine="360"/>
        <w:spacing w:after="0" w:line="263" w:lineRule="auto"/>
        <w:tabs>
          <w:tab w:leader="none" w:pos="19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8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Ranking</w:t>
      </w:r>
    </w:p>
    <w:p>
      <w:pPr>
        <w:spacing w:after="0" w:line="162" w:lineRule="exact"/>
        <w:rPr>
          <w:sz w:val="20"/>
          <w:szCs w:val="20"/>
          <w:color w:val="auto"/>
        </w:rPr>
      </w:pPr>
    </w:p>
    <w:p>
      <w:pPr>
        <w:ind w:left="1260" w:right="459" w:firstLine="360"/>
        <w:spacing w:after="0" w:line="308" w:lineRule="auto"/>
        <w:rPr>
          <w:sz w:val="20"/>
          <w:szCs w:val="20"/>
          <w:color w:val="auto"/>
        </w:rPr>
      </w:pPr>
      <w:r>
        <w:rPr>
          <w:rFonts w:ascii="Arial" w:cs="Arial" w:eastAsia="Arial" w:hAnsi="Arial"/>
          <w:sz w:val="17"/>
          <w:szCs w:val="17"/>
          <w:color w:val="auto"/>
        </w:rPr>
        <w:t>The notes will be our unsecured and unsubordinated obligations, and will rank equally in contractual right of payment with all of our other existing and future senior indebtedness from time to time outstanding.</w:t>
      </w:r>
    </w:p>
    <w:p>
      <w:pPr>
        <w:spacing w:after="0" w:line="65"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 Further Issuances” in this prospectus supplement.</w:t>
      </w:r>
    </w:p>
    <w:p>
      <w:pPr>
        <w:spacing w:after="0" w:line="125"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the Debt Securities — Provisions Applicable Solely to Senior Debt Securities” in the accompanying prospectus.</w:t>
      </w:r>
    </w:p>
    <w:p>
      <w:pPr>
        <w:spacing w:after="0" w:line="128" w:lineRule="exact"/>
        <w:rPr>
          <w:sz w:val="20"/>
          <w:szCs w:val="20"/>
          <w:color w:val="auto"/>
        </w:rPr>
      </w:pPr>
    </w:p>
    <w:p>
      <w:pPr>
        <w:jc w:val="both"/>
        <w:ind w:left="1260" w:right="459" w:firstLine="360"/>
        <w:spacing w:after="0" w:line="263" w:lineRule="auto"/>
        <w:rPr>
          <w:sz w:val="20"/>
          <w:szCs w:val="20"/>
          <w:color w:val="auto"/>
        </w:rPr>
      </w:pPr>
      <w:r>
        <w:rPr>
          <w:rFonts w:ascii="Arial" w:cs="Arial" w:eastAsia="Arial" w:hAnsi="Arial"/>
          <w:sz w:val="18"/>
          <w:szCs w:val="18"/>
          <w:color w:val="auto"/>
        </w:rPr>
        <w:t>As of March 31, 2022, our operating subsidiaries had $2.261 billion of indebtedness and WM Holdings had $223 million of long-term debt (excluding guarantees of $7.845 billion of our senior debt), in each case excluding intercompany loans.</w:t>
      </w:r>
    </w:p>
    <w:p>
      <w:pPr>
        <w:spacing w:after="0" w:line="18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Guarantees</w:t>
      </w:r>
    </w:p>
    <w:p>
      <w:pPr>
        <w:spacing w:after="0" w:line="148"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WM Holdings will unconditionally guarantee our obligations under the notes. Each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each guarantee limits the amount of such guarantee to the amount that will result in the guarantee not constituting a fraudulent transfer or improper corporate distribution.</w:t>
      </w:r>
    </w:p>
    <w:p>
      <w:pPr>
        <w:spacing w:after="0" w:line="125" w:lineRule="exact"/>
        <w:rPr>
          <w:sz w:val="20"/>
          <w:szCs w:val="20"/>
          <w:color w:val="auto"/>
        </w:rPr>
      </w:pPr>
    </w:p>
    <w:p>
      <w:pPr>
        <w:ind w:left="1260" w:right="759" w:firstLine="360"/>
        <w:spacing w:after="0" w:line="308" w:lineRule="auto"/>
        <w:rPr>
          <w:sz w:val="20"/>
          <w:szCs w:val="20"/>
          <w:color w:val="auto"/>
        </w:rPr>
      </w:pPr>
      <w:r>
        <w:rPr>
          <w:rFonts w:ascii="Arial" w:cs="Arial" w:eastAsia="Arial" w:hAnsi="Arial"/>
          <w:sz w:val="17"/>
          <w:szCs w:val="17"/>
          <w:color w:val="auto"/>
        </w:rPr>
        <w:t>The guarantees of the notes shall be binding on WM Holdings, its successors and assigns, and shall continue in full force and effect for the benefit of holders of the notes until the earliest to occur of:</w:t>
      </w:r>
    </w:p>
    <w:p>
      <w:pPr>
        <w:spacing w:after="0" w:line="38" w:lineRule="exact"/>
        <w:rPr>
          <w:sz w:val="20"/>
          <w:szCs w:val="20"/>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Inc. or its successor;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Waste Management, Inc. or its successor into WM Holdings;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59" w:hanging="180"/>
        <w:spacing w:after="0" w:line="279" w:lineRule="auto"/>
        <w:tabs>
          <w:tab w:leader="none" w:pos="1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release of the guarantees by WM Holdings of obligations of Waste Management, Inc. under its $3.5 billion revolving credit facility (or any replacement or new principal credit facility). Our $3.5 billion revolving credit facility currently states that WM Holdings’ guarantees under such facility can only be released with the written consent of each of the lenders that is a party thereto.</w:t>
      </w:r>
    </w:p>
    <w:p>
      <w:pPr>
        <w:spacing w:after="0" w:line="16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Change of Control Offer</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If a change of control triggering event occurs, unless we have exercised our option to redeem the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24"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117" w:lineRule="exact"/>
        <w:rPr>
          <w:sz w:val="20"/>
          <w:szCs w:val="20"/>
          <w:color w:val="auto"/>
        </w:rPr>
      </w:pPr>
    </w:p>
    <w:p>
      <w:pPr>
        <w:ind w:left="1800" w:right="69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and not withdrawn pursuant to the change of control offer;</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800" w:right="559" w:hanging="180"/>
        <w:spacing w:after="0" w:line="308" w:lineRule="auto"/>
        <w:tabs>
          <w:tab w:leader="none" w:pos="1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deliver or cause to be delivered to the Trustee the notes properly accepted together with an officers’ certificate stating the aggregate principal amount of notes or portions of notes being repurchased.</w:t>
      </w:r>
    </w:p>
    <w:p>
      <w:pPr>
        <w:spacing w:after="0" w:line="79"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the notes if there has occurred and is continuing on the change of control payment date an event of default under the Indenture, other than a default in the payment of the change of control payment upon a change of control triggering event.</w:t>
      </w:r>
    </w:p>
    <w:p>
      <w:pPr>
        <w:spacing w:after="0" w:line="97"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27"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03"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w:t>
      </w:r>
      <w:r>
        <w:rPr>
          <w:rFonts w:ascii="Arial" w:cs="Arial" w:eastAsia="Arial" w:hAnsi="Arial"/>
          <w:sz w:val="17"/>
          <w:szCs w:val="17"/>
          <w:color w:val="auto"/>
        </w:rPr>
        <w:t>”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w:t>
      </w:r>
    </w:p>
    <w:p>
      <w:pPr>
        <w:sectPr>
          <w:pgSz w:w="11900" w:h="16838" w:orient="portrait"/>
          <w:cols w:equalWidth="0" w:num="1">
            <w:col w:w="9879"/>
          </w:cols>
          <w:pgMar w:left="580" w:top="132" w:right="1440" w:bottom="1440" w:gutter="0" w:footer="0" w:header="0"/>
        </w:sectPr>
      </w:pPr>
    </w:p>
    <w:p>
      <w:pPr>
        <w:spacing w:after="0" w:line="35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69" w:lineRule="auto"/>
        <w:rPr>
          <w:sz w:val="20"/>
          <w:szCs w:val="20"/>
          <w:color w:val="auto"/>
        </w:rPr>
      </w:pPr>
      <w:r>
        <w:rPr>
          <w:rFonts w:ascii="Arial" w:cs="Arial" w:eastAsia="Arial" w:hAnsi="Arial"/>
          <w:sz w:val="17"/>
          <w:szCs w:val="17"/>
          <w:color w:val="auto"/>
        </w:rPr>
        <w:t>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our liquidation or dissolution.</w:t>
      </w:r>
    </w:p>
    <w:p>
      <w:pPr>
        <w:spacing w:after="0" w:line="101" w:lineRule="exact"/>
        <w:rPr>
          <w:sz w:val="20"/>
          <w:szCs w:val="20"/>
          <w:color w:val="auto"/>
        </w:rPr>
      </w:pPr>
    </w:p>
    <w:p>
      <w:pPr>
        <w:ind w:left="1260" w:right="599" w:firstLine="360"/>
        <w:spacing w:after="0" w:line="274" w:lineRule="auto"/>
        <w:rPr>
          <w:sz w:val="20"/>
          <w:szCs w:val="20"/>
          <w:color w:val="auto"/>
        </w:rPr>
      </w:pPr>
      <w:r>
        <w:rPr>
          <w:rFonts w:ascii="Arial" w:cs="Arial" w:eastAsia="Arial" w:hAnsi="Arial"/>
          <w:sz w:val="17"/>
          <w:szCs w:val="17"/>
          <w:color w:val="auto"/>
        </w:rPr>
        <w:t>Notwithstanding the preceding, a transaction will not be deemed to involve a change of control under clause (2) above if (i) we become a direct or indirect wholly owned subsidiary of a holding company and</w:t>
      </w:r>
    </w:p>
    <w:p>
      <w:pPr>
        <w:ind w:left="1260" w:right="439"/>
        <w:spacing w:after="0" w:line="252" w:lineRule="auto"/>
        <w:tabs>
          <w:tab w:leader="none" w:pos="15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26"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127"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and its successors.</w:t>
      </w:r>
    </w:p>
    <w:p>
      <w:pPr>
        <w:spacing w:after="0" w:line="158"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rating equal to or higher than BBB− (or the equivalent) by Fitch, Baa3 (or the equivalent) by Moody’s and BBB− (or the equivalent) by S&amp;P, and the equivalent investment grade credit rating from any replacement rating agency or rating agencies selected by us.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44"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 (1) each of Fitch, Moody’s and S&amp;P and (2) if any of Fitch, Moody’s or S&amp;P ceases to rate the notes or fails to make a rating of the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120"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 event</w:t>
      </w:r>
      <w:r>
        <w:rPr>
          <w:rFonts w:ascii="Arial" w:cs="Arial" w:eastAsia="Arial" w:hAnsi="Arial"/>
          <w:sz w:val="17"/>
          <w:szCs w:val="17"/>
          <w:color w:val="auto"/>
        </w:rPr>
        <w:t>” means the rating on the notes is lowered by at least two of the three rating agencies and the notes are rated below an investment grade rating by at least two of the three rating agencies, in any case on any day during the period (which period will be extended so long as the rating of the notes is under publicly announced consideration for a possible downgrade by any of the rating agencies) commencing</w:t>
      </w:r>
    </w:p>
    <w:p>
      <w:pPr>
        <w:spacing w:after="0" w:line="2" w:lineRule="exact"/>
        <w:rPr>
          <w:sz w:val="20"/>
          <w:szCs w:val="20"/>
          <w:color w:val="auto"/>
        </w:rPr>
      </w:pPr>
    </w:p>
    <w:p>
      <w:pPr>
        <w:ind w:left="1260" w:right="679"/>
        <w:spacing w:after="0" w:line="260" w:lineRule="auto"/>
        <w:rPr>
          <w:sz w:val="20"/>
          <w:szCs w:val="20"/>
          <w:color w:val="auto"/>
        </w:rPr>
      </w:pPr>
      <w:r>
        <w:rPr>
          <w:rFonts w:ascii="Arial" w:cs="Arial" w:eastAsia="Arial" w:hAnsi="Arial"/>
          <w:sz w:val="18"/>
          <w:szCs w:val="18"/>
          <w:color w:val="auto"/>
        </w:rPr>
        <w:t>60 days prior to the first public notice of the occurrence of a change of control or our intention to effect a change of control and ending 60 days following consummation of such change of control.</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S&amp;P Global Inc., and its successors.</w:t>
      </w:r>
    </w:p>
    <w:p>
      <w:pPr>
        <w:spacing w:after="0" w:line="144"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Certain Covenants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131" w:lineRule="exact"/>
        <w:rPr>
          <w:sz w:val="20"/>
          <w:szCs w:val="20"/>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58" w:lineRule="exact"/>
        <w:rPr>
          <w:sz w:val="20"/>
          <w:szCs w:val="20"/>
          <w:color w:val="auto"/>
        </w:rPr>
      </w:pPr>
    </w:p>
    <w:p>
      <w:pPr>
        <w:ind w:left="1260" w:right="559" w:firstLine="360"/>
        <w:spacing w:after="0" w:line="286" w:lineRule="auto"/>
        <w:rPr>
          <w:sz w:val="20"/>
          <w:szCs w:val="20"/>
          <w:color w:val="auto"/>
        </w:rPr>
      </w:pPr>
      <w:r>
        <w:rPr>
          <w:rFonts w:ascii="Arial" w:cs="Arial" w:eastAsia="Arial" w:hAnsi="Arial"/>
          <w:sz w:val="17"/>
          <w:szCs w:val="17"/>
          <w:color w:val="auto"/>
        </w:rPr>
        <w:t>For a description of these covenants, see “Description of the Debt Securities — Provisions Applicable to Each Indenture — Consolidation, Merger and Sale of Assets” and “— Provisions Applicable Solely to Senior Debt Securities — Restrictive Covenants” in the accompanying prospectus.</w:t>
      </w:r>
    </w:p>
    <w:p>
      <w:pPr>
        <w:spacing w:after="0" w:line="16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Further Issuances</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We may from time to time, without notice or the consent of the holders of the notes, create and issue further notes ranking equally and ratably with the notes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w:t>
      </w:r>
    </w:p>
    <w:p>
      <w:pPr>
        <w:spacing w:after="0" w:line="18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Book-Entry Systems</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We will issue the notes in the form of one or more fully registered global notes, without coupons, each of which we refer to as a “global note.” Each such global note will be registered in the name of a nominee of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w:t>
      </w:r>
    </w:p>
    <w:p>
      <w:pPr>
        <w:spacing w:after="0" w:line="125"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06"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27"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180" w:lineRule="exact"/>
        <w:rPr>
          <w:sz w:val="20"/>
          <w:szCs w:val="20"/>
          <w:color w:val="auto"/>
        </w:rPr>
      </w:pPr>
    </w:p>
    <w:p>
      <w:pPr>
        <w:jc w:val="right"/>
        <w:ind w:right="4319"/>
        <w:spacing w:after="0"/>
        <w:rPr>
          <w:sz w:val="20"/>
          <w:szCs w:val="20"/>
          <w:color w:val="auto"/>
        </w:rPr>
      </w:pPr>
      <w:r>
        <w:rPr>
          <w:rFonts w:ascii="Arial" w:cs="Arial" w:eastAsia="Arial" w:hAnsi="Arial"/>
          <w:sz w:val="18"/>
          <w:szCs w:val="18"/>
          <w:b w:val="1"/>
          <w:bCs w:val="1"/>
          <w:color w:val="auto"/>
        </w:rPr>
        <w:t>DTC</w:t>
      </w:r>
    </w:p>
    <w:p>
      <w:pPr>
        <w:spacing w:after="0" w:line="162"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DTC has advised us and the underwriters as follows:</w:t>
      </w:r>
    </w:p>
    <w:p>
      <w:pPr>
        <w:spacing w:after="0" w:line="117" w:lineRule="exact"/>
        <w:rPr>
          <w:sz w:val="20"/>
          <w:szCs w:val="20"/>
          <w:color w:val="auto"/>
        </w:rPr>
      </w:pPr>
    </w:p>
    <w:p>
      <w:pPr>
        <w:ind w:left="1800" w:right="619" w:hanging="180"/>
        <w:spacing w:after="0" w:line="279" w:lineRule="auto"/>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the Exchange Act.</w:t>
      </w:r>
    </w:p>
    <w:p>
      <w:pPr>
        <w:spacing w:after="0" w:line="63" w:lineRule="exact"/>
        <w:rPr>
          <w:rFonts w:ascii="Arial" w:cs="Arial" w:eastAsia="Arial" w:hAnsi="Arial"/>
          <w:sz w:val="17"/>
          <w:szCs w:val="17"/>
          <w:color w:val="auto"/>
        </w:rPr>
      </w:pPr>
    </w:p>
    <w:p>
      <w:pPr>
        <w:ind w:left="1800" w:right="459" w:hanging="180"/>
        <w:spacing w:after="0" w:line="308" w:lineRule="auto"/>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DTC holds securities for its participating organizations, referred to as “direct DTC participants,” and facilitates the clearance and settlement of securities transactions, such as transfers and pledges,</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99"/>
        <w:spacing w:after="0" w:line="291" w:lineRule="auto"/>
        <w:rPr>
          <w:sz w:val="20"/>
          <w:szCs w:val="20"/>
          <w:color w:val="auto"/>
        </w:rPr>
      </w:pPr>
      <w:r>
        <w:rPr>
          <w:rFonts w:ascii="Arial" w:cs="Arial" w:eastAsia="Arial" w:hAnsi="Arial"/>
          <w:sz w:val="17"/>
          <w:szCs w:val="17"/>
          <w:color w:val="auto"/>
        </w:rPr>
        <w:t>in deposited securities, through electronic computerized book-entry changes in direct DTC participants’ accounts, thereby eliminating the need for physical movement of securities certificates.</w:t>
      </w:r>
    </w:p>
    <w:p>
      <w:pPr>
        <w:spacing w:after="0" w:line="39" w:lineRule="exact"/>
        <w:rPr>
          <w:sz w:val="20"/>
          <w:szCs w:val="20"/>
          <w:color w:val="auto"/>
        </w:rPr>
      </w:pPr>
    </w:p>
    <w:p>
      <w:pPr>
        <w:ind w:left="1800" w:right="499" w:hanging="180"/>
        <w:spacing w:after="0" w:line="275"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54" w:lineRule="exact"/>
        <w:rPr>
          <w:rFonts w:ascii="Arial" w:cs="Arial" w:eastAsia="Arial" w:hAnsi="Arial"/>
          <w:sz w:val="17"/>
          <w:szCs w:val="17"/>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13"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affect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113"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20"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116"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107"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2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1" w:lineRule="auto"/>
        <w:rPr>
          <w:sz w:val="20"/>
          <w:szCs w:val="20"/>
          <w:color w:val="auto"/>
        </w:rPr>
      </w:pPr>
      <w:r>
        <w:rPr>
          <w:rFonts w:ascii="Arial" w:cs="Arial" w:eastAsia="Arial" w:hAnsi="Arial"/>
          <w:sz w:val="18"/>
          <w:szCs w:val="18"/>
          <w:color w:val="auto"/>
        </w:rPr>
        <w:t>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10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06" w:lineRule="exact"/>
        <w:rPr>
          <w:sz w:val="20"/>
          <w:szCs w:val="20"/>
          <w:color w:val="auto"/>
        </w:rPr>
      </w:pPr>
    </w:p>
    <w:p>
      <w:pPr>
        <w:ind w:left="1260" w:right="679" w:firstLine="360"/>
        <w:spacing w:after="0" w:line="262" w:lineRule="auto"/>
        <w:rPr>
          <w:sz w:val="20"/>
          <w:szCs w:val="20"/>
          <w:color w:val="auto"/>
        </w:rPr>
      </w:pPr>
      <w:r>
        <w:rPr>
          <w:rFonts w:ascii="Arial" w:cs="Arial" w:eastAsia="Arial" w:hAnsi="Arial"/>
          <w:sz w:val="17"/>
          <w:szCs w:val="17"/>
          <w:color w:val="auto"/>
        </w:rPr>
        <w:t>None of us, the Trustee 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05"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7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Euroclear</w:t>
      </w:r>
    </w:p>
    <w:p>
      <w:pPr>
        <w:spacing w:after="0" w:line="14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Euroclear was created in 1968 to hold securities for participants of Euroclear and to clear and settle transactions between Euroclear participants through simultaneous electronic book -entry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2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16"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The Euroclear Operator is a Belgian bank, which is regulated and examined by the Belgian Banking Commission and the National Bank of Belgium.</w:t>
      </w:r>
    </w:p>
    <w:p>
      <w:pPr>
        <w:spacing w:after="0" w:line="90"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122"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20"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01" w:lineRule="exact"/>
        <w:rPr>
          <w:sz w:val="20"/>
          <w:szCs w:val="20"/>
          <w:color w:val="auto"/>
        </w:rPr>
      </w:pPr>
    </w:p>
    <w:p>
      <w:pPr>
        <w:ind w:left="1260" w:right="539" w:firstLine="360"/>
        <w:spacing w:after="0" w:line="291" w:lineRule="auto"/>
        <w:rPr>
          <w:sz w:val="20"/>
          <w:szCs w:val="20"/>
          <w:color w:val="auto"/>
        </w:rPr>
      </w:pPr>
      <w:r>
        <w:rPr>
          <w:rFonts w:ascii="Arial" w:cs="Arial" w:eastAsia="Arial" w:hAnsi="Arial"/>
          <w:sz w:val="17"/>
          <w:szCs w:val="17"/>
          <w:color w:val="auto"/>
        </w:rPr>
        <w:t>Euroclear will record the ownership interests of its participants in much the same way as does DTC. If DTC is the depositary for the notes, it will record the total ownership of the notes of the U.S. agent of</w:t>
      </w:r>
    </w:p>
    <w:p>
      <w:pPr>
        <w:spacing w:after="0" w:line="3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75" w:lineRule="auto"/>
        <w:rPr>
          <w:sz w:val="20"/>
          <w:szCs w:val="20"/>
          <w:color w:val="auto"/>
        </w:rPr>
      </w:pPr>
      <w:r>
        <w:rPr>
          <w:rFonts w:ascii="Arial" w:cs="Arial" w:eastAsia="Arial" w:hAnsi="Arial"/>
          <w:sz w:val="17"/>
          <w:szCs w:val="17"/>
          <w:color w:val="auto"/>
        </w:rPr>
        <w:t>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95"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09"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10"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72"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Clearstream</w:t>
      </w:r>
    </w:p>
    <w:p>
      <w:pPr>
        <w:spacing w:after="0" w:line="14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127"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124" w:lineRule="exact"/>
        <w:rPr>
          <w:sz w:val="20"/>
          <w:szCs w:val="20"/>
          <w:color w:val="auto"/>
        </w:rPr>
      </w:pPr>
    </w:p>
    <w:p>
      <w:pPr>
        <w:jc w:val="both"/>
        <w:ind w:left="1260" w:right="599" w:firstLine="360"/>
        <w:spacing w:after="0" w:line="263"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03"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7" w:lineRule="auto"/>
        <w:rPr>
          <w:sz w:val="20"/>
          <w:szCs w:val="20"/>
          <w:color w:val="auto"/>
        </w:rPr>
      </w:pPr>
      <w:r>
        <w:rPr>
          <w:rFonts w:ascii="Arial" w:cs="Arial" w:eastAsia="Arial" w:hAnsi="Arial"/>
          <w:sz w:val="18"/>
          <w:szCs w:val="18"/>
          <w:color w:val="auto"/>
        </w:rPr>
        <w:t>agent to receive the notes against payment. After settlement, Clearstream will credit its participant’s account with the interest in the notes. Credit for the notes will appear on the next day (European time).</w:t>
      </w:r>
    </w:p>
    <w:p>
      <w:pPr>
        <w:spacing w:after="0" w:line="89"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09"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124" w:lineRule="exact"/>
        <w:rPr>
          <w:sz w:val="20"/>
          <w:szCs w:val="20"/>
          <w:color w:val="auto"/>
        </w:rPr>
      </w:pPr>
    </w:p>
    <w:p>
      <w:pPr>
        <w:ind w:left="1260" w:right="559" w:firstLine="360"/>
        <w:spacing w:after="0" w:line="296"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CERTAIN U.S. FEDERAL TAX CONSIDERATIONS FOR NON-U.S. HOLDERS</w:t>
      </w:r>
    </w:p>
    <w:p>
      <w:pPr>
        <w:spacing w:after="0" w:line="225"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Scope of Discussion</w:t>
      </w:r>
    </w:p>
    <w:p>
      <w:pPr>
        <w:spacing w:after="0" w:line="14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in effect on the date of this prospectus supplement and all of which are subject to change or differing interpretations, possibly with retroactive effect. This discussion is limited to non-U.S. holders who purchase the notes at their “issue price” (</w:t>
      </w:r>
      <w:r>
        <w:rPr>
          <w:rFonts w:ascii="Arial" w:cs="Arial" w:eastAsia="Arial" w:hAnsi="Arial"/>
          <w:sz w:val="17"/>
          <w:szCs w:val="17"/>
          <w:i w:val="1"/>
          <w:iCs w:val="1"/>
          <w:color w:val="auto"/>
        </w:rPr>
        <w:t>i.e.</w:t>
      </w:r>
      <w:r>
        <w:rPr>
          <w:rFonts w:ascii="Arial" w:cs="Arial" w:eastAsia="Arial" w:hAnsi="Arial"/>
          <w:sz w:val="17"/>
          <w:szCs w:val="17"/>
          <w:color w:val="auto"/>
        </w:rPr>
        <w:t>,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w:t>
      </w:r>
    </w:p>
    <w:p>
      <w:pPr>
        <w:spacing w:after="0" w:line="118"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This discussion does not address all of the U.S. federal income tax consequences that may be relevant to non-U.S. holders in light of their particular circumstances or to non-U.S. holders who may be subject to special treatment under U.S. federal income tax laws, such as certain expatriates or former long-term residents of the United States, banks and other financial institutions, real estate investment trusts and regulated investment companies, employee stock ownership plans, controlled foreign corporations, corporations that accumulate earnings to avoid U.S. federal income tax, insurance companies, tax-exempt entities, dealers in securities, brokers, non-U.S. trusts and estates with U.S. beneficiaries, persons subject to the alternative minimum tax, persons required to accelerate the recognition of any item of gross income with respect to the notes as a result of such income being recognized on an applicable financial statement or persons who hold the notes as a hedge or who hedge the interest rate on the notes. In addition, this discussion does not address any aspect of the Medicare tax on certain investment income, non-income taxation (such as estate and gift taxes) or state, local or foreign taxation of the notes. This summary is intended for general information only and does not represent a detailed description of all the U.S. federal income tax considerations that may be relevant to you in light of your particular circumstances.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w:t>
      </w:r>
    </w:p>
    <w:p>
      <w:pPr>
        <w:spacing w:after="0" w:line="124"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If an entity or arrangement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own tax advisors concerning the particular U.S. federal income tax consequences to you of the purchase, ownership and disposition of the notes, as well as the consequences to you arising under other U.S. federal tax laws as well as the laws of any state, local, or non-U.S. taxing jurisdictions.</w:t>
      </w:r>
    </w:p>
    <w:p>
      <w:pPr>
        <w:spacing w:after="0" w:line="97"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THIS SUMMARY IS NOT A SUBSTITUTE FOR AN INDIVIDUAL ANALYSIS OF THE TAX CONSEQUENCES RELATING TO THE PURCHASE, OWNERSHIP OR DISPOSITION OF THE NOTES. WE URGE YOU TO CONSULT A TAX ADVISOR REGARDING THE PARTICULAR FEDERAL, STATE, LOCAL AND FOREIGN TAX CONSEQUENCES RELATING TO THE PURCHASE, OWNERSHIP OR DISPOSITION OF THE NOTES IN LIGHT OF YOUR OWN SITUATION.</w:t>
      </w:r>
    </w:p>
    <w:p>
      <w:pPr>
        <w:spacing w:after="0" w:line="109"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You are a “non-U.S. holder” for purposes of this discussion if you are a beneficial owner of a note (other than a partnership, or other entity or arrangement classified as a partnership for U.S. federal income tax purposes) and you are not:</w:t>
      </w:r>
    </w:p>
    <w:p>
      <w:pPr>
        <w:spacing w:after="0" w:line="76" w:lineRule="exact"/>
        <w:rPr>
          <w:sz w:val="20"/>
          <w:szCs w:val="20"/>
          <w:color w:val="auto"/>
        </w:rPr>
      </w:pPr>
    </w:p>
    <w:p>
      <w:pPr>
        <w:ind w:left="1800" w:right="739" w:hanging="180"/>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individual who is a U.S. citizen or U.S. resident alien, including without limitation an alien individual who is a lawful permanent resident of the United States or who has been present in the United States for 183 days or more during the taxable year;</w:t>
      </w:r>
    </w:p>
    <w:p>
      <w:pPr>
        <w:spacing w:after="0" w:line="75"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17" w:lineRule="exact"/>
        <w:rPr>
          <w:rFonts w:ascii="Arial" w:cs="Arial" w:eastAsia="Arial" w:hAnsi="Arial"/>
          <w:sz w:val="18"/>
          <w:szCs w:val="18"/>
          <w:color w:val="auto"/>
        </w:rPr>
      </w:pPr>
    </w:p>
    <w:p>
      <w:pPr>
        <w:ind w:left="1800" w:right="579" w:hanging="180"/>
        <w:spacing w:after="0" w:line="259"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18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Payments of Additional Amounts</w:t>
      </w:r>
    </w:p>
    <w:p>
      <w:pPr>
        <w:spacing w:after="0" w:line="14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We may be required to make payments of additional amounts to holders of the notes under certain circumstances, including those described under “Description of Notes — Optional Redemption” or “Description of Notes — Change of Control Offer” above. The foregoing contingencies may implicate the provisions of the U.S. Treasury regulations relating to “contingent payment debt instruments.” Under applicable U.S. Treasury regulations, one or more such contingencies will not cause the notes to be treated as contingent payment debt instruments if, as of the issue date, there is only a remote chance that such an amount will be paid, the amount is incidental or certain other exceptions apply. Although the issue is not free from doubt, we intend to take the position that the possibility of any such payment should not cause the notes to be subject to “contingent payment debt instrument” rules. Our position is binding on you unless you disclose your contrary position in the manner required by applicable Treasury regulations. Our determination is not, however, binding on the IRS, and if the IRS were to successfully challenge this determination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own tax advisors regarding the possible application of the contingent payment debt instrument rules to the notes.</w:t>
      </w:r>
    </w:p>
    <w:p>
      <w:pPr>
        <w:spacing w:after="0" w:line="17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Interest on the Notes</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Subject to the discussion of backup withholding and FATCA (as defined herein) withholding requirements discussed below, payments of interest on the notes generally will be exempt from withholding of U.S. federal income tax under the “portfolio interest” exemption if you properly certify as to your foreign status as described below, and:</w:t>
      </w:r>
    </w:p>
    <w:p>
      <w:pPr>
        <w:spacing w:after="0" w:line="79" w:lineRule="exact"/>
        <w:rPr>
          <w:sz w:val="20"/>
          <w:szCs w:val="20"/>
          <w:color w:val="auto"/>
        </w:rPr>
      </w:pPr>
    </w:p>
    <w:p>
      <w:pPr>
        <w:ind w:left="1800" w:right="51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paid on the notes is not effectively connected with your conduct of a trade or business in the United States;</w:t>
      </w:r>
    </w:p>
    <w:p>
      <w:pPr>
        <w:spacing w:after="0" w:line="62" w:lineRule="exact"/>
        <w:rPr>
          <w:rFonts w:ascii="Arial" w:cs="Arial" w:eastAsia="Arial" w:hAnsi="Arial"/>
          <w:sz w:val="18"/>
          <w:szCs w:val="18"/>
          <w:color w:val="auto"/>
        </w:rPr>
      </w:pPr>
    </w:p>
    <w:p>
      <w:pPr>
        <w:ind w:left="1800" w:right="519" w:hanging="180"/>
        <w:spacing w:after="0" w:line="308"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you are not a bank whose receipt of interest on the notes is in connection with an extension of credit made pursuant to a loan agreement entered into in the ordinary course of your trade or business;</w:t>
      </w:r>
    </w:p>
    <w:p>
      <w:pPr>
        <w:spacing w:after="0" w:line="38" w:lineRule="exact"/>
        <w:rPr>
          <w:rFonts w:ascii="Arial" w:cs="Arial" w:eastAsia="Arial" w:hAnsi="Arial"/>
          <w:sz w:val="17"/>
          <w:szCs w:val="17"/>
          <w:color w:val="auto"/>
        </w:rPr>
      </w:pPr>
    </w:p>
    <w:p>
      <w:pPr>
        <w:ind w:left="1800" w:right="67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do not own, actually or constructively, 10% or more of the total combined voting power of all classes of our stock entitled to vote; and</w:t>
      </w:r>
    </w:p>
    <w:p>
      <w:pPr>
        <w:spacing w:after="0" w:line="62"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are not a “controlled foreign corporation” that is related to us through actual or constructive stock ownership (as provided in the Code).</w:t>
      </w:r>
    </w:p>
    <w:p>
      <w:pPr>
        <w:spacing w:after="0" w:line="89"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portfolio interest exemption and several of the special rules for non-U.S. holders described below generally apply only if you appropriately certify as to your foreign status. You can generally meet this certification requirement by (1) providing a properly executed IRS Form W-8BEN, IRS Form W-8BEN-E or applicable substitute or successor form (together with all appropriate attachments) to the applicable withholding agent or (2) if a securities clearing organization, bank or other financial institution that holds customers’ securities in the ordinary course of its trade or business and holds your notes on your behalf certifies to the applicable withholding agent under penalties of perjury that it has received from you a signed, written statement that you are not a U.S. person and provides the applicable withholding agent with a copy of this statement. 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substitute or successor form) claiming an exemption from (or a reduction of) withholding under the benefit of an applicable tax treaty, or (ii) the payments of interest are effectively connected with your conduct of a trade or business (and, if required by an applicable tax treaty, are attributable to a</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91" w:lineRule="auto"/>
        <w:rPr>
          <w:sz w:val="20"/>
          <w:szCs w:val="20"/>
          <w:color w:val="auto"/>
        </w:rPr>
      </w:pPr>
      <w:r>
        <w:rPr>
          <w:rFonts w:ascii="Arial" w:cs="Arial" w:eastAsia="Arial" w:hAnsi="Arial"/>
          <w:sz w:val="17"/>
          <w:szCs w:val="17"/>
          <w:color w:val="auto"/>
        </w:rPr>
        <w:t>”permanent establishment” maintained by you) in the United States and you meet the certification requirements described below in “— Income or Gain Effectively Connected with a U.S. Trade or Business.”</w:t>
      </w:r>
    </w:p>
    <w:p>
      <w:pPr>
        <w:spacing w:after="0" w:line="14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Sale, Redemption, Exchange, Retirement or Other Taxable Disposition of Notes</w:t>
      </w:r>
    </w:p>
    <w:p>
      <w:pPr>
        <w:spacing w:after="0" w:line="148" w:lineRule="exact"/>
        <w:rPr>
          <w:sz w:val="20"/>
          <w:szCs w:val="20"/>
          <w:color w:val="auto"/>
        </w:rPr>
      </w:pPr>
    </w:p>
    <w:p>
      <w:pPr>
        <w:ind w:left="1260" w:right="939" w:firstLine="360"/>
        <w:spacing w:after="0" w:line="270" w:lineRule="auto"/>
        <w:rPr>
          <w:sz w:val="20"/>
          <w:szCs w:val="20"/>
          <w:color w:val="auto"/>
        </w:rPr>
      </w:pPr>
      <w:r>
        <w:rPr>
          <w:rFonts w:ascii="Arial" w:cs="Arial" w:eastAsia="Arial" w:hAnsi="Arial"/>
          <w:sz w:val="17"/>
          <w:szCs w:val="17"/>
          <w:color w:val="auto"/>
        </w:rPr>
        <w:t>Subject to the discussion of backup withholding and FATCA withholding requirements discussed below, you generally will not be subject to U.S. federal income tax on any gain realized on the sale, redemption, exchange, retirement or other taxable disposition of a note unless:</w:t>
      </w:r>
    </w:p>
    <w:p>
      <w:pPr>
        <w:spacing w:after="0" w:line="56" w:lineRule="exact"/>
        <w:rPr>
          <w:sz w:val="20"/>
          <w:szCs w:val="20"/>
          <w:color w:val="auto"/>
        </w:rPr>
      </w:pPr>
    </w:p>
    <w:p>
      <w:pPr>
        <w:ind w:left="1800" w:right="439" w:hanging="180"/>
        <w:spacing w:after="0" w:line="308"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U.S. trade or business (and, if required by an applicable tax treaty, is attributable to your permanent establishment in the United States); or</w:t>
      </w:r>
    </w:p>
    <w:p>
      <w:pPr>
        <w:spacing w:after="0" w:line="38" w:lineRule="exact"/>
        <w:rPr>
          <w:rFonts w:ascii="Arial" w:cs="Arial" w:eastAsia="Arial" w:hAnsi="Arial"/>
          <w:sz w:val="17"/>
          <w:szCs w:val="17"/>
          <w:color w:val="auto"/>
        </w:rPr>
      </w:pPr>
    </w:p>
    <w:p>
      <w:pPr>
        <w:ind w:left="1800" w:right="57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are an individual who has been present in the United States for 183 days or more in the taxable year of disposition and certain other requirements are met.</w:t>
      </w:r>
    </w:p>
    <w:p>
      <w:pPr>
        <w:spacing w:after="0" w:line="103"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If you are described in the first bullet point above, you will be subject to the treatment described below in “—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w:t>
      </w:r>
    </w:p>
    <w:p>
      <w:pPr>
        <w:spacing w:after="0" w:line="93" w:lineRule="exact"/>
        <w:rPr>
          <w:sz w:val="20"/>
          <w:szCs w:val="20"/>
          <w:color w:val="auto"/>
        </w:rPr>
      </w:pPr>
    </w:p>
    <w:p>
      <w:pPr>
        <w:jc w:val="both"/>
        <w:ind w:left="1260" w:right="519" w:firstLine="360"/>
        <w:spacing w:after="0" w:line="270" w:lineRule="auto"/>
        <w:rPr>
          <w:sz w:val="20"/>
          <w:szCs w:val="20"/>
          <w:color w:val="auto"/>
        </w:rPr>
      </w:pPr>
      <w:r>
        <w:rPr>
          <w:rFonts w:ascii="Arial" w:cs="Arial" w:eastAsia="Arial" w:hAnsi="Arial"/>
          <w:sz w:val="17"/>
          <w:szCs w:val="17"/>
          <w:color w:val="auto"/>
        </w:rPr>
        <w:t>Any proceeds received on the sale, redemption, exchange, retirement or other taxable disposition of a note which are attributable to accrued interest will be subject to U.S. federal income tax in accordance with the rules for taxation of interest described above under “— Interest on the Notes.”</w:t>
      </w:r>
    </w:p>
    <w:p>
      <w:pPr>
        <w:spacing w:after="0" w:line="160"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Income or Gain Effectively Connected with a U.S. Trade or Business</w:t>
      </w:r>
    </w:p>
    <w:p>
      <w:pPr>
        <w:spacing w:after="0" w:line="162"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 certification requirements are satisfied. You can generally meet the certification requirements by providing a properly executed IRS Form W-8ECI or applicable substitute or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w:t>
      </w:r>
    </w:p>
    <w:p>
      <w:pPr>
        <w:spacing w:after="0" w:line="18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62" w:lineRule="exact"/>
        <w:rPr>
          <w:sz w:val="20"/>
          <w:szCs w:val="20"/>
          <w:color w:val="auto"/>
        </w:rPr>
      </w:pPr>
    </w:p>
    <w:p>
      <w:pPr>
        <w:ind w:left="1260" w:right="639" w:firstLine="360"/>
        <w:spacing w:after="0" w:line="279" w:lineRule="auto"/>
        <w:rPr>
          <w:sz w:val="20"/>
          <w:szCs w:val="20"/>
          <w:color w:val="auto"/>
        </w:rPr>
      </w:pPr>
      <w:r>
        <w:rPr>
          <w:rFonts w:ascii="Arial" w:cs="Arial" w:eastAsia="Arial" w:hAnsi="Arial"/>
          <w:sz w:val="17"/>
          <w:szCs w:val="17"/>
          <w:color w:val="auto"/>
        </w:rPr>
        <w:t>Generally, we must report to the IRS and to you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w:t>
      </w:r>
    </w:p>
    <w:p>
      <w:pPr>
        <w:spacing w:after="0" w:line="90"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Backup withholding (currently at a rate of 24%) generally will not apply to payments to you of interest on a note if the certification described in “— Interest on the Notes” is duly provided by you or you otherwise establish an exemption, provided that the applicable withholding agent does not have actual knowledge or reason to know that you are a United States person (as defined under the Code) or are otherwise not exempt.</w:t>
      </w:r>
    </w:p>
    <w:p>
      <w:pPr>
        <w:spacing w:after="0" w:line="120"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Payment of the proceeds of a sale, redemption, exchange, retirement or other taxable disposition of a note effected by the U.S. office of a U.S. or foreign broker will be subject to information reporting requirements and backup withholding (currently at a rate of 24%), unless you properly certify under penalties of perjury as to your foreign status on IRS Form W-8BEN-E (or other applicable substitute or successor IRS Form W-8) and certain other conditions are met or you otherwise establish an exemption. Information reporting requirements and backup withholding generally will not apply to any payment of the proceeds</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5" w:lineRule="auto"/>
        <w:rPr>
          <w:sz w:val="20"/>
          <w:szCs w:val="20"/>
          <w:color w:val="auto"/>
        </w:rPr>
      </w:pPr>
      <w:r>
        <w:rPr>
          <w:rFonts w:ascii="Arial" w:cs="Arial" w:eastAsia="Arial" w:hAnsi="Arial"/>
          <w:sz w:val="17"/>
          <w:szCs w:val="17"/>
          <w:color w:val="auto"/>
        </w:rPr>
        <w:t>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w:t>
      </w:r>
    </w:p>
    <w:p>
      <w:pPr>
        <w:spacing w:after="0" w:line="68" w:lineRule="exact"/>
        <w:rPr>
          <w:sz w:val="20"/>
          <w:szCs w:val="20"/>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foreign person that derives 50% or more of its gross income for certain periods from the conduct of a trade or business in the United States;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controlled foreign corporation for U.S. federal income tax purposes; or</w:t>
      </w:r>
    </w:p>
    <w:p>
      <w:pPr>
        <w:spacing w:after="0" w:line="117"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foreign partnership that, at any time during its taxable year, has more than 50% of its income or capital interests owned by United States persons or is engaged in the conduct of a U.S. trade or business.</w:t>
      </w:r>
    </w:p>
    <w:p>
      <w:pPr>
        <w:spacing w:after="0" w:line="103"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may be credited against your U.S. federal income tax liability and any excess may be refundable if the proper information is timely provided to the IRS.</w:t>
      </w:r>
    </w:p>
    <w:p>
      <w:pPr>
        <w:spacing w:after="0" w:line="116"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You should consult your tax advisor regarding the application of information reporting and backup withholding in your particular circumstances and the availability of and procedure for obtaining an exemption from backup withholding under current U.S. Treasury regulations.</w:t>
      </w:r>
    </w:p>
    <w:p>
      <w:pPr>
        <w:spacing w:after="0" w:line="180"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Foreign Accounts Tax Compliance Act</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Withholding taxes under Sections 1471 through 1474 of the Code (commonly referred to as the Foreign Account Tax Compliance Act, or “FATCA”) may apply to certain types of payments made to “foreign financial institutions” (as specially defined in the Code) and certain other non-U.S. entities. Specifically, a 30% withholding tax may be imposed on “withholdable payments,” which include interest, dividends and other fixed or determinable annual or periodical gains, profits and income from sources within the United States if not treated as effectively connected with a U.S. trade or business, and paid to (i) a foreign financial institution (for which purposes includes foreign broker-dealers, clearing organizations, investment companies, hedge funds and certain other investment entities), unless such foreign financial institution enters into an agreement with the Treasury Department to withhold on certain payments and to collect and provide substantial information regarding U.S. account holders, including certain account holders that are foreign entities with U.S. owners, (ii) a non-financial foreign entity, unless such entity provides the withholding agent with a certification that it does not have any “substantial United States owners” (as defined in the Code) or a certification identifying its direct or indirect substantial United States owners, or</w:t>
      </w:r>
    </w:p>
    <w:p>
      <w:pPr>
        <w:spacing w:after="0" w:line="6" w:lineRule="exact"/>
        <w:rPr>
          <w:sz w:val="20"/>
          <w:szCs w:val="20"/>
          <w:color w:val="auto"/>
        </w:rPr>
      </w:pPr>
    </w:p>
    <w:p>
      <w:pPr>
        <w:ind w:left="1260" w:right="479"/>
        <w:spacing w:after="0" w:line="251" w:lineRule="auto"/>
        <w:tabs>
          <w:tab w:leader="none" w:pos="15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In addition, subject to the immediately following sentence, withholding taxes under FATCA could apply to the gross proceeds from the sale or other disposition of a note. However, proposed Treasury Regulations provide that such gross proceeds are not subject to withholding taxes under FATCA. There can be no assurance that final Treasury regulations would provide an exemption from FATCA withholding for gross proceeds. Taxpayers may rely on these proposed Treasury Regulations until they are revoked or final Treasury Regulations are issued. You should consult with your tax advisor regarding these rules.</w:t>
      </w:r>
    </w:p>
    <w:p>
      <w:pPr>
        <w:spacing w:after="0" w:line="112"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7"/>
          <w:szCs w:val="17"/>
          <w:b w:val="1"/>
          <w:bCs w:val="1"/>
          <w:color w:val="auto"/>
        </w:rPr>
        <w:t>The preceding discussion of certain U.S. federal tax considerations is for general information only and is not tax advice. We urge each prospective investor to consult its own tax advisor regarding the particular U.S. federal, state, local and foreign tax consequences of purchasing, holding, and disposing of our notes, including the applicability and effect of any state, local or foreign tax laws, and the consequences of any proposed or subsequent change in applicable laws.</w:t>
      </w:r>
    </w:p>
    <w:p>
      <w:pPr>
        <w:spacing w:after="0" w:line="36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UNDERWRITING (CONFLICTS OF INTEREST)</w:t>
      </w:r>
    </w:p>
    <w:p>
      <w:pPr>
        <w:spacing w:after="0" w:line="148"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Barclays Capital Inc., BofA Securities, Inc., Deutsche Bank Securities Inc., MUFG Securities Americas Inc. and Scotia Capital (USA) Inc. are acting as joint book-running managers of the offering and as representatives of the underwriters named below.</w:t>
      </w:r>
    </w:p>
    <w:p>
      <w:pPr>
        <w:spacing w:after="0" w:line="114" w:lineRule="exact"/>
        <w:rPr>
          <w:sz w:val="20"/>
          <w:szCs w:val="20"/>
          <w:color w:val="auto"/>
        </w:rPr>
      </w:pPr>
    </w:p>
    <w:p>
      <w:pPr>
        <w:ind w:left="1260" w:right="899" w:firstLine="360"/>
        <w:spacing w:after="0" w:line="243"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Principal</w:t>
            </w:r>
          </w:p>
        </w:tc>
      </w:tr>
      <w:tr>
        <w:trPr>
          <w:trHeight w:val="162"/>
        </w:trPr>
        <w:tc>
          <w:tcPr>
            <w:tcW w:w="6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53"/>
              <w:spacing w:after="0"/>
              <w:rPr>
                <w:sz w:val="20"/>
                <w:szCs w:val="20"/>
                <w:color w:val="auto"/>
              </w:rPr>
            </w:pPr>
            <w:r>
              <w:rPr>
                <w:rFonts w:ascii="Arial" w:cs="Arial" w:eastAsia="Arial" w:hAnsi="Arial"/>
                <w:sz w:val="14"/>
                <w:szCs w:val="14"/>
                <w:b w:val="1"/>
                <w:bCs w:val="1"/>
                <w:color w:val="auto"/>
                <w:w w:val="88"/>
              </w:rPr>
              <w:t>Amount of</w:t>
            </w:r>
          </w:p>
        </w:tc>
      </w:tr>
      <w:tr>
        <w:trPr>
          <w:trHeight w:val="186"/>
        </w:trPr>
        <w:tc>
          <w:tcPr>
            <w:tcW w:w="634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00" w:type="dxa"/>
            <w:vAlign w:val="bottom"/>
          </w:tcPr>
          <w:p>
            <w:pPr>
              <w:spacing w:after="0"/>
              <w:rPr>
                <w:sz w:val="16"/>
                <w:szCs w:val="16"/>
                <w:color w:val="auto"/>
              </w:rPr>
            </w:pPr>
          </w:p>
        </w:tc>
        <w:tc>
          <w:tcPr>
            <w:tcW w:w="1040" w:type="dxa"/>
            <w:vAlign w:val="bottom"/>
          </w:tcPr>
          <w:p>
            <w:pPr>
              <w:jc w:val="center"/>
              <w:ind w:right="13"/>
              <w:spacing w:after="0"/>
              <w:rPr>
                <w:sz w:val="20"/>
                <w:szCs w:val="20"/>
                <w:color w:val="auto"/>
              </w:rPr>
            </w:pPr>
            <w:r>
              <w:rPr>
                <w:rFonts w:ascii="Arial" w:cs="Arial" w:eastAsia="Arial" w:hAnsi="Arial"/>
                <w:sz w:val="14"/>
                <w:szCs w:val="14"/>
                <w:b w:val="1"/>
                <w:bCs w:val="1"/>
                <w:color w:val="auto"/>
                <w:w w:val="87"/>
              </w:rPr>
              <w:t>Notes</w:t>
            </w:r>
          </w:p>
        </w:tc>
      </w:tr>
      <w:tr>
        <w:trPr>
          <w:trHeight w:val="26"/>
        </w:trPr>
        <w:tc>
          <w:tcPr>
            <w:tcW w:w="6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130,000,000</w:t>
            </w:r>
          </w:p>
        </w:tc>
      </w:tr>
      <w:tr>
        <w:trPr>
          <w:trHeight w:val="257"/>
        </w:trPr>
        <w:tc>
          <w:tcPr>
            <w:tcW w:w="634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130,000,000</w:t>
            </w:r>
          </w:p>
        </w:tc>
      </w:tr>
      <w:tr>
        <w:trPr>
          <w:trHeight w:val="25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130,000,000</w:t>
            </w:r>
          </w:p>
        </w:tc>
      </w:tr>
      <w:tr>
        <w:trPr>
          <w:trHeight w:val="257"/>
        </w:trPr>
        <w:tc>
          <w:tcPr>
            <w:tcW w:w="634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130,000,000</w:t>
            </w:r>
          </w:p>
        </w:tc>
      </w:tr>
      <w:tr>
        <w:trPr>
          <w:trHeight w:val="257"/>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130,000,000</w:t>
            </w:r>
          </w:p>
        </w:tc>
      </w:tr>
      <w:tr>
        <w:trPr>
          <w:trHeight w:val="257"/>
        </w:trPr>
        <w:tc>
          <w:tcPr>
            <w:tcW w:w="634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60,000,000</w:t>
            </w:r>
          </w:p>
        </w:tc>
      </w:tr>
      <w:tr>
        <w:trPr>
          <w:trHeight w:val="25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60,000,000</w:t>
            </w:r>
          </w:p>
        </w:tc>
      </w:tr>
      <w:tr>
        <w:trPr>
          <w:trHeight w:val="257"/>
        </w:trPr>
        <w:tc>
          <w:tcPr>
            <w:tcW w:w="6340" w:type="dxa"/>
            <w:vAlign w:val="bottom"/>
            <w:gridSpan w:val="2"/>
          </w:tcPr>
          <w:p>
            <w:pPr>
              <w:spacing w:after="0"/>
              <w:rPr>
                <w:sz w:val="20"/>
                <w:szCs w:val="20"/>
                <w:color w:val="auto"/>
              </w:rPr>
            </w:pPr>
            <w:r>
              <w:rPr>
                <w:rFonts w:ascii="Arial" w:cs="Arial" w:eastAsia="Arial" w:hAnsi="Arial"/>
                <w:sz w:val="18"/>
                <w:szCs w:val="18"/>
                <w:color w:val="auto"/>
              </w:rPr>
              <w:t>Mizuho Securities USA LLC .</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60,000,000</w:t>
            </w:r>
          </w:p>
        </w:tc>
      </w:tr>
      <w:tr>
        <w:trPr>
          <w:trHeight w:val="257"/>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60,000,000</w:t>
            </w:r>
          </w:p>
        </w:tc>
      </w:tr>
      <w:tr>
        <w:trPr>
          <w:trHeight w:val="257"/>
        </w:trPr>
        <w:tc>
          <w:tcPr>
            <w:tcW w:w="6340" w:type="dxa"/>
            <w:vAlign w:val="bottom"/>
            <w:gridSpan w:val="2"/>
          </w:tcPr>
          <w:p>
            <w:pPr>
              <w:spacing w:after="0"/>
              <w:rPr>
                <w:sz w:val="20"/>
                <w:szCs w:val="20"/>
                <w:color w:val="auto"/>
              </w:rPr>
            </w:pPr>
            <w:r>
              <w:rPr>
                <w:rFonts w:ascii="Arial" w:cs="Arial" w:eastAsia="Arial" w:hAnsi="Arial"/>
                <w:sz w:val="18"/>
                <w:szCs w:val="18"/>
                <w:color w:val="auto"/>
              </w:rPr>
              <w:t>Truist Securities, Inc.</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25,000,000</w:t>
            </w:r>
          </w:p>
        </w:tc>
      </w:tr>
      <w:tr>
        <w:trPr>
          <w:trHeight w:val="270"/>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r>
      <w:tr>
        <w:trPr>
          <w:trHeight w:val="270"/>
        </w:trPr>
        <w:tc>
          <w:tcPr>
            <w:tcW w:w="6340" w:type="dxa"/>
            <w:vAlign w:val="bottom"/>
            <w:gridSpan w:val="2"/>
          </w:tcPr>
          <w:p>
            <w:pPr>
              <w:spacing w:after="0"/>
              <w:rPr>
                <w:sz w:val="20"/>
                <w:szCs w:val="20"/>
                <w:color w:val="auto"/>
              </w:rPr>
            </w:pPr>
            <w:r>
              <w:rPr>
                <w:rFonts w:ascii="Arial" w:cs="Arial" w:eastAsia="Arial" w:hAnsi="Arial"/>
                <w:sz w:val="18"/>
                <w:szCs w:val="18"/>
                <w:color w:val="auto"/>
              </w:rPr>
              <w:t>Academy Securities, Inc.</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10,000,000</w:t>
            </w:r>
          </w:p>
        </w:tc>
      </w:tr>
      <w:tr>
        <w:trPr>
          <w:trHeight w:val="270"/>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Cabrera Capital Markets LLC</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r>
      <w:tr>
        <w:trPr>
          <w:trHeight w:val="270"/>
        </w:trPr>
        <w:tc>
          <w:tcPr>
            <w:tcW w:w="6340" w:type="dxa"/>
            <w:vAlign w:val="bottom"/>
            <w:gridSpan w:val="2"/>
          </w:tcPr>
          <w:p>
            <w:pPr>
              <w:spacing w:after="0"/>
              <w:rPr>
                <w:sz w:val="20"/>
                <w:szCs w:val="20"/>
                <w:color w:val="auto"/>
              </w:rPr>
            </w:pPr>
            <w:r>
              <w:rPr>
                <w:rFonts w:ascii="Arial" w:cs="Arial" w:eastAsia="Arial" w:hAnsi="Arial"/>
                <w:sz w:val="18"/>
                <w:szCs w:val="18"/>
                <w:color w:val="auto"/>
              </w:rPr>
              <w:t>CastleOak Securities, L.P.</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10,000,000</w:t>
            </w:r>
          </w:p>
        </w:tc>
      </w:tr>
      <w:tr>
        <w:trPr>
          <w:trHeight w:val="270"/>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CAVU Securities, LLC</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r>
      <w:tr>
        <w:trPr>
          <w:trHeight w:val="270"/>
        </w:trPr>
        <w:tc>
          <w:tcPr>
            <w:tcW w:w="6340" w:type="dxa"/>
            <w:vAlign w:val="bottom"/>
            <w:gridSpan w:val="2"/>
          </w:tcPr>
          <w:p>
            <w:pPr>
              <w:spacing w:after="0"/>
              <w:rPr>
                <w:sz w:val="20"/>
                <w:szCs w:val="20"/>
                <w:color w:val="auto"/>
              </w:rPr>
            </w:pPr>
            <w:r>
              <w:rPr>
                <w:rFonts w:ascii="Arial" w:cs="Arial" w:eastAsia="Arial" w:hAnsi="Arial"/>
                <w:sz w:val="18"/>
                <w:szCs w:val="18"/>
                <w:color w:val="auto"/>
              </w:rPr>
              <w:t>MFR Securities, Inc.</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10,000,000</w:t>
            </w:r>
          </w:p>
        </w:tc>
      </w:tr>
      <w:tr>
        <w:trPr>
          <w:trHeight w:val="277"/>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Stern Brothers &amp; Co.</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r>
      <w:tr>
        <w:trPr>
          <w:trHeight w:val="283"/>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1,000,000,000</w:t>
            </w:r>
          </w:p>
        </w:tc>
      </w:tr>
      <w:tr>
        <w:trPr>
          <w:trHeight w:val="20"/>
        </w:trPr>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-3068320</wp:posOffset>
            </wp:positionV>
            <wp:extent cx="137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jc w:val="both"/>
        <w:ind w:left="1260" w:right="779" w:firstLine="360"/>
        <w:spacing w:after="0" w:line="270" w:lineRule="auto"/>
        <w:rPr>
          <w:sz w:val="20"/>
          <w:szCs w:val="20"/>
          <w:color w:val="auto"/>
        </w:rPr>
      </w:pPr>
      <w:r>
        <w:rPr>
          <w:rFonts w:ascii="Arial" w:cs="Arial" w:eastAsia="Arial" w:hAnsi="Arial"/>
          <w:sz w:val="17"/>
          <w:szCs w:val="17"/>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96"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 underwriters propose to offer the notes directly to the public at the public offering price set forth on the cover page of this prospectus supplement and may offer the notes to dealers at the public offering price less a concession not to exceed 0.40% of the principal amount of the notes. The underwriters may allow, and dealers may reallow, a concession not to exceed 0.25% of the principal amount of the notes on sales to other dealers. After the initial offering of the notes to the public, the representatives may change the public offering price and other selling terms applicable to the notes. The offering of the notes by the underwriters is subject to receipt and acceptance and subject to the underwriters’ right to reject any order in whole or in part.</w:t>
      </w:r>
    </w:p>
    <w:p>
      <w:pPr>
        <w:spacing w:after="0" w:line="113"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such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ectPr>
          <w:pgSz w:w="11900" w:h="16838" w:orient="portrait"/>
          <w:cols w:equalWidth="0" w:num="1">
            <w:col w:w="9879"/>
          </w:cols>
          <w:pgMar w:left="580" w:top="131" w:right="1440" w:bottom="1440" w:gutter="0" w:footer="0" w:header="0"/>
        </w:sectPr>
      </w:pPr>
    </w:p>
    <w:p>
      <w:pPr>
        <w:spacing w:after="0" w:line="38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01" w:lineRule="exact"/>
        <w:rPr>
          <w:sz w:val="20"/>
          <w:szCs w:val="20"/>
          <w:color w:val="auto"/>
        </w:rPr>
      </w:pPr>
    </w:p>
    <w:p>
      <w:pPr>
        <w:jc w:val="both"/>
        <w:ind w:left="1260" w:right="479" w:firstLine="360"/>
        <w:spacing w:after="0" w:line="241"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 -counter market or otherwise. If the underwriters commence any of these transactions, they may discontinue them at any time.</w:t>
      </w:r>
    </w:p>
    <w:p>
      <w:pPr>
        <w:spacing w:after="0" w:line="122"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We estimate that our total expenses (not including the underwriting discounts) for this offering will be approximately $2.4 million.</w:t>
      </w:r>
    </w:p>
    <w:p>
      <w:pPr>
        <w:spacing w:after="0" w:line="103"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We have agreed that we will not offer to sell any of our debt securities (other than the notes, bank borrowings and commercial paper) until the date and time of delivery and payment for the notes and related guarantees without the prior written consent of the representatives.</w:t>
      </w:r>
    </w:p>
    <w:p>
      <w:pPr>
        <w:spacing w:after="0" w:line="101" w:lineRule="exact"/>
        <w:rPr>
          <w:sz w:val="20"/>
          <w:szCs w:val="20"/>
          <w:color w:val="auto"/>
        </w:rPr>
      </w:pPr>
    </w:p>
    <w:p>
      <w:pPr>
        <w:jc w:val="both"/>
        <w:ind w:left="1260" w:right="519" w:firstLine="360"/>
        <w:spacing w:after="0" w:line="24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14"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We expect delivery of the notes will be made against payment therefor on or about May 12, 2022, which is the tenth business day following the date of pricing of the notes (such settlement being referred to as “T+10”). Under Rule 15c6 -1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seven business days will be required, by virtue of the fact that the notes initially will settle in T+10, to specify an alternate settlement cycle at the time of any such trade to prevent failed settlement and should consult their own advisers.</w:t>
      </w:r>
    </w:p>
    <w:p>
      <w:pPr>
        <w:spacing w:after="0" w:line="19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Relationships</w:t>
      </w:r>
    </w:p>
    <w:p>
      <w:pPr>
        <w:spacing w:after="0" w:line="162"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Certain of the underwriters or one of their respective affiliates are lenders under our $3.5 billion revolving credit facility. Also, because certain of the underwriters or their affiliates serve as dealers under our commercial paper program, they may receive a portion of the net proceeds of the notes offered hereby as customary dealer fees. Certain of the underwriters or one of their respective affiliates have, from time to time, performed, and may in the future perform, various financial advisory, investment banking, commercial services and brokerage services for us, for which they have received or will receive customary fees and expense reimbursements.</w:t>
      </w:r>
    </w:p>
    <w:p>
      <w:pPr>
        <w:spacing w:after="0" w:line="110"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including our 2.90% Senior Notes due 2022.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7"/>
          <w:szCs w:val="17"/>
          <w:color w:val="auto"/>
        </w:rPr>
        <w:t>Certain underwriters or their respective affiliates in this offering are lenders to us under our $3.5 billion revolving credit facility and may receive 5% or more of the net proceeds of this offering by reason of the</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54" w:lineRule="auto"/>
        <w:rPr>
          <w:sz w:val="20"/>
          <w:szCs w:val="20"/>
          <w:color w:val="auto"/>
        </w:rPr>
      </w:pPr>
      <w:r>
        <w:rPr>
          <w:rFonts w:ascii="Arial" w:cs="Arial" w:eastAsia="Arial" w:hAnsi="Arial"/>
          <w:sz w:val="18"/>
          <w:szCs w:val="18"/>
          <w:color w:val="auto"/>
        </w:rPr>
        <w:t>repayment of amounts outstanding under our commercial paper program, which is fully supported by such credit facility, pending application of the net proceeds as described in the initial paragraph under “Use of Proceeds” in this prospectus supplement. Accordingly, such underwriters are deemed to have a “conflict of interest” within the meaning of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Australia</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prospectus supplement:</w:t>
      </w:r>
    </w:p>
    <w:p>
      <w:pPr>
        <w:spacing w:after="0" w:line="158" w:lineRule="exact"/>
        <w:rPr>
          <w:sz w:val="20"/>
          <w:szCs w:val="20"/>
          <w:color w:val="auto"/>
        </w:rPr>
      </w:pPr>
    </w:p>
    <w:p>
      <w:pPr>
        <w:ind w:left="1620" w:right="579" w:firstLine="360"/>
        <w:spacing w:after="0" w:line="277" w:lineRule="auto"/>
        <w:tabs>
          <w:tab w:leader="none" w:pos="2308"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does not constitute a product disclosure document or a prospectus under Chapter 6D.2 of the Corporations Act 2001 (Cth) (the “Corporations Act”);</w:t>
      </w:r>
    </w:p>
    <w:p>
      <w:pPr>
        <w:spacing w:after="0" w:line="102" w:lineRule="exact"/>
        <w:rPr>
          <w:rFonts w:ascii="Arial" w:cs="Arial" w:eastAsia="Arial" w:hAnsi="Arial"/>
          <w:sz w:val="18"/>
          <w:szCs w:val="18"/>
          <w:color w:val="auto"/>
        </w:rPr>
      </w:pPr>
    </w:p>
    <w:p>
      <w:pPr>
        <w:ind w:left="1620" w:right="459" w:firstLine="360"/>
        <w:spacing w:after="0" w:line="259" w:lineRule="auto"/>
        <w:tabs>
          <w:tab w:leader="none" w:pos="22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105" w:lineRule="exact"/>
        <w:rPr>
          <w:rFonts w:ascii="Arial" w:cs="Arial" w:eastAsia="Arial" w:hAnsi="Arial"/>
          <w:sz w:val="18"/>
          <w:szCs w:val="18"/>
          <w:color w:val="auto"/>
        </w:rPr>
      </w:pPr>
    </w:p>
    <w:p>
      <w:pPr>
        <w:ind w:left="1620" w:right="439" w:firstLine="360"/>
        <w:spacing w:after="0" w:line="286" w:lineRule="auto"/>
        <w:tabs>
          <w:tab w:leader="none" w:pos="2298" w:val="left"/>
        </w:tabs>
        <w:numPr>
          <w:ilvl w:val="0"/>
          <w:numId w:val="25"/>
        </w:numPr>
        <w:rPr>
          <w:rFonts w:ascii="Arial" w:cs="Arial" w:eastAsia="Arial" w:hAnsi="Arial"/>
          <w:sz w:val="17"/>
          <w:szCs w:val="17"/>
          <w:color w:val="auto"/>
        </w:rPr>
      </w:pPr>
      <w:r>
        <w:rPr>
          <w:rFonts w:ascii="Arial" w:cs="Arial" w:eastAsia="Arial" w:hAnsi="Arial"/>
          <w:sz w:val="17"/>
          <w:szCs w:val="17"/>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97" w:lineRule="exact"/>
        <w:rPr>
          <w:rFonts w:ascii="Arial" w:cs="Arial" w:eastAsia="Arial" w:hAnsi="Arial"/>
          <w:sz w:val="17"/>
          <w:szCs w:val="17"/>
          <w:color w:val="auto"/>
        </w:rPr>
      </w:pPr>
    </w:p>
    <w:p>
      <w:pPr>
        <w:ind w:left="1620" w:right="499" w:firstLine="360"/>
        <w:spacing w:after="0" w:line="263" w:lineRule="auto"/>
        <w:tabs>
          <w:tab w:leader="none" w:pos="2308"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Canada</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11"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7" w:lineRule="exact"/>
        <w:rPr>
          <w:sz w:val="20"/>
          <w:szCs w:val="20"/>
          <w:color w:val="auto"/>
        </w:rPr>
      </w:pPr>
    </w:p>
    <w:p>
      <w:pPr>
        <w:ind w:left="1260" w:right="97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European Economic Area</w:t>
      </w:r>
    </w:p>
    <w:p>
      <w:pPr>
        <w:spacing w:after="0" w:line="162"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the notes in any Member State of the EEA will be made pursuant to an exemption under the Prospectus</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91" w:lineRule="auto"/>
        <w:rPr>
          <w:sz w:val="20"/>
          <w:szCs w:val="20"/>
          <w:color w:val="auto"/>
        </w:rPr>
      </w:pPr>
      <w:r>
        <w:rPr>
          <w:rFonts w:ascii="Arial" w:cs="Arial" w:eastAsia="Arial" w:hAnsi="Arial"/>
          <w:sz w:val="17"/>
          <w:szCs w:val="17"/>
          <w:color w:val="auto"/>
        </w:rPr>
        <w:t>Regulation from the requirement to publish a prospectus for offers of the notes. This prospectus supplement and the accompanying prospectus are not a prospectus for the purposes of the Prospectus Regulation.</w:t>
      </w:r>
    </w:p>
    <w:p>
      <w:pPr>
        <w:spacing w:after="0" w:line="66"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Hong Kong</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Japan</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Singapore</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Neither this prospectus supplement nor the accompanying prospectus have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such notes,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5" w:lineRule="exact"/>
        <w:rPr>
          <w:sz w:val="20"/>
          <w:szCs w:val="20"/>
          <w:color w:val="auto"/>
        </w:rPr>
      </w:pPr>
    </w:p>
    <w:p>
      <w:pPr>
        <w:ind w:left="1260" w:right="619"/>
        <w:spacing w:after="0" w:line="243" w:lineRule="auto"/>
        <w:tabs>
          <w:tab w:leader="none" w:pos="15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Where the notes are subscribed or purchased under Section 275 of the SFA by a relevant person which</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w:t>
      </w:r>
    </w:p>
    <w:p>
      <w:pPr>
        <w:spacing w:after="0" w:line="115" w:lineRule="exact"/>
        <w:rPr>
          <w:sz w:val="20"/>
          <w:szCs w:val="20"/>
          <w:color w:val="auto"/>
        </w:rPr>
      </w:pPr>
    </w:p>
    <w:p>
      <w:pPr>
        <w:jc w:val="both"/>
        <w:ind w:left="1620" w:right="579" w:firstLine="360"/>
        <w:spacing w:after="0" w:line="248" w:lineRule="auto"/>
        <w:tabs>
          <w:tab w:leader="none" w:pos="23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4" w:lineRule="exact"/>
        <w:rPr>
          <w:rFonts w:ascii="Arial" w:cs="Arial" w:eastAsia="Arial" w:hAnsi="Arial"/>
          <w:sz w:val="18"/>
          <w:szCs w:val="18"/>
          <w:color w:val="auto"/>
        </w:rPr>
      </w:pPr>
    </w:p>
    <w:p>
      <w:pPr>
        <w:ind w:left="1620" w:right="619" w:firstLine="360"/>
        <w:spacing w:after="0" w:line="291" w:lineRule="auto"/>
        <w:tabs>
          <w:tab w:leader="none" w:pos="2298"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99"/>
        <w:spacing w:after="0" w:line="270" w:lineRule="auto"/>
        <w:rPr>
          <w:sz w:val="20"/>
          <w:szCs w:val="20"/>
          <w:color w:val="auto"/>
        </w:rPr>
      </w:pPr>
      <w:r>
        <w:rPr>
          <w:rFonts w:ascii="Arial" w:cs="Arial" w:eastAsia="Arial" w:hAnsi="Arial"/>
          <w:sz w:val="17"/>
          <w:szCs w:val="17"/>
          <w:color w:val="auto"/>
        </w:rPr>
        <w:t>(as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3" w:lineRule="exact"/>
        <w:rPr>
          <w:sz w:val="20"/>
          <w:szCs w:val="20"/>
          <w:color w:val="auto"/>
        </w:rPr>
      </w:pPr>
    </w:p>
    <w:p>
      <w:pPr>
        <w:ind w:left="1980" w:right="939" w:firstLine="360"/>
        <w:spacing w:after="0" w:line="248" w:lineRule="auto"/>
        <w:tabs>
          <w:tab w:leader="none" w:pos="26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or to any person arising from an offer referred to in Section 275(1A), or Section 276(4)(i)(B) of the SFA;</w:t>
      </w:r>
    </w:p>
    <w:p>
      <w:pPr>
        <w:spacing w:after="0" w:line="114" w:lineRule="exact"/>
        <w:rPr>
          <w:rFonts w:ascii="Arial" w:cs="Arial" w:eastAsia="Arial" w:hAnsi="Arial"/>
          <w:sz w:val="18"/>
          <w:szCs w:val="18"/>
          <w:color w:val="auto"/>
        </w:rPr>
      </w:pPr>
    </w:p>
    <w:p>
      <w:pPr>
        <w:ind w:left="2720" w:hanging="380"/>
        <w:spacing w:after="0"/>
        <w:tabs>
          <w:tab w:leader="none" w:pos="2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2780" w:hanging="440"/>
        <w:spacing w:after="0"/>
        <w:tabs>
          <w:tab w:leader="none" w:pos="2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2760" w:hanging="420"/>
        <w:spacing w:after="0"/>
        <w:tabs>
          <w:tab w:leader="none" w:pos="2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1980" w:right="959" w:firstLine="360"/>
        <w:spacing w:after="0" w:line="261" w:lineRule="auto"/>
        <w:tabs>
          <w:tab w:leader="none" w:pos="270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03"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7"/>
          <w:szCs w:val="17"/>
          <w:color w:val="auto"/>
        </w:rPr>
        <w:t>Solely for the purposes of its obligations pursuant to sections 309B(1)(a) and 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South Korea</w:t>
      </w:r>
    </w:p>
    <w:p>
      <w:pPr>
        <w:spacing w:after="0" w:line="14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of the Notes shall comply with all applicable regulatory requirements (including but not limited to requirements under the FETL) in connection with the purchase of the notes.</w:t>
      </w:r>
    </w:p>
    <w:p>
      <w:pPr>
        <w:spacing w:after="0" w:line="118"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Each agent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Taiwan</w:t>
      </w:r>
    </w:p>
    <w:p>
      <w:pPr>
        <w:spacing w:after="0" w:line="162"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The notes may be made available for purchase outside Taiwan by investors residing in Taiwan (either directly or through properly licensed Taiwan intermediaries acting on behalf of such investors) but may not be offered or sold in Taiwan.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United Kingdom</w:t>
      </w:r>
    </w:p>
    <w:p>
      <w:pPr>
        <w:spacing w:after="0" w:line="148"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2017/565 as it forms part of domestic law by virtue of the European Union (Withdrawal) Act 2018 (“EUWA”); or (ii) a customer within the meaning of the provisions of the Financial Services and Markets Act 2000 (as amended, the “FSMA”) and any rules or regulations made under the</w:t>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FSMA to implement Directive (EU) 2016/97, where that customer would not qualify as a professional client, as defined in point (8) of Article 2(1) of Regulation (EU) 600/2014 as it forms part of domestic law by virtue of the EUWA; or (iii) not a qualified investor as defined in Regulation (EU) 2017/1129 as it forms part of domestic law by virtue of the EUWA (the “UK Prospectus Regulation”). Consequently, no key information document required by Regulation (EU)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the notes in the UK will be made pursuant to an exemption under the UK Prospectus Regulation and the FSMA from the requirement to publish a prospectus for offers of the notes. This prospectus supplement and the accompanying prospectus are not a prospectus for the purposes of the UK Prospectus Regulation or the FSMA.</w:t>
      </w:r>
    </w:p>
    <w:p>
      <w:pPr>
        <w:spacing w:after="0" w:line="118"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1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Switzerland</w:t>
      </w:r>
    </w:p>
    <w:p>
      <w:pPr>
        <w:spacing w:after="0" w:line="162"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This prospectus supplement is not intended to constitute an offer or solicitation to purchase or invest in the notes.</w:t>
      </w:r>
    </w:p>
    <w:p>
      <w:pPr>
        <w:spacing w:after="0" w:line="89"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United Arab Emirates</w:t>
      </w:r>
    </w:p>
    <w:p>
      <w:pPr>
        <w:spacing w:after="0" w:line="14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The prospectus supplement and the accompanying prospectus have not been approved by or filed with the Central Bank of the United Arab Emirates, the Securities and Commodities Authority or the Dubai Financial Services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1260" w:right="599" w:firstLine="360"/>
        <w:spacing w:after="0" w:line="308" w:lineRule="auto"/>
        <w:rPr>
          <w:sz w:val="20"/>
          <w:szCs w:val="20"/>
          <w:color w:val="auto"/>
        </w:rPr>
      </w:pPr>
      <w:r>
        <w:rPr>
          <w:rFonts w:ascii="Arial" w:cs="Arial" w:eastAsia="Arial" w:hAnsi="Arial"/>
          <w:sz w:val="17"/>
          <w:szCs w:val="17"/>
          <w:color w:val="auto"/>
        </w:rPr>
        <w:t>Certain legal matters in connection with the notes offered hereby will be passed upon for us by Baker Botts L.L.P., Houston, Texas, and for the underwriters by Gibson, Dunn &amp; Crutcher LLP, Houston, Texas.</w:t>
      </w:r>
    </w:p>
    <w:p>
      <w:pPr>
        <w:spacing w:after="0" w:line="14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59" w:firstLine="3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Waste Management, Inc. appearing in Waste Management, Inc.’s </w:t>
      </w:r>
      <w:hyperlink r:id="rId60">
        <w:r>
          <w:rPr>
            <w:rFonts w:ascii="Arial" w:cs="Arial" w:eastAsia="Arial" w:hAnsi="Arial"/>
            <w:sz w:val="18"/>
            <w:szCs w:val="18"/>
            <w:u w:val="single" w:color="auto"/>
            <w:color w:val="0000EE"/>
          </w:rPr>
          <w:t>Annual Report (Form 10-K) for the year ended December 31,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the effectiveness of Waste Management, Inc.’s internal control over financial reporting as of December 31, 2021,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44"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16"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820" w:type="dxa"/>
            <w:vAlign w:val="bottom"/>
            <w:gridSpan w:val="13"/>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Date Filed</w:t>
            </w:r>
          </w:p>
        </w:tc>
      </w:tr>
      <w:tr>
        <w:trPr>
          <w:trHeight w:val="26"/>
        </w:trPr>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518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4"/>
              </w:rPr>
            </w:pPr>
            <w:hyperlink r:id="rId60">
              <w:r>
                <w:rPr>
                  <w:rFonts w:ascii="Arial" w:cs="Arial" w:eastAsia="Arial" w:hAnsi="Arial"/>
                  <w:sz w:val="18"/>
                  <w:szCs w:val="18"/>
                  <w:color w:val="0000EE"/>
                  <w:w w:val="94"/>
                </w:rPr>
                <w:t>Annual Report on Form 10-K for the year ended December 31, 2021</w:t>
              </w:r>
            </w:hyperlink>
          </w:p>
        </w:tc>
        <w:tc>
          <w:tcPr>
            <w:tcW w:w="1640" w:type="dxa"/>
            <w:vAlign w:val="bottom"/>
            <w:tcBorders>
              <w:bottom w:val="single" w:sz="8" w:color="CCEEFF"/>
            </w:tcBorders>
            <w:gridSpan w:val="6"/>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February 15, 2022</w:t>
            </w:r>
          </w:p>
        </w:tc>
      </w:tr>
      <w:tr>
        <w:trPr>
          <w:trHeight w:val="203"/>
        </w:trPr>
        <w:tc>
          <w:tcPr>
            <w:tcW w:w="6820" w:type="dxa"/>
            <w:vAlign w:val="bottom"/>
            <w:gridSpan w:val="13"/>
          </w:tcPr>
          <w:p>
            <w:pPr>
              <w:spacing w:after="0" w:line="202" w:lineRule="exact"/>
              <w:rPr>
                <w:rFonts w:ascii="Arial" w:cs="Arial" w:eastAsia="Arial" w:hAnsi="Arial"/>
                <w:sz w:val="18"/>
                <w:szCs w:val="18"/>
                <w:color w:val="0000EE"/>
              </w:rPr>
            </w:pPr>
            <w:hyperlink r:id="rId62">
              <w:r>
                <w:rPr>
                  <w:rFonts w:ascii="Arial" w:cs="Arial" w:eastAsia="Arial" w:hAnsi="Arial"/>
                  <w:sz w:val="18"/>
                  <w:szCs w:val="18"/>
                  <w:color w:val="0000EE"/>
                </w:rPr>
                <w:t>Amendment No. 1 to Annual Report on Form 10-K for the year ended December 31,</w:t>
              </w:r>
            </w:hyperlink>
          </w:p>
        </w:tc>
        <w:tc>
          <w:tcPr>
            <w:tcW w:w="1380" w:type="dxa"/>
            <w:vAlign w:val="bottom"/>
          </w:tcPr>
          <w:p>
            <w:pPr>
              <w:spacing w:after="0"/>
              <w:rPr>
                <w:sz w:val="17"/>
                <w:szCs w:val="17"/>
                <w:color w:val="auto"/>
              </w:rPr>
            </w:pPr>
          </w:p>
        </w:tc>
      </w:tr>
      <w:tr>
        <w:trPr>
          <w:trHeight w:val="196"/>
        </w:trPr>
        <w:tc>
          <w:tcPr>
            <w:tcW w:w="560" w:type="dxa"/>
            <w:vAlign w:val="bottom"/>
            <w:tcBorders>
              <w:top w:val="single" w:sz="8" w:color="0000EE"/>
            </w:tcBorders>
            <w:gridSpan w:val="2"/>
          </w:tcPr>
          <w:p>
            <w:pPr>
              <w:ind w:left="180"/>
              <w:spacing w:after="0" w:line="196" w:lineRule="exact"/>
              <w:rPr>
                <w:rFonts w:ascii="Arial" w:cs="Arial" w:eastAsia="Arial" w:hAnsi="Arial"/>
                <w:sz w:val="18"/>
                <w:szCs w:val="18"/>
                <w:color w:val="0000EE"/>
                <w:w w:val="89"/>
              </w:rPr>
            </w:pPr>
            <w:hyperlink r:id="rId62">
              <w:r>
                <w:rPr>
                  <w:rFonts w:ascii="Arial" w:cs="Arial" w:eastAsia="Arial" w:hAnsi="Arial"/>
                  <w:sz w:val="18"/>
                  <w:szCs w:val="18"/>
                  <w:color w:val="0000EE"/>
                  <w:w w:val="89"/>
                </w:rPr>
                <w:t>2021</w:t>
              </w:r>
            </w:hyperlink>
          </w:p>
        </w:tc>
        <w:tc>
          <w:tcPr>
            <w:tcW w:w="9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5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4"/>
              </w:rPr>
              <w:t>March 29, 2022</w:t>
            </w:r>
          </w:p>
        </w:tc>
      </w:tr>
      <w:tr>
        <w:trPr>
          <w:trHeight w:val="34"/>
        </w:trPr>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528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5"/>
              </w:rPr>
            </w:pPr>
            <w:hyperlink r:id="rId63">
              <w:r>
                <w:rPr>
                  <w:rFonts w:ascii="Arial" w:cs="Arial" w:eastAsia="Arial" w:hAnsi="Arial"/>
                  <w:sz w:val="18"/>
                  <w:szCs w:val="18"/>
                  <w:color w:val="0000EE"/>
                  <w:w w:val="95"/>
                </w:rPr>
                <w:t>Quarterly Report on Form 10-Q for the quarter ended March 31, 2022</w:t>
              </w:r>
            </w:hyperlink>
          </w:p>
        </w:tc>
        <w:tc>
          <w:tcPr>
            <w:tcW w:w="1540" w:type="dxa"/>
            <w:vAlign w:val="bottom"/>
            <w:tcBorders>
              <w:bottom w:val="single" w:sz="8" w:color="CCEEFF"/>
            </w:tcBorders>
            <w:gridSpan w:val="5"/>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April 26, 2022</w:t>
            </w:r>
          </w:p>
        </w:tc>
      </w:tr>
      <w:tr>
        <w:trPr>
          <w:trHeight w:val="216"/>
        </w:trPr>
        <w:tc>
          <w:tcPr>
            <w:tcW w:w="6820" w:type="dxa"/>
            <w:vAlign w:val="bottom"/>
            <w:gridSpan w:val="13"/>
          </w:tcPr>
          <w:p>
            <w:pPr>
              <w:spacing w:after="0"/>
              <w:rPr>
                <w:rFonts w:ascii="Arial" w:cs="Arial" w:eastAsia="Arial" w:hAnsi="Arial"/>
                <w:sz w:val="18"/>
                <w:szCs w:val="18"/>
                <w:color w:val="0000EE"/>
              </w:rPr>
            </w:pPr>
            <w:hyperlink r:id="rId64">
              <w:r>
                <w:rPr>
                  <w:rFonts w:ascii="Arial" w:cs="Arial" w:eastAsia="Arial" w:hAnsi="Arial"/>
                  <w:sz w:val="18"/>
                  <w:szCs w:val="18"/>
                  <w:color w:val="0000EE"/>
                </w:rPr>
                <w:t>Current Report on Form 8-K</w:t>
              </w:r>
            </w:hyperlink>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March 7, 2022</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6"/>
        </w:trPr>
        <w:tc>
          <w:tcPr>
            <w:tcW w:w="6820" w:type="dxa"/>
            <w:vAlign w:val="bottom"/>
            <w:gridSpan w:val="13"/>
            <w:shd w:val="clear" w:color="auto" w:fill="CCEEFF"/>
          </w:tcPr>
          <w:p>
            <w:pPr>
              <w:spacing w:after="0"/>
              <w:rPr>
                <w:rFonts w:ascii="Arial" w:cs="Arial" w:eastAsia="Arial" w:hAnsi="Arial"/>
                <w:sz w:val="18"/>
                <w:szCs w:val="18"/>
                <w:color w:val="auto"/>
              </w:rPr>
            </w:pPr>
            <w:r>
              <w:rPr>
                <w:rFonts w:ascii="Arial" w:cs="Arial" w:eastAsia="Arial" w:hAnsi="Arial"/>
                <w:sz w:val="18"/>
                <w:szCs w:val="18"/>
                <w:color w:val="auto"/>
              </w:rPr>
              <w:t xml:space="preserve">The portions of our </w:t>
            </w:r>
            <w:hyperlink r:id="rId65">
              <w:r>
                <w:rPr>
                  <w:rFonts w:ascii="Arial" w:cs="Arial" w:eastAsia="Arial" w:hAnsi="Arial"/>
                  <w:sz w:val="18"/>
                  <w:szCs w:val="18"/>
                  <w:color w:val="0000EE"/>
                </w:rPr>
                <w:t>proxy statement for our 2022 annual meeting of stockholders</w:t>
              </w:r>
            </w:hyperlink>
          </w:p>
        </w:tc>
        <w:tc>
          <w:tcPr>
            <w:tcW w:w="1380" w:type="dxa"/>
            <w:vAlign w:val="bottom"/>
            <w:shd w:val="clear" w:color="auto" w:fill="CCEEFF"/>
          </w:tcPr>
          <w:p>
            <w:pPr>
              <w:spacing w:after="0"/>
              <w:rPr>
                <w:sz w:val="18"/>
                <w:szCs w:val="18"/>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340" w:type="dxa"/>
            <w:vAlign w:val="bottom"/>
            <w:gridSpan w:val="2"/>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gridSpan w:val="3"/>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6640" w:type="dxa"/>
            <w:vAlign w:val="bottom"/>
            <w:gridSpan w:val="12"/>
            <w:shd w:val="clear" w:color="auto" w:fill="CCEEFF"/>
          </w:tcPr>
          <w:p>
            <w:pPr>
              <w:spacing w:after="0" w:line="196" w:lineRule="exact"/>
              <w:rPr>
                <w:rFonts w:ascii="Arial" w:cs="Arial" w:eastAsia="Arial" w:hAnsi="Arial"/>
                <w:sz w:val="18"/>
                <w:szCs w:val="18"/>
                <w:color w:val="auto"/>
              </w:rPr>
            </w:pPr>
            <w:hyperlink r:id="rId60">
              <w:r>
                <w:rPr>
                  <w:rFonts w:ascii="Arial" w:cs="Arial" w:eastAsia="Arial" w:hAnsi="Arial"/>
                  <w:sz w:val="18"/>
                  <w:szCs w:val="18"/>
                  <w:color w:val="auto"/>
                </w:rPr>
                <w:t xml:space="preserve">incorporated by reference in our </w:t>
              </w:r>
              <w:r>
                <w:rPr>
                  <w:rFonts w:ascii="Arial" w:cs="Arial" w:eastAsia="Arial" w:hAnsi="Arial"/>
                  <w:sz w:val="18"/>
                  <w:szCs w:val="18"/>
                  <w:color w:val="0000EE"/>
                </w:rPr>
                <w:t>Annual Report on Form 10-K for the year ended</w:t>
              </w:r>
            </w:hyperlink>
          </w:p>
        </w:tc>
        <w:tc>
          <w:tcPr>
            <w:tcW w:w="1380" w:type="dxa"/>
            <w:vAlign w:val="bottom"/>
            <w:shd w:val="clear" w:color="auto" w:fill="CCEEFF"/>
          </w:tcPr>
          <w:p>
            <w:pPr>
              <w:spacing w:after="0"/>
              <w:rPr>
                <w:sz w:val="17"/>
                <w:szCs w:val="17"/>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gridSpan w:val="5"/>
            <w:shd w:val="clear" w:color="auto" w:fill="CCEEFF"/>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December 31, 2021</w:t>
              </w:r>
            </w:hyperlink>
          </w:p>
        </w:tc>
        <w:tc>
          <w:tcPr>
            <w:tcW w:w="3660" w:type="dxa"/>
            <w:vAlign w:val="bottom"/>
            <w:tcBorders>
              <w:top w:val="single" w:sz="8" w:color="0000EE"/>
            </w:tcBorders>
            <w:gridSpan w:val="4"/>
            <w:shd w:val="clear" w:color="auto" w:fill="CCEEFF"/>
          </w:tcPr>
          <w:p>
            <w:pPr>
              <w:spacing w:after="0"/>
              <w:rPr>
                <w:sz w:val="17"/>
                <w:szCs w:val="17"/>
                <w:color w:val="auto"/>
              </w:rPr>
            </w:pPr>
          </w:p>
        </w:tc>
        <w:tc>
          <w:tcPr>
            <w:tcW w:w="500" w:type="dxa"/>
            <w:vAlign w:val="bottom"/>
            <w:tcBorders>
              <w:top w:val="single" w:sz="8" w:color="CCEEFF"/>
            </w:tcBorders>
            <w:gridSpan w:val="3"/>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March 29, 2022</w:t>
            </w:r>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4991735</wp:posOffset>
            </wp:positionH>
            <wp:positionV relativeFrom="paragraph">
              <wp:posOffset>-1250950</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127" w:lineRule="exact"/>
        <w:rPr>
          <w:sz w:val="20"/>
          <w:szCs w:val="20"/>
          <w:color w:val="auto"/>
        </w:rPr>
      </w:pPr>
    </w:p>
    <w:p>
      <w:pPr>
        <w:jc w:val="both"/>
        <w:ind w:left="1260" w:right="579" w:firstLine="360"/>
        <w:spacing w:after="0" w:line="257" w:lineRule="auto"/>
        <w:rPr>
          <w:sz w:val="20"/>
          <w:szCs w:val="20"/>
          <w:color w:val="auto"/>
        </w:rPr>
      </w:pPr>
      <w:r>
        <w:rPr>
          <w:rFonts w:ascii="Arial" w:cs="Arial" w:eastAsia="Arial" w:hAnsi="Arial"/>
          <w:sz w:val="18"/>
          <w:szCs w:val="18"/>
          <w:color w:val="auto"/>
        </w:rPr>
        <w:t>You may obtain copies of any of these filings through Waste Management, Inc. as described below, or through the SEC’s Internet website or through our website as described under “Where You Can Find More Information” in the accompanying prospectus. Information contained on, or that can be accessed through, our website is not incorporated by reference into this prospectus supplement and does not constitute a part of this prospectus supplement.</w:t>
      </w:r>
    </w:p>
    <w:p>
      <w:pPr>
        <w:spacing w:after="0" w:line="107"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Documents incorporated by reference are available from us without charge to each person, including any beneficial owner, to whom this prospectus supplement is delivered, excluding all exhibits unless an exhibit has been specifically incorporated by reference into this prospectus supplement, by requesting them in writing or by telephone using the contact information below:</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800 Capitol Street, Suite 3000</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(713) 512-6200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128905</wp:posOffset>
            </wp:positionV>
            <wp:extent cx="2468880" cy="660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46888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860"/>
        <w:spacing w:after="0"/>
        <w:rPr>
          <w:sz w:val="20"/>
          <w:szCs w:val="20"/>
          <w:color w:val="auto"/>
        </w:rPr>
      </w:pPr>
      <w:r>
        <w:rPr>
          <w:rFonts w:ascii="Arial" w:cs="Arial" w:eastAsia="Arial" w:hAnsi="Arial"/>
          <w:sz w:val="32"/>
          <w:szCs w:val="32"/>
          <w:b w:val="1"/>
          <w:bCs w:val="1"/>
          <w:color w:val="auto"/>
        </w:rPr>
        <w:t>WASTE MANAGEMENT, INC.</w:t>
      </w:r>
    </w:p>
    <w:p>
      <w:pPr>
        <w:spacing w:after="0" w:line="217" w:lineRule="exact"/>
        <w:rPr>
          <w:sz w:val="20"/>
          <w:szCs w:val="20"/>
          <w:color w:val="auto"/>
        </w:rPr>
      </w:pPr>
    </w:p>
    <w:p>
      <w:pPr>
        <w:ind w:left="4240"/>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p>
    <w:p>
      <w:pPr>
        <w:ind w:left="4280"/>
        <w:spacing w:after="0"/>
        <w:rPr>
          <w:sz w:val="20"/>
          <w:szCs w:val="20"/>
          <w:color w:val="auto"/>
        </w:rPr>
      </w:pPr>
      <w:r>
        <w:rPr>
          <w:rFonts w:ascii="Arial" w:cs="Arial" w:eastAsia="Arial" w:hAnsi="Arial"/>
          <w:sz w:val="25"/>
          <w:szCs w:val="25"/>
          <w:b w:val="1"/>
          <w:bCs w:val="1"/>
          <w:color w:val="auto"/>
        </w:rPr>
        <w:t>COMMON STOCK</w:t>
      </w:r>
    </w:p>
    <w:p>
      <w:pPr>
        <w:ind w:left="4140"/>
        <w:spacing w:after="0" w:line="236" w:lineRule="auto"/>
        <w:rPr>
          <w:sz w:val="20"/>
          <w:szCs w:val="20"/>
          <w:color w:val="auto"/>
        </w:rPr>
      </w:pPr>
      <w:r>
        <w:rPr>
          <w:rFonts w:ascii="Arial" w:cs="Arial" w:eastAsia="Arial" w:hAnsi="Arial"/>
          <w:sz w:val="25"/>
          <w:szCs w:val="25"/>
          <w:b w:val="1"/>
          <w:bCs w:val="1"/>
          <w:color w:val="auto"/>
        </w:rPr>
        <w:t>PREFERRED STOCK</w:t>
      </w:r>
    </w:p>
    <w:p>
      <w:pPr>
        <w:ind w:left="4640"/>
        <w:spacing w:after="0" w:line="237" w:lineRule="auto"/>
        <w:rPr>
          <w:sz w:val="20"/>
          <w:szCs w:val="20"/>
          <w:color w:val="auto"/>
        </w:rPr>
      </w:pPr>
      <w:r>
        <w:rPr>
          <w:rFonts w:ascii="Arial" w:cs="Arial" w:eastAsia="Arial" w:hAnsi="Arial"/>
          <w:sz w:val="25"/>
          <w:szCs w:val="25"/>
          <w:b w:val="1"/>
          <w:bCs w:val="1"/>
          <w:color w:val="auto"/>
        </w:rPr>
        <w:t>WARRANTS</w:t>
      </w:r>
    </w:p>
    <w:p>
      <w:pPr>
        <w:ind w:left="4480"/>
        <w:spacing w:after="0" w:line="237" w:lineRule="auto"/>
        <w:rPr>
          <w:sz w:val="20"/>
          <w:szCs w:val="20"/>
          <w:color w:val="auto"/>
        </w:rPr>
      </w:pPr>
      <w:r>
        <w:rPr>
          <w:rFonts w:ascii="Arial" w:cs="Arial" w:eastAsia="Arial" w:hAnsi="Arial"/>
          <w:sz w:val="25"/>
          <w:szCs w:val="25"/>
          <w:b w:val="1"/>
          <w:bCs w:val="1"/>
          <w:color w:val="auto"/>
        </w:rPr>
        <w:t>GUARANTEES</w:t>
      </w:r>
    </w:p>
    <w:p>
      <w:pPr>
        <w:ind w:left="5000"/>
        <w:spacing w:after="0"/>
        <w:rPr>
          <w:sz w:val="20"/>
          <w:szCs w:val="20"/>
          <w:color w:val="auto"/>
        </w:rPr>
      </w:pPr>
      <w:r>
        <w:rPr>
          <w:rFonts w:ascii="Arial" w:cs="Arial" w:eastAsia="Arial" w:hAnsi="Arial"/>
          <w:sz w:val="25"/>
          <w:szCs w:val="25"/>
          <w:b w:val="1"/>
          <w:bCs w:val="1"/>
          <w:color w:val="auto"/>
        </w:rPr>
        <w:t>UNITS</w:t>
      </w:r>
    </w:p>
    <w:p>
      <w:pPr>
        <w:spacing w:after="0" w:line="112"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7"/>
          <w:szCs w:val="17"/>
          <w:color w:val="auto"/>
        </w:rPr>
        <w:t>We or selling securityholders may from time to time offer to sell the securities listed above in one or more classes or series in amounts, at prices and on terms that will be determined at the time of the offering. Debt securities of Waste Management, Inc. may be guaranteed by Waste Management Holdings, Inc. (“Waste Management Holdings”), a direct wholly owned subsidiary of Waste Management, Inc.</w:t>
      </w:r>
    </w:p>
    <w:p>
      <w:pPr>
        <w:spacing w:after="0" w:line="104"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140" w:lineRule="exact"/>
        <w:rPr>
          <w:sz w:val="20"/>
          <w:szCs w:val="20"/>
          <w:color w:val="auto"/>
        </w:rPr>
      </w:pPr>
    </w:p>
    <w:p>
      <w:pPr>
        <w:ind w:left="1260" w:right="459" w:firstLine="360"/>
        <w:spacing w:after="0" w:line="343" w:lineRule="auto"/>
        <w:rPr>
          <w:rFonts w:ascii="Arial" w:cs="Arial" w:eastAsia="Arial" w:hAnsi="Arial"/>
          <w:sz w:val="15"/>
          <w:szCs w:val="15"/>
          <w:b w:val="1"/>
          <w:bCs w:val="1"/>
          <w:color w:val="auto"/>
        </w:rPr>
      </w:pPr>
      <w:r>
        <w:rPr>
          <w:rFonts w:ascii="Arial" w:cs="Arial" w:eastAsia="Arial" w:hAnsi="Arial"/>
          <w:sz w:val="15"/>
          <w:szCs w:val="15"/>
          <w:b w:val="1"/>
          <w:bCs w:val="1"/>
          <w:color w:val="auto"/>
        </w:rPr>
        <w:t>Investing in our securities involves risks. See “</w:t>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 xml:space="preserve">” on page </w:t>
      </w:r>
      <w:hyperlink w:anchor="page45">
        <w:r>
          <w:rPr>
            <w:rFonts w:ascii="Arial" w:cs="Arial" w:eastAsia="Arial" w:hAnsi="Arial"/>
            <w:sz w:val="15"/>
            <w:szCs w:val="15"/>
            <w:b w:val="1"/>
            <w:bCs w:val="1"/>
            <w:u w:val="single" w:color="auto"/>
            <w:color w:val="0000EE"/>
          </w:rPr>
          <w:t>8</w:t>
        </w:r>
        <w:r>
          <w:rPr>
            <w:rFonts w:ascii="Arial" w:cs="Arial" w:eastAsia="Arial" w:hAnsi="Arial"/>
            <w:sz w:val="15"/>
            <w:szCs w:val="15"/>
            <w:b w:val="1"/>
            <w:bCs w:val="1"/>
            <w:u w:val="single" w:color="auto"/>
            <w:color w:val="auto"/>
          </w:rPr>
          <w:t xml:space="preserve"> </w:t>
        </w:r>
      </w:hyperlink>
      <w:r>
        <w:rPr>
          <w:rFonts w:ascii="Arial" w:cs="Arial" w:eastAsia="Arial" w:hAnsi="Arial"/>
          <w:sz w:val="15"/>
          <w:szCs w:val="15"/>
          <w:b w:val="1"/>
          <w:bCs w:val="1"/>
          <w:color w:val="auto"/>
        </w:rPr>
        <w:t>of this prospectus, the risk factors included in our periodic reports that we file with the Securities and Exchange Commission and incorporated by reference herein and the applicable prospectus supplement before you invest in our securities.</w:t>
      </w:r>
    </w:p>
    <w:p>
      <w:pPr>
        <w:spacing w:after="0" w:line="61"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This prospectus is dated 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1579245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39" w:firstLine="360"/>
        <w:spacing w:after="0" w:line="289" w:lineRule="auto"/>
        <w:rPr>
          <w:sz w:val="20"/>
          <w:szCs w:val="20"/>
          <w:color w:val="auto"/>
        </w:rPr>
      </w:pPr>
      <w:r>
        <w:rPr>
          <w:rFonts w:ascii="Arial" w:cs="Arial" w:eastAsia="Arial" w:hAnsi="Arial"/>
          <w:sz w:val="16"/>
          <w:szCs w:val="16"/>
          <w:b w:val="1"/>
          <w:bCs w:val="1"/>
          <w:color w:val="auto"/>
        </w:rPr>
        <w:t>We have not authorized anyone to provide any information or to make any representations other than those contained in, or incorporated by reference into, this prospectus.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is accurate as of any date other than the date on the cover page of this prospectus, or that the information we previously filed with the Securities and Exchange Commission (“SEC”) and incorporated by reference into this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194310</wp:posOffset>
            </wp:positionV>
            <wp:extent cx="12344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6"/>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8020" w:type="dxa"/>
            <w:vAlign w:val="bottom"/>
            <w:gridSpan w:val="14"/>
            <w:shd w:val="clear" w:color="auto" w:fill="CCEEFF"/>
          </w:tcPr>
          <w:p>
            <w:pPr>
              <w:spacing w:after="0" w:line="162" w:lineRule="exact"/>
              <w:rPr>
                <w:rFonts w:ascii="Arial" w:cs="Arial" w:eastAsia="Arial" w:hAnsi="Arial"/>
                <w:sz w:val="18"/>
                <w:szCs w:val="18"/>
                <w:color w:val="0000EE"/>
              </w:rPr>
            </w:pPr>
            <w:hyperlink w:anchor="page38">
              <w:r>
                <w:rPr>
                  <w:rFonts w:ascii="Arial" w:cs="Arial" w:eastAsia="Arial" w:hAnsi="Arial"/>
                  <w:sz w:val="18"/>
                  <w:szCs w:val="18"/>
                  <w:color w:val="0000EE"/>
                </w:rPr>
                <w:t>Forward-Looking Statements</w:t>
              </w:r>
            </w:hyperlink>
          </w:p>
        </w:tc>
        <w:tc>
          <w:tcPr>
            <w:tcW w:w="180" w:type="dxa"/>
            <w:vAlign w:val="bottom"/>
            <w:gridSpan w:val="2"/>
            <w:shd w:val="clear" w:color="auto" w:fill="CCEEFF"/>
          </w:tcPr>
          <w:p>
            <w:pPr>
              <w:jc w:val="right"/>
              <w:spacing w:after="0" w:line="162" w:lineRule="exact"/>
              <w:rPr>
                <w:rFonts w:ascii="Arial" w:cs="Arial" w:eastAsia="Arial" w:hAnsi="Arial"/>
                <w:sz w:val="18"/>
                <w:szCs w:val="18"/>
                <w:color w:val="0000EE"/>
              </w:rPr>
            </w:pPr>
            <w:hyperlink w:anchor="page38">
              <w:r>
                <w:rPr>
                  <w:rFonts w:ascii="Arial" w:cs="Arial" w:eastAsia="Arial" w:hAnsi="Arial"/>
                  <w:sz w:val="18"/>
                  <w:szCs w:val="18"/>
                  <w:color w:val="0000EE"/>
                </w:rPr>
                <w:t>1</w:t>
              </w:r>
            </w:hyperlink>
          </w:p>
        </w:tc>
      </w:tr>
      <w:tr>
        <w:trPr>
          <w:trHeight w:val="27"/>
        </w:trPr>
        <w:tc>
          <w:tcPr>
            <w:tcW w:w="5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216"/>
        </w:trPr>
        <w:tc>
          <w:tcPr>
            <w:tcW w:w="2200" w:type="dxa"/>
            <w:vAlign w:val="bottom"/>
            <w:gridSpan w:val="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About this Prospectus</w:t>
              </w:r>
            </w:hyperlink>
          </w:p>
        </w:tc>
        <w:tc>
          <w:tcPr>
            <w:tcW w:w="5820" w:type="dxa"/>
            <w:vAlign w:val="bottom"/>
            <w:gridSpan w:val="5"/>
          </w:tcPr>
          <w:p>
            <w:pPr>
              <w:spacing w:after="0"/>
              <w:rPr>
                <w:sz w:val="18"/>
                <w:szCs w:val="18"/>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5</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16"/>
        </w:trPr>
        <w:tc>
          <w:tcPr>
            <w:tcW w:w="3780" w:type="dxa"/>
            <w:vAlign w:val="bottom"/>
            <w:gridSpan w:val="13"/>
            <w:shd w:val="clear" w:color="auto" w:fill="CCEEFF"/>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Incorporation of Certain Documents by Reference</w:t>
              </w:r>
            </w:hyperlink>
          </w:p>
        </w:tc>
        <w:tc>
          <w:tcPr>
            <w:tcW w:w="4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6</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3780" w:type="dxa"/>
            <w:vAlign w:val="bottom"/>
            <w:gridSpan w:val="1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Where You Can Find More Information</w:t>
              </w:r>
            </w:hyperlink>
          </w:p>
        </w:tc>
        <w:tc>
          <w:tcPr>
            <w:tcW w:w="4240" w:type="dxa"/>
            <w:vAlign w:val="bottom"/>
          </w:tcPr>
          <w:p>
            <w:pPr>
              <w:spacing w:after="0"/>
              <w:rPr>
                <w:sz w:val="19"/>
                <w:szCs w:val="19"/>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7</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8020" w:type="dxa"/>
            <w:vAlign w:val="bottom"/>
            <w:gridSpan w:val="14"/>
            <w:shd w:val="clear" w:color="auto" w:fill="CCEEFF"/>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The Company</w:t>
              </w:r>
            </w:hyperlink>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8</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1060" w:type="dxa"/>
            <w:vAlign w:val="bottom"/>
            <w:gridSpan w:val="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6960" w:type="dxa"/>
            <w:vAlign w:val="bottom"/>
            <w:gridSpan w:val="11"/>
          </w:tcPr>
          <w:p>
            <w:pPr>
              <w:spacing w:after="0"/>
              <w:rPr>
                <w:sz w:val="19"/>
                <w:szCs w:val="19"/>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8</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1220" w:type="dxa"/>
            <w:vAlign w:val="bottom"/>
            <w:gridSpan w:val="4"/>
            <w:shd w:val="clear" w:color="auto" w:fill="CCEEFF"/>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Use of Proceeds</w:t>
              </w:r>
            </w:hyperlink>
          </w:p>
        </w:tc>
        <w:tc>
          <w:tcPr>
            <w:tcW w:w="6800" w:type="dxa"/>
            <w:vAlign w:val="bottom"/>
            <w:gridSpan w:val="10"/>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9</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8020" w:type="dxa"/>
            <w:vAlign w:val="bottom"/>
            <w:gridSpan w:val="1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Description of the Debt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10</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198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3"/>
              </w:rPr>
            </w:pPr>
            <w:hyperlink w:anchor="page55">
              <w:r>
                <w:rPr>
                  <w:rFonts w:ascii="Arial" w:cs="Arial" w:eastAsia="Arial" w:hAnsi="Arial"/>
                  <w:sz w:val="18"/>
                  <w:szCs w:val="18"/>
                  <w:color w:val="0000EE"/>
                  <w:w w:val="93"/>
                </w:rPr>
                <w:t>Description of Guarantees</w:t>
              </w:r>
            </w:hyperlink>
          </w:p>
        </w:tc>
        <w:tc>
          <w:tcPr>
            <w:tcW w:w="6040" w:type="dxa"/>
            <w:vAlign w:val="bottom"/>
            <w:tcBorders>
              <w:bottom w:val="single" w:sz="8" w:color="CCEEFF"/>
            </w:tcBorders>
            <w:gridSpan w:val="6"/>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18</w:t>
              </w:r>
            </w:hyperlink>
          </w:p>
        </w:tc>
      </w:tr>
      <w:tr>
        <w:trPr>
          <w:trHeight w:val="229"/>
        </w:trPr>
        <w:tc>
          <w:tcPr>
            <w:tcW w:w="8020" w:type="dxa"/>
            <w:vAlign w:val="bottom"/>
            <w:gridSpan w:val="1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Description of Capital Stock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19</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2360" w:type="dxa"/>
            <w:vAlign w:val="bottom"/>
            <w:tcBorders>
              <w:bottom w:val="single" w:sz="8" w:color="0000EE"/>
            </w:tcBorders>
            <w:gridSpan w:val="10"/>
            <w:shd w:val="clear" w:color="auto" w:fill="CCEEFF"/>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Description of Other Securities</w:t>
              </w:r>
            </w:hyperlink>
          </w:p>
        </w:tc>
        <w:tc>
          <w:tcPr>
            <w:tcW w:w="5660" w:type="dxa"/>
            <w:vAlign w:val="bottom"/>
            <w:tcBorders>
              <w:bottom w:val="single" w:sz="8" w:color="CCEEFF"/>
            </w:tcBorders>
            <w:gridSpan w:val="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22</w:t>
              </w:r>
            </w:hyperlink>
          </w:p>
        </w:tc>
      </w:tr>
      <w:tr>
        <w:trPr>
          <w:trHeight w:val="230"/>
        </w:trPr>
        <w:tc>
          <w:tcPr>
            <w:tcW w:w="8020" w:type="dxa"/>
            <w:vAlign w:val="bottom"/>
            <w:gridSpan w:val="1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Plan of Distribution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23</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8020" w:type="dxa"/>
            <w:vAlign w:val="bottom"/>
            <w:gridSpan w:val="14"/>
            <w:shd w:val="clear" w:color="auto" w:fill="CCEEFF"/>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Selling Securityholders</w:t>
              </w:r>
            </w:hyperlink>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25</w:t>
              </w:r>
            </w:hyperlink>
          </w:p>
        </w:tc>
      </w:tr>
      <w:tr>
        <w:trPr>
          <w:trHeight w:val="230"/>
        </w:trPr>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Legal Matters</w:t>
              </w:r>
            </w:hyperlink>
          </w:p>
        </w:tc>
        <w:tc>
          <w:tcPr>
            <w:tcW w:w="6260" w:type="dxa"/>
            <w:vAlign w:val="bottom"/>
            <w:tcBorders>
              <w:top w:val="single" w:sz="8" w:color="CCEEFF"/>
            </w:tcBorders>
            <w:gridSpan w:val="7"/>
          </w:tcPr>
          <w:p>
            <w:pPr>
              <w:spacing w:after="0"/>
              <w:rPr>
                <w:sz w:val="19"/>
                <w:szCs w:val="19"/>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26</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8020" w:type="dxa"/>
            <w:vAlign w:val="bottom"/>
            <w:gridSpan w:val="14"/>
            <w:shd w:val="clear" w:color="auto" w:fill="CCEEFF"/>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Experts</w:t>
              </w:r>
            </w:hyperlink>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26</w:t>
              </w:r>
            </w:hyperlink>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7"/>
          <w:szCs w:val="17"/>
          <w:color w:val="auto"/>
        </w:rPr>
        <w:t>This prospectus and the documents incorporated by reference into this prospectus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16"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Many factors could affect our actual results, and variances from our current expectations regarding these factors could cause actual results to differ materially from those expressed in our forward -looking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annual report on Form 10- K for the year ended December 31, 2021 as updated by our subsequent quarterly reports on Form 10-Q and other filings we make with the SEC.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Strategy and Operational Risks</w:t>
      </w:r>
    </w:p>
    <w:p>
      <w:pPr>
        <w:spacing w:after="0" w:line="121" w:lineRule="exact"/>
        <w:rPr>
          <w:sz w:val="20"/>
          <w:szCs w:val="20"/>
          <w:color w:val="auto"/>
        </w:rPr>
      </w:pPr>
    </w:p>
    <w:p>
      <w:pPr>
        <w:ind w:left="1800" w:right="499" w:hanging="180"/>
        <w:spacing w:after="0" w:line="275"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54" w:lineRule="exact"/>
        <w:rPr>
          <w:rFonts w:ascii="Arial" w:cs="Arial" w:eastAsia="Arial" w:hAnsi="Arial"/>
          <w:sz w:val="17"/>
          <w:szCs w:val="17"/>
          <w:color w:val="auto"/>
        </w:rPr>
      </w:pPr>
    </w:p>
    <w:p>
      <w:pPr>
        <w:ind w:left="1800" w:right="479" w:hanging="180"/>
        <w:spacing w:after="0" w:line="259"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pricing,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78" w:lineRule="exact"/>
        <w:rPr>
          <w:rFonts w:ascii="Arial" w:cs="Arial" w:eastAsia="Arial" w:hAnsi="Arial"/>
          <w:sz w:val="18"/>
          <w:szCs w:val="18"/>
          <w:color w:val="auto"/>
        </w:rPr>
      </w:pPr>
    </w:p>
    <w:p>
      <w:pPr>
        <w:ind w:left="1800" w:right="439" w:hanging="180"/>
        <w:spacing w:after="0" w:line="259"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78" w:lineRule="exact"/>
        <w:rPr>
          <w:rFonts w:ascii="Arial" w:cs="Arial" w:eastAsia="Arial" w:hAnsi="Arial"/>
          <w:sz w:val="18"/>
          <w:szCs w:val="18"/>
          <w:color w:val="auto"/>
        </w:rPr>
      </w:pPr>
    </w:p>
    <w:p>
      <w:pPr>
        <w:ind w:left="1800" w:right="579" w:hanging="180"/>
        <w:spacing w:after="0" w:line="259"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including continuing to realize the strategic benefits and costs synergies from our acquisition of Advanced Disposal Services, Inc., which could adversely impact our growth strategy, earnings and cash flow;</w:t>
      </w:r>
    </w:p>
    <w:p>
      <w:pPr>
        <w:spacing w:after="0" w:line="78" w:lineRule="exact"/>
        <w:rPr>
          <w:rFonts w:ascii="Arial" w:cs="Arial" w:eastAsia="Arial" w:hAnsi="Arial"/>
          <w:sz w:val="18"/>
          <w:szCs w:val="18"/>
          <w:color w:val="auto"/>
        </w:rPr>
      </w:pPr>
    </w:p>
    <w:p>
      <w:pPr>
        <w:ind w:left="1800" w:right="419" w:hanging="180"/>
        <w:spacing w:after="0" w:line="308"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integration of acquisitions and/or new service offerings could increase our exposure to environmental liabilities for past operations and the risk of inadvertent noncompliance with laws and regulations;</w:t>
      </w:r>
    </w:p>
    <w:p>
      <w:pPr>
        <w:spacing w:after="0" w:line="24" w:lineRule="exact"/>
        <w:rPr>
          <w:rFonts w:ascii="Arial" w:cs="Arial" w:eastAsia="Arial" w:hAnsi="Arial"/>
          <w:sz w:val="17"/>
          <w:szCs w:val="17"/>
          <w:color w:val="auto"/>
        </w:rPr>
      </w:pPr>
    </w:p>
    <w:p>
      <w:pPr>
        <w:ind w:left="1800" w:right="51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operations must comply with extensive existing regulations, and changes in regulations and/or enforcement of regulations can restrict or alter our operations, increase our operating costs, increase our tax rate, or require us to make additional capital expenditures;</w:t>
      </w:r>
    </w:p>
    <w:p>
      <w:pPr>
        <w:spacing w:after="0" w:line="75" w:lineRule="exact"/>
        <w:rPr>
          <w:rFonts w:ascii="Arial" w:cs="Arial" w:eastAsia="Arial" w:hAnsi="Arial"/>
          <w:sz w:val="18"/>
          <w:szCs w:val="18"/>
          <w:color w:val="auto"/>
        </w:rPr>
      </w:pPr>
    </w:p>
    <w:p>
      <w:pPr>
        <w:jc w:val="both"/>
        <w:ind w:left="1800" w:right="63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 and future cash outflows;</w:t>
      </w:r>
    </w:p>
    <w:p>
      <w:pPr>
        <w:spacing w:after="0" w:line="75" w:lineRule="exact"/>
        <w:rPr>
          <w:rFonts w:ascii="Arial" w:cs="Arial" w:eastAsia="Arial" w:hAnsi="Arial"/>
          <w:sz w:val="18"/>
          <w:szCs w:val="18"/>
          <w:color w:val="auto"/>
        </w:rPr>
      </w:pPr>
    </w:p>
    <w:p>
      <w:pPr>
        <w:ind w:left="1800" w:right="459" w:hanging="180"/>
        <w:spacing w:after="0" w:line="25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spacing w:after="0" w:line="263" w:lineRule="auto"/>
        <w:rPr>
          <w:sz w:val="20"/>
          <w:szCs w:val="20"/>
          <w:color w:val="auto"/>
        </w:rPr>
      </w:pPr>
      <w:r>
        <w:rPr>
          <w:rFonts w:ascii="Arial" w:cs="Arial" w:eastAsia="Arial" w:hAnsi="Arial"/>
          <w:sz w:val="18"/>
          <w:szCs w:val="18"/>
          <w:color w:val="auto"/>
        </w:rPr>
        <w:t>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76" w:lineRule="exact"/>
        <w:rPr>
          <w:sz w:val="20"/>
          <w:szCs w:val="20"/>
          <w:color w:val="auto"/>
        </w:rPr>
      </w:pPr>
    </w:p>
    <w:p>
      <w:pPr>
        <w:ind w:left="1800" w:right="59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obtain and maintain required permits or to expand existing permitted capacity of our landfills, which could decrease our revenue and increase our costs;</w:t>
      </w:r>
    </w:p>
    <w:p>
      <w:pPr>
        <w:spacing w:after="0" w:line="62"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78" w:lineRule="exact"/>
        <w:rPr>
          <w:rFonts w:ascii="Arial" w:cs="Arial" w:eastAsia="Arial" w:hAnsi="Arial"/>
          <w:sz w:val="18"/>
          <w:szCs w:val="18"/>
          <w:color w:val="auto"/>
        </w:rPr>
      </w:pPr>
    </w:p>
    <w:p>
      <w:pPr>
        <w:ind w:left="1800" w:right="619" w:hanging="180"/>
        <w:spacing w:after="0" w:line="25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or challenges to our assertions of social and environmental responsibility,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79" w:lineRule="exact"/>
        <w:rPr>
          <w:rFonts w:ascii="Arial" w:cs="Arial" w:eastAsia="Arial" w:hAnsi="Arial"/>
          <w:sz w:val="18"/>
          <w:szCs w:val="18"/>
          <w:color w:val="auto"/>
        </w:rPr>
      </w:pPr>
    </w:p>
    <w:p>
      <w:pPr>
        <w:ind w:left="1800" w:right="479" w:hanging="180"/>
        <w:spacing w:after="0" w:line="25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made significant investments in an extensive natural gas truck fleet, which makes us partially dependent on the availability of natural gas and fueling infrastructure and vulnerable to fluctuations in natural gas prices; difficulty obtaining natural gas and increases in natural gas prices could increase our operating costs, and requirements to transition to other vehicle types could impair these investments;</w:t>
      </w:r>
    </w:p>
    <w:p>
      <w:pPr>
        <w:spacing w:after="0" w:line="79" w:lineRule="exact"/>
        <w:rPr>
          <w:rFonts w:ascii="Arial" w:cs="Arial" w:eastAsia="Arial" w:hAnsi="Arial"/>
          <w:sz w:val="18"/>
          <w:szCs w:val="18"/>
          <w:color w:val="auto"/>
        </w:rPr>
      </w:pPr>
    </w:p>
    <w:p>
      <w:pPr>
        <w:ind w:left="1800" w:right="439" w:hanging="180"/>
        <w:spacing w:after="0" w:line="275"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efforts by labor unions to organize our employees or changes in regulations related to labor unions or increases in employee minimum wages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81" w:lineRule="exact"/>
        <w:rPr>
          <w:rFonts w:ascii="Arial" w:cs="Arial" w:eastAsia="Arial" w:hAnsi="Arial"/>
          <w:sz w:val="17"/>
          <w:szCs w:val="17"/>
          <w:color w:val="auto"/>
        </w:rPr>
      </w:pPr>
    </w:p>
    <w:p>
      <w:pPr>
        <w:jc w:val="both"/>
        <w:ind w:left="1800" w:right="599" w:hanging="180"/>
        <w:spacing w:after="0" w:line="311" w:lineRule="auto"/>
        <w:tabs>
          <w:tab w:leader="none" w:pos="1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weather-related events resulting from climate change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External Economic and Industry Risks</w:t>
      </w:r>
    </w:p>
    <w:p>
      <w:pPr>
        <w:spacing w:after="0" w:line="121" w:lineRule="exact"/>
        <w:rPr>
          <w:sz w:val="20"/>
          <w:szCs w:val="20"/>
          <w:color w:val="auto"/>
        </w:rPr>
      </w:pPr>
    </w:p>
    <w:p>
      <w:pPr>
        <w:ind w:left="1800" w:right="599" w:hanging="180"/>
        <w:spacing w:after="0" w:line="259"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COVID-19 global pandemic has caused significant disruption in social and commercial activity throughout North America, and the continuation of the COVID-19 pandemic, or other similar pandemic conditions, may have a material adverse impact on our business, financial condition, results of operations and cash flows;</w:t>
      </w:r>
    </w:p>
    <w:p>
      <w:pPr>
        <w:spacing w:after="0" w:line="78"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governmental regulations requiring mandatory COVID-19 vaccination of employees could adversely impact our ability to perform or compete for certain contracts and negatively affect our results of operations;</w:t>
      </w:r>
    </w:p>
    <w:p>
      <w:pPr>
        <w:spacing w:after="0" w:line="75" w:lineRule="exact"/>
        <w:rPr>
          <w:rFonts w:ascii="Arial" w:cs="Arial" w:eastAsia="Arial" w:hAnsi="Arial"/>
          <w:sz w:val="18"/>
          <w:szCs w:val="18"/>
          <w:color w:val="auto"/>
        </w:rPr>
      </w:pPr>
    </w:p>
    <w:p>
      <w:pPr>
        <w:ind w:left="1800" w:right="85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disruption, including labor shortages and supply chain constraints, and macroeconomic pressures, including the heightened pace of inflation, have adversely impacted our business and results of operations;</w:t>
      </w:r>
    </w:p>
    <w:p>
      <w:pPr>
        <w:spacing w:after="0" w:line="75" w:lineRule="exact"/>
        <w:rPr>
          <w:rFonts w:ascii="Arial" w:cs="Arial" w:eastAsia="Arial" w:hAnsi="Arial"/>
          <w:sz w:val="18"/>
          <w:szCs w:val="18"/>
          <w:color w:val="auto"/>
        </w:rPr>
      </w:pPr>
    </w:p>
    <w:p>
      <w:pPr>
        <w:ind w:left="1800" w:right="559" w:hanging="180"/>
        <w:spacing w:after="0" w:line="279"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impacts from Russia’s recent invasion of Ukraine and the resulting geopolitical conflict and international response, including increased risk of cyber incidents and exacerbation of market disruption, inflationary cost pressure and changes in commodity prices, fuel and other energy costs, may negatively affect our business, financial condition, results of operations and cash flows;</w:t>
      </w:r>
    </w:p>
    <w:p>
      <w:pPr>
        <w:spacing w:after="0" w:line="63" w:lineRule="exact"/>
        <w:rPr>
          <w:rFonts w:ascii="Arial" w:cs="Arial" w:eastAsia="Arial" w:hAnsi="Arial"/>
          <w:sz w:val="17"/>
          <w:szCs w:val="17"/>
          <w:color w:val="auto"/>
        </w:rPr>
      </w:pPr>
    </w:p>
    <w:p>
      <w:pPr>
        <w:ind w:left="1800" w:right="459" w:hanging="180"/>
        <w:spacing w:after="0" w:line="286"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competition may negatively affect our profitability or cash flows, our pricing strategy may have negative effects on volumes, and an inability to execute our pricing strategy while retaining and attracting customers may negatively affect our average yield on our collection and disposal business;</w:t>
      </w:r>
    </w:p>
    <w:p>
      <w:pPr>
        <w:spacing w:after="0" w:line="57" w:lineRule="exact"/>
        <w:rPr>
          <w:rFonts w:ascii="Arial" w:cs="Arial" w:eastAsia="Arial" w:hAnsi="Arial"/>
          <w:sz w:val="17"/>
          <w:szCs w:val="17"/>
          <w:color w:val="auto"/>
        </w:rPr>
      </w:pPr>
    </w:p>
    <w:p>
      <w:pPr>
        <w:ind w:left="1800" w:right="81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revenues, earnings and cash flows will fluctuate based on changes in commodity prices, and commodity prices for recyclable materials are particularly susceptible to volatility based on regulations and tariffs that affect our ability to export products;</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79" w:hanging="180"/>
        <w:spacing w:after="0" w:line="259"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78"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conditions can directly and adversely affect revenues for environmental services and our income from operations margins;</w:t>
      </w:r>
    </w:p>
    <w:p>
      <w:pPr>
        <w:spacing w:after="0" w:line="62" w:lineRule="exact"/>
        <w:rPr>
          <w:rFonts w:ascii="Arial" w:cs="Arial" w:eastAsia="Arial" w:hAnsi="Arial"/>
          <w:sz w:val="18"/>
          <w:szCs w:val="18"/>
          <w:color w:val="auto"/>
        </w:rPr>
      </w:pPr>
    </w:p>
    <w:p>
      <w:pPr>
        <w:ind w:left="1800" w:right="679" w:hanging="180"/>
        <w:spacing w:after="0" w:line="259"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weakness in the economy may expose us to credit risk of governmental entities and municipalities and other major customers, and the financial difficulties of municipalities could negatively impact our financial results if market dynamics resulted in repricing of our tax-exempt bonds at higher interest rates;</w:t>
      </w:r>
    </w:p>
    <w:p>
      <w:pPr>
        <w:spacing w:after="0" w:line="78"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effective tax rate and tax liability could materially change as a result of the adoption of new tax legislation and other factors;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diesel fuel price increases or diesel fuel supply shortages may increase our operating expenses;</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Technology and Information Security Risks</w:t>
      </w:r>
    </w:p>
    <w:p>
      <w:pPr>
        <w:spacing w:after="0" w:line="121" w:lineRule="exact"/>
        <w:rPr>
          <w:sz w:val="20"/>
          <w:szCs w:val="20"/>
          <w:color w:val="auto"/>
        </w:rPr>
      </w:pPr>
    </w:p>
    <w:p>
      <w:pPr>
        <w:jc w:val="both"/>
        <w:ind w:left="1800" w:right="53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89" w:lineRule="exact"/>
        <w:rPr>
          <w:rFonts w:ascii="Arial" w:cs="Arial" w:eastAsia="Arial" w:hAnsi="Arial"/>
          <w:sz w:val="18"/>
          <w:szCs w:val="18"/>
          <w:color w:val="auto"/>
        </w:rPr>
      </w:pPr>
    </w:p>
    <w:p>
      <w:pPr>
        <w:ind w:left="1800" w:right="539" w:hanging="180"/>
        <w:spacing w:after="0" w:line="286" w:lineRule="auto"/>
        <w:tabs>
          <w:tab w:leader="none" w:pos="1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57" w:lineRule="exact"/>
        <w:rPr>
          <w:rFonts w:ascii="Arial" w:cs="Arial" w:eastAsia="Arial" w:hAnsi="Arial"/>
          <w:sz w:val="17"/>
          <w:szCs w:val="17"/>
          <w:color w:val="auto"/>
        </w:rPr>
      </w:pPr>
    </w:p>
    <w:p>
      <w:pPr>
        <w:ind w:left="1800" w:right="579" w:hanging="180"/>
        <w:spacing w:after="0" w:line="259"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problems with the operation of our current information technology systems or the technology systems of third parties on which we rely as well as the development and deployment of new information technology systems could adversely affect, or even temporarily disrupt, all or a portion of our operations until resolved;</w:t>
      </w:r>
    </w:p>
    <w:p>
      <w:pPr>
        <w:spacing w:after="0" w:line="78"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are implementing a new enterprise resource planning and human capital management system, and challenges with the implementation of the system may negatively impact our business and operations;</w:t>
      </w:r>
    </w:p>
    <w:p>
      <w:pPr>
        <w:spacing w:after="0" w:line="75" w:lineRule="exact"/>
        <w:rPr>
          <w:rFonts w:ascii="Arial" w:cs="Arial" w:eastAsia="Arial" w:hAnsi="Arial"/>
          <w:sz w:val="18"/>
          <w:szCs w:val="18"/>
          <w:color w:val="auto"/>
        </w:rPr>
      </w:pPr>
    </w:p>
    <w:p>
      <w:pPr>
        <w:ind w:left="1800" w:right="439" w:hanging="180"/>
        <w:spacing w:after="0" w:line="273" w:lineRule="auto"/>
        <w:tabs>
          <w:tab w:leader="none" w:pos="1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must commit substantial resources to prevent, detect, and address the risk of cybersecurity incidents. Our security programs and measures do not prevent all intrusions. Cyber intrusions require a significant amount of time and effort to assess and remedy, and our incident response efforts may not be effective in all cases. A cybersecurity incident could result in business disruption, direct financial loss, negative publicity, brand damage, alleged violation of privacy laws, loss of customers, potential regulatory enforcement or private litigation liability and competitive disadvantage;</w:t>
      </w:r>
    </w:p>
    <w:p>
      <w:pPr>
        <w:spacing w:after="0" w:line="69" w:lineRule="exact"/>
        <w:rPr>
          <w:rFonts w:ascii="Arial" w:cs="Arial" w:eastAsia="Arial" w:hAnsi="Arial"/>
          <w:sz w:val="17"/>
          <w:szCs w:val="17"/>
          <w:color w:val="auto"/>
        </w:rPr>
      </w:pPr>
    </w:p>
    <w:p>
      <w:pPr>
        <w:ind w:left="1800" w:right="57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regulation by state and federal governments related to cybersecurity protections and disclosures may require additional resources and create risks of noncompliance that could harm our business;</w:t>
      </w:r>
    </w:p>
    <w:p>
      <w:pPr>
        <w:spacing w:after="0" w:line="75" w:lineRule="exact"/>
        <w:rPr>
          <w:rFonts w:ascii="Arial" w:cs="Arial" w:eastAsia="Arial" w:hAnsi="Arial"/>
          <w:sz w:val="18"/>
          <w:szCs w:val="18"/>
          <w:color w:val="auto"/>
        </w:rPr>
      </w:pPr>
    </w:p>
    <w:p>
      <w:pPr>
        <w:ind w:left="1800" w:right="1179" w:hanging="180"/>
        <w:spacing w:after="0" w:line="308" w:lineRule="auto"/>
        <w:tabs>
          <w:tab w:leader="none" w:pos="1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increasing regulatory focus on privacy and data protection issues and expanding laws could negatively impact our business, subject us to criticism and expose us to increased liability;</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Legal, Regulatory and Compliance Risks</w:t>
      </w:r>
    </w:p>
    <w:p>
      <w:pPr>
        <w:spacing w:after="0" w:line="121" w:lineRule="exact"/>
        <w:rPr>
          <w:sz w:val="20"/>
          <w:szCs w:val="20"/>
          <w:color w:val="auto"/>
        </w:rPr>
      </w:pPr>
    </w:p>
    <w:p>
      <w:pPr>
        <w:ind w:left="1800" w:right="619" w:hanging="180"/>
        <w:spacing w:after="0" w:line="286"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57" w:lineRule="exact"/>
        <w:rPr>
          <w:rFonts w:ascii="Arial" w:cs="Arial" w:eastAsia="Arial" w:hAnsi="Arial"/>
          <w:sz w:val="17"/>
          <w:szCs w:val="17"/>
          <w:color w:val="auto"/>
        </w:rPr>
      </w:pPr>
    </w:p>
    <w:p>
      <w:pPr>
        <w:ind w:left="1800" w:right="89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to federal and state renewable fuel policies could affect our financial performance as a renewable fuel producer and impact our projected future investments;</w:t>
      </w:r>
    </w:p>
    <w:p>
      <w:pPr>
        <w:spacing w:after="0" w:line="75" w:lineRule="exact"/>
        <w:rPr>
          <w:rFonts w:ascii="Arial" w:cs="Arial" w:eastAsia="Arial" w:hAnsi="Arial"/>
          <w:sz w:val="18"/>
          <w:szCs w:val="18"/>
          <w:color w:val="auto"/>
        </w:rPr>
      </w:pPr>
    </w:p>
    <w:p>
      <w:pPr>
        <w:ind w:left="1800" w:right="1239" w:hanging="180"/>
        <w:spacing w:after="0" w:line="308"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impact of climate change, and the adoption of climate change legislation or regulations restricting emissions of greenhouse gases, could increase our costs to operate;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hanging="180"/>
        <w:spacing w:after="0" w:line="263"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75" w:lineRule="exact"/>
        <w:rPr>
          <w:rFonts w:ascii="Arial" w:cs="Arial" w:eastAsia="Arial" w:hAnsi="Arial"/>
          <w:sz w:val="18"/>
          <w:szCs w:val="18"/>
          <w:color w:val="auto"/>
        </w:rPr>
      </w:pPr>
    </w:p>
    <w:p>
      <w:pPr>
        <w:ind w:left="1800" w:right="499" w:hanging="180"/>
        <w:spacing w:after="0" w:line="291" w:lineRule="auto"/>
        <w:tabs>
          <w:tab w:leader="none" w:pos="1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ind w:left="1800" w:right="539" w:hanging="180"/>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reduce or suspend capital expenditures, growth and acquisition activity, implementation of our business strategy, dividend declarations or share repurchases if we suffer a significant reduction in cash flows;</w:t>
      </w:r>
    </w:p>
    <w:p>
      <w:pPr>
        <w:spacing w:after="0" w:line="75" w:lineRule="exact"/>
        <w:rPr>
          <w:rFonts w:ascii="Arial" w:cs="Arial" w:eastAsia="Arial" w:hAnsi="Arial"/>
          <w:sz w:val="18"/>
          <w:szCs w:val="18"/>
          <w:color w:val="auto"/>
        </w:rPr>
      </w:pPr>
    </w:p>
    <w:p>
      <w:pPr>
        <w:ind w:left="1800" w:right="699" w:hanging="180"/>
        <w:spacing w:after="0" w:line="286" w:lineRule="auto"/>
        <w:tabs>
          <w:tab w:leader="none" w:pos="1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57" w:lineRule="exact"/>
        <w:rPr>
          <w:rFonts w:ascii="Arial" w:cs="Arial" w:eastAsia="Arial" w:hAnsi="Arial"/>
          <w:sz w:val="17"/>
          <w:szCs w:val="17"/>
          <w:color w:val="auto"/>
        </w:rPr>
      </w:pPr>
    </w:p>
    <w:p>
      <w:pPr>
        <w:ind w:left="1800" w:right="49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62" w:lineRule="exact"/>
        <w:rPr>
          <w:rFonts w:ascii="Arial" w:cs="Arial" w:eastAsia="Arial" w:hAnsi="Arial"/>
          <w:sz w:val="18"/>
          <w:szCs w:val="18"/>
          <w:color w:val="auto"/>
        </w:rPr>
      </w:pPr>
    </w:p>
    <w:p>
      <w:pPr>
        <w:ind w:left="1800" w:right="699" w:hanging="180"/>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possible charges against our earnings due to impairments to our assets as a result of shut-down operations, uncompleted development or expansion projects or other events may negatively affect earnings;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could face significant liabilities for withdrawal from multiemployer pension plans.</w:t>
      </w:r>
    </w:p>
    <w:p>
      <w:pPr>
        <w:spacing w:after="0" w:line="144" w:lineRule="exact"/>
        <w:rPr>
          <w:sz w:val="20"/>
          <w:szCs w:val="20"/>
          <w:color w:val="auto"/>
        </w:rPr>
      </w:pPr>
    </w:p>
    <w:p>
      <w:pPr>
        <w:ind w:left="1260" w:right="659" w:firstLine="360"/>
        <w:spacing w:after="0" w:line="308" w:lineRule="auto"/>
        <w:rPr>
          <w:sz w:val="20"/>
          <w:szCs w:val="20"/>
          <w:color w:val="auto"/>
        </w:rPr>
      </w:pPr>
      <w:r>
        <w:rPr>
          <w:rFonts w:ascii="Arial" w:cs="Arial" w:eastAsia="Arial" w:hAnsi="Arial"/>
          <w:sz w:val="17"/>
          <w:szCs w:val="17"/>
          <w:color w:val="auto"/>
        </w:rPr>
        <w:t>Unless required by law, we undertake no obligation to publicly update or revise any forward-looking statements to reflect events, circumstances or developments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16"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The types of securities that we or selling securityholders may offer and sell from time to time pursuant to this prospectus are:</w:t>
      </w:r>
    </w:p>
    <w:p>
      <w:pPr>
        <w:spacing w:after="0" w:line="62" w:lineRule="exact"/>
        <w:rPr>
          <w:sz w:val="20"/>
          <w:szCs w:val="20"/>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15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79" w:lineRule="exact"/>
        <w:rPr>
          <w:sz w:val="20"/>
          <w:szCs w:val="20"/>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w:t>
      </w:r>
    </w:p>
    <w:p>
      <w:pPr>
        <w:spacing w:after="0" w:line="89"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19" w:lineRule="exact"/>
        <w:rPr>
          <w:sz w:val="20"/>
          <w:szCs w:val="20"/>
          <w:color w:val="auto"/>
        </w:rPr>
      </w:pPr>
    </w:p>
    <w:p>
      <w:pPr>
        <w:ind w:left="1260" w:right="579" w:firstLine="360"/>
        <w:spacing w:after="0" w:line="273" w:lineRule="auto"/>
        <w:rPr>
          <w:sz w:val="20"/>
          <w:szCs w:val="20"/>
          <w:color w:val="auto"/>
        </w:rPr>
      </w:pPr>
      <w:r>
        <w:rPr>
          <w:rFonts w:ascii="Arial" w:cs="Arial" w:eastAsia="Arial" w:hAnsi="Arial"/>
          <w:sz w:val="17"/>
          <w:szCs w:val="17"/>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10"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As used herein, the terms “we,” “us,” “our,” and “the Company” refer to Waste Management, Inc. and its consolidated subsidiaries and consolidated variable interest entities, taken as a whole, unless the context clearly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44" w:lineRule="exact"/>
        <w:rPr>
          <w:sz w:val="20"/>
          <w:szCs w:val="20"/>
          <w:color w:val="auto"/>
        </w:rPr>
      </w:pPr>
    </w:p>
    <w:p>
      <w:pPr>
        <w:ind w:left="1260" w:right="439" w:firstLine="360"/>
        <w:spacing w:after="0" w:line="343" w:lineRule="auto"/>
        <w:rPr>
          <w:sz w:val="20"/>
          <w:szCs w:val="20"/>
          <w:color w:val="auto"/>
        </w:rPr>
      </w:pPr>
      <w:r>
        <w:rPr>
          <w:rFonts w:ascii="Arial" w:cs="Arial" w:eastAsia="Arial" w:hAnsi="Arial"/>
          <w:sz w:val="15"/>
          <w:szCs w:val="15"/>
          <w:b w:val="1"/>
          <w:bCs w:val="1"/>
          <w:color w:val="auto"/>
        </w:rPr>
        <w:t>This prospectus incorporates documents by reference which are not presented in or delivered with this prospectus. We have not authorized anyone to provide you with information that is different from or in addition to the information contained in this prospectus and incorporated by reference into this prospectus.</w:t>
      </w:r>
    </w:p>
    <w:p>
      <w:pPr>
        <w:spacing w:after="0" w:line="61"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13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820" w:type="dxa"/>
            <w:vAlign w:val="bottom"/>
            <w:gridSpan w:val="17"/>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Date Filed</w:t>
            </w:r>
          </w:p>
        </w:tc>
      </w:tr>
      <w:tr>
        <w:trPr>
          <w:trHeight w:val="26"/>
        </w:trPr>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518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4"/>
              </w:rPr>
            </w:pPr>
            <w:hyperlink r:id="rId25">
              <w:r>
                <w:rPr>
                  <w:rFonts w:ascii="Arial" w:cs="Arial" w:eastAsia="Arial" w:hAnsi="Arial"/>
                  <w:sz w:val="18"/>
                  <w:szCs w:val="18"/>
                  <w:color w:val="0000EE"/>
                  <w:w w:val="94"/>
                </w:rPr>
                <w:t>Annual Report on Form 10-K for the year ended December 31, 2021</w:t>
              </w:r>
            </w:hyperlink>
          </w:p>
        </w:tc>
        <w:tc>
          <w:tcPr>
            <w:tcW w:w="1640" w:type="dxa"/>
            <w:vAlign w:val="bottom"/>
            <w:tcBorders>
              <w:bottom w:val="single" w:sz="8" w:color="CCEEFF"/>
            </w:tcBorders>
            <w:gridSpan w:val="8"/>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February 15, 2022</w:t>
            </w:r>
          </w:p>
        </w:tc>
      </w:tr>
      <w:tr>
        <w:trPr>
          <w:trHeight w:val="203"/>
        </w:trPr>
        <w:tc>
          <w:tcPr>
            <w:tcW w:w="6820" w:type="dxa"/>
            <w:vAlign w:val="bottom"/>
            <w:gridSpan w:val="17"/>
          </w:tcPr>
          <w:p>
            <w:pPr>
              <w:spacing w:after="0" w:line="202" w:lineRule="exact"/>
              <w:rPr>
                <w:rFonts w:ascii="Arial" w:cs="Arial" w:eastAsia="Arial" w:hAnsi="Arial"/>
                <w:sz w:val="18"/>
                <w:szCs w:val="18"/>
                <w:color w:val="0000EE"/>
              </w:rPr>
            </w:pPr>
            <w:hyperlink r:id="rId77">
              <w:r>
                <w:rPr>
                  <w:rFonts w:ascii="Arial" w:cs="Arial" w:eastAsia="Arial" w:hAnsi="Arial"/>
                  <w:sz w:val="18"/>
                  <w:szCs w:val="18"/>
                  <w:color w:val="0000EE"/>
                </w:rPr>
                <w:t>Amendment No. 1 to Annual Report on Form 10-K for the year ended December 31,</w:t>
              </w:r>
            </w:hyperlink>
          </w:p>
        </w:tc>
        <w:tc>
          <w:tcPr>
            <w:tcW w:w="1380" w:type="dxa"/>
            <w:vAlign w:val="bottom"/>
          </w:tcPr>
          <w:p>
            <w:pPr>
              <w:spacing w:after="0"/>
              <w:rPr>
                <w:sz w:val="17"/>
                <w:szCs w:val="17"/>
                <w:color w:val="auto"/>
              </w:rPr>
            </w:pPr>
          </w:p>
        </w:tc>
      </w:tr>
      <w:tr>
        <w:trPr>
          <w:trHeight w:val="196"/>
        </w:trPr>
        <w:tc>
          <w:tcPr>
            <w:tcW w:w="560" w:type="dxa"/>
            <w:vAlign w:val="bottom"/>
            <w:tcBorders>
              <w:top w:val="single" w:sz="8" w:color="0000EE"/>
            </w:tcBorders>
            <w:gridSpan w:val="3"/>
          </w:tcPr>
          <w:p>
            <w:pPr>
              <w:ind w:left="180"/>
              <w:spacing w:after="0" w:line="196" w:lineRule="exact"/>
              <w:rPr>
                <w:rFonts w:ascii="Arial" w:cs="Arial" w:eastAsia="Arial" w:hAnsi="Arial"/>
                <w:sz w:val="18"/>
                <w:szCs w:val="18"/>
                <w:color w:val="0000EE"/>
                <w:w w:val="89"/>
              </w:rPr>
            </w:pPr>
            <w:hyperlink r:id="rId77">
              <w:r>
                <w:rPr>
                  <w:rFonts w:ascii="Arial" w:cs="Arial" w:eastAsia="Arial" w:hAnsi="Arial"/>
                  <w:sz w:val="18"/>
                  <w:szCs w:val="18"/>
                  <w:color w:val="0000EE"/>
                  <w:w w:val="89"/>
                </w:rPr>
                <w:t>2021</w:t>
              </w:r>
            </w:hyperlink>
          </w:p>
        </w:tc>
        <w:tc>
          <w:tcPr>
            <w:tcW w:w="9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4"/>
              </w:rPr>
              <w:t>March 29, 2022</w:t>
            </w:r>
          </w:p>
        </w:tc>
      </w:tr>
      <w:tr>
        <w:trPr>
          <w:trHeight w:val="34"/>
        </w:trPr>
        <w:tc>
          <w:tcPr>
            <w:tcW w:w="1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528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5"/>
              </w:rPr>
            </w:pPr>
            <w:hyperlink r:id="rId63">
              <w:r>
                <w:rPr>
                  <w:rFonts w:ascii="Arial" w:cs="Arial" w:eastAsia="Arial" w:hAnsi="Arial"/>
                  <w:sz w:val="18"/>
                  <w:szCs w:val="18"/>
                  <w:color w:val="0000EE"/>
                  <w:w w:val="95"/>
                </w:rPr>
                <w:t>Quarterly Report on Form 10-Q for the quarter ended March 31, 2022</w:t>
              </w:r>
            </w:hyperlink>
          </w:p>
        </w:tc>
        <w:tc>
          <w:tcPr>
            <w:tcW w:w="1540" w:type="dxa"/>
            <w:vAlign w:val="bottom"/>
            <w:tcBorders>
              <w:bottom w:val="single" w:sz="8" w:color="CCEEFF"/>
            </w:tcBorders>
            <w:gridSpan w:val="6"/>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April 26, 2022</w:t>
            </w:r>
          </w:p>
        </w:tc>
      </w:tr>
      <w:tr>
        <w:trPr>
          <w:trHeight w:val="216"/>
        </w:trPr>
        <w:tc>
          <w:tcPr>
            <w:tcW w:w="6820" w:type="dxa"/>
            <w:vAlign w:val="bottom"/>
            <w:gridSpan w:val="17"/>
          </w:tcPr>
          <w:p>
            <w:pPr>
              <w:spacing w:after="0"/>
              <w:rPr>
                <w:rFonts w:ascii="Arial" w:cs="Arial" w:eastAsia="Arial" w:hAnsi="Arial"/>
                <w:sz w:val="18"/>
                <w:szCs w:val="18"/>
                <w:color w:val="0000EE"/>
              </w:rPr>
            </w:pPr>
            <w:hyperlink r:id="rId78">
              <w:r>
                <w:rPr>
                  <w:rFonts w:ascii="Arial" w:cs="Arial" w:eastAsia="Arial" w:hAnsi="Arial"/>
                  <w:sz w:val="18"/>
                  <w:szCs w:val="18"/>
                  <w:color w:val="0000EE"/>
                </w:rPr>
                <w:t>Current Report on Form 8-K</w:t>
              </w:r>
            </w:hyperlink>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March 7, 2022</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3"/>
        </w:trPr>
        <w:tc>
          <w:tcPr>
            <w:tcW w:w="6820" w:type="dxa"/>
            <w:vAlign w:val="bottom"/>
            <w:gridSpan w:val="17"/>
            <w:shd w:val="clear" w:color="auto" w:fill="CCEEFF"/>
          </w:tcPr>
          <w:p>
            <w:pPr>
              <w:spacing w:after="0" w:line="202" w:lineRule="exact"/>
              <w:rPr>
                <w:rFonts w:ascii="Arial" w:cs="Arial" w:eastAsia="Arial" w:hAnsi="Arial"/>
                <w:sz w:val="18"/>
                <w:szCs w:val="18"/>
                <w:color w:val="auto"/>
              </w:rPr>
            </w:pPr>
            <w:r>
              <w:rPr>
                <w:rFonts w:ascii="Arial" w:cs="Arial" w:eastAsia="Arial" w:hAnsi="Arial"/>
                <w:sz w:val="18"/>
                <w:szCs w:val="18"/>
                <w:color w:val="auto"/>
              </w:rPr>
              <w:t xml:space="preserve">The portions of our </w:t>
            </w:r>
            <w:hyperlink r:id="rId79">
              <w:r>
                <w:rPr>
                  <w:rFonts w:ascii="Arial" w:cs="Arial" w:eastAsia="Arial" w:hAnsi="Arial"/>
                  <w:sz w:val="18"/>
                  <w:szCs w:val="18"/>
                  <w:color w:val="0000EE"/>
                </w:rPr>
                <w:t>proxy statement for our 2022 annual meeting of stockholders</w:t>
              </w:r>
            </w:hyperlink>
          </w:p>
        </w:tc>
        <w:tc>
          <w:tcPr>
            <w:tcW w:w="1380" w:type="dxa"/>
            <w:vAlign w:val="bottom"/>
            <w:shd w:val="clear" w:color="auto" w:fill="CCEEFF"/>
          </w:tcPr>
          <w:p>
            <w:pPr>
              <w:spacing w:after="0"/>
              <w:rPr>
                <w:sz w:val="17"/>
                <w:szCs w:val="17"/>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6640" w:type="dxa"/>
            <w:vAlign w:val="bottom"/>
            <w:gridSpan w:val="16"/>
            <w:shd w:val="clear" w:color="auto" w:fill="CCEEFF"/>
          </w:tcPr>
          <w:p>
            <w:pPr>
              <w:spacing w:after="0" w:line="196" w:lineRule="exact"/>
              <w:rPr>
                <w:rFonts w:ascii="Arial" w:cs="Arial" w:eastAsia="Arial" w:hAnsi="Arial"/>
                <w:sz w:val="18"/>
                <w:szCs w:val="18"/>
                <w:color w:val="auto"/>
              </w:rPr>
            </w:pPr>
            <w:hyperlink r:id="rId60">
              <w:r>
                <w:rPr>
                  <w:rFonts w:ascii="Arial" w:cs="Arial" w:eastAsia="Arial" w:hAnsi="Arial"/>
                  <w:sz w:val="18"/>
                  <w:szCs w:val="18"/>
                  <w:color w:val="auto"/>
                </w:rPr>
                <w:t xml:space="preserve">incorporated by reference in our </w:t>
              </w:r>
              <w:r>
                <w:rPr>
                  <w:rFonts w:ascii="Arial" w:cs="Arial" w:eastAsia="Arial" w:hAnsi="Arial"/>
                  <w:sz w:val="18"/>
                  <w:szCs w:val="18"/>
                  <w:color w:val="0000EE"/>
                </w:rPr>
                <w:t>Annual Report on Form 10-K for the year ended</w:t>
              </w:r>
            </w:hyperlink>
          </w:p>
        </w:tc>
        <w:tc>
          <w:tcPr>
            <w:tcW w:w="1380" w:type="dxa"/>
            <w:vAlign w:val="bottom"/>
            <w:shd w:val="clear" w:color="auto" w:fill="CCEEFF"/>
          </w:tcPr>
          <w:p>
            <w:pPr>
              <w:spacing w:after="0"/>
              <w:rPr>
                <w:sz w:val="17"/>
                <w:szCs w:val="17"/>
                <w:color w:val="auto"/>
              </w:rPr>
            </w:pPr>
          </w:p>
        </w:tc>
      </w:tr>
      <w:tr>
        <w:trPr>
          <w:trHeight w:val="230"/>
        </w:trPr>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CCEEFF"/>
              <w:bottom w:val="single" w:sz="8" w:color="0000EE"/>
            </w:tcBorders>
            <w:gridSpan w:val="4"/>
            <w:shd w:val="clear" w:color="auto" w:fill="CCEEFF"/>
          </w:tcPr>
          <w:p>
            <w:pPr>
              <w:spacing w:after="0" w:line="196" w:lineRule="exact"/>
              <w:rPr>
                <w:rFonts w:ascii="Arial" w:cs="Arial" w:eastAsia="Arial" w:hAnsi="Arial"/>
                <w:sz w:val="18"/>
                <w:szCs w:val="18"/>
                <w:color w:val="0000EE"/>
                <w:w w:val="92"/>
              </w:rPr>
            </w:pPr>
            <w:hyperlink r:id="rId60">
              <w:r>
                <w:rPr>
                  <w:rFonts w:ascii="Arial" w:cs="Arial" w:eastAsia="Arial" w:hAnsi="Arial"/>
                  <w:sz w:val="18"/>
                  <w:szCs w:val="18"/>
                  <w:color w:val="0000EE"/>
                  <w:w w:val="92"/>
                </w:rPr>
                <w:t>December 31, 2021</w:t>
              </w:r>
            </w:hyperlink>
          </w:p>
        </w:tc>
        <w:tc>
          <w:tcPr>
            <w:tcW w:w="10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3660" w:type="dxa"/>
            <w:vAlign w:val="bottom"/>
            <w:tcBorders>
              <w:top w:val="single" w:sz="8" w:color="0000EE"/>
              <w:bottom w:val="single" w:sz="8" w:color="CCEEFF"/>
            </w:tcBorders>
            <w:gridSpan w:val="6"/>
            <w:shd w:val="clear" w:color="auto" w:fill="CCEEFF"/>
          </w:tcPr>
          <w:p>
            <w:pPr>
              <w:spacing w:after="0"/>
              <w:rPr>
                <w:sz w:val="20"/>
                <w:szCs w:val="20"/>
                <w:color w:val="auto"/>
              </w:rPr>
            </w:pPr>
          </w:p>
        </w:tc>
        <w:tc>
          <w:tcPr>
            <w:tcW w:w="500" w:type="dxa"/>
            <w:vAlign w:val="bottom"/>
            <w:tcBorders>
              <w:top w:val="single" w:sz="8" w:color="CCEEFF"/>
              <w:bottom w:val="single" w:sz="8" w:color="CCEEFF"/>
            </w:tcBorders>
            <w:gridSpan w:val="4"/>
            <w:shd w:val="clear" w:color="auto" w:fill="CCEEFF"/>
          </w:tcPr>
          <w:p>
            <w:pPr>
              <w:spacing w:after="0"/>
              <w:rPr>
                <w:sz w:val="20"/>
                <w:szCs w:val="20"/>
                <w:color w:val="auto"/>
              </w:rPr>
            </w:pPr>
          </w:p>
        </w:tc>
        <w:tc>
          <w:tcPr>
            <w:tcW w:w="138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March 29, 2022</w:t>
            </w:r>
          </w:p>
        </w:tc>
      </w:tr>
      <w:tr>
        <w:trPr>
          <w:trHeight w:val="203"/>
        </w:trPr>
        <w:tc>
          <w:tcPr>
            <w:tcW w:w="6820" w:type="dxa"/>
            <w:vAlign w:val="bottom"/>
            <w:gridSpan w:val="17"/>
          </w:tcPr>
          <w:p>
            <w:pPr>
              <w:spacing w:after="0" w:line="202" w:lineRule="exact"/>
              <w:rPr>
                <w:rFonts w:ascii="Arial" w:cs="Arial" w:eastAsia="Arial" w:hAnsi="Arial"/>
                <w:sz w:val="18"/>
                <w:szCs w:val="18"/>
                <w:color w:val="auto"/>
                <w:w w:val="99"/>
              </w:rPr>
            </w:pPr>
            <w:hyperlink r:id="rId80">
              <w:r>
                <w:rPr>
                  <w:rFonts w:ascii="Arial" w:cs="Arial" w:eastAsia="Arial" w:hAnsi="Arial"/>
                  <w:sz w:val="18"/>
                  <w:szCs w:val="18"/>
                  <w:color w:val="auto"/>
                  <w:w w:val="99"/>
                </w:rPr>
                <w:t xml:space="preserve">Description of our Common Stock contained in our </w:t>
              </w:r>
              <w:r>
                <w:rPr>
                  <w:rFonts w:ascii="Arial" w:cs="Arial" w:eastAsia="Arial" w:hAnsi="Arial"/>
                  <w:sz w:val="18"/>
                  <w:szCs w:val="18"/>
                  <w:color w:val="0000EE"/>
                  <w:w w:val="99"/>
                </w:rPr>
                <w:t>Registration Statement on Form 8-</w:t>
              </w:r>
            </w:hyperlink>
          </w:p>
        </w:tc>
        <w:tc>
          <w:tcPr>
            <w:tcW w:w="13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640" w:type="dxa"/>
            <w:vAlign w:val="bottom"/>
            <w:gridSpan w:val="16"/>
          </w:tcPr>
          <w:p>
            <w:pPr>
              <w:spacing w:after="0" w:line="196" w:lineRule="exact"/>
              <w:rPr>
                <w:rFonts w:ascii="Arial" w:cs="Arial" w:eastAsia="Arial" w:hAnsi="Arial"/>
                <w:sz w:val="18"/>
                <w:szCs w:val="18"/>
                <w:color w:val="0000EE"/>
                <w:w w:val="99"/>
              </w:rPr>
            </w:pPr>
            <w:hyperlink r:id="rId80">
              <w:r>
                <w:rPr>
                  <w:rFonts w:ascii="Arial" w:cs="Arial" w:eastAsia="Arial" w:hAnsi="Arial"/>
                  <w:sz w:val="18"/>
                  <w:szCs w:val="18"/>
                  <w:color w:val="0000EE"/>
                  <w:w w:val="99"/>
                </w:rPr>
                <w:t>B</w:t>
              </w:r>
              <w:r>
                <w:rPr>
                  <w:rFonts w:ascii="Arial" w:cs="Arial" w:eastAsia="Arial" w:hAnsi="Arial"/>
                  <w:sz w:val="18"/>
                  <w:szCs w:val="18"/>
                  <w:color w:val="000000"/>
                  <w:w w:val="99"/>
                </w:rPr>
                <w:t>, as updated by the description of our Common Stock included in</w:t>
              </w:r>
              <w:r>
                <w:rPr>
                  <w:rFonts w:ascii="Arial" w:cs="Arial" w:eastAsia="Arial" w:hAnsi="Arial"/>
                  <w:sz w:val="18"/>
                  <w:szCs w:val="18"/>
                  <w:color w:val="0000EE"/>
                  <w:w w:val="99"/>
                </w:rPr>
                <w:t xml:space="preserve"> </w:t>
              </w:r>
            </w:hyperlink>
            <w:hyperlink r:id="rId81">
              <w:r>
                <w:rPr>
                  <w:rFonts w:ascii="Arial" w:cs="Arial" w:eastAsia="Arial" w:hAnsi="Arial"/>
                  <w:sz w:val="18"/>
                  <w:szCs w:val="18"/>
                  <w:color w:val="0000EE"/>
                  <w:w w:val="99"/>
                </w:rPr>
                <w:t xml:space="preserve">Exhibit 4.9 </w:t>
              </w:r>
            </w:hyperlink>
            <w:hyperlink r:id="rId80">
              <w:r>
                <w:rPr>
                  <w:rFonts w:ascii="Arial" w:cs="Arial" w:eastAsia="Arial" w:hAnsi="Arial"/>
                  <w:sz w:val="18"/>
                  <w:szCs w:val="18"/>
                  <w:color w:val="000000"/>
                  <w:w w:val="99"/>
                </w:rPr>
                <w:t>to our</w:t>
              </w:r>
            </w:hyperlink>
          </w:p>
        </w:tc>
        <w:tc>
          <w:tcPr>
            <w:tcW w:w="13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2"/>
        </w:trPr>
        <w:tc>
          <w:tcPr>
            <w:tcW w:w="180" w:type="dxa"/>
            <w:vAlign w:val="bottom"/>
          </w:tcPr>
          <w:p>
            <w:pPr>
              <w:spacing w:after="0"/>
              <w:rPr>
                <w:sz w:val="19"/>
                <w:szCs w:val="19"/>
                <w:color w:val="auto"/>
              </w:rPr>
            </w:pPr>
          </w:p>
        </w:tc>
        <w:tc>
          <w:tcPr>
            <w:tcW w:w="6640" w:type="dxa"/>
            <w:vAlign w:val="bottom"/>
            <w:gridSpan w:val="16"/>
          </w:tcPr>
          <w:p>
            <w:pPr>
              <w:spacing w:after="0"/>
              <w:rPr>
                <w:sz w:val="20"/>
                <w:szCs w:val="20"/>
                <w:color w:val="auto"/>
              </w:rPr>
            </w:pPr>
            <w:r>
              <w:rPr>
                <w:rFonts w:ascii="Arial" w:cs="Arial" w:eastAsia="Arial" w:hAnsi="Arial"/>
                <w:sz w:val="18"/>
                <w:szCs w:val="18"/>
                <w:color w:val="auto"/>
              </w:rPr>
              <w:t>Annual Report on Form 10-K for the year ended December 31, 2019 filed with the</w:t>
            </w:r>
          </w:p>
        </w:tc>
        <w:tc>
          <w:tcPr>
            <w:tcW w:w="138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6640" w:type="dxa"/>
            <w:vAlign w:val="bottom"/>
            <w:gridSpan w:val="16"/>
          </w:tcPr>
          <w:p>
            <w:pPr>
              <w:spacing w:after="0"/>
              <w:rPr>
                <w:sz w:val="20"/>
                <w:szCs w:val="20"/>
                <w:color w:val="auto"/>
              </w:rPr>
            </w:pPr>
            <w:r>
              <w:rPr>
                <w:rFonts w:ascii="Arial" w:cs="Arial" w:eastAsia="Arial" w:hAnsi="Arial"/>
                <w:sz w:val="18"/>
                <w:szCs w:val="18"/>
                <w:color w:val="auto"/>
                <w:w w:val="98"/>
              </w:rPr>
              <w:t>SEC on February 13, 2020, together with any subsequent amendment or report filed</w:t>
            </w:r>
          </w:p>
        </w:tc>
        <w:tc>
          <w:tcPr>
            <w:tcW w:w="138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6640" w:type="dxa"/>
            <w:vAlign w:val="bottom"/>
            <w:gridSpan w:val="16"/>
          </w:tcPr>
          <w:p>
            <w:pPr>
              <w:spacing w:after="0"/>
              <w:rPr>
                <w:sz w:val="20"/>
                <w:szCs w:val="20"/>
                <w:color w:val="auto"/>
              </w:rPr>
            </w:pPr>
            <w:r>
              <w:rPr>
                <w:rFonts w:ascii="Arial" w:cs="Arial" w:eastAsia="Arial" w:hAnsi="Arial"/>
                <w:sz w:val="18"/>
                <w:szCs w:val="18"/>
                <w:color w:val="auto"/>
              </w:rPr>
              <w:t>for the purpose of updating such description</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July 13, 1995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4991735</wp:posOffset>
            </wp:positionH>
            <wp:positionV relativeFrom="paragraph">
              <wp:posOffset>-1936750</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419" w:firstLine="360"/>
        <w:spacing w:after="0" w:line="285"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w:t>
      </w:r>
    </w:p>
    <w:p>
      <w:pPr>
        <w:spacing w:after="0" w:line="2"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Items 2.02 or 7.01 (or corresponding information furnished under Item 9.01 or included as an exhibit) in any past or future current report on Form 8-K that we file with the SEC, unless otherwise specified in such current report.</w:t>
      </w:r>
    </w:p>
    <w:p>
      <w:pPr>
        <w:spacing w:after="0" w:line="122"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You may obtain copies of any of these filings through the Company as described below, or through the SEC’s Internet website or through our website as described under “Where You Can Find More Information.” Information contained on, or that can be accessed through, our website is not incorporated by reference into this prospectus and does not constitute a part of this prospectus.</w:t>
      </w:r>
    </w:p>
    <w:p>
      <w:pPr>
        <w:spacing w:after="0" w:line="106" w:lineRule="exact"/>
        <w:rPr>
          <w:sz w:val="20"/>
          <w:szCs w:val="20"/>
          <w:color w:val="auto"/>
        </w:rPr>
      </w:pPr>
    </w:p>
    <w:p>
      <w:pPr>
        <w:jc w:val="both"/>
        <w:ind w:left="1260" w:right="639" w:firstLine="360"/>
        <w:spacing w:after="0" w:line="259" w:lineRule="auto"/>
        <w:rPr>
          <w:sz w:val="20"/>
          <w:szCs w:val="20"/>
          <w:color w:val="auto"/>
        </w:rPr>
      </w:pPr>
      <w:r>
        <w:rPr>
          <w:rFonts w:ascii="Arial" w:cs="Arial" w:eastAsia="Arial" w:hAnsi="Arial"/>
          <w:sz w:val="18"/>
          <w:szCs w:val="18"/>
          <w:color w:val="auto"/>
        </w:rPr>
        <w:t>Documents incorporated by reference are available from us without charge to each person, including any beneficial owner, to whom a prospectus is delivered, excluding all exhibits unless an exhibit has been specifically incorporated by reference into this prospectus, by requesting them in writing or by telephone using the contact information below</w:t>
      </w:r>
      <w:r>
        <w:rPr>
          <w:rFonts w:ascii="Arial" w:cs="Arial" w:eastAsia="Arial" w:hAnsi="Arial"/>
          <w:sz w:val="18"/>
          <w:szCs w:val="18"/>
          <w:i w:val="1"/>
          <w:iCs w:val="1"/>
          <w:color w:val="auto"/>
        </w:rPr>
        <w:t>.</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800 Capitol Street, Suite 3000</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(713) 512-6200</w:t>
      </w:r>
    </w:p>
    <w:p>
      <w:pPr>
        <w:spacing w:after="0" w:line="38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The SEC maintains an Internet website that contains information we have filed electronically with the SEC, which you can access over the Internet at </w:t>
      </w:r>
      <w:r>
        <w:rPr>
          <w:rFonts w:ascii="Arial" w:cs="Arial" w:eastAsia="Arial" w:hAnsi="Arial"/>
          <w:sz w:val="17"/>
          <w:szCs w:val="17"/>
          <w:i w:val="1"/>
          <w:iCs w:val="1"/>
          <w:color w:val="auto"/>
        </w:rPr>
        <w:t>www.sec.gov</w:t>
      </w:r>
      <w:r>
        <w:rPr>
          <w:rFonts w:ascii="Arial" w:cs="Arial" w:eastAsia="Arial" w:hAnsi="Arial"/>
          <w:sz w:val="17"/>
          <w:szCs w:val="17"/>
          <w:color w:val="auto"/>
        </w:rPr>
        <w:t>. You can also obtain information about us at the offices of the New York Stock Exchange, 20 Broad Street, New York, New York 10005.</w:t>
      </w:r>
    </w:p>
    <w:p>
      <w:pPr>
        <w:spacing w:after="0" w:line="104"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 xml:space="preserve">Our annual reports on Form 10-K, quarterly reports on Form 10-Q, current reports on Form 8-K and other filings with the SEC are available, without charge, on or through our website, </w:t>
      </w:r>
      <w:r>
        <w:rPr>
          <w:rFonts w:ascii="Arial" w:cs="Arial" w:eastAsia="Arial" w:hAnsi="Arial"/>
          <w:sz w:val="18"/>
          <w:szCs w:val="18"/>
          <w:i w:val="1"/>
          <w:iCs w:val="1"/>
          <w:color w:val="auto"/>
        </w:rPr>
        <w:t>www.wm.com</w:t>
      </w:r>
      <w:r>
        <w:rPr>
          <w:rFonts w:ascii="Arial" w:cs="Arial" w:eastAsia="Arial" w:hAnsi="Arial"/>
          <w:sz w:val="18"/>
          <w:szCs w:val="18"/>
          <w:color w:val="auto"/>
        </w:rPr>
        <w:t>, as soon as reasonably practicable after we electronically file such material with, or furnish it to, the SEC. Information contained on, or that can be accessed through, our website is not incorporated by reference into this prospectus and does not constitute a part of this prospectus.</w:t>
      </w:r>
    </w:p>
    <w:p>
      <w:pPr>
        <w:spacing w:after="0" w:line="120"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Internet website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THE COMPANY</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are North America’s leading provider of comprehensive waste management environmental services, providing services throughout the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and our WM Renewable Energy business, we are also a leading developer, operator and owner of landfill gas-to-energy facilities in the U.S. that produce renewable natural gas, which is a significant source of fuel for our natural gas fleet.</w:t>
      </w:r>
    </w:p>
    <w:p>
      <w:pPr>
        <w:spacing w:after="0" w:line="129"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 xml:space="preserve">Our principal executive offices are located at 800 Capitol Street, Suite 3000, Houston, Texas 77002. Our telephone number is (713) 512-6200. Our website address is </w:t>
      </w:r>
      <w:r>
        <w:rPr>
          <w:rFonts w:ascii="Arial" w:cs="Arial" w:eastAsia="Arial" w:hAnsi="Arial"/>
          <w:sz w:val="18"/>
          <w:szCs w:val="18"/>
          <w:i w:val="1"/>
          <w:iCs w:val="1"/>
          <w:color w:val="auto"/>
        </w:rPr>
        <w:t>www.wm.com.</w:t>
      </w:r>
      <w:r>
        <w:rPr>
          <w:rFonts w:ascii="Arial" w:cs="Arial" w:eastAsia="Arial" w:hAnsi="Arial"/>
          <w:sz w:val="18"/>
          <w:szCs w:val="18"/>
          <w:color w:val="auto"/>
        </w:rPr>
        <w:t xml:space="preserve"> Information contained on, or that can be accessed through, our website is not incorporated by reference into this prospectus and does not constitute a part of this prospectus.</w:t>
      </w:r>
    </w:p>
    <w:p>
      <w:pPr>
        <w:spacing w:after="0" w:line="18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539" w:firstLine="360"/>
        <w:spacing w:after="0" w:line="269" w:lineRule="auto"/>
        <w:rPr>
          <w:sz w:val="20"/>
          <w:szCs w:val="20"/>
          <w:color w:val="auto"/>
        </w:rPr>
      </w:pPr>
      <w:r>
        <w:rPr>
          <w:rFonts w:ascii="Arial" w:cs="Arial" w:eastAsia="Arial" w:hAnsi="Arial"/>
          <w:sz w:val="17"/>
          <w:szCs w:val="17"/>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 This prospectus and the documents incorporated by reference also contain forward-looking statements that involve risks and uncertainties. See “Forward-Looking Statements.” Additional risks and uncertainties not presently known to us, or that we currently deem immaterial, may also materially impair our business operations. The events discussed in the risk factors contained or incorporated by reference in this prospectus or any prospectus supplement may occur. If they do, our business, results of operations or financial condition could be materially adversely affected. In such case, the trading price of our securities could decline and you might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Unless otherwise indicated in the applicable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DESCRIPTION OF THE DEBT SECURITIES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debt securities covered by this prospectus will be our general unsecured obligations. We will issue senior debt securities on a senior unsecured basis under an indenture, dated as of September 10, 1997, among Waste Management, Inc., as issuer, and The Bank of New York Mellon Trust Company, N.A. (the current successor to Texas Commerce Bank National Association), as trustee. We will issue subordinated debt securities under an indenture dated as of February 1, 1997, among Waste Management, Inc., as issuer, and The Bank of New York Mellon Trust Company, N.A. (the current successor to Texas Commerce Bank National Association), as trustee. The indentures are substantially identical, except for provisions relating to subordination and covenants.</w:t>
      </w:r>
    </w:p>
    <w:p>
      <w:pPr>
        <w:spacing w:after="0" w:line="12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62"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and neither limits the amount of other unsecured debt or securities that we may issue. We may issue debt securities under the indentures from time to time in one or more series, each in an amount authorized prior to issuance.</w:t>
      </w:r>
    </w:p>
    <w:p>
      <w:pPr>
        <w:spacing w:after="0" w:line="106"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terms relating to the offering. These terms will include some or all of the following:</w:t>
      </w:r>
    </w:p>
    <w:p>
      <w:pPr>
        <w:spacing w:after="0" w:line="62" w:lineRule="exact"/>
        <w:rPr>
          <w:sz w:val="20"/>
          <w:szCs w:val="20"/>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date or dates on which the principal of and any premium on the debt securities will be payable;</w:t>
      </w:r>
    </w:p>
    <w:p>
      <w:pPr>
        <w:spacing w:after="0" w:line="128" w:lineRule="exact"/>
        <w:rPr>
          <w:rFonts w:ascii="Arial" w:cs="Arial" w:eastAsia="Arial" w:hAnsi="Arial"/>
          <w:sz w:val="17"/>
          <w:szCs w:val="17"/>
          <w:color w:val="auto"/>
        </w:rPr>
      </w:pPr>
    </w:p>
    <w:p>
      <w:pPr>
        <w:ind w:left="1800" w:right="69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interest rate (or the method of calculating the interest rate, if applicable), the date from which interest will accrue, interest payment dates and record dates for interest payments;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17" w:lineRule="exact"/>
        <w:rPr>
          <w:rFonts w:ascii="Arial" w:cs="Arial" w:eastAsia="Arial" w:hAnsi="Arial"/>
          <w:sz w:val="18"/>
          <w:szCs w:val="18"/>
          <w:color w:val="auto"/>
        </w:rPr>
      </w:pPr>
    </w:p>
    <w:p>
      <w:pPr>
        <w:ind w:left="1800" w:right="819" w:hanging="180"/>
        <w:spacing w:after="0" w:line="308" w:lineRule="auto"/>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whether payments on the debt securities will be payable in foreign currency or currency units or another form and whether payments will be payable by reference to any index or formula;</w:t>
      </w:r>
    </w:p>
    <w:p>
      <w:pPr>
        <w:spacing w:after="0" w:line="38" w:lineRule="exact"/>
        <w:rPr>
          <w:rFonts w:ascii="Arial" w:cs="Arial" w:eastAsia="Arial" w:hAnsi="Arial"/>
          <w:sz w:val="17"/>
          <w:szCs w:val="17"/>
          <w:color w:val="auto"/>
        </w:rPr>
      </w:pPr>
    </w:p>
    <w:p>
      <w:pPr>
        <w:ind w:left="1800" w:right="125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portion of the principal amount of debt securities that will be payable if the maturity is accelerated, if other than the entire principal amount;</w:t>
      </w:r>
    </w:p>
    <w:p>
      <w:pPr>
        <w:spacing w:after="0" w:line="62" w:lineRule="exact"/>
        <w:rPr>
          <w:rFonts w:ascii="Arial" w:cs="Arial" w:eastAsia="Arial" w:hAnsi="Arial"/>
          <w:sz w:val="18"/>
          <w:szCs w:val="18"/>
          <w:color w:val="auto"/>
        </w:rPr>
      </w:pPr>
    </w:p>
    <w:p>
      <w:pPr>
        <w:ind w:left="1800" w:right="519" w:hanging="180"/>
        <w:spacing w:after="0" w:line="308" w:lineRule="auto"/>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additional means of defeasance of the debt securities, any additional conditions or limitations to defeasance of the debt securities or any changes to those conditions or limitations;</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17" w:lineRule="exact"/>
        <w:rPr>
          <w:rFonts w:ascii="Arial" w:cs="Arial" w:eastAsia="Arial" w:hAnsi="Arial"/>
          <w:sz w:val="18"/>
          <w:szCs w:val="18"/>
          <w:color w:val="auto"/>
        </w:rPr>
      </w:pPr>
    </w:p>
    <w:p>
      <w:pPr>
        <w:ind w:left="1800" w:right="115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 of Waste Management, Inc. or any other entity;</w:t>
      </w:r>
    </w:p>
    <w:p>
      <w:pPr>
        <w:spacing w:after="0" w:line="62"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144"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U.S. federal income tax consequences and other special considerations.</w:t>
      </w:r>
    </w:p>
    <w:p>
      <w:pPr>
        <w:spacing w:after="0" w:line="119"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19"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w:t>
      </w:r>
      <w:r>
        <w:rPr>
          <w:rFonts w:ascii="Arial" w:cs="Arial" w:eastAsia="Arial" w:hAnsi="Arial"/>
          <w:sz w:val="18"/>
          <w:szCs w:val="18"/>
          <w:i w:val="1"/>
          <w:iCs w:val="1"/>
          <w:color w:val="auto"/>
        </w:rPr>
        <w:t xml:space="preserve"> </w:t>
      </w:r>
      <w:r>
        <w:rPr>
          <w:rFonts w:ascii="Arial" w:cs="Arial" w:eastAsia="Arial" w:hAnsi="Arial"/>
          <w:sz w:val="18"/>
          <w:szCs w:val="18"/>
          <w:color w:val="auto"/>
        </w:rPr>
        <w:t>of Waste Management, Inc. into another person, or a conveyance, transfer or lease of our properties and assets substantially as an entirety to another person unless:</w:t>
      </w:r>
    </w:p>
    <w:p>
      <w:pPr>
        <w:spacing w:after="0" w:line="76" w:lineRule="exact"/>
        <w:rPr>
          <w:sz w:val="20"/>
          <w:szCs w:val="20"/>
          <w:color w:val="auto"/>
        </w:rPr>
      </w:pPr>
    </w:p>
    <w:p>
      <w:pPr>
        <w:ind w:left="1800" w:right="719" w:hanging="180"/>
        <w:spacing w:after="0" w:line="259"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Inc. is merged or the person which acquires our properties and assets substantially as an entirety assumes the performance of the covenants and obligations under the indentures and the due and punctual payments on the debt securities; and</w:t>
      </w:r>
    </w:p>
    <w:p>
      <w:pPr>
        <w:spacing w:after="0" w:line="78"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89" w:lineRule="exact"/>
        <w:rPr>
          <w:sz w:val="20"/>
          <w:szCs w:val="20"/>
          <w:color w:val="auto"/>
        </w:rPr>
      </w:pPr>
    </w:p>
    <w:p>
      <w:pPr>
        <w:jc w:val="both"/>
        <w:ind w:left="1260" w:right="819" w:firstLine="360"/>
        <w:spacing w:after="0" w:line="286" w:lineRule="auto"/>
        <w:rPr>
          <w:sz w:val="20"/>
          <w:szCs w:val="20"/>
          <w:color w:val="auto"/>
        </w:rPr>
      </w:pPr>
      <w:r>
        <w:rPr>
          <w:rFonts w:ascii="Arial" w:cs="Arial" w:eastAsia="Arial" w:hAnsi="Arial"/>
          <w:sz w:val="17"/>
          <w:szCs w:val="17"/>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98"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are events of default with respect to a series of debt securities:</w:t>
      </w:r>
    </w:p>
    <w:p>
      <w:pPr>
        <w:spacing w:after="0" w:line="62" w:lineRule="exact"/>
        <w:rPr>
          <w:sz w:val="20"/>
          <w:szCs w:val="20"/>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130" w:lineRule="exact"/>
        <w:rPr>
          <w:rFonts w:ascii="Arial" w:cs="Arial" w:eastAsia="Arial" w:hAnsi="Arial"/>
          <w:sz w:val="18"/>
          <w:szCs w:val="18"/>
          <w:color w:val="auto"/>
        </w:rPr>
      </w:pPr>
    </w:p>
    <w:p>
      <w:pPr>
        <w:ind w:left="1800" w:right="459" w:hanging="180"/>
        <w:spacing w:after="0" w:line="273" w:lineRule="auto"/>
        <w:tabs>
          <w:tab w:leader="none" w:pos="1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69" w:lineRule="exact"/>
        <w:rPr>
          <w:rFonts w:ascii="Arial" w:cs="Arial" w:eastAsia="Arial" w:hAnsi="Arial"/>
          <w:sz w:val="17"/>
          <w:szCs w:val="17"/>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158" w:lineRule="exact"/>
        <w:rPr>
          <w:sz w:val="20"/>
          <w:szCs w:val="20"/>
          <w:color w:val="auto"/>
        </w:rPr>
      </w:pPr>
    </w:p>
    <w:p>
      <w:pPr>
        <w:ind w:left="1260" w:right="659" w:firstLine="360"/>
        <w:spacing w:after="0" w:line="275" w:lineRule="auto"/>
        <w:rPr>
          <w:sz w:val="20"/>
          <w:szCs w:val="20"/>
          <w:color w:val="auto"/>
        </w:rPr>
      </w:pPr>
      <w:r>
        <w:rPr>
          <w:rFonts w:ascii="Arial" w:cs="Arial" w:eastAsia="Arial" w:hAnsi="Arial"/>
          <w:sz w:val="17"/>
          <w:szCs w:val="17"/>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ectPr>
          <w:pgSz w:w="11900" w:h="16838" w:orient="portrait"/>
          <w:cols w:equalWidth="0" w:num="1">
            <w:col w:w="9879"/>
          </w:cols>
          <w:pgMar w:left="580" w:top="132" w:right="1440" w:bottom="1440" w:gutter="0" w:footer="0" w:header="0"/>
        </w:sectPr>
      </w:pPr>
    </w:p>
    <w:p>
      <w:pPr>
        <w:spacing w:after="0" w:line="352"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62" w:lineRule="exact"/>
        <w:rPr>
          <w:sz w:val="20"/>
          <w:szCs w:val="20"/>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30"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trustee fails to act for a period of 60 days after receipt of the request and offer of indemnity; and</w:t>
      </w:r>
    </w:p>
    <w:p>
      <w:pPr>
        <w:spacing w:after="0" w:line="142" w:lineRule="exact"/>
        <w:rPr>
          <w:rFonts w:ascii="Arial" w:cs="Arial" w:eastAsia="Arial" w:hAnsi="Arial"/>
          <w:sz w:val="17"/>
          <w:szCs w:val="17"/>
          <w:color w:val="auto"/>
        </w:rPr>
      </w:pPr>
    </w:p>
    <w:p>
      <w:pPr>
        <w:ind w:left="1800" w:right="51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89"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103"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79" w:lineRule="exact"/>
        <w:rPr>
          <w:sz w:val="20"/>
          <w:szCs w:val="20"/>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30"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89"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103"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i w:val="1"/>
          <w:iCs w:val="1"/>
          <w:color w:val="auto"/>
        </w:rPr>
        <w:t xml:space="preserve">Modification and Waiver. </w:t>
      </w:r>
      <w:r>
        <w:rPr>
          <w:rFonts w:ascii="Arial" w:cs="Arial" w:eastAsia="Arial" w:hAnsi="Arial"/>
          <w:sz w:val="17"/>
          <w:szCs w:val="17"/>
          <w:color w:val="auto"/>
        </w:rPr>
        <w:t>Each indenture may be amended or supplemented if the majority in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the outstanding 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0" w:lineRule="exact"/>
        <w:rPr>
          <w:sz w:val="20"/>
          <w:szCs w:val="20"/>
          <w:color w:val="auto"/>
        </w:rPr>
      </w:pPr>
    </w:p>
    <w:p>
      <w:pPr>
        <w:ind w:left="1800" w:right="679" w:hanging="180"/>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debt security or change the time at which the debt security may or must be redeemed;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117"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75"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79" w:lineRule="exact"/>
        <w:rPr>
          <w:sz w:val="20"/>
          <w:szCs w:val="20"/>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17"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103"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i w:val="1"/>
          <w:iCs w:val="1"/>
          <w:color w:val="auto"/>
        </w:rPr>
        <w:t xml:space="preserve">Defeasance. </w:t>
      </w:r>
      <w:r>
        <w:rPr>
          <w:rFonts w:ascii="Arial" w:cs="Arial" w:eastAsia="Arial" w:hAnsi="Arial"/>
          <w:sz w:val="17"/>
          <w:szCs w:val="17"/>
          <w:color w:val="auto"/>
        </w:rPr>
        <w:t>When we use the term defeasance, we mean discharge from some or all of our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indentures. If any 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63" w:lineRule="exact"/>
        <w:rPr>
          <w:sz w:val="20"/>
          <w:szCs w:val="20"/>
          <w:color w:val="auto"/>
        </w:rPr>
      </w:pPr>
    </w:p>
    <w:p>
      <w:pPr>
        <w:ind w:left="1800" w:right="699" w:hanging="180"/>
        <w:spacing w:after="0" w:line="27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62" w:lineRule="exact"/>
        <w:rPr>
          <w:rFonts w:ascii="Arial" w:cs="Arial" w:eastAsia="Arial" w:hAnsi="Arial"/>
          <w:sz w:val="18"/>
          <w:szCs w:val="18"/>
          <w:color w:val="auto"/>
        </w:rPr>
      </w:pPr>
    </w:p>
    <w:p>
      <w:pPr>
        <w:jc w:val="both"/>
        <w:ind w:left="1800" w:right="459" w:hanging="180"/>
        <w:spacing w:after="0" w:line="263"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03"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10"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120" w:lineRule="exact"/>
        <w:rPr>
          <w:sz w:val="20"/>
          <w:szCs w:val="20"/>
          <w:color w:val="auto"/>
        </w:rPr>
      </w:pPr>
    </w:p>
    <w:p>
      <w:pPr>
        <w:ind w:left="1620"/>
        <w:spacing w:after="0"/>
        <w:tabs>
          <w:tab w:leader="none" w:pos="2960" w:val="left"/>
        </w:tabs>
        <w:rPr>
          <w:sz w:val="20"/>
          <w:szCs w:val="20"/>
          <w:color w:val="auto"/>
        </w:rPr>
      </w:pPr>
      <w:r>
        <w:rPr>
          <w:rFonts w:ascii="Arial" w:cs="Arial" w:eastAsia="Arial" w:hAnsi="Arial"/>
          <w:sz w:val="18"/>
          <w:szCs w:val="18"/>
          <w:i w:val="1"/>
          <w:iCs w:val="1"/>
          <w:color w:val="auto"/>
        </w:rPr>
        <w:t>Governing Law.</w:t>
      </w:r>
      <w:r>
        <w:rPr>
          <w:sz w:val="20"/>
          <w:szCs w:val="20"/>
          <w:color w:val="auto"/>
        </w:rPr>
        <w:tab/>
      </w:r>
      <w:r>
        <w:rPr>
          <w:rFonts w:ascii="Arial" w:cs="Arial" w:eastAsia="Arial" w:hAnsi="Arial"/>
          <w:sz w:val="17"/>
          <w:szCs w:val="17"/>
          <w:color w:val="auto"/>
        </w:rPr>
        <w:t>New York law will govern the indentures and the debt securities.</w:t>
      </w:r>
    </w:p>
    <w:p>
      <w:pPr>
        <w:spacing w:after="0" w:line="14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The Bank of New York Mellon Trust Company, N.A. is the trustee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subordinated indenture. The Bank of New York Mellon Trust Company, N.A. serves as trustee or custodian relating to a number of series of debt obligations of Waste Management, Inc.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125"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20"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06"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i w:val="1"/>
          <w:iCs w:val="1"/>
          <w:color w:val="auto"/>
        </w:rPr>
        <w:t xml:space="preserve">Form, Exchange, Registration and Transfer. </w:t>
      </w:r>
      <w:r>
        <w:rPr>
          <w:rFonts w:ascii="Arial" w:cs="Arial" w:eastAsia="Arial" w:hAnsi="Arial"/>
          <w:sz w:val="18"/>
          <w:szCs w:val="18"/>
          <w:color w:val="auto"/>
        </w:rPr>
        <w:t>The debt securities may be issued in registered form,</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interest coupons, or in 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93"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17" w:lineRule="exact"/>
        <w:rPr>
          <w:sz w:val="20"/>
          <w:szCs w:val="20"/>
          <w:color w:val="auto"/>
        </w:rPr>
      </w:pPr>
    </w:p>
    <w:p>
      <w:pPr>
        <w:ind w:left="1800" w:right="459" w:hanging="180"/>
        <w:spacing w:after="0" w:line="263"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103"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i w:val="1"/>
          <w:iCs w:val="1"/>
          <w:color w:val="auto"/>
        </w:rPr>
        <w:t xml:space="preserve">Payment and Paying Agents. </w:t>
      </w:r>
      <w:r>
        <w:rPr>
          <w:rFonts w:ascii="Arial" w:cs="Arial" w:eastAsia="Arial" w:hAnsi="Arial"/>
          <w:sz w:val="17"/>
          <w:szCs w:val="17"/>
          <w:color w:val="auto"/>
        </w:rPr>
        <w:t>Unless we inform you otherwise in a prospectus supplement,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on the debt securities will be 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94"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20"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22"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08"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i w:val="1"/>
          <w:iCs w:val="1"/>
          <w:color w:val="auto"/>
        </w:rPr>
        <w:t xml:space="preserve">Book-Entry Debt Securities. </w:t>
      </w:r>
      <w:r>
        <w:rPr>
          <w:rFonts w:ascii="Arial" w:cs="Arial" w:eastAsia="Arial" w:hAnsi="Arial"/>
          <w:sz w:val="18"/>
          <w:szCs w:val="18"/>
          <w:color w:val="auto"/>
        </w:rPr>
        <w:t>The debt securities of a series may be issued in the form of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debt securities that 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Inc. and will rank equally with all 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3" w:lineRule="auto"/>
        <w:rPr>
          <w:sz w:val="20"/>
          <w:szCs w:val="20"/>
          <w:color w:val="auto"/>
        </w:rPr>
      </w:pPr>
      <w:r>
        <w:rPr>
          <w:rFonts w:ascii="Arial" w:cs="Arial" w:eastAsia="Arial" w:hAnsi="Arial"/>
          <w:sz w:val="18"/>
          <w:szCs w:val="18"/>
          <w:color w:val="auto"/>
        </w:rPr>
        <w:t>basis the full and prompt payment of the principal of and any premium and interest on the senior debt securities issued by Waste Management, Inc. when and as the payment becomes due and payable, whether at maturity or otherwise.</w:t>
      </w:r>
    </w:p>
    <w:p>
      <w:pPr>
        <w:spacing w:after="0" w:line="103"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i w:val="1"/>
          <w:iCs w:val="1"/>
          <w:color w:val="auto"/>
        </w:rPr>
        <w:t xml:space="preserve">Restrictive Covenants. </w:t>
      </w:r>
      <w:r>
        <w:rPr>
          <w:rFonts w:ascii="Arial" w:cs="Arial" w:eastAsia="Arial" w:hAnsi="Arial"/>
          <w:sz w:val="17"/>
          <w:szCs w:val="17"/>
          <w:color w:val="auto"/>
        </w:rPr>
        <w:t>We have agreed to two principal restrictions on our activities for the benefit of</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the senior debt 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 Glossary.”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58" w:lineRule="exact"/>
        <w:rPr>
          <w:sz w:val="20"/>
          <w:szCs w:val="20"/>
          <w:color w:val="auto"/>
        </w:rPr>
      </w:pPr>
    </w:p>
    <w:p>
      <w:pPr>
        <w:jc w:val="both"/>
        <w:ind w:left="1260" w:right="419" w:firstLine="360"/>
        <w:spacing w:after="0" w:line="311" w:lineRule="auto"/>
        <w:rPr>
          <w:sz w:val="20"/>
          <w:szCs w:val="20"/>
          <w:color w:val="auto"/>
        </w:rPr>
      </w:pPr>
      <w:r>
        <w:rPr>
          <w:rFonts w:ascii="Arial" w:cs="Arial" w:eastAsia="Arial" w:hAnsi="Arial"/>
          <w:sz w:val="16"/>
          <w:szCs w:val="16"/>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81" w:lineRule="exact"/>
        <w:rPr>
          <w:sz w:val="20"/>
          <w:szCs w:val="20"/>
          <w:color w:val="auto"/>
        </w:rPr>
      </w:pPr>
    </w:p>
    <w:p>
      <w:pPr>
        <w:ind w:left="1620" w:right="799" w:firstLine="360"/>
        <w:spacing w:after="0" w:line="277" w:lineRule="auto"/>
        <w:tabs>
          <w:tab w:leader="none" w:pos="23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on the property or assets existing at the time of acquisition which secure obligations assumed by us or our Restricted Subsidiaries;</w:t>
      </w:r>
    </w:p>
    <w:p>
      <w:pPr>
        <w:spacing w:after="0" w:line="89" w:lineRule="exact"/>
        <w:rPr>
          <w:rFonts w:ascii="Arial" w:cs="Arial" w:eastAsia="Arial" w:hAnsi="Arial"/>
          <w:sz w:val="18"/>
          <w:szCs w:val="18"/>
          <w:color w:val="auto"/>
        </w:rPr>
      </w:pPr>
    </w:p>
    <w:p>
      <w:pPr>
        <w:ind w:left="1620" w:right="1039" w:firstLine="360"/>
        <w:spacing w:after="0" w:line="277" w:lineRule="auto"/>
        <w:tabs>
          <w:tab w:leader="none" w:pos="23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02" w:lineRule="exact"/>
        <w:rPr>
          <w:rFonts w:ascii="Arial" w:cs="Arial" w:eastAsia="Arial" w:hAnsi="Arial"/>
          <w:sz w:val="18"/>
          <w:szCs w:val="18"/>
          <w:color w:val="auto"/>
        </w:rPr>
      </w:pPr>
    </w:p>
    <w:p>
      <w:pPr>
        <w:ind w:left="1620" w:right="959" w:firstLine="360"/>
        <w:spacing w:after="0" w:line="263" w:lineRule="auto"/>
        <w:tabs>
          <w:tab w:leader="none" w:pos="23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116" w:lineRule="exact"/>
        <w:rPr>
          <w:rFonts w:ascii="Arial" w:cs="Arial" w:eastAsia="Arial" w:hAnsi="Arial"/>
          <w:sz w:val="18"/>
          <w:szCs w:val="18"/>
          <w:color w:val="auto"/>
        </w:rPr>
      </w:pPr>
    </w:p>
    <w:p>
      <w:pPr>
        <w:jc w:val="both"/>
        <w:ind w:left="1620" w:right="739" w:firstLine="360"/>
        <w:spacing w:after="0" w:line="263" w:lineRule="auto"/>
        <w:tabs>
          <w:tab w:leader="none" w:pos="23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on the property, assets or stock of any successor entity that becomes the Company in accordance with “— Provisions Applicable to Each Indenture — Consolidation, Merger and Sale of Assets,” above;</w:t>
      </w:r>
    </w:p>
    <w:p>
      <w:pPr>
        <w:spacing w:after="0" w:line="102" w:lineRule="exact"/>
        <w:rPr>
          <w:rFonts w:ascii="Arial" w:cs="Arial" w:eastAsia="Arial" w:hAnsi="Arial"/>
          <w:sz w:val="18"/>
          <w:szCs w:val="18"/>
          <w:color w:val="auto"/>
        </w:rPr>
      </w:pPr>
    </w:p>
    <w:p>
      <w:pPr>
        <w:ind w:left="2340" w:hanging="360"/>
        <w:spacing w:after="0"/>
        <w:tabs>
          <w:tab w:leader="none" w:pos="2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117" w:lineRule="exact"/>
        <w:rPr>
          <w:rFonts w:ascii="Arial" w:cs="Arial" w:eastAsia="Arial" w:hAnsi="Arial"/>
          <w:sz w:val="18"/>
          <w:szCs w:val="18"/>
          <w:color w:val="auto"/>
        </w:rPr>
      </w:pPr>
    </w:p>
    <w:p>
      <w:pPr>
        <w:ind w:left="2520" w:hanging="180"/>
        <w:spacing w:after="0"/>
        <w:tabs>
          <w:tab w:leader="none" w:pos="25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130" w:lineRule="exact"/>
        <w:rPr>
          <w:rFonts w:ascii="Arial" w:cs="Arial" w:eastAsia="Arial" w:hAnsi="Arial"/>
          <w:sz w:val="18"/>
          <w:szCs w:val="18"/>
          <w:color w:val="auto"/>
        </w:rPr>
      </w:pPr>
    </w:p>
    <w:p>
      <w:pPr>
        <w:ind w:left="2520" w:right="619" w:hanging="180"/>
        <w:spacing w:after="0" w:line="257" w:lineRule="auto"/>
        <w:tabs>
          <w:tab w:leader="none" w:pos="25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106" w:lineRule="exact"/>
        <w:rPr>
          <w:rFonts w:ascii="Arial" w:cs="Arial" w:eastAsia="Arial" w:hAnsi="Arial"/>
          <w:sz w:val="18"/>
          <w:szCs w:val="18"/>
          <w:color w:val="auto"/>
        </w:rPr>
      </w:pPr>
    </w:p>
    <w:p>
      <w:pPr>
        <w:ind w:left="2320" w:hanging="340"/>
        <w:spacing w:after="0"/>
        <w:tabs>
          <w:tab w:leader="none" w:pos="2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57" w:lineRule="exact"/>
        <w:rPr>
          <w:rFonts w:ascii="Arial" w:cs="Arial" w:eastAsia="Arial" w:hAnsi="Arial"/>
          <w:sz w:val="18"/>
          <w:szCs w:val="18"/>
          <w:color w:val="auto"/>
        </w:rPr>
      </w:pPr>
    </w:p>
    <w:p>
      <w:pPr>
        <w:ind w:left="2340" w:hanging="360"/>
        <w:spacing w:after="0"/>
        <w:tabs>
          <w:tab w:leader="none" w:pos="2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44" w:lineRule="exact"/>
        <w:rPr>
          <w:rFonts w:ascii="Arial" w:cs="Arial" w:eastAsia="Arial" w:hAnsi="Arial"/>
          <w:sz w:val="18"/>
          <w:szCs w:val="18"/>
          <w:color w:val="auto"/>
        </w:rPr>
      </w:pPr>
    </w:p>
    <w:p>
      <w:pPr>
        <w:ind w:left="1620" w:right="679" w:firstLine="360"/>
        <w:spacing w:after="0" w:line="277" w:lineRule="auto"/>
        <w:tabs>
          <w:tab w:leader="none" w:pos="23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arising by deposits or security given to governmental agencies required in order to do business with the government;</w:t>
      </w:r>
    </w:p>
    <w:p>
      <w:pPr>
        <w:spacing w:after="0" w:line="102" w:lineRule="exact"/>
        <w:rPr>
          <w:rFonts w:ascii="Arial" w:cs="Arial" w:eastAsia="Arial" w:hAnsi="Arial"/>
          <w:sz w:val="18"/>
          <w:szCs w:val="18"/>
          <w:color w:val="auto"/>
        </w:rPr>
      </w:pPr>
    </w:p>
    <w:p>
      <w:pPr>
        <w:ind w:left="1620" w:right="519" w:firstLine="360"/>
        <w:spacing w:after="0" w:line="277" w:lineRule="auto"/>
        <w:tabs>
          <w:tab w:leader="none" w:pos="23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102" w:lineRule="exact"/>
        <w:rPr>
          <w:rFonts w:ascii="Arial" w:cs="Arial" w:eastAsia="Arial" w:hAnsi="Arial"/>
          <w:sz w:val="18"/>
          <w:szCs w:val="18"/>
          <w:color w:val="auto"/>
        </w:rPr>
      </w:pPr>
    </w:p>
    <w:p>
      <w:pPr>
        <w:ind w:left="1620" w:right="779" w:firstLine="360"/>
        <w:spacing w:after="0" w:line="277" w:lineRule="auto"/>
        <w:tabs>
          <w:tab w:leader="none" w:pos="23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in connection with legal proceedings so long as the proceeding is being contested in good faith or execution thereon is stayed;</w:t>
      </w:r>
    </w:p>
    <w:p>
      <w:pPr>
        <w:spacing w:after="0" w:line="89" w:lineRule="exact"/>
        <w:rPr>
          <w:rFonts w:ascii="Arial" w:cs="Arial" w:eastAsia="Arial" w:hAnsi="Arial"/>
          <w:sz w:val="18"/>
          <w:szCs w:val="18"/>
          <w:color w:val="auto"/>
        </w:rPr>
      </w:pPr>
    </w:p>
    <w:p>
      <w:pPr>
        <w:ind w:left="1620" w:right="579" w:firstLine="360"/>
        <w:spacing w:after="0" w:line="277" w:lineRule="auto"/>
        <w:tabs>
          <w:tab w:leader="none" w:pos="23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landlord’s liens on fixtures located on property leased by us or Restricted Subsidiaries in the ordinary course of business;</w:t>
      </w:r>
    </w:p>
    <w:p>
      <w:pPr>
        <w:spacing w:after="0" w:line="102" w:lineRule="exact"/>
        <w:rPr>
          <w:rFonts w:ascii="Arial" w:cs="Arial" w:eastAsia="Arial" w:hAnsi="Arial"/>
          <w:sz w:val="18"/>
          <w:szCs w:val="18"/>
          <w:color w:val="auto"/>
        </w:rPr>
      </w:pPr>
    </w:p>
    <w:p>
      <w:pPr>
        <w:ind w:left="1620" w:right="699" w:firstLine="360"/>
        <w:spacing w:after="0" w:line="277" w:lineRule="auto"/>
        <w:tabs>
          <w:tab w:leader="none" w:pos="23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102" w:lineRule="exact"/>
        <w:rPr>
          <w:rFonts w:ascii="Arial" w:cs="Arial" w:eastAsia="Arial" w:hAnsi="Arial"/>
          <w:sz w:val="18"/>
          <w:szCs w:val="18"/>
          <w:color w:val="auto"/>
        </w:rPr>
      </w:pPr>
    </w:p>
    <w:p>
      <w:pPr>
        <w:ind w:left="1620" w:right="559" w:firstLine="360"/>
        <w:spacing w:after="0" w:line="277" w:lineRule="auto"/>
        <w:tabs>
          <w:tab w:leader="none" w:pos="23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59" w:firstLine="360"/>
        <w:spacing w:after="0" w:line="277" w:lineRule="auto"/>
        <w:tabs>
          <w:tab w:leader="none" w:pos="23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incurred in connection with pollution control, sewage or solid waste disposal industrial revenue or similar financings;</w:t>
      </w:r>
    </w:p>
    <w:p>
      <w:pPr>
        <w:spacing w:after="0" w:line="89" w:lineRule="exact"/>
        <w:rPr>
          <w:rFonts w:ascii="Arial" w:cs="Arial" w:eastAsia="Arial" w:hAnsi="Arial"/>
          <w:sz w:val="18"/>
          <w:szCs w:val="18"/>
          <w:color w:val="auto"/>
        </w:rPr>
      </w:pPr>
    </w:p>
    <w:p>
      <w:pPr>
        <w:ind w:left="2340" w:hanging="360"/>
        <w:spacing w:after="0"/>
        <w:tabs>
          <w:tab w:leader="none" w:pos="2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57" w:lineRule="exact"/>
        <w:rPr>
          <w:rFonts w:ascii="Arial" w:cs="Arial" w:eastAsia="Arial" w:hAnsi="Arial"/>
          <w:sz w:val="18"/>
          <w:szCs w:val="18"/>
          <w:color w:val="auto"/>
        </w:rPr>
      </w:pPr>
    </w:p>
    <w:p>
      <w:pPr>
        <w:ind w:left="1620" w:right="659" w:firstLine="360"/>
        <w:spacing w:after="0" w:line="263" w:lineRule="auto"/>
        <w:tabs>
          <w:tab w:leader="none" w:pos="23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16"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 Limitation on Sale/Leaseback Transactions.”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44"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103" w:lineRule="exact"/>
        <w:rPr>
          <w:sz w:val="20"/>
          <w:szCs w:val="20"/>
          <w:color w:val="auto"/>
        </w:rPr>
      </w:pPr>
    </w:p>
    <w:p>
      <w:pPr>
        <w:ind w:left="1620" w:right="419" w:firstLine="360"/>
        <w:spacing w:after="0" w:line="259" w:lineRule="auto"/>
        <w:tabs>
          <w:tab w:leader="none" w:pos="23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specified provisions of the covenant under “— Limitation on Liens,” could secure that debt by a lien on the property to be leased without equally and ratably securing the senior debt securities;</w:t>
      </w:r>
    </w:p>
    <w:p>
      <w:pPr>
        <w:spacing w:after="0" w:line="119" w:lineRule="exact"/>
        <w:rPr>
          <w:rFonts w:ascii="Arial" w:cs="Arial" w:eastAsia="Arial" w:hAnsi="Arial"/>
          <w:sz w:val="18"/>
          <w:szCs w:val="18"/>
          <w:color w:val="auto"/>
        </w:rPr>
      </w:pPr>
    </w:p>
    <w:p>
      <w:pPr>
        <w:ind w:left="1620" w:right="459" w:firstLine="360"/>
        <w:spacing w:after="0" w:line="275" w:lineRule="auto"/>
        <w:tabs>
          <w:tab w:leader="none" w:pos="2346"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debt securities listed under the senior indenture or debt incurred by a Restricted Subsidiary; or</w:t>
      </w:r>
    </w:p>
    <w:p>
      <w:pPr>
        <w:spacing w:after="0" w:line="95" w:lineRule="exact"/>
        <w:rPr>
          <w:rFonts w:ascii="Arial" w:cs="Arial" w:eastAsia="Arial" w:hAnsi="Arial"/>
          <w:sz w:val="17"/>
          <w:szCs w:val="17"/>
          <w:color w:val="auto"/>
        </w:rPr>
      </w:pPr>
    </w:p>
    <w:p>
      <w:pPr>
        <w:jc w:val="both"/>
        <w:ind w:left="1620" w:right="699" w:firstLine="360"/>
        <w:spacing w:after="0" w:line="286" w:lineRule="auto"/>
        <w:tabs>
          <w:tab w:leader="none" w:pos="2336" w:val="left"/>
        </w:tabs>
        <w:numPr>
          <w:ilvl w:val="0"/>
          <w:numId w:val="51"/>
        </w:numPr>
        <w:rPr>
          <w:rFonts w:ascii="Arial" w:cs="Arial" w:eastAsia="Arial" w:hAnsi="Arial"/>
          <w:sz w:val="17"/>
          <w:szCs w:val="17"/>
          <w:color w:val="auto"/>
        </w:rPr>
      </w:pPr>
      <w:r>
        <w:rPr>
          <w:rFonts w:ascii="Arial" w:cs="Arial" w:eastAsia="Arial" w:hAnsi="Arial"/>
          <w:sz w:val="17"/>
          <w:szCs w:val="17"/>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98"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pursuant to the covenant under “— Limitation on Liens,” do not exceed 15% of Consolidated Net Tangible Assets.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Glossary</w:t>
      </w:r>
    </w:p>
    <w:p>
      <w:pPr>
        <w:spacing w:after="0" w:line="158"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i w:val="1"/>
          <w:iCs w:val="1"/>
          <w:color w:val="auto"/>
        </w:rPr>
        <w:t xml:space="preserve">“Attributable Debt” </w:t>
      </w:r>
      <w:r>
        <w:rPr>
          <w:rFonts w:ascii="Arial" w:cs="Arial" w:eastAsia="Arial" w:hAnsi="Arial"/>
          <w:sz w:val="18"/>
          <w:szCs w:val="18"/>
          <w:color w:val="auto"/>
        </w:rPr>
        <w:t>means the present value of the rental payments during the remaining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included in the Sale/Leaseback Transaction. 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the total amount of assets of Waste Management, Inc.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consolidated subsidiaries less:</w:t>
      </w:r>
    </w:p>
    <w:p>
      <w:pPr>
        <w:spacing w:after="0" w:line="62" w:lineRule="exact"/>
        <w:rPr>
          <w:sz w:val="20"/>
          <w:szCs w:val="20"/>
          <w:color w:val="auto"/>
        </w:rPr>
      </w:pPr>
    </w:p>
    <w:p>
      <w:pPr>
        <w:ind w:left="1800" w:right="739" w:hanging="180"/>
        <w:spacing w:after="0" w:line="263"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will calculate Consolidated Net Tangible Assets based on our most recent quarterly balance sheet.</w:t>
      </w:r>
    </w:p>
    <w:p>
      <w:pPr>
        <w:spacing w:after="0" w:line="169"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i w:val="1"/>
          <w:iCs w:val="1"/>
          <w:color w:val="auto"/>
        </w:rPr>
        <w:t xml:space="preserve">“Indebtedness” </w:t>
      </w:r>
      <w:r>
        <w:rPr>
          <w:rFonts w:ascii="Arial" w:cs="Arial" w:eastAsia="Arial" w:hAnsi="Arial"/>
          <w:sz w:val="17"/>
          <w:szCs w:val="17"/>
          <w:color w:val="auto"/>
        </w:rPr>
        <w:t>means (a) all obligations for borrowed money or on which interest charges are</w:t>
      </w:r>
      <w:r>
        <w:rPr>
          <w:rFonts w:ascii="Arial" w:cs="Arial" w:eastAsia="Arial" w:hAnsi="Arial"/>
          <w:sz w:val="17"/>
          <w:szCs w:val="17"/>
          <w:i w:val="1"/>
          <w:iCs w:val="1"/>
          <w:color w:val="auto"/>
        </w:rPr>
        <w:t xml:space="preserve"> </w:t>
      </w:r>
      <w:r>
        <w:rPr>
          <w:rFonts w:ascii="Arial" w:cs="Arial" w:eastAsia="Arial" w:hAnsi="Arial"/>
          <w:sz w:val="17"/>
          <w:szCs w:val="17"/>
          <w:color w:val="auto"/>
        </w:rPr>
        <w:t>customarily paid, all as shown on the balance sheet of 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10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1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i w:val="1"/>
          <w:iCs w:val="1"/>
          <w:color w:val="auto"/>
        </w:rPr>
        <w:t xml:space="preserve">“Restricted Subsidiary” </w:t>
      </w:r>
      <w:r>
        <w:rPr>
          <w:rFonts w:ascii="Arial" w:cs="Arial" w:eastAsia="Arial" w:hAnsi="Arial"/>
          <w:sz w:val="18"/>
          <w:szCs w:val="18"/>
          <w:color w:val="auto"/>
        </w:rPr>
        <w:t>means any Subsidiary (other than any Subsidiary of which the Company owns</w:t>
      </w:r>
      <w:r>
        <w:rPr>
          <w:rFonts w:ascii="Arial" w:cs="Arial" w:eastAsia="Arial" w:hAnsi="Arial"/>
          <w:sz w:val="18"/>
          <w:szCs w:val="18"/>
          <w:i w:val="1"/>
          <w:iCs w:val="1"/>
          <w:color w:val="auto"/>
        </w:rPr>
        <w:t xml:space="preserve"> </w:t>
      </w:r>
      <w:r>
        <w:rPr>
          <w:rFonts w:ascii="Arial" w:cs="Arial" w:eastAsia="Arial" w:hAnsi="Arial"/>
          <w:sz w:val="18"/>
          <w:szCs w:val="18"/>
          <w:color w:val="auto"/>
        </w:rPr>
        <w:t>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120"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lease any Principal Property that we or such Restricted Subsidiary has sold or transferred or will sell or transfer to that person. This term excludes the following:</w:t>
      </w:r>
    </w:p>
    <w:p>
      <w:pPr>
        <w:spacing w:after="0" w:line="76" w:lineRule="exact"/>
        <w:rPr>
          <w:sz w:val="20"/>
          <w:szCs w:val="20"/>
          <w:color w:val="auto"/>
        </w:rPr>
      </w:pPr>
    </w:p>
    <w:p>
      <w:pPr>
        <w:ind w:left="1800" w:hanging="180"/>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158"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by us or by one or more other Subsidiaries, or by us and one or more other Subsidiaries.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48" w:lineRule="exact"/>
        <w:rPr>
          <w:sz w:val="20"/>
          <w:szCs w:val="20"/>
          <w:color w:val="auto"/>
        </w:rPr>
      </w:pPr>
    </w:p>
    <w:p>
      <w:pPr>
        <w:ind w:left="1260" w:right="879" w:firstLine="360"/>
        <w:spacing w:after="0" w:line="308" w:lineRule="auto"/>
        <w:rPr>
          <w:sz w:val="20"/>
          <w:szCs w:val="20"/>
          <w:color w:val="auto"/>
        </w:rPr>
      </w:pPr>
      <w:r>
        <w:rPr>
          <w:rFonts w:ascii="Arial" w:cs="Arial" w:eastAsia="Arial" w:hAnsi="Arial"/>
          <w:sz w:val="17"/>
          <w:szCs w:val="17"/>
          <w:i w:val="1"/>
          <w:iCs w:val="1"/>
          <w:color w:val="auto"/>
        </w:rPr>
        <w:t xml:space="preserve">Ranking. </w:t>
      </w:r>
      <w:r>
        <w:rPr>
          <w:rFonts w:ascii="Arial" w:cs="Arial" w:eastAsia="Arial" w:hAnsi="Arial"/>
          <w:sz w:val="17"/>
          <w:szCs w:val="17"/>
          <w:color w:val="auto"/>
        </w:rPr>
        <w:t>The subordinated debt securities will rank junior to all of our senior debt and may rank</w:t>
      </w:r>
      <w:r>
        <w:rPr>
          <w:rFonts w:ascii="Arial" w:cs="Arial" w:eastAsia="Arial" w:hAnsi="Arial"/>
          <w:sz w:val="17"/>
          <w:szCs w:val="17"/>
          <w:i w:val="1"/>
          <w:iCs w:val="1"/>
          <w:color w:val="auto"/>
        </w:rPr>
        <w:t xml:space="preserve"> </w:t>
      </w:r>
      <w:r>
        <w:rPr>
          <w:rFonts w:ascii="Arial" w:cs="Arial" w:eastAsia="Arial" w:hAnsi="Arial"/>
          <w:sz w:val="17"/>
          <w:szCs w:val="17"/>
          <w:color w:val="auto"/>
        </w:rPr>
        <w:t>equally with or senior to our other subordinated debt that may be outstanding from time to time.</w:t>
      </w:r>
    </w:p>
    <w:p>
      <w:pPr>
        <w:spacing w:after="0" w:line="79" w:lineRule="exact"/>
        <w:rPr>
          <w:sz w:val="20"/>
          <w:szCs w:val="20"/>
          <w:color w:val="auto"/>
        </w:rPr>
      </w:pPr>
    </w:p>
    <w:p>
      <w:pPr>
        <w:ind w:left="1260" w:right="539" w:firstLine="360"/>
        <w:spacing w:after="0" w:line="272" w:lineRule="auto"/>
        <w:rPr>
          <w:sz w:val="20"/>
          <w:szCs w:val="20"/>
          <w:color w:val="auto"/>
        </w:rPr>
      </w:pPr>
      <w:r>
        <w:rPr>
          <w:rFonts w:ascii="Arial" w:cs="Arial" w:eastAsia="Arial" w:hAnsi="Arial"/>
          <w:sz w:val="17"/>
          <w:szCs w:val="17"/>
          <w:i w:val="1"/>
          <w:iCs w:val="1"/>
          <w:color w:val="auto"/>
        </w:rPr>
        <w:t xml:space="preserve">Subordination. </w:t>
      </w:r>
      <w:r>
        <w:rPr>
          <w:rFonts w:ascii="Arial" w:cs="Arial" w:eastAsia="Arial" w:hAnsi="Arial"/>
          <w:sz w:val="17"/>
          <w:szCs w:val="17"/>
          <w:color w:val="auto"/>
        </w:rPr>
        <w:t>Under the subordinated indenture, payment of the principal of and any premium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on the subordinated 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10" w:lineRule="exact"/>
        <w:rPr>
          <w:sz w:val="20"/>
          <w:szCs w:val="20"/>
          <w:color w:val="auto"/>
        </w:rPr>
      </w:pPr>
    </w:p>
    <w:p>
      <w:pPr>
        <w:ind w:left="1260" w:right="639" w:firstLine="360"/>
        <w:spacing w:after="0" w:line="286" w:lineRule="auto"/>
        <w:rPr>
          <w:sz w:val="20"/>
          <w:szCs w:val="20"/>
          <w:color w:val="auto"/>
        </w:rPr>
      </w:pPr>
      <w:r>
        <w:rPr>
          <w:rFonts w:ascii="Arial" w:cs="Arial" w:eastAsia="Arial" w:hAnsi="Arial"/>
          <w:sz w:val="17"/>
          <w:szCs w:val="17"/>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GUARANTEES</w:t>
      </w:r>
    </w:p>
    <w:p>
      <w:pPr>
        <w:spacing w:after="0" w:line="148"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04"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20"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20"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We are authorized to issue 1,500,000,000 shares of common stock, $0.01 par value per share, of which 415,207,025 shares were outstanding at April 21, 2022 (excluding treasury shares of 215,075,436). We are also authorized to issue 10,000,000 shares of preferred stock, $0.01 par value per share, none of which were outstanding on that date.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applicable law, holders of common stock are entitled to receive dividends when,</w:t>
      </w:r>
      <w:r>
        <w:rPr>
          <w:rFonts w:ascii="Arial" w:cs="Arial" w:eastAsia="Arial" w:hAnsi="Arial"/>
          <w:sz w:val="18"/>
          <w:szCs w:val="18"/>
          <w:i w:val="1"/>
          <w:iCs w:val="1"/>
          <w:color w:val="auto"/>
        </w:rPr>
        <w:t xml:space="preserve"> </w:t>
      </w:r>
      <w:r>
        <w:rPr>
          <w:rFonts w:ascii="Arial" w:cs="Arial" w:eastAsia="Arial" w:hAnsi="Arial"/>
          <w:sz w:val="18"/>
          <w:szCs w:val="18"/>
          <w:color w:val="auto"/>
        </w:rPr>
        <w:t>as and if declared by our Board of Directors. In certain cases, common stockholders may not receive dividends until we satisfy our obligations to any preferred stockholders.</w:t>
      </w:r>
    </w:p>
    <w:p>
      <w:pPr>
        <w:spacing w:after="0" w:line="101"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Each holder of common stock is entitled to one vote for each share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held by such holder in the election of directors and in each other matter we may ask stockholders to vote on. Common stockholders do not have cumulative voting rights. To be elected, a director must receive a majority of the votes cast with respect to that director at a meeting at which a quorum is present; provided that if the number of nominees exceeds the number of directors to be elected as of the tenth day preceding the date that we first mail notice of meeting to our stockholders, the directors shall be elected by the vote of a plurality of the shares represented in person or by proxy at such meeting and entitled to vote on the election of directors. A majority of the votes cast means that the number of shares voted “for” a director must exceed 50% of the votes cast with respect to that director. Our By-laws provide that if the number of shares voted “for” any incumbent director nominee does not exceed 50% of the votes cast with respect to that director, he or she will tender his or her resignation to the Board of Directors contingent on the acceptance of such resignation by the Board of Directors. The Nominating and Governance Committee of our Board of Directors will then make a recommendation to the Board of Directors on whether to accept or reject the resignation, or whether other action should be taken. Our Board of Directors will act on the resignation and publicly disclose its decision and the rationale behind it within 90 days from the date of the certificate of the election results.</w:t>
      </w:r>
    </w:p>
    <w:p>
      <w:pPr>
        <w:spacing w:after="0" w:line="322"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 upon issuance and sale, validly issued, fully paid and non-assessable.</w:t>
      </w:r>
    </w:p>
    <w:p>
      <w:pPr>
        <w:spacing w:after="0" w:line="114"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voluntarily, common stockholders will share ratably in the assets remaining for distribution to stockholders after we pay our creditors and any preferred stockholders.</w:t>
      </w:r>
    </w:p>
    <w:p>
      <w:pPr>
        <w:spacing w:after="0" w:line="101"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w:t>
      </w:r>
      <w:r>
        <w:rPr>
          <w:rFonts w:ascii="Arial" w:cs="Arial" w:eastAsia="Arial" w:hAnsi="Arial"/>
          <w:sz w:val="18"/>
          <w:szCs w:val="18"/>
          <w:i w:val="1"/>
          <w:iCs w:val="1"/>
          <w:color w:val="auto"/>
        </w:rPr>
        <w:t xml:space="preserve"> </w:t>
      </w:r>
      <w:r>
        <w:rPr>
          <w:rFonts w:ascii="Arial" w:cs="Arial" w:eastAsia="Arial" w:hAnsi="Arial"/>
          <w:sz w:val="18"/>
          <w:szCs w:val="18"/>
          <w:color w:val="auto"/>
        </w:rPr>
        <w:t>“WM.”</w:t>
      </w:r>
    </w:p>
    <w:p>
      <w:pPr>
        <w:spacing w:after="0" w:line="103"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Computershare</w:t>
      </w:r>
      <w:r>
        <w:rPr>
          <w:rFonts w:ascii="Arial" w:cs="Arial" w:eastAsia="Arial" w:hAnsi="Arial"/>
          <w:sz w:val="18"/>
          <w:szCs w:val="18"/>
          <w:i w:val="1"/>
          <w:iCs w:val="1"/>
          <w:color w:val="auto"/>
        </w:rPr>
        <w:t xml:space="preserve"> </w:t>
      </w:r>
      <w:r>
        <w:rPr>
          <w:rFonts w:ascii="Arial" w:cs="Arial" w:eastAsia="Arial" w:hAnsi="Arial"/>
          <w:sz w:val="18"/>
          <w:szCs w:val="18"/>
          <w:color w:val="auto"/>
        </w:rPr>
        <w:t>in Jersey City, New Jersey.</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7"/>
          <w:szCs w:val="17"/>
          <w:color w:val="auto"/>
        </w:rPr>
        <w:t>Our Board of Directors is authorized, without obtaining stockholder approval, to issue one or more series of preferred stock. The Board’s authority includes determining the number of shares of each series and the rights, powers, preferences and limitations, qualifications and restrictions of each series, including without limitation voting rights, dividend rights, conversion rights, redemption rights and any liquidation preferences. In this regard, our Board of Directors may issue preferred stock with voting and conversion rights that could adversely affect the voting power of the holders of common stock, and dividend or</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61" w:lineRule="auto"/>
        <w:rPr>
          <w:sz w:val="20"/>
          <w:szCs w:val="20"/>
          <w:color w:val="auto"/>
        </w:rPr>
      </w:pPr>
      <w:r>
        <w:rPr>
          <w:rFonts w:ascii="Arial" w:cs="Arial" w:eastAsia="Arial" w:hAnsi="Arial"/>
          <w:sz w:val="18"/>
          <w:szCs w:val="18"/>
          <w:color w:val="auto"/>
        </w:rPr>
        <w:t>liquidation preferences that would restrict common stock dividends or adversely affect the assets available for distribution to holders of shares of common stock in the event of our dissolution.</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Authorized but Unissued Shares</w:t>
      </w:r>
    </w:p>
    <w:p>
      <w:pPr>
        <w:spacing w:after="0" w:line="135"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Authorized but unissued shares of common stock or preferred stock can be issued by our Board of Directors from time to time, without stockholder action, for a variety of purposes, including without limitation stock dividends or stock splits, to raise equity capital and to structure future corporate transactions, including acquisitions, as well as for other proper corporate purposes. Stockholders have no preemptive rights.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w:t>
      </w:r>
    </w:p>
    <w:p>
      <w:pPr>
        <w:spacing w:after="0" w:line="14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Our By-laws provide that, unless we consent to the selection of an alternative forum in writing, the Delaware Court of Chancery (the “Chancery Court”)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Delaware General Corporation Law (“DGCL”), our Third Restated Certificate of Incorporation (“Certificate of Incorporation”) or our Amended and Restated By -laws (“By-laws”) or as to which the DGCL confers jurisdiction upon the Chancery Court; or (iv) any action asserting a claim governed by the internal affairs doctrine. Our By-laws provide that any person or entity purchasing, otherwise acquiring or retaining any interest in shares of capital stock of the Company are deemed to have notice of and to have consented to the exclusive forum By-law provision.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Advance Notice and Proxy Access</w:t>
      </w:r>
    </w:p>
    <w:p>
      <w:pPr>
        <w:spacing w:after="0" w:line="135"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Our By-laws establish advance notice procedures with respect to stockholder proposals and the nomination of candidates for election as directors, other than nominations made by or at the direction of our Board of Directors. Further, our By-laws contain a “proxy access” provision that permits a stockholder or group of up to 20 stockholders owning 3% or more of Waste Management, Inc.’s outstanding common stock continuously for at least three years to nominate and include in our proxy materials director nominees constituting up to the greater of 20% of the Board of Directors or two individuals, provided the stockholder(s) and the nominee(s) satisfy the requirements specified in our By-Laws.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Any action required or permitted to be taken at a meeting of our stockholders may be taken by written consent if such consents, setting forth the action so taken, (i) shall be signed by holders of outstanding stock having not less than the minimum number of votes that would be necessary to authorize or take such action at a meeting at which all shares entitled to vote thereon were present and voted and (ii) shall be delivered to us in accordance with applicable law. Our By-laws provide that any stockholder of record seeking to have the stockholders authorize or take corporate action by written consent shall, by written notice to the Secretary of Waste Management, Inc., request that the Board of Directors fix a record date.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Special Stockholder Meetings</w:t>
      </w:r>
    </w:p>
    <w:p>
      <w:pPr>
        <w:spacing w:after="0" w:line="135"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Our By-laws provide that a special meeting of our stockholders may be called by the Secretary of Waste Management, Inc. at the request of the Chairman of the Board or the Chief Executive Officer, or may be called by order of the majority of the Board of Directors. A special meeting of our stockholders may also be called by the Secretary upon the written request of record holders having an aggregate “net long position” of at least 25% of the outstanding common stock of Waste Management, Inc. and having held such net long position continuously for at least one year as of the date of such request, subject to compliance with all other applicable terms and provisions of our By-laws.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a Change of Control</w:t>
      </w:r>
    </w:p>
    <w:p>
      <w:pPr>
        <w:spacing w:after="0" w:line="148"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We are a Delaware corporation and are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979" w:hanging="180"/>
        <w:spacing w:after="0" w:line="263"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75" w:lineRule="exact"/>
        <w:rPr>
          <w:rFonts w:ascii="Arial" w:cs="Arial" w:eastAsia="Arial" w:hAnsi="Arial"/>
          <w:sz w:val="18"/>
          <w:szCs w:val="18"/>
          <w:color w:val="auto"/>
        </w:rPr>
      </w:pPr>
    </w:p>
    <w:p>
      <w:pPr>
        <w:ind w:left="1800" w:right="719" w:hanging="180"/>
        <w:spacing w:after="0" w:line="255"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84" w:lineRule="exact"/>
        <w:rPr>
          <w:rFonts w:ascii="Arial" w:cs="Arial" w:eastAsia="Arial" w:hAnsi="Arial"/>
          <w:sz w:val="18"/>
          <w:szCs w:val="18"/>
          <w:color w:val="auto"/>
        </w:rPr>
      </w:pPr>
    </w:p>
    <w:p>
      <w:pPr>
        <w:ind w:left="1800" w:right="519" w:hanging="180"/>
        <w:spacing w:after="0" w:line="259"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106"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1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Liability of Directors and Officers</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As permitted by Delaware law, our Certificate of Incorporation includes provisions that eliminate the personal liability of our directors for monetary damages resulting from breaches of certain fiduciary duties as a director, except that a director will be personally liable for (i) any breach of his duty of loyalty to us or our stockholders; (ii) acts or omissions not in good faith or which involve intentional misconduct or a knowing violation of law; (iii) any transaction from which the director derived an improper personal benefit; or (iv) unlawful dividends or distributions to stockholders.</w:t>
      </w:r>
    </w:p>
    <w:p>
      <w:pPr>
        <w:spacing w:after="0" w:line="111"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Our Certificate of Incorporation and By-laws require that we provide indemnification to the maximum extent permitted from time to time under the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us or any of our direct or indirect subsidiaries or while such a director or officer is or was serving at our request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we are not required to indemnify or advance expenses to any person in connection with any action, suit, proceeding, claim or counterclaim initiated by or on behalf of such person. Such indemnification is not to be exclusive of other indemnification rights arising under our By-laws, agreement, vote of directors or stockholders or otherwise and shall inure to the benefit of the heirs and legal representatives of such person. Additionally, we have direct contractual obligations to provide indemnification to each of the members of our Board of Directors and each of our executive officers. These agreements provide directors and executive officers with the same indemnification by the Company as described above and assure directors and executive officers that indemnification will continue to be provided despite future changes in our By-laws.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OTHER SECURITIES</w:t>
      </w:r>
    </w:p>
    <w:p>
      <w:pPr>
        <w:spacing w:after="0" w:line="148"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warrants or units that may be offered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17" w:lineRule="exact"/>
        <w:rPr>
          <w:sz w:val="20"/>
          <w:szCs w:val="20"/>
          <w:color w:val="auto"/>
        </w:rPr>
      </w:pPr>
    </w:p>
    <w:p>
      <w:pPr>
        <w:ind w:left="1800" w:hanging="180"/>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03"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a combination of any such methods of sale; or</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5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28"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16" w:lineRule="exact"/>
        <w:rPr>
          <w:sz w:val="20"/>
          <w:szCs w:val="20"/>
          <w:color w:val="auto"/>
        </w:rPr>
      </w:pPr>
    </w:p>
    <w:p>
      <w:pPr>
        <w:jc w:val="both"/>
        <w:ind w:left="1260" w:right="659" w:firstLine="360"/>
        <w:spacing w:after="0" w:line="243" w:lineRule="auto"/>
        <w:rPr>
          <w:sz w:val="20"/>
          <w:szCs w:val="20"/>
          <w:color w:val="auto"/>
        </w:rPr>
      </w:pPr>
      <w:r>
        <w:rPr>
          <w:rFonts w:ascii="Arial" w:cs="Arial" w:eastAsia="Arial" w:hAnsi="Arial"/>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20"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08"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7"/>
          <w:szCs w:val="17"/>
          <w:color w:val="auto"/>
        </w:rPr>
        <w:t>Agents, underwriters and dealers may be entitled under agreements that may be entered into with us to indemnification by us against specified liabilities, including liabilities incurred under the Securities Act, or</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39"/>
        <w:spacing w:after="0" w:line="279" w:lineRule="auto"/>
        <w:rPr>
          <w:sz w:val="20"/>
          <w:szCs w:val="20"/>
          <w:color w:val="auto"/>
        </w:rPr>
      </w:pPr>
      <w:r>
        <w:rPr>
          <w:rFonts w:ascii="Arial" w:cs="Arial" w:eastAsia="Arial" w:hAnsi="Arial"/>
          <w:sz w:val="17"/>
          <w:szCs w:val="17"/>
          <w:color w:val="auto"/>
        </w:rPr>
        <w:t>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90"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0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24"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SELLING SECURITYHOLDERS</w:t>
      </w:r>
    </w:p>
    <w:p>
      <w:pPr>
        <w:spacing w:after="0" w:line="148"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In connection with particular offerings of the securities in the future, and if stated in the applicable prospectus supplement, the validity of those securities will be passed upon for us by counsel named in the applicable prospectus supplement.</w:t>
      </w:r>
    </w:p>
    <w:p>
      <w:pPr>
        <w:spacing w:after="0" w:line="18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59" w:firstLine="3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The consolidated financial statements of Waste Management, Inc. appearing in Waste Management, Inc.’s </w:t>
      </w:r>
      <w:hyperlink r:id="rId25">
        <w:r>
          <w:rPr>
            <w:rFonts w:ascii="Arial" w:cs="Arial" w:eastAsia="Arial" w:hAnsi="Arial"/>
            <w:sz w:val="17"/>
            <w:szCs w:val="17"/>
            <w:u w:val="single" w:color="auto"/>
            <w:color w:val="0000EE"/>
          </w:rPr>
          <w:t>Annual Report (Form 10-K) for the year ended December 31, 2021</w:t>
        </w:r>
      </w:hyperlink>
      <w:r>
        <w:rPr>
          <w:rFonts w:ascii="Arial" w:cs="Arial" w:eastAsia="Arial" w:hAnsi="Arial"/>
          <w:sz w:val="17"/>
          <w:szCs w:val="17"/>
          <w:color w:val="auto"/>
        </w:rPr>
        <w:t>, and the effectiveness of Waste Management, Inc.’s internal control over financial reporting as of December 31, 2021,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20"/>
        <w:spacing w:after="0"/>
        <w:rPr>
          <w:sz w:val="20"/>
          <w:szCs w:val="20"/>
          <w:color w:val="auto"/>
        </w:rPr>
      </w:pPr>
      <w:r>
        <w:rPr>
          <w:rFonts w:ascii="Arial" w:cs="Arial" w:eastAsia="Arial" w:hAnsi="Arial"/>
          <w:sz w:val="25"/>
          <w:szCs w:val="25"/>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157480</wp:posOffset>
            </wp:positionV>
            <wp:extent cx="2468880" cy="659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246888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860"/>
        <w:spacing w:after="0"/>
        <w:rPr>
          <w:sz w:val="20"/>
          <w:szCs w:val="20"/>
          <w:color w:val="auto"/>
        </w:rPr>
      </w:pPr>
      <w:r>
        <w:rPr>
          <w:rFonts w:ascii="Arial" w:cs="Arial" w:eastAsia="Arial" w:hAnsi="Arial"/>
          <w:sz w:val="21"/>
          <w:szCs w:val="21"/>
          <w:b w:val="1"/>
          <w:bCs w:val="1"/>
          <w:color w:val="auto"/>
        </w:rPr>
        <w:t>4.15%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546735</wp:posOffset>
            </wp:positionV>
            <wp:extent cx="12344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940"/>
        <w:spacing w:after="0"/>
        <w:rPr>
          <w:sz w:val="20"/>
          <w:szCs w:val="20"/>
          <w:color w:val="auto"/>
        </w:rPr>
      </w:pPr>
      <w:r>
        <w:rPr>
          <w:rFonts w:ascii="Arial" w:cs="Arial" w:eastAsia="Arial" w:hAnsi="Arial"/>
          <w:sz w:val="19"/>
          <w:szCs w:val="19"/>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178435</wp:posOffset>
            </wp:positionV>
            <wp:extent cx="12344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60"/>
        <w:spacing w:after="0"/>
        <w:rPr>
          <w:sz w:val="20"/>
          <w:szCs w:val="20"/>
          <w:color w:val="auto"/>
        </w:rPr>
      </w:pPr>
      <w:r>
        <w:rPr>
          <w:rFonts w:ascii="Arial" w:cs="Arial" w:eastAsia="Arial" w:hAnsi="Arial"/>
          <w:sz w:val="18"/>
          <w:szCs w:val="18"/>
          <w:i w:val="1"/>
          <w:iCs w:val="1"/>
          <w:color w:val="auto"/>
        </w:rPr>
        <w:t>Joint Book-Running Managers</w:t>
      </w:r>
    </w:p>
    <w:p>
      <w:pPr>
        <w:spacing w:after="0" w:line="194" w:lineRule="exact"/>
        <w:rPr>
          <w:sz w:val="20"/>
          <w:szCs w:val="20"/>
          <w:color w:val="auto"/>
        </w:rPr>
      </w:pPr>
    </w:p>
    <w:p>
      <w:pPr>
        <w:ind w:left="4820"/>
        <w:spacing w:after="0"/>
        <w:rPr>
          <w:sz w:val="20"/>
          <w:szCs w:val="20"/>
          <w:color w:val="auto"/>
        </w:rPr>
      </w:pPr>
      <w:r>
        <w:rPr>
          <w:rFonts w:ascii="Arial" w:cs="Arial" w:eastAsia="Arial" w:hAnsi="Arial"/>
          <w:sz w:val="29"/>
          <w:szCs w:val="29"/>
          <w:b w:val="1"/>
          <w:bCs w:val="1"/>
          <w:color w:val="auto"/>
        </w:rPr>
        <w:t>Barclays</w:t>
      </w:r>
    </w:p>
    <w:p>
      <w:pPr>
        <w:ind w:left="4420"/>
        <w:spacing w:after="0" w:line="229" w:lineRule="auto"/>
        <w:rPr>
          <w:sz w:val="20"/>
          <w:szCs w:val="20"/>
          <w:color w:val="auto"/>
        </w:rPr>
      </w:pPr>
      <w:r>
        <w:rPr>
          <w:rFonts w:ascii="Arial" w:cs="Arial" w:eastAsia="Arial" w:hAnsi="Arial"/>
          <w:sz w:val="29"/>
          <w:szCs w:val="29"/>
          <w:b w:val="1"/>
          <w:bCs w:val="1"/>
          <w:color w:val="auto"/>
        </w:rPr>
        <w:t>BofA Securities</w:t>
      </w:r>
    </w:p>
    <w:p>
      <w:pPr>
        <w:spacing w:after="0" w:line="1" w:lineRule="exact"/>
        <w:rPr>
          <w:sz w:val="20"/>
          <w:szCs w:val="20"/>
          <w:color w:val="auto"/>
        </w:rPr>
      </w:pPr>
    </w:p>
    <w:p>
      <w:pPr>
        <w:ind w:left="3840"/>
        <w:spacing w:after="0"/>
        <w:rPr>
          <w:sz w:val="20"/>
          <w:szCs w:val="20"/>
          <w:color w:val="auto"/>
        </w:rPr>
      </w:pPr>
      <w:r>
        <w:rPr>
          <w:rFonts w:ascii="Arial" w:cs="Arial" w:eastAsia="Arial" w:hAnsi="Arial"/>
          <w:sz w:val="24"/>
          <w:szCs w:val="24"/>
          <w:b w:val="1"/>
          <w:bCs w:val="1"/>
          <w:color w:val="auto"/>
        </w:rPr>
        <w:t>Deutsche Bank Securities</w:t>
      </w:r>
    </w:p>
    <w:p>
      <w:pPr>
        <w:spacing w:after="0" w:line="12" w:lineRule="exact"/>
        <w:rPr>
          <w:sz w:val="20"/>
          <w:szCs w:val="20"/>
          <w:color w:val="auto"/>
        </w:rPr>
      </w:pPr>
    </w:p>
    <w:p>
      <w:pPr>
        <w:ind w:left="4900"/>
        <w:spacing w:after="0"/>
        <w:rPr>
          <w:sz w:val="20"/>
          <w:szCs w:val="20"/>
          <w:color w:val="auto"/>
        </w:rPr>
      </w:pPr>
      <w:r>
        <w:rPr>
          <w:rFonts w:ascii="Arial" w:cs="Arial" w:eastAsia="Arial" w:hAnsi="Arial"/>
          <w:sz w:val="29"/>
          <w:szCs w:val="29"/>
          <w:b w:val="1"/>
          <w:bCs w:val="1"/>
          <w:color w:val="auto"/>
        </w:rPr>
        <w:t>MUFG</w:t>
      </w:r>
    </w:p>
    <w:p>
      <w:pPr>
        <w:ind w:left="4700"/>
        <w:spacing w:after="0"/>
        <w:rPr>
          <w:sz w:val="20"/>
          <w:szCs w:val="20"/>
          <w:color w:val="auto"/>
        </w:rPr>
      </w:pPr>
      <w:r>
        <w:rPr>
          <w:rFonts w:ascii="Arial" w:cs="Arial" w:eastAsia="Arial" w:hAnsi="Arial"/>
          <w:sz w:val="29"/>
          <w:szCs w:val="29"/>
          <w:b w:val="1"/>
          <w:bCs w:val="1"/>
          <w:color w:val="auto"/>
        </w:rPr>
        <w:t>Scotiabank</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25"/>
          <w:szCs w:val="25"/>
          <w:b w:val="1"/>
          <w:bCs w:val="1"/>
          <w:color w:val="auto"/>
        </w:rPr>
        <w:t>BNP PARIBAS</w:t>
      </w:r>
    </w:p>
    <w:p>
      <w:pPr>
        <w:ind w:left="4700"/>
        <w:spacing w:after="0" w:line="234" w:lineRule="auto"/>
        <w:rPr>
          <w:sz w:val="20"/>
          <w:szCs w:val="20"/>
          <w:color w:val="auto"/>
        </w:rPr>
      </w:pPr>
      <w:r>
        <w:rPr>
          <w:rFonts w:ascii="Arial" w:cs="Arial" w:eastAsia="Arial" w:hAnsi="Arial"/>
          <w:sz w:val="25"/>
          <w:szCs w:val="25"/>
          <w:b w:val="1"/>
          <w:bCs w:val="1"/>
          <w:color w:val="auto"/>
        </w:rPr>
        <w:t>J.P. Morgan</w:t>
      </w:r>
    </w:p>
    <w:p>
      <w:pPr>
        <w:ind w:left="4400"/>
        <w:spacing w:after="0" w:line="225" w:lineRule="auto"/>
        <w:rPr>
          <w:sz w:val="20"/>
          <w:szCs w:val="20"/>
          <w:color w:val="auto"/>
        </w:rPr>
      </w:pPr>
      <w:r>
        <w:rPr>
          <w:rFonts w:ascii="Arial" w:cs="Arial" w:eastAsia="Arial" w:hAnsi="Arial"/>
          <w:sz w:val="25"/>
          <w:szCs w:val="25"/>
          <w:b w:val="1"/>
          <w:bCs w:val="1"/>
          <w:color w:val="auto"/>
        </w:rPr>
        <w:t>Mizuho Securities</w:t>
      </w:r>
    </w:p>
    <w:p>
      <w:pPr>
        <w:spacing w:after="0" w:line="1" w:lineRule="exact"/>
        <w:rPr>
          <w:sz w:val="20"/>
          <w:szCs w:val="20"/>
          <w:color w:val="auto"/>
        </w:rPr>
      </w:pPr>
    </w:p>
    <w:p>
      <w:pPr>
        <w:ind w:left="4660"/>
        <w:spacing w:after="0"/>
        <w:rPr>
          <w:sz w:val="20"/>
          <w:szCs w:val="20"/>
          <w:color w:val="auto"/>
        </w:rPr>
      </w:pPr>
      <w:r>
        <w:rPr>
          <w:rFonts w:ascii="Arial" w:cs="Arial" w:eastAsia="Arial" w:hAnsi="Arial"/>
          <w:sz w:val="25"/>
          <w:szCs w:val="25"/>
          <w:b w:val="1"/>
          <w:bCs w:val="1"/>
          <w:color w:val="auto"/>
        </w:rPr>
        <w:t>SMBC Nikko</w:t>
      </w:r>
    </w:p>
    <w:p>
      <w:pPr>
        <w:spacing w:after="0" w:line="125" w:lineRule="exact"/>
        <w:rPr>
          <w:sz w:val="20"/>
          <w:szCs w:val="20"/>
          <w:color w:val="auto"/>
        </w:rPr>
      </w:pPr>
    </w:p>
    <w:p>
      <w:pPr>
        <w:ind w:left="4840"/>
        <w:spacing w:after="0"/>
        <w:rPr>
          <w:sz w:val="20"/>
          <w:szCs w:val="20"/>
          <w:color w:val="auto"/>
        </w:rPr>
      </w:pPr>
      <w:r>
        <w:rPr>
          <w:rFonts w:ascii="Arial" w:cs="Arial" w:eastAsia="Arial" w:hAnsi="Arial"/>
          <w:sz w:val="18"/>
          <w:szCs w:val="18"/>
          <w:i w:val="1"/>
          <w:iCs w:val="1"/>
          <w:color w:val="auto"/>
        </w:rPr>
        <w:t>Co-Managers</w:t>
      </w:r>
    </w:p>
    <w:p>
      <w:pPr>
        <w:spacing w:after="0" w:line="217" w:lineRule="exact"/>
        <w:rPr>
          <w:sz w:val="20"/>
          <w:szCs w:val="20"/>
          <w:color w:val="auto"/>
        </w:rPr>
      </w:pPr>
    </w:p>
    <w:p>
      <w:pPr>
        <w:jc w:val="center"/>
        <w:ind w:right="-800"/>
        <w:spacing w:after="0"/>
        <w:rPr>
          <w:sz w:val="20"/>
          <w:szCs w:val="20"/>
          <w:color w:val="auto"/>
        </w:rPr>
      </w:pPr>
      <w:r>
        <w:rPr>
          <w:rFonts w:ascii="Arial" w:cs="Arial" w:eastAsia="Arial" w:hAnsi="Arial"/>
          <w:sz w:val="20"/>
          <w:szCs w:val="20"/>
          <w:b w:val="1"/>
          <w:bCs w:val="1"/>
          <w:color w:val="auto"/>
        </w:rPr>
        <w:t>Truist Securities</w:t>
      </w:r>
    </w:p>
    <w:p>
      <w:pPr>
        <w:jc w:val="center"/>
        <w:ind w:right="-800"/>
        <w:spacing w:after="0" w:line="233" w:lineRule="auto"/>
        <w:rPr>
          <w:sz w:val="20"/>
          <w:szCs w:val="20"/>
          <w:color w:val="auto"/>
        </w:rPr>
      </w:pPr>
      <w:r>
        <w:rPr>
          <w:rFonts w:ascii="Arial" w:cs="Arial" w:eastAsia="Arial" w:hAnsi="Arial"/>
          <w:sz w:val="20"/>
          <w:szCs w:val="20"/>
          <w:b w:val="1"/>
          <w:bCs w:val="1"/>
          <w:color w:val="auto"/>
        </w:rPr>
        <w:t>US Bancorp</w:t>
      </w:r>
    </w:p>
    <w:p>
      <w:pPr>
        <w:jc w:val="center"/>
        <w:ind w:right="-800"/>
        <w:spacing w:after="0" w:line="226" w:lineRule="auto"/>
        <w:rPr>
          <w:sz w:val="20"/>
          <w:szCs w:val="20"/>
          <w:color w:val="auto"/>
        </w:rPr>
      </w:pPr>
      <w:r>
        <w:rPr>
          <w:rFonts w:ascii="Arial" w:cs="Arial" w:eastAsia="Arial" w:hAnsi="Arial"/>
          <w:sz w:val="20"/>
          <w:szCs w:val="20"/>
          <w:b w:val="1"/>
          <w:bCs w:val="1"/>
          <w:color w:val="auto"/>
        </w:rPr>
        <w:t>Academy Securities</w:t>
      </w:r>
    </w:p>
    <w:p>
      <w:pPr>
        <w:jc w:val="center"/>
        <w:ind w:right="-800"/>
        <w:spacing w:after="0" w:line="225" w:lineRule="auto"/>
        <w:rPr>
          <w:sz w:val="20"/>
          <w:szCs w:val="20"/>
          <w:color w:val="auto"/>
        </w:rPr>
      </w:pPr>
      <w:r>
        <w:rPr>
          <w:rFonts w:ascii="Arial" w:cs="Arial" w:eastAsia="Arial" w:hAnsi="Arial"/>
          <w:sz w:val="20"/>
          <w:szCs w:val="20"/>
          <w:b w:val="1"/>
          <w:bCs w:val="1"/>
          <w:color w:val="auto"/>
        </w:rPr>
        <w:t>Cabrera Capital Markets LLC</w:t>
      </w:r>
    </w:p>
    <w:p>
      <w:pPr>
        <w:jc w:val="center"/>
        <w:ind w:right="-800"/>
        <w:spacing w:after="0" w:line="226" w:lineRule="auto"/>
        <w:rPr>
          <w:sz w:val="20"/>
          <w:szCs w:val="20"/>
          <w:color w:val="auto"/>
        </w:rPr>
      </w:pPr>
      <w:r>
        <w:rPr>
          <w:rFonts w:ascii="Arial" w:cs="Arial" w:eastAsia="Arial" w:hAnsi="Arial"/>
          <w:sz w:val="20"/>
          <w:szCs w:val="20"/>
          <w:b w:val="1"/>
          <w:bCs w:val="1"/>
          <w:color w:val="auto"/>
        </w:rPr>
        <w:t>CastleOak Securities, L.P.</w:t>
      </w:r>
    </w:p>
    <w:p>
      <w:pPr>
        <w:jc w:val="center"/>
        <w:ind w:right="-800"/>
        <w:spacing w:after="0" w:line="225" w:lineRule="auto"/>
        <w:rPr>
          <w:sz w:val="20"/>
          <w:szCs w:val="20"/>
          <w:color w:val="auto"/>
        </w:rPr>
      </w:pPr>
      <w:r>
        <w:rPr>
          <w:rFonts w:ascii="Arial" w:cs="Arial" w:eastAsia="Arial" w:hAnsi="Arial"/>
          <w:sz w:val="20"/>
          <w:szCs w:val="20"/>
          <w:b w:val="1"/>
          <w:bCs w:val="1"/>
          <w:color w:val="auto"/>
        </w:rPr>
        <w:t>CAVU Securities</w:t>
      </w:r>
    </w:p>
    <w:p>
      <w:pPr>
        <w:jc w:val="center"/>
        <w:ind w:right="-800"/>
        <w:spacing w:after="0" w:line="225" w:lineRule="auto"/>
        <w:rPr>
          <w:sz w:val="20"/>
          <w:szCs w:val="20"/>
          <w:color w:val="auto"/>
        </w:rPr>
      </w:pPr>
      <w:r>
        <w:rPr>
          <w:rFonts w:ascii="Arial" w:cs="Arial" w:eastAsia="Arial" w:hAnsi="Arial"/>
          <w:sz w:val="20"/>
          <w:szCs w:val="20"/>
          <w:b w:val="1"/>
          <w:bCs w:val="1"/>
          <w:color w:val="auto"/>
        </w:rPr>
        <w:t>MFR Securities, Inc.</w:t>
      </w:r>
    </w:p>
    <w:p>
      <w:pPr>
        <w:spacing w:after="0" w:line="1"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Stern</w:t>
      </w:r>
    </w:p>
    <w:p>
      <w:pPr>
        <w:spacing w:after="0" w:line="200" w:lineRule="exact"/>
        <w:rPr>
          <w:sz w:val="20"/>
          <w:szCs w:val="20"/>
          <w:color w:val="auto"/>
        </w:rPr>
      </w:pPr>
    </w:p>
    <w:p>
      <w:pPr>
        <w:spacing w:after="0" w:line="39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452120</wp:posOffset>
            </wp:positionV>
            <wp:extent cx="52120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494665</wp:posOffset>
            </wp:positionV>
            <wp:extent cx="521208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756285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424(b)(5)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 Newly Registered and Carry Forward Securities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Filing Fee</w:t>
            </w:r>
          </w:p>
        </w:tc>
      </w:tr>
      <w:tr>
        <w:trPr>
          <w:trHeight w:val="135"/>
        </w:trPr>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9"/>
              </w:rPr>
              <w:t>Previously</w:t>
            </w:r>
          </w:p>
        </w:tc>
      </w:tr>
      <w:tr>
        <w:trPr>
          <w:trHeight w:val="135"/>
        </w:trPr>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8"/>
              </w:rPr>
              <w:t>Paid In</w:t>
            </w:r>
          </w:p>
        </w:tc>
      </w:tr>
      <w:tr>
        <w:trPr>
          <w:trHeight w:val="135"/>
        </w:trPr>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8"/>
              </w:rPr>
              <w:t>Connection</w:t>
            </w:r>
          </w:p>
        </w:tc>
      </w:tr>
      <w:tr>
        <w:trPr>
          <w:trHeight w:val="135"/>
        </w:trPr>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with</w:t>
            </w:r>
          </w:p>
        </w:tc>
      </w:tr>
      <w:tr>
        <w:trPr>
          <w:trHeight w:val="135"/>
        </w:trPr>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2"/>
              </w:rPr>
              <w:t>Proposed</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4"/>
              </w:rPr>
              <w:t>Carry</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8"/>
              </w:rPr>
              <w:t>Unsold</w:t>
            </w:r>
          </w:p>
        </w:tc>
      </w:tr>
      <w:tr>
        <w:trPr>
          <w:trHeight w:val="135"/>
        </w:trPr>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5"/>
              </w:rPr>
              <w:t>Maximum</w:t>
            </w:r>
          </w:p>
        </w:tc>
        <w:tc>
          <w:tcPr>
            <w:tcW w:w="2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2"/>
              </w:rPr>
              <w:t>Maximum</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87"/>
              </w:rPr>
              <w:t>Carry</w:t>
            </w: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4"/>
              </w:rPr>
              <w:t>Carry</w:t>
            </w: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88"/>
              </w:rPr>
              <w:t>Forward</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Securities</w:t>
            </w:r>
          </w:p>
        </w:tc>
      </w:tr>
      <w:tr>
        <w:trPr>
          <w:trHeight w:val="135"/>
        </w:trPr>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9"/>
              </w:rPr>
              <w:t>Security</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9"/>
              </w:rPr>
              <w:t>or Carry</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0"/>
              </w:rPr>
              <w:t>Offering</w:t>
            </w:r>
          </w:p>
        </w:tc>
        <w:tc>
          <w:tcPr>
            <w:tcW w:w="2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Aggregate</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center"/>
              <w:ind w:right="300"/>
              <w:spacing w:after="0" w:line="135" w:lineRule="exact"/>
              <w:rPr>
                <w:sz w:val="20"/>
                <w:szCs w:val="20"/>
                <w:color w:val="auto"/>
              </w:rPr>
            </w:pPr>
            <w:r>
              <w:rPr>
                <w:rFonts w:ascii="Arial" w:cs="Arial" w:eastAsia="Arial" w:hAnsi="Arial"/>
                <w:sz w:val="13"/>
                <w:szCs w:val="13"/>
                <w:color w:val="auto"/>
                <w:w w:val="94"/>
              </w:rPr>
              <w:t>Amount of</w:t>
            </w:r>
          </w:p>
        </w:tc>
        <w:tc>
          <w:tcPr>
            <w:tcW w:w="6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Forward</w:t>
            </w: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8"/>
              </w:rPr>
              <w:t>Forward</w:t>
            </w: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8"/>
              </w:rPr>
              <w:t>Initial</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2"/>
              </w:rPr>
              <w:t>to be</w:t>
            </w:r>
          </w:p>
        </w:tc>
      </w:tr>
      <w:tr>
        <w:trPr>
          <w:trHeight w:val="135"/>
        </w:trPr>
        <w:tc>
          <w:tcPr>
            <w:tcW w:w="600" w:type="dxa"/>
            <w:vAlign w:val="bottom"/>
          </w:tcPr>
          <w:p>
            <w:pPr>
              <w:spacing w:after="0"/>
              <w:rPr>
                <w:sz w:val="11"/>
                <w:szCs w:val="11"/>
                <w:color w:val="auto"/>
              </w:rPr>
            </w:pPr>
          </w:p>
        </w:tc>
        <w:tc>
          <w:tcPr>
            <w:tcW w:w="5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9"/>
              </w:rPr>
              <w:t>Security</w:t>
            </w:r>
          </w:p>
        </w:tc>
        <w:tc>
          <w:tcPr>
            <w:tcW w:w="228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86"/>
              </w:rPr>
              <w:t>Class</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140" w:type="dxa"/>
            <w:vAlign w:val="bottom"/>
          </w:tcPr>
          <w:p>
            <w:pPr>
              <w:spacing w:after="0"/>
              <w:rPr>
                <w:sz w:val="11"/>
                <w:szCs w:val="11"/>
                <w:color w:val="auto"/>
              </w:rPr>
            </w:pPr>
          </w:p>
        </w:tc>
        <w:tc>
          <w:tcPr>
            <w:tcW w:w="96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Amount</w:t>
            </w: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5"/>
              </w:rPr>
              <w:t>Price Per</w:t>
            </w:r>
          </w:p>
        </w:tc>
        <w:tc>
          <w:tcPr>
            <w:tcW w:w="20" w:type="dxa"/>
            <w:vAlign w:val="bottom"/>
          </w:tcPr>
          <w:p>
            <w:pPr>
              <w:spacing w:after="0"/>
              <w:rPr>
                <w:sz w:val="11"/>
                <w:szCs w:val="11"/>
                <w:color w:val="auto"/>
              </w:rPr>
            </w:pPr>
          </w:p>
        </w:tc>
        <w:tc>
          <w:tcPr>
            <w:tcW w:w="9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Offering</w:t>
            </w:r>
          </w:p>
        </w:tc>
        <w:tc>
          <w:tcPr>
            <w:tcW w:w="8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Fee</w:t>
            </w:r>
          </w:p>
        </w:tc>
        <w:tc>
          <w:tcPr>
            <w:tcW w:w="920" w:type="dxa"/>
            <w:vAlign w:val="bottom"/>
            <w:gridSpan w:val="4"/>
          </w:tcPr>
          <w:p>
            <w:pPr>
              <w:jc w:val="center"/>
              <w:ind w:right="240"/>
              <w:spacing w:after="0" w:line="135" w:lineRule="exact"/>
              <w:rPr>
                <w:sz w:val="20"/>
                <w:szCs w:val="20"/>
                <w:color w:val="auto"/>
              </w:rPr>
            </w:pPr>
            <w:r>
              <w:rPr>
                <w:rFonts w:ascii="Arial" w:cs="Arial" w:eastAsia="Arial" w:hAnsi="Arial"/>
                <w:sz w:val="13"/>
                <w:szCs w:val="13"/>
                <w:color w:val="auto"/>
                <w:w w:val="86"/>
              </w:rPr>
              <w:t>Registration</w:t>
            </w:r>
          </w:p>
        </w:tc>
        <w:tc>
          <w:tcPr>
            <w:tcW w:w="64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2"/>
              </w:rPr>
              <w:t>Form</w:t>
            </w: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5"/>
              </w:rPr>
              <w:t>File</w:t>
            </w:r>
          </w:p>
        </w:tc>
        <w:tc>
          <w:tcPr>
            <w:tcW w:w="6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0"/>
              </w:rPr>
              <w:t>effective</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9"/>
              </w:rPr>
              <w:t>Carried</w:t>
            </w:r>
          </w:p>
        </w:tc>
      </w:tr>
      <w:tr>
        <w:trPr>
          <w:trHeight w:val="149"/>
        </w:trPr>
        <w:tc>
          <w:tcPr>
            <w:tcW w:w="6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60" w:type="dxa"/>
            <w:vAlign w:val="bottom"/>
            <w:tcBorders>
              <w:bottom w:val="single" w:sz="8" w:color="CCEEFF"/>
            </w:tcBorders>
          </w:tcPr>
          <w:p>
            <w:pPr>
              <w:spacing w:after="0"/>
              <w:rPr>
                <w:sz w:val="12"/>
                <w:szCs w:val="12"/>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Title</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Registered</w:t>
            </w: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Unit</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Price</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Rate</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0"/>
              </w:rPr>
              <w:t>Fee</w:t>
            </w:r>
          </w:p>
        </w:tc>
        <w:tc>
          <w:tcPr>
            <w:tcW w:w="240" w:type="dxa"/>
            <w:vAlign w:val="bottom"/>
            <w:tcBorders>
              <w:bottom w:val="single" w:sz="8" w:color="CCEEFF"/>
            </w:tcBorders>
            <w:gridSpan w:val="2"/>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Number</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date</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Forward</w:t>
            </w:r>
          </w:p>
        </w:tc>
      </w:tr>
      <w:tr>
        <w:trPr>
          <w:trHeight w:val="128"/>
        </w:trPr>
        <w:tc>
          <w:tcPr>
            <w:tcW w:w="6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760" w:type="dxa"/>
            <w:vAlign w:val="bottom"/>
            <w:gridSpan w:val="4"/>
            <w:shd w:val="clear" w:color="auto" w:fill="CCEEFF"/>
          </w:tcPr>
          <w:p>
            <w:pPr>
              <w:jc w:val="center"/>
              <w:ind w:left="217"/>
              <w:spacing w:after="0" w:line="129" w:lineRule="exact"/>
              <w:rPr>
                <w:sz w:val="20"/>
                <w:szCs w:val="20"/>
                <w:color w:val="auto"/>
              </w:rPr>
            </w:pPr>
            <w:r>
              <w:rPr>
                <w:rFonts w:ascii="Arial" w:cs="Arial" w:eastAsia="Arial" w:hAnsi="Arial"/>
                <w:sz w:val="13"/>
                <w:szCs w:val="13"/>
                <w:color w:val="auto"/>
                <w:w w:val="88"/>
              </w:rPr>
              <w:t>Newly Registered Securities</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21"/>
        </w:trPr>
        <w:tc>
          <w:tcPr>
            <w:tcW w:w="600" w:type="dxa"/>
            <w:vAlign w:val="bottom"/>
          </w:tcPr>
          <w:p>
            <w:pPr>
              <w:jc w:val="center"/>
              <w:spacing w:after="0" w:line="121" w:lineRule="exact"/>
              <w:rPr>
                <w:sz w:val="20"/>
                <w:szCs w:val="20"/>
                <w:color w:val="auto"/>
              </w:rPr>
            </w:pPr>
            <w:r>
              <w:rPr>
                <w:rFonts w:ascii="Arial" w:cs="Arial" w:eastAsia="Arial" w:hAnsi="Arial"/>
                <w:sz w:val="13"/>
                <w:szCs w:val="13"/>
                <w:color w:val="auto"/>
                <w:w w:val="82"/>
              </w:rPr>
              <w:t>Fees to Be</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80" w:type="dxa"/>
            <w:vAlign w:val="bottom"/>
            <w:gridSpan w:val="2"/>
          </w:tcPr>
          <w:p>
            <w:pPr>
              <w:jc w:val="center"/>
              <w:ind w:right="60"/>
              <w:spacing w:after="0" w:line="121" w:lineRule="exact"/>
              <w:rPr>
                <w:sz w:val="20"/>
                <w:szCs w:val="20"/>
                <w:color w:val="auto"/>
              </w:rPr>
            </w:pPr>
            <w:r>
              <w:rPr>
                <w:rFonts w:ascii="Arial" w:cs="Arial" w:eastAsia="Arial" w:hAnsi="Arial"/>
                <w:sz w:val="13"/>
                <w:szCs w:val="13"/>
                <w:color w:val="auto"/>
                <w:w w:val="86"/>
              </w:rPr>
              <w:t>4.15% Senior Notes due 2032 of Waste</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600" w:type="dxa"/>
            <w:vAlign w:val="bottom"/>
          </w:tcPr>
          <w:p>
            <w:pPr>
              <w:jc w:val="center"/>
              <w:spacing w:after="0"/>
              <w:rPr>
                <w:sz w:val="20"/>
                <w:szCs w:val="20"/>
                <w:color w:val="auto"/>
              </w:rPr>
            </w:pPr>
            <w:r>
              <w:rPr>
                <w:rFonts w:ascii="Arial" w:cs="Arial" w:eastAsia="Arial" w:hAnsi="Arial"/>
                <w:sz w:val="13"/>
                <w:szCs w:val="13"/>
                <w:color w:val="auto"/>
                <w:w w:val="84"/>
              </w:rPr>
              <w:t>Paid</w:t>
            </w:r>
          </w:p>
        </w:tc>
        <w:tc>
          <w:tcPr>
            <w:tcW w:w="560" w:type="dxa"/>
            <w:vAlign w:val="bottom"/>
            <w:gridSpan w:val="2"/>
          </w:tcPr>
          <w:p>
            <w:pPr>
              <w:jc w:val="center"/>
              <w:ind w:right="60"/>
              <w:spacing w:after="0"/>
              <w:rPr>
                <w:sz w:val="20"/>
                <w:szCs w:val="20"/>
                <w:color w:val="auto"/>
              </w:rPr>
            </w:pPr>
            <w:r>
              <w:rPr>
                <w:rFonts w:ascii="Arial" w:cs="Arial" w:eastAsia="Arial" w:hAnsi="Arial"/>
                <w:sz w:val="13"/>
                <w:szCs w:val="13"/>
                <w:color w:val="auto"/>
                <w:w w:val="94"/>
              </w:rPr>
              <w:t>Debt</w:t>
            </w:r>
          </w:p>
        </w:tc>
        <w:tc>
          <w:tcPr>
            <w:tcW w:w="2280" w:type="dxa"/>
            <w:vAlign w:val="bottom"/>
            <w:gridSpan w:val="2"/>
          </w:tcPr>
          <w:p>
            <w:pPr>
              <w:jc w:val="center"/>
              <w:ind w:right="60"/>
              <w:spacing w:after="0"/>
              <w:rPr>
                <w:sz w:val="20"/>
                <w:szCs w:val="20"/>
                <w:color w:val="auto"/>
              </w:rPr>
            </w:pPr>
            <w:r>
              <w:rPr>
                <w:rFonts w:ascii="Arial" w:cs="Arial" w:eastAsia="Arial" w:hAnsi="Arial"/>
                <w:sz w:val="13"/>
                <w:szCs w:val="13"/>
                <w:color w:val="auto"/>
                <w:w w:val="86"/>
              </w:rPr>
              <w:t>Management, Inc.</w:t>
            </w:r>
          </w:p>
        </w:tc>
        <w:tc>
          <w:tcPr>
            <w:tcW w:w="660" w:type="dxa"/>
            <w:vAlign w:val="bottom"/>
          </w:tcPr>
          <w:p>
            <w:pPr>
              <w:jc w:val="center"/>
              <w:ind w:left="37"/>
              <w:spacing w:after="0"/>
              <w:rPr>
                <w:sz w:val="20"/>
                <w:szCs w:val="20"/>
                <w:color w:val="auto"/>
              </w:rPr>
            </w:pPr>
            <w:r>
              <w:rPr>
                <w:rFonts w:ascii="Arial" w:cs="Arial" w:eastAsia="Arial" w:hAnsi="Arial"/>
                <w:sz w:val="13"/>
                <w:szCs w:val="13"/>
                <w:color w:val="auto"/>
                <w:w w:val="92"/>
              </w:rPr>
              <w:t>457(r)</w:t>
            </w:r>
          </w:p>
        </w:tc>
        <w:tc>
          <w:tcPr>
            <w:tcW w:w="1100" w:type="dxa"/>
            <w:vAlign w:val="bottom"/>
            <w:gridSpan w:val="3"/>
          </w:tcPr>
          <w:p>
            <w:pPr>
              <w:jc w:val="right"/>
              <w:ind w:right="140"/>
              <w:spacing w:after="0"/>
              <w:rPr>
                <w:sz w:val="20"/>
                <w:szCs w:val="20"/>
                <w:color w:val="auto"/>
              </w:rPr>
            </w:pPr>
            <w:r>
              <w:rPr>
                <w:rFonts w:ascii="Arial" w:cs="Arial" w:eastAsia="Arial" w:hAnsi="Arial"/>
                <w:sz w:val="13"/>
                <w:szCs w:val="13"/>
                <w:color w:val="auto"/>
                <w:w w:val="99"/>
              </w:rPr>
              <w:t>$ 1,000,000,000</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99.850%</w:t>
            </w:r>
          </w:p>
        </w:tc>
        <w:tc>
          <w:tcPr>
            <w:tcW w:w="920" w:type="dxa"/>
            <w:vAlign w:val="bottom"/>
            <w:gridSpan w:val="3"/>
          </w:tcPr>
          <w:p>
            <w:pPr>
              <w:jc w:val="right"/>
              <w:ind w:right="160"/>
              <w:spacing w:after="0"/>
              <w:rPr>
                <w:sz w:val="20"/>
                <w:szCs w:val="20"/>
                <w:color w:val="auto"/>
              </w:rPr>
            </w:pPr>
            <w:r>
              <w:rPr>
                <w:rFonts w:ascii="Arial" w:cs="Arial" w:eastAsia="Arial" w:hAnsi="Arial"/>
                <w:sz w:val="13"/>
                <w:szCs w:val="13"/>
                <w:color w:val="auto"/>
                <w:w w:val="88"/>
              </w:rPr>
              <w:t>$ 998,500,000</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0.0000927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92,560.95</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21"/>
        </w:trPr>
        <w:tc>
          <w:tcPr>
            <w:tcW w:w="6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80" w:type="dxa"/>
            <w:vAlign w:val="bottom"/>
            <w:gridSpan w:val="2"/>
            <w:shd w:val="clear" w:color="auto" w:fill="CCEEFF"/>
          </w:tcPr>
          <w:p>
            <w:pPr>
              <w:jc w:val="center"/>
              <w:ind w:right="60"/>
              <w:spacing w:after="0" w:line="121" w:lineRule="exact"/>
              <w:rPr>
                <w:sz w:val="20"/>
                <w:szCs w:val="20"/>
                <w:color w:val="auto"/>
              </w:rPr>
            </w:pPr>
            <w:r>
              <w:rPr>
                <w:rFonts w:ascii="Arial" w:cs="Arial" w:eastAsia="Arial" w:hAnsi="Arial"/>
                <w:sz w:val="13"/>
                <w:szCs w:val="13"/>
                <w:color w:val="auto"/>
                <w:w w:val="86"/>
              </w:rPr>
              <w:t>Guarantee of 4.15% Senior Notes due 2032</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42"/>
        </w:trPr>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60"/>
              <w:spacing w:after="0" w:line="143" w:lineRule="exact"/>
              <w:rPr>
                <w:sz w:val="20"/>
                <w:szCs w:val="20"/>
                <w:color w:val="auto"/>
              </w:rPr>
            </w:pPr>
            <w:r>
              <w:rPr>
                <w:rFonts w:ascii="Arial" w:cs="Arial" w:eastAsia="Arial" w:hAnsi="Arial"/>
                <w:sz w:val="13"/>
                <w:szCs w:val="13"/>
                <w:color w:val="auto"/>
                <w:w w:val="85"/>
              </w:rPr>
              <w:t>of Waste Management, Inc. by Waste</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82"/>
        </w:trPr>
        <w:tc>
          <w:tcPr>
            <w:tcW w:w="6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2"/>
              </w:rPr>
              <w:t>Other</w:t>
            </w:r>
          </w:p>
        </w:tc>
        <w:tc>
          <w:tcPr>
            <w:tcW w:w="2280" w:type="dxa"/>
            <w:vAlign w:val="bottom"/>
            <w:gridSpan w:val="2"/>
            <w:shd w:val="clear" w:color="auto" w:fill="CCEEFF"/>
          </w:tcPr>
          <w:p>
            <w:pPr>
              <w:jc w:val="center"/>
              <w:ind w:right="80"/>
              <w:spacing w:after="0" w:line="183" w:lineRule="exact"/>
              <w:rPr>
                <w:sz w:val="20"/>
                <w:szCs w:val="20"/>
                <w:color w:val="auto"/>
              </w:rPr>
            </w:pPr>
            <w:r>
              <w:rPr>
                <w:rFonts w:ascii="Arial" w:cs="Arial" w:eastAsia="Arial" w:hAnsi="Arial"/>
                <w:sz w:val="13"/>
                <w:szCs w:val="13"/>
                <w:color w:val="auto"/>
                <w:w w:val="87"/>
              </w:rPr>
              <w:t xml:space="preserve">Management Holdings, Inc. </w:t>
            </w:r>
            <w:r>
              <w:rPr>
                <w:rFonts w:ascii="Arial" w:cs="Arial" w:eastAsia="Arial" w:hAnsi="Arial"/>
                <w:sz w:val="20"/>
                <w:szCs w:val="20"/>
                <w:color w:val="auto"/>
                <w:w w:val="87"/>
                <w:vertAlign w:val="superscript"/>
              </w:rPr>
              <w:t>(1)</w:t>
            </w:r>
          </w:p>
        </w:tc>
        <w:tc>
          <w:tcPr>
            <w:tcW w:w="660" w:type="dxa"/>
            <w:vAlign w:val="bottom"/>
            <w:shd w:val="clear" w:color="auto" w:fill="CCEEFF"/>
          </w:tcPr>
          <w:p>
            <w:pPr>
              <w:jc w:val="center"/>
              <w:ind w:left="37"/>
              <w:spacing w:after="0" w:line="183" w:lineRule="exact"/>
              <w:rPr>
                <w:sz w:val="20"/>
                <w:szCs w:val="20"/>
                <w:color w:val="auto"/>
              </w:rPr>
            </w:pPr>
            <w:r>
              <w:rPr>
                <w:rFonts w:ascii="Arial" w:cs="Arial" w:eastAsia="Arial" w:hAnsi="Arial"/>
                <w:sz w:val="13"/>
                <w:szCs w:val="13"/>
                <w:color w:val="auto"/>
                <w:w w:val="83"/>
              </w:rPr>
              <w:t xml:space="preserve">Other </w:t>
            </w:r>
            <w:r>
              <w:rPr>
                <w:rFonts w:ascii="Arial" w:cs="Arial" w:eastAsia="Arial" w:hAnsi="Arial"/>
                <w:sz w:val="20"/>
                <w:szCs w:val="20"/>
                <w:color w:val="auto"/>
                <w:w w:val="83"/>
                <w:vertAlign w:val="superscript"/>
              </w:rPr>
              <w:t>(1)</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ind w:left="500"/>
              <w:spacing w:after="0" w:line="183"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(1)</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21"/>
        </w:trPr>
        <w:tc>
          <w:tcPr>
            <w:tcW w:w="600" w:type="dxa"/>
            <w:vAlign w:val="bottom"/>
          </w:tcPr>
          <w:p>
            <w:pPr>
              <w:jc w:val="center"/>
              <w:spacing w:after="0" w:line="121" w:lineRule="exact"/>
              <w:rPr>
                <w:sz w:val="20"/>
                <w:szCs w:val="20"/>
                <w:color w:val="auto"/>
              </w:rPr>
            </w:pPr>
            <w:r>
              <w:rPr>
                <w:rFonts w:ascii="Arial" w:cs="Arial" w:eastAsia="Arial" w:hAnsi="Arial"/>
                <w:sz w:val="13"/>
                <w:szCs w:val="13"/>
                <w:color w:val="auto"/>
                <w:w w:val="82"/>
              </w:rPr>
              <w:t>Fees</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5"/>
        </w:trPr>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9"/>
              </w:rPr>
              <w:t>Previously</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9"/>
        </w:trPr>
        <w:tc>
          <w:tcPr>
            <w:tcW w:w="600" w:type="dxa"/>
            <w:vAlign w:val="bottom"/>
          </w:tcPr>
          <w:p>
            <w:pPr>
              <w:jc w:val="center"/>
              <w:spacing w:after="0"/>
              <w:rPr>
                <w:sz w:val="20"/>
                <w:szCs w:val="20"/>
                <w:color w:val="auto"/>
              </w:rPr>
            </w:pPr>
            <w:r>
              <w:rPr>
                <w:rFonts w:ascii="Arial" w:cs="Arial" w:eastAsia="Arial" w:hAnsi="Arial"/>
                <w:sz w:val="13"/>
                <w:szCs w:val="13"/>
                <w:color w:val="auto"/>
                <w:w w:val="84"/>
              </w:rPr>
              <w:t>Paid</w:t>
            </w:r>
          </w:p>
        </w:tc>
        <w:tc>
          <w:tcPr>
            <w:tcW w:w="560" w:type="dxa"/>
            <w:vAlign w:val="bottom"/>
            <w:gridSpan w:val="2"/>
          </w:tcPr>
          <w:p>
            <w:pPr>
              <w:jc w:val="center"/>
              <w:ind w:right="60"/>
              <w:spacing w:after="0"/>
              <w:rPr>
                <w:sz w:val="20"/>
                <w:szCs w:val="20"/>
                <w:color w:val="auto"/>
              </w:rPr>
            </w:pPr>
            <w:r>
              <w:rPr>
                <w:rFonts w:ascii="Arial" w:cs="Arial" w:eastAsia="Arial" w:hAnsi="Arial"/>
                <w:sz w:val="13"/>
                <w:szCs w:val="13"/>
                <w:color w:val="auto"/>
              </w:rPr>
              <w:t>N/A</w:t>
            </w:r>
          </w:p>
        </w:tc>
        <w:tc>
          <w:tcPr>
            <w:tcW w:w="2280" w:type="dxa"/>
            <w:vAlign w:val="bottom"/>
            <w:gridSpan w:val="2"/>
          </w:tcPr>
          <w:p>
            <w:pPr>
              <w:jc w:val="center"/>
              <w:ind w:right="60"/>
              <w:spacing w:after="0"/>
              <w:rPr>
                <w:sz w:val="20"/>
                <w:szCs w:val="20"/>
                <w:color w:val="auto"/>
              </w:rPr>
            </w:pPr>
            <w:r>
              <w:rPr>
                <w:rFonts w:ascii="Arial" w:cs="Arial" w:eastAsia="Arial" w:hAnsi="Arial"/>
                <w:sz w:val="13"/>
                <w:szCs w:val="13"/>
                <w:color w:val="auto"/>
              </w:rPr>
              <w:t>N/A</w:t>
            </w:r>
          </w:p>
        </w:tc>
        <w:tc>
          <w:tcPr>
            <w:tcW w:w="660" w:type="dxa"/>
            <w:vAlign w:val="bottom"/>
          </w:tcPr>
          <w:p>
            <w:pPr>
              <w:jc w:val="center"/>
              <w:ind w:left="17"/>
              <w:spacing w:after="0"/>
              <w:rPr>
                <w:sz w:val="20"/>
                <w:szCs w:val="20"/>
                <w:color w:val="auto"/>
              </w:rPr>
            </w:pPr>
            <w:r>
              <w:rPr>
                <w:rFonts w:ascii="Arial" w:cs="Arial" w:eastAsia="Arial" w:hAnsi="Arial"/>
                <w:sz w:val="13"/>
                <w:szCs w:val="13"/>
                <w:color w:val="auto"/>
              </w:rPr>
              <w:t>N/A</w:t>
            </w:r>
          </w:p>
        </w:tc>
        <w:tc>
          <w:tcPr>
            <w:tcW w:w="140" w:type="dxa"/>
            <w:vAlign w:val="bottom"/>
          </w:tcPr>
          <w:p>
            <w:pPr>
              <w:spacing w:after="0"/>
              <w:rPr>
                <w:sz w:val="12"/>
                <w:szCs w:val="12"/>
                <w:color w:val="auto"/>
              </w:rPr>
            </w:pPr>
          </w:p>
        </w:tc>
        <w:tc>
          <w:tcPr>
            <w:tcW w:w="960" w:type="dxa"/>
            <w:vAlign w:val="bottom"/>
            <w:gridSpan w:val="2"/>
          </w:tcPr>
          <w:p>
            <w:pPr>
              <w:ind w:left="340"/>
              <w:spacing w:after="0"/>
              <w:rPr>
                <w:sz w:val="20"/>
                <w:szCs w:val="20"/>
                <w:color w:val="auto"/>
              </w:rPr>
            </w:pPr>
            <w:r>
              <w:rPr>
                <w:rFonts w:ascii="Arial" w:cs="Arial" w:eastAsia="Arial" w:hAnsi="Arial"/>
                <w:sz w:val="13"/>
                <w:szCs w:val="13"/>
                <w:color w:val="auto"/>
              </w:rPr>
              <w:t>N/A</w:t>
            </w: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N/A</w:t>
            </w:r>
          </w:p>
        </w:tc>
        <w:tc>
          <w:tcPr>
            <w:tcW w:w="20" w:type="dxa"/>
            <w:vAlign w:val="bottom"/>
          </w:tcPr>
          <w:p>
            <w:pPr>
              <w:spacing w:after="0"/>
              <w:rPr>
                <w:sz w:val="12"/>
                <w:szCs w:val="12"/>
                <w:color w:val="auto"/>
              </w:rPr>
            </w:pPr>
          </w:p>
        </w:tc>
        <w:tc>
          <w:tcPr>
            <w:tcW w:w="900" w:type="dxa"/>
            <w:vAlign w:val="bottom"/>
            <w:gridSpan w:val="2"/>
          </w:tcPr>
          <w:p>
            <w:pPr>
              <w:ind w:left="300"/>
              <w:spacing w:after="0"/>
              <w:rPr>
                <w:sz w:val="20"/>
                <w:szCs w:val="20"/>
                <w:color w:val="auto"/>
              </w:rPr>
            </w:pPr>
            <w:r>
              <w:rPr>
                <w:rFonts w:ascii="Arial" w:cs="Arial" w:eastAsia="Arial" w:hAnsi="Arial"/>
                <w:sz w:val="13"/>
                <w:szCs w:val="13"/>
                <w:color w:val="auto"/>
              </w:rPr>
              <w:t>N/A</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ind w:left="220"/>
              <w:spacing w:after="0"/>
              <w:rPr>
                <w:sz w:val="20"/>
                <w:szCs w:val="20"/>
                <w:color w:val="auto"/>
              </w:rPr>
            </w:pPr>
            <w:r>
              <w:rPr>
                <w:rFonts w:ascii="Arial" w:cs="Arial" w:eastAsia="Arial" w:hAnsi="Arial"/>
                <w:sz w:val="13"/>
                <w:szCs w:val="13"/>
                <w:color w:val="auto"/>
              </w:rPr>
              <w:t>N/A</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35"/>
        </w:trPr>
        <w:tc>
          <w:tcPr>
            <w:tcW w:w="6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760" w:type="dxa"/>
            <w:vAlign w:val="bottom"/>
            <w:gridSpan w:val="4"/>
            <w:shd w:val="clear" w:color="auto" w:fill="CCEEFF"/>
          </w:tcPr>
          <w:p>
            <w:pPr>
              <w:jc w:val="center"/>
              <w:ind w:left="257"/>
              <w:spacing w:after="0" w:line="135" w:lineRule="exact"/>
              <w:rPr>
                <w:sz w:val="20"/>
                <w:szCs w:val="20"/>
                <w:color w:val="auto"/>
              </w:rPr>
            </w:pPr>
            <w:r>
              <w:rPr>
                <w:rFonts w:ascii="Arial" w:cs="Arial" w:eastAsia="Arial" w:hAnsi="Arial"/>
                <w:sz w:val="13"/>
                <w:szCs w:val="13"/>
                <w:color w:val="auto"/>
                <w:w w:val="89"/>
              </w:rPr>
              <w:t>Carry Forward Securities</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21"/>
        </w:trPr>
        <w:tc>
          <w:tcPr>
            <w:tcW w:w="600" w:type="dxa"/>
            <w:vAlign w:val="bottom"/>
          </w:tcPr>
          <w:p>
            <w:pPr>
              <w:jc w:val="center"/>
              <w:spacing w:after="0" w:line="121" w:lineRule="exact"/>
              <w:rPr>
                <w:sz w:val="20"/>
                <w:szCs w:val="20"/>
                <w:color w:val="auto"/>
              </w:rPr>
            </w:pPr>
            <w:r>
              <w:rPr>
                <w:rFonts w:ascii="Arial" w:cs="Arial" w:eastAsia="Arial" w:hAnsi="Arial"/>
                <w:sz w:val="13"/>
                <w:szCs w:val="13"/>
                <w:color w:val="auto"/>
                <w:w w:val="87"/>
              </w:rPr>
              <w:t>Carry</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5"/>
        </w:trPr>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92"/>
              </w:rPr>
              <w:t>Forward</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9"/>
        </w:trPr>
        <w:tc>
          <w:tcPr>
            <w:tcW w:w="600" w:type="dxa"/>
            <w:vAlign w:val="bottom"/>
          </w:tcPr>
          <w:p>
            <w:pPr>
              <w:jc w:val="center"/>
              <w:spacing w:after="0"/>
              <w:rPr>
                <w:sz w:val="20"/>
                <w:szCs w:val="20"/>
                <w:color w:val="auto"/>
              </w:rPr>
            </w:pPr>
            <w:r>
              <w:rPr>
                <w:rFonts w:ascii="Arial" w:cs="Arial" w:eastAsia="Arial" w:hAnsi="Arial"/>
                <w:sz w:val="13"/>
                <w:szCs w:val="13"/>
                <w:color w:val="auto"/>
                <w:w w:val="87"/>
              </w:rPr>
              <w:t>Securities</w:t>
            </w:r>
          </w:p>
        </w:tc>
        <w:tc>
          <w:tcPr>
            <w:tcW w:w="560" w:type="dxa"/>
            <w:vAlign w:val="bottom"/>
            <w:gridSpan w:val="2"/>
          </w:tcPr>
          <w:p>
            <w:pPr>
              <w:jc w:val="center"/>
              <w:ind w:right="60"/>
              <w:spacing w:after="0"/>
              <w:rPr>
                <w:sz w:val="20"/>
                <w:szCs w:val="20"/>
                <w:color w:val="auto"/>
              </w:rPr>
            </w:pPr>
            <w:r>
              <w:rPr>
                <w:rFonts w:ascii="Arial" w:cs="Arial" w:eastAsia="Arial" w:hAnsi="Arial"/>
                <w:sz w:val="13"/>
                <w:szCs w:val="13"/>
                <w:color w:val="auto"/>
              </w:rPr>
              <w:t>N/A</w:t>
            </w:r>
          </w:p>
        </w:tc>
        <w:tc>
          <w:tcPr>
            <w:tcW w:w="2280" w:type="dxa"/>
            <w:vAlign w:val="bottom"/>
            <w:gridSpan w:val="2"/>
          </w:tcPr>
          <w:p>
            <w:pPr>
              <w:jc w:val="center"/>
              <w:ind w:right="60"/>
              <w:spacing w:after="0"/>
              <w:rPr>
                <w:sz w:val="20"/>
                <w:szCs w:val="20"/>
                <w:color w:val="auto"/>
              </w:rPr>
            </w:pPr>
            <w:r>
              <w:rPr>
                <w:rFonts w:ascii="Arial" w:cs="Arial" w:eastAsia="Arial" w:hAnsi="Arial"/>
                <w:sz w:val="13"/>
                <w:szCs w:val="13"/>
                <w:color w:val="auto"/>
              </w:rPr>
              <w:t>N/A</w:t>
            </w:r>
          </w:p>
        </w:tc>
        <w:tc>
          <w:tcPr>
            <w:tcW w:w="660" w:type="dxa"/>
            <w:vAlign w:val="bottom"/>
          </w:tcPr>
          <w:p>
            <w:pPr>
              <w:jc w:val="center"/>
              <w:ind w:left="17"/>
              <w:spacing w:after="0"/>
              <w:rPr>
                <w:sz w:val="20"/>
                <w:szCs w:val="20"/>
                <w:color w:val="auto"/>
              </w:rPr>
            </w:pPr>
            <w:r>
              <w:rPr>
                <w:rFonts w:ascii="Arial" w:cs="Arial" w:eastAsia="Arial" w:hAnsi="Arial"/>
                <w:sz w:val="13"/>
                <w:szCs w:val="13"/>
                <w:color w:val="auto"/>
              </w:rPr>
              <w:t>N/A</w:t>
            </w:r>
          </w:p>
        </w:tc>
        <w:tc>
          <w:tcPr>
            <w:tcW w:w="140" w:type="dxa"/>
            <w:vAlign w:val="bottom"/>
          </w:tcPr>
          <w:p>
            <w:pPr>
              <w:spacing w:after="0"/>
              <w:rPr>
                <w:sz w:val="12"/>
                <w:szCs w:val="12"/>
                <w:color w:val="auto"/>
              </w:rPr>
            </w:pPr>
          </w:p>
        </w:tc>
        <w:tc>
          <w:tcPr>
            <w:tcW w:w="960" w:type="dxa"/>
            <w:vAlign w:val="bottom"/>
            <w:gridSpan w:val="2"/>
          </w:tcPr>
          <w:p>
            <w:pPr>
              <w:ind w:left="340"/>
              <w:spacing w:after="0"/>
              <w:rPr>
                <w:sz w:val="20"/>
                <w:szCs w:val="20"/>
                <w:color w:val="auto"/>
              </w:rPr>
            </w:pPr>
            <w:r>
              <w:rPr>
                <w:rFonts w:ascii="Arial" w:cs="Arial" w:eastAsia="Arial" w:hAnsi="Arial"/>
                <w:sz w:val="13"/>
                <w:szCs w:val="13"/>
                <w:color w:val="auto"/>
              </w:rPr>
              <w:t>N/A</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ind w:left="300"/>
              <w:spacing w:after="0"/>
              <w:rPr>
                <w:sz w:val="20"/>
                <w:szCs w:val="20"/>
                <w:color w:val="auto"/>
              </w:rPr>
            </w:pPr>
            <w:r>
              <w:rPr>
                <w:rFonts w:ascii="Arial" w:cs="Arial" w:eastAsia="Arial" w:hAnsi="Arial"/>
                <w:sz w:val="13"/>
                <w:szCs w:val="13"/>
                <w:color w:val="auto"/>
              </w:rPr>
              <w:t>N/A</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3"/>
                <w:szCs w:val="13"/>
                <w:color w:val="auto"/>
              </w:rPr>
              <w:t>N/A</w:t>
            </w:r>
          </w:p>
        </w:tc>
        <w:tc>
          <w:tcPr>
            <w:tcW w:w="660" w:type="dxa"/>
            <w:vAlign w:val="bottom"/>
            <w:gridSpan w:val="2"/>
          </w:tcPr>
          <w:p>
            <w:pPr>
              <w:jc w:val="center"/>
              <w:ind w:right="80"/>
              <w:spacing w:after="0"/>
              <w:rPr>
                <w:sz w:val="20"/>
                <w:szCs w:val="20"/>
                <w:color w:val="auto"/>
              </w:rPr>
            </w:pPr>
            <w:r>
              <w:rPr>
                <w:rFonts w:ascii="Arial" w:cs="Arial" w:eastAsia="Arial" w:hAnsi="Arial"/>
                <w:sz w:val="13"/>
                <w:szCs w:val="13"/>
                <w:color w:val="auto"/>
              </w:rPr>
              <w:t>N/A</w:t>
            </w:r>
          </w:p>
        </w:tc>
        <w:tc>
          <w:tcPr>
            <w:tcW w:w="620" w:type="dxa"/>
            <w:vAlign w:val="bottom"/>
            <w:gridSpan w:val="2"/>
          </w:tcPr>
          <w:p>
            <w:pPr>
              <w:jc w:val="center"/>
              <w:ind w:right="80"/>
              <w:spacing w:after="0"/>
              <w:rPr>
                <w:sz w:val="20"/>
                <w:szCs w:val="20"/>
                <w:color w:val="auto"/>
              </w:rPr>
            </w:pPr>
            <w:r>
              <w:rPr>
                <w:rFonts w:ascii="Arial" w:cs="Arial" w:eastAsia="Arial" w:hAnsi="Arial"/>
                <w:sz w:val="13"/>
                <w:szCs w:val="13"/>
                <w:color w:val="auto"/>
              </w:rPr>
              <w:t>N/A</w:t>
            </w:r>
          </w:p>
        </w:tc>
        <w:tc>
          <w:tcPr>
            <w:tcW w:w="640" w:type="dxa"/>
            <w:vAlign w:val="bottom"/>
          </w:tcPr>
          <w:p>
            <w:pPr>
              <w:jc w:val="center"/>
              <w:spacing w:after="0"/>
              <w:rPr>
                <w:sz w:val="20"/>
                <w:szCs w:val="20"/>
                <w:color w:val="auto"/>
              </w:rPr>
            </w:pPr>
            <w:r>
              <w:rPr>
                <w:rFonts w:ascii="Arial" w:cs="Arial" w:eastAsia="Arial" w:hAnsi="Arial"/>
                <w:sz w:val="13"/>
                <w:szCs w:val="13"/>
                <w:color w:val="auto"/>
              </w:rPr>
              <w:t>N/A</w:t>
            </w:r>
          </w:p>
        </w:tc>
      </w:tr>
      <w:tr>
        <w:trPr>
          <w:trHeight w:val="128"/>
        </w:trPr>
        <w:tc>
          <w:tcPr>
            <w:tcW w:w="6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CCEEFF"/>
            </w:tcBorders>
            <w:gridSpan w:val="4"/>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Total Offering Amounts</w:t>
            </w:r>
          </w:p>
        </w:tc>
        <w:tc>
          <w:tcPr>
            <w:tcW w:w="6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$ 998,500,000</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92,560.95</w:t>
            </w: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r>
      <w:tr>
        <w:trPr>
          <w:trHeight w:val="128"/>
        </w:trPr>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4"/>
          </w:tcPr>
          <w:p>
            <w:pPr>
              <w:jc w:val="right"/>
              <w:ind w:right="140"/>
              <w:spacing w:after="0" w:line="129" w:lineRule="exact"/>
              <w:rPr>
                <w:sz w:val="20"/>
                <w:szCs w:val="20"/>
                <w:color w:val="auto"/>
              </w:rPr>
            </w:pPr>
            <w:r>
              <w:rPr>
                <w:rFonts w:ascii="Arial" w:cs="Arial" w:eastAsia="Arial" w:hAnsi="Arial"/>
                <w:sz w:val="13"/>
                <w:szCs w:val="13"/>
                <w:color w:val="auto"/>
              </w:rPr>
              <w:t>Total Fees Previously Paid</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6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4"/>
              </w:rPr>
              <w:t>Total Fee Offsets</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29"/>
        </w:trPr>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Net Fee Due</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92,560.95</w:t>
            </w: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r>
    </w:tbl>
    <w:p>
      <w:pPr>
        <w:spacing w:after="0" w:line="121" w:lineRule="exact"/>
        <w:rPr>
          <w:sz w:val="20"/>
          <w:szCs w:val="20"/>
          <w:color w:val="auto"/>
        </w:rPr>
      </w:pPr>
    </w:p>
    <w:p>
      <w:pPr>
        <w:ind w:left="460" w:right="420" w:hanging="452"/>
        <w:spacing w:after="0" w:line="236" w:lineRule="auto"/>
        <w:tabs>
          <w:tab w:leader="none" w:pos="4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Waste Management Holdings, Inc. will fully and unconditionally guarantee the 4.15% Senior Notes due 2032 issued by Waste Management, Inc. Pursuant to Rule 457(n) under the Securities Act of 1933, as amended, no separate fee is payable with respect to such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emdash "/>
      <w:numFmt w:val="bullet"/>
      <w:start w:val="1"/>
    </w:lvl>
  </w:abstractNum>
  <w:abstractNum w:abstractNumId="3">
    <w:nsid w:val="8138641"/>
    <w:multiLevelType w:val="hybridMultilevel"/>
    <w:lvl w:ilvl="0">
      <w:lvlJc w:val="left"/>
      <w:lvlText w:val="(%1)"/>
      <w:numFmt w:val="lowerLetter"/>
      <w:start w:val="1"/>
    </w:lvl>
  </w:abstractNum>
  <w:abstractNum w:abstractNumId="4">
    <w:nsid w:val="1E7FF521"/>
    <w:multiLevelType w:val="hybridMultilevel"/>
    <w:lvl w:ilvl="0">
      <w:lvlJc w:val="left"/>
      <w:lvlText w:val="(%1)"/>
      <w:numFmt w:val="lowerLetter"/>
      <w:start w:val="3"/>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
    </w:lvl>
    <w:lvl w:ilvl="1">
      <w:lvlJc w:val="left"/>
      <w:lvlText w:val="(%2)"/>
      <w:numFmt w:val="lowerLetter"/>
      <w:start w:val="1"/>
    </w:lvl>
  </w:abstractNum>
  <w:abstractNum w:abstractNumId="9">
    <w:nsid w:val="4516DDE9"/>
    <w:multiLevelType w:val="hybridMultilevel"/>
    <w:lvl w:ilvl="0">
      <w:lvlJc w:val="left"/>
      <w:lvlText w:val="(%1)"/>
      <w:numFmt w:val="lowerRoman"/>
      <w:start w:val="10"/>
    </w:lvl>
  </w:abstractNum>
  <w:abstractNum w:abstractNumId="10">
    <w:nsid w:val="3006C83E"/>
    <w:multiLevelType w:val="hybridMultilevel"/>
    <w:lvl w:ilvl="0">
      <w:lvlJc w:val="left"/>
      <w:lvlText w:val="(%1)"/>
      <w:numFmt w:val="decimal"/>
      <w:start w:val="2"/>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lowerRoman"/>
      <w:start w:val="2"/>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lowerRoman"/>
      <w:start w:val="3"/>
    </w:lvl>
  </w:abstractNum>
  <w:abstractNum w:abstractNumId="24">
    <w:nsid w:val="580BD78F"/>
    <w:multiLevelType w:val="hybridMultilevel"/>
    <w:lvl w:ilvl="0">
      <w:lvlJc w:val="left"/>
      <w:lvlText w:val="%1."/>
      <w:numFmt w:val="upperLetter"/>
      <w:start w:val="1"/>
    </w:lvl>
  </w:abstractNum>
  <w:abstractNum w:abstractNumId="25">
    <w:nsid w:val="153EA438"/>
    <w:multiLevelType w:val="hybridMultilevel"/>
    <w:lvl w:ilvl="0">
      <w:lvlJc w:val="left"/>
      <w:lvlText w:val="(%1)"/>
      <w:numFmt w:val="lowerRoman"/>
      <w:start w:val="3"/>
    </w:lvl>
  </w:abstractNum>
  <w:abstractNum w:abstractNumId="26">
    <w:nsid w:val="3855585C"/>
    <w:multiLevelType w:val="hybridMultilevel"/>
    <w:lvl w:ilvl="0">
      <w:lvlJc w:val="left"/>
      <w:lvlText w:val="%1."/>
      <w:numFmt w:val="upperLetter"/>
      <w:start w:val="1"/>
    </w:lvl>
  </w:abstractNum>
  <w:abstractNum w:abstractNumId="27">
    <w:nsid w:val="70A64E2A"/>
    <w:multiLevelType w:val="hybridMultilevel"/>
    <w:lvl w:ilvl="0">
      <w:lvlJc w:val="left"/>
      <w:lvlText w:val="(%1)"/>
      <w:numFmt w:val="lowerRoman"/>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1)"/>
      <w:numFmt w:val="lowerLetter"/>
      <w:start w:val="1"/>
    </w:lvl>
    <w:lvl w:ilvl="1">
      <w:lvlJc w:val="left"/>
      <w:lvlText w:val="•"/>
      <w:numFmt w:val="bullet"/>
      <w:start w:val="1"/>
    </w:lvl>
  </w:abstractNum>
  <w:abstractNum w:abstractNumId="49">
    <w:nsid w:val="70C6A529"/>
    <w:multiLevelType w:val="hybridMultilevel"/>
    <w:lvl w:ilvl="0">
      <w:lvlJc w:val="left"/>
      <w:lvlText w:val="(%1)"/>
      <w:numFmt w:val="lowerLetter"/>
      <w:start w:val="14"/>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1"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jpe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jpe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25" Type="http://schemas.openxmlformats.org/officeDocument/2006/relationships/hyperlink" Target="https://www.sec.gov/ix?doc=/Archives/edgar/data/823768/000155837022001179/wm-20211231x10k.htm" TargetMode="External"/><Relationship Id="rId60" Type="http://schemas.openxmlformats.org/officeDocument/2006/relationships/hyperlink" Target="http://www.sec.gov/ix?doc=/Archives/edgar/data/823768/000155837022001179/wm-20211231x10k.htm" TargetMode="External"/><Relationship Id="rId62" Type="http://schemas.openxmlformats.org/officeDocument/2006/relationships/hyperlink" Target="http://www.sec.gov/ix?doc=/Archives/edgar/data/823768/000155837022004593/wm-20211231x10ka.htm" TargetMode="External"/><Relationship Id="rId63" Type="http://schemas.openxmlformats.org/officeDocument/2006/relationships/hyperlink" Target="https://www.sec.gov/ix?doc=/Archives/edgar/data/0000823768/000155837022005976/wm-20220331x10q.htm" TargetMode="External"/><Relationship Id="rId64" Type="http://schemas.openxmlformats.org/officeDocument/2006/relationships/hyperlink" Target="http://www.sec.gov/ix?doc=/Archives/edgar/data/823768/000110465922030973/tm228341d1_8k.htm" TargetMode="External"/><Relationship Id="rId65" Type="http://schemas.openxmlformats.org/officeDocument/2006/relationships/hyperlink" Target="http://www.sec.gov/Archives/edgar/data/823768/000110465922039107/tm223363-1_def14a.htm" TargetMode="External"/><Relationship Id="rId77" Type="http://schemas.openxmlformats.org/officeDocument/2006/relationships/hyperlink" Target="https://www.sec.gov/ix?doc=/Archives/edgar/data/823768/000155837022004593/wm-20211231x10ka.htm" TargetMode="External"/><Relationship Id="rId78" Type="http://schemas.openxmlformats.org/officeDocument/2006/relationships/hyperlink" Target="https://www.sec.gov/ix?doc=/Archives/edgar/data/823768/000110465922030973/tm228341d1_8k.htm" TargetMode="External"/><Relationship Id="rId79" Type="http://schemas.openxmlformats.org/officeDocument/2006/relationships/hyperlink" Target="https://www.sec.gov/Archives/edgar/data/823768/000110465922039107/tm223363-1_def14a.htm" TargetMode="External"/><Relationship Id="rId80" Type="http://schemas.openxmlformats.org/officeDocument/2006/relationships/hyperlink" Target="http://www.sec.gov/Archives/edgar/data/823768/0000950134-95-001585-index.htm" TargetMode="External"/><Relationship Id="rId81" Type="http://schemas.openxmlformats.org/officeDocument/2006/relationships/hyperlink" Target="http://www.sec.gov/Archives/edgar/data/823768/000155837020000762/ex-4d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2022-04-29T21:45:46Z</dcterms:created>
  <dcterms:modified xsi:type="dcterms:W3CDTF">2022-04-29T21:45:46Z</dcterms:modified>
</cp:coreProperties>
</file>