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369570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FORM 8-K</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13 or 15(d)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12, 2004</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WASTE MANAGEMENT, INC.</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60" w:type="dxa"/>
            <w:vAlign w:val="bottom"/>
          </w:tcPr>
          <w:p>
            <w:pPr>
              <w:spacing w:after="0"/>
              <w:rPr>
                <w:sz w:val="17"/>
                <w:szCs w:val="17"/>
                <w:color w:val="auto"/>
              </w:rPr>
            </w:pPr>
          </w:p>
        </w:tc>
        <w:tc>
          <w:tcPr>
            <w:tcW w:w="4300" w:type="dxa"/>
            <w:vAlign w:val="bottom"/>
          </w:tcPr>
          <w:p>
            <w:pPr>
              <w:jc w:val="center"/>
              <w:ind w:left="111"/>
              <w:spacing w:after="0"/>
              <w:rPr>
                <w:sz w:val="20"/>
                <w:szCs w:val="20"/>
                <w:color w:val="auto"/>
              </w:rPr>
            </w:pPr>
            <w:r>
              <w:rPr>
                <w:rFonts w:ascii="Arial" w:cs="Arial" w:eastAsia="Arial" w:hAnsi="Arial"/>
                <w:sz w:val="16"/>
                <w:szCs w:val="16"/>
                <w:color w:val="auto"/>
                <w:w w:val="91"/>
              </w:rPr>
              <w:t>(Exact name of registrant as specified in its charter)</w:t>
            </w:r>
          </w:p>
        </w:tc>
        <w:tc>
          <w:tcPr>
            <w:tcW w:w="3660" w:type="dxa"/>
            <w:vAlign w:val="bottom"/>
          </w:tcPr>
          <w:p>
            <w:pPr>
              <w:spacing w:after="0"/>
              <w:rPr>
                <w:sz w:val="17"/>
                <w:szCs w:val="17"/>
                <w:color w:val="auto"/>
              </w:rPr>
            </w:pPr>
          </w:p>
        </w:tc>
      </w:tr>
      <w:tr>
        <w:trPr>
          <w:trHeight w:val="424"/>
        </w:trPr>
        <w:tc>
          <w:tcPr>
            <w:tcW w:w="3460" w:type="dxa"/>
            <w:vAlign w:val="bottom"/>
          </w:tcPr>
          <w:p>
            <w:pPr>
              <w:jc w:val="center"/>
              <w:ind w:left="1210"/>
              <w:spacing w:after="0"/>
              <w:rPr>
                <w:sz w:val="20"/>
                <w:szCs w:val="20"/>
                <w:color w:val="auto"/>
              </w:rPr>
            </w:pPr>
            <w:r>
              <w:rPr>
                <w:rFonts w:ascii="Arial" w:cs="Arial" w:eastAsia="Arial" w:hAnsi="Arial"/>
                <w:sz w:val="18"/>
                <w:szCs w:val="18"/>
                <w:color w:val="auto"/>
                <w:w w:val="89"/>
              </w:rPr>
              <w:t>Delaware</w:t>
            </w:r>
          </w:p>
        </w:tc>
        <w:tc>
          <w:tcPr>
            <w:tcW w:w="4300" w:type="dxa"/>
            <w:vAlign w:val="bottom"/>
          </w:tcPr>
          <w:p>
            <w:pPr>
              <w:jc w:val="center"/>
              <w:ind w:left="91"/>
              <w:spacing w:after="0"/>
              <w:rPr>
                <w:sz w:val="20"/>
                <w:szCs w:val="20"/>
                <w:color w:val="auto"/>
              </w:rPr>
            </w:pPr>
            <w:r>
              <w:rPr>
                <w:rFonts w:ascii="Arial" w:cs="Arial" w:eastAsia="Arial" w:hAnsi="Arial"/>
                <w:sz w:val="18"/>
                <w:szCs w:val="18"/>
                <w:color w:val="auto"/>
                <w:w w:val="90"/>
              </w:rPr>
              <w:t>1-12154</w:t>
            </w:r>
          </w:p>
        </w:tc>
        <w:tc>
          <w:tcPr>
            <w:tcW w:w="3660" w:type="dxa"/>
            <w:vAlign w:val="bottom"/>
          </w:tcPr>
          <w:p>
            <w:pPr>
              <w:jc w:val="right"/>
              <w:ind w:right="1850"/>
              <w:spacing w:after="0"/>
              <w:rPr>
                <w:sz w:val="20"/>
                <w:szCs w:val="20"/>
                <w:color w:val="auto"/>
              </w:rPr>
            </w:pPr>
            <w:r>
              <w:rPr>
                <w:rFonts w:ascii="Arial" w:cs="Arial" w:eastAsia="Arial" w:hAnsi="Arial"/>
                <w:sz w:val="18"/>
                <w:szCs w:val="18"/>
                <w:color w:val="auto"/>
              </w:rPr>
              <w:t>73-1309529</w:t>
            </w:r>
          </w:p>
        </w:tc>
      </w:tr>
      <w:tr>
        <w:trPr>
          <w:trHeight w:val="216"/>
        </w:trPr>
        <w:tc>
          <w:tcPr>
            <w:tcW w:w="3460" w:type="dxa"/>
            <w:vAlign w:val="bottom"/>
          </w:tcPr>
          <w:p>
            <w:pPr>
              <w:jc w:val="center"/>
              <w:ind w:left="1210"/>
              <w:spacing w:after="0"/>
              <w:rPr>
                <w:sz w:val="20"/>
                <w:szCs w:val="20"/>
                <w:color w:val="auto"/>
              </w:rPr>
            </w:pPr>
            <w:r>
              <w:rPr>
                <w:rFonts w:ascii="Arial" w:cs="Arial" w:eastAsia="Arial" w:hAnsi="Arial"/>
                <w:sz w:val="18"/>
                <w:szCs w:val="18"/>
                <w:color w:val="auto"/>
                <w:w w:val="92"/>
              </w:rPr>
              <w:t>(State or other jurisdiction of</w:t>
            </w:r>
          </w:p>
        </w:tc>
        <w:tc>
          <w:tcPr>
            <w:tcW w:w="4300" w:type="dxa"/>
            <w:vAlign w:val="bottom"/>
          </w:tcPr>
          <w:p>
            <w:pPr>
              <w:jc w:val="center"/>
              <w:ind w:left="111"/>
              <w:spacing w:after="0"/>
              <w:rPr>
                <w:sz w:val="20"/>
                <w:szCs w:val="20"/>
                <w:color w:val="auto"/>
              </w:rPr>
            </w:pPr>
            <w:r>
              <w:rPr>
                <w:rFonts w:ascii="Arial" w:cs="Arial" w:eastAsia="Arial" w:hAnsi="Arial"/>
                <w:sz w:val="18"/>
                <w:szCs w:val="18"/>
                <w:color w:val="auto"/>
                <w:w w:val="92"/>
              </w:rPr>
              <w:t>(Commission File Number)</w:t>
            </w:r>
          </w:p>
        </w:tc>
        <w:tc>
          <w:tcPr>
            <w:tcW w:w="3660" w:type="dxa"/>
            <w:vAlign w:val="bottom"/>
          </w:tcPr>
          <w:p>
            <w:pPr>
              <w:jc w:val="center"/>
              <w:ind w:right="101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460" w:type="dxa"/>
            <w:vAlign w:val="bottom"/>
          </w:tcPr>
          <w:p>
            <w:pPr>
              <w:jc w:val="center"/>
              <w:ind w:left="1230"/>
              <w:spacing w:after="0"/>
              <w:rPr>
                <w:sz w:val="20"/>
                <w:szCs w:val="20"/>
                <w:color w:val="auto"/>
              </w:rPr>
            </w:pPr>
            <w:r>
              <w:rPr>
                <w:rFonts w:ascii="Arial" w:cs="Arial" w:eastAsia="Arial" w:hAnsi="Arial"/>
                <w:sz w:val="18"/>
                <w:szCs w:val="18"/>
                <w:color w:val="auto"/>
                <w:w w:val="92"/>
              </w:rPr>
              <w:t>incorporation)</w:t>
            </w:r>
          </w:p>
        </w:tc>
        <w:tc>
          <w:tcPr>
            <w:tcW w:w="4300" w:type="dxa"/>
            <w:vAlign w:val="bottom"/>
          </w:tcPr>
          <w:p>
            <w:pPr>
              <w:spacing w:after="0"/>
              <w:rPr>
                <w:sz w:val="20"/>
                <w:szCs w:val="20"/>
                <w:color w:val="auto"/>
              </w:rPr>
            </w:pPr>
          </w:p>
        </w:tc>
        <w:tc>
          <w:tcPr>
            <w:tcW w:w="3660" w:type="dxa"/>
            <w:vAlign w:val="bottom"/>
          </w:tcPr>
          <w:p>
            <w:pPr>
              <w:jc w:val="center"/>
              <w:ind w:right="1010"/>
              <w:spacing w:after="0"/>
              <w:rPr>
                <w:sz w:val="20"/>
                <w:szCs w:val="20"/>
                <w:color w:val="auto"/>
              </w:rPr>
            </w:pPr>
            <w:r>
              <w:rPr>
                <w:rFonts w:ascii="Arial" w:cs="Arial" w:eastAsia="Arial" w:hAnsi="Arial"/>
                <w:sz w:val="18"/>
                <w:szCs w:val="18"/>
                <w:color w:val="auto"/>
                <w:w w:val="91"/>
              </w:rPr>
              <w:t>Number)</w:t>
            </w:r>
          </w:p>
        </w:tc>
      </w:tr>
      <w:tr>
        <w:trPr>
          <w:trHeight w:val="418"/>
        </w:trPr>
        <w:tc>
          <w:tcPr>
            <w:tcW w:w="776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1001 Fannin Street, Suite 4000</w:t>
            </w:r>
          </w:p>
        </w:tc>
        <w:tc>
          <w:tcPr>
            <w:tcW w:w="3660" w:type="dxa"/>
            <w:vAlign w:val="bottom"/>
          </w:tcPr>
          <w:p>
            <w:pPr>
              <w:spacing w:after="0"/>
              <w:rPr>
                <w:sz w:val="24"/>
                <w:szCs w:val="24"/>
                <w:color w:val="auto"/>
              </w:rPr>
            </w:pPr>
          </w:p>
        </w:tc>
      </w:tr>
      <w:tr>
        <w:trPr>
          <w:trHeight w:val="216"/>
        </w:trPr>
        <w:tc>
          <w:tcPr>
            <w:tcW w:w="3460" w:type="dxa"/>
            <w:vAlign w:val="bottom"/>
          </w:tcPr>
          <w:p>
            <w:pPr>
              <w:spacing w:after="0"/>
              <w:rPr>
                <w:sz w:val="18"/>
                <w:szCs w:val="18"/>
                <w:color w:val="auto"/>
              </w:rPr>
            </w:pPr>
          </w:p>
        </w:tc>
        <w:tc>
          <w:tcPr>
            <w:tcW w:w="4300" w:type="dxa"/>
            <w:vAlign w:val="bottom"/>
          </w:tcPr>
          <w:p>
            <w:pPr>
              <w:jc w:val="center"/>
              <w:ind w:right="3051"/>
              <w:spacing w:after="0"/>
              <w:rPr>
                <w:sz w:val="20"/>
                <w:szCs w:val="20"/>
                <w:color w:val="auto"/>
              </w:rPr>
            </w:pPr>
            <w:r>
              <w:rPr>
                <w:rFonts w:ascii="Arial" w:cs="Arial" w:eastAsia="Arial" w:hAnsi="Arial"/>
                <w:sz w:val="18"/>
                <w:szCs w:val="18"/>
                <w:color w:val="auto"/>
                <w:w w:val="88"/>
              </w:rPr>
              <w:t>Houston, Texas</w:t>
            </w:r>
          </w:p>
        </w:tc>
        <w:tc>
          <w:tcPr>
            <w:tcW w:w="3660" w:type="dxa"/>
            <w:vAlign w:val="bottom"/>
          </w:tcPr>
          <w:p>
            <w:pPr>
              <w:jc w:val="right"/>
              <w:ind w:right="2070"/>
              <w:spacing w:after="0"/>
              <w:rPr>
                <w:sz w:val="20"/>
                <w:szCs w:val="20"/>
                <w:color w:val="auto"/>
              </w:rPr>
            </w:pPr>
            <w:r>
              <w:rPr>
                <w:rFonts w:ascii="Arial" w:cs="Arial" w:eastAsia="Arial" w:hAnsi="Arial"/>
                <w:sz w:val="18"/>
                <w:szCs w:val="18"/>
                <w:color w:val="auto"/>
              </w:rPr>
              <w:t>77002</w:t>
            </w:r>
          </w:p>
        </w:tc>
      </w:tr>
      <w:tr>
        <w:trPr>
          <w:trHeight w:val="230"/>
        </w:trPr>
        <w:tc>
          <w:tcPr>
            <w:tcW w:w="7760" w:type="dxa"/>
            <w:vAlign w:val="bottom"/>
            <w:gridSpan w:val="2"/>
          </w:tcPr>
          <w:p>
            <w:pPr>
              <w:jc w:val="center"/>
              <w:ind w:left="250"/>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jc w:val="center"/>
              <w:ind w:right="1010"/>
              <w:spacing w:after="0"/>
              <w:rPr>
                <w:sz w:val="20"/>
                <w:szCs w:val="20"/>
                <w:color w:val="auto"/>
              </w:rPr>
            </w:pPr>
            <w:r>
              <w:rPr>
                <w:rFonts w:ascii="Arial" w:cs="Arial" w:eastAsia="Arial" w:hAnsi="Arial"/>
                <w:sz w:val="18"/>
                <w:szCs w:val="18"/>
                <w:color w:val="auto"/>
                <w:w w:val="94"/>
              </w:rPr>
              <w:t>(Zip Code)</w:t>
            </w:r>
          </w:p>
        </w:tc>
      </w:tr>
      <w:tr>
        <w:trPr>
          <w:trHeight w:val="418"/>
        </w:trPr>
        <w:tc>
          <w:tcPr>
            <w:tcW w:w="3460" w:type="dxa"/>
            <w:vAlign w:val="bottom"/>
          </w:tcPr>
          <w:p>
            <w:pPr>
              <w:spacing w:after="0"/>
              <w:rPr>
                <w:sz w:val="24"/>
                <w:szCs w:val="24"/>
                <w:color w:val="auto"/>
              </w:rPr>
            </w:pPr>
          </w:p>
        </w:tc>
        <w:tc>
          <w:tcPr>
            <w:tcW w:w="4300" w:type="dxa"/>
            <w:vAlign w:val="bottom"/>
          </w:tcPr>
          <w:p>
            <w:pPr>
              <w:jc w:val="center"/>
              <w:ind w:left="131"/>
              <w:spacing w:after="0"/>
              <w:rPr>
                <w:sz w:val="20"/>
                <w:szCs w:val="20"/>
                <w:color w:val="auto"/>
              </w:rPr>
            </w:pPr>
            <w:r>
              <w:rPr>
                <w:rFonts w:ascii="Arial" w:cs="Arial" w:eastAsia="Arial" w:hAnsi="Arial"/>
                <w:sz w:val="18"/>
                <w:szCs w:val="18"/>
                <w:color w:val="auto"/>
                <w:w w:val="90"/>
              </w:rPr>
              <w:t>(713) 512-6200</w:t>
            </w:r>
          </w:p>
        </w:tc>
        <w:tc>
          <w:tcPr>
            <w:tcW w:w="3660" w:type="dxa"/>
            <w:vAlign w:val="bottom"/>
          </w:tcPr>
          <w:p>
            <w:pPr>
              <w:spacing w:after="0"/>
              <w:rPr>
                <w:sz w:val="24"/>
                <w:szCs w:val="24"/>
                <w:color w:val="auto"/>
              </w:rPr>
            </w:pPr>
          </w:p>
        </w:tc>
      </w:tr>
      <w:tr>
        <w:trPr>
          <w:trHeight w:val="230"/>
        </w:trPr>
        <w:tc>
          <w:tcPr>
            <w:tcW w:w="3460" w:type="dxa"/>
            <w:vAlign w:val="bottom"/>
          </w:tcPr>
          <w:p>
            <w:pPr>
              <w:spacing w:after="0"/>
              <w:rPr>
                <w:sz w:val="20"/>
                <w:szCs w:val="20"/>
                <w:color w:val="auto"/>
              </w:rPr>
            </w:pPr>
          </w:p>
        </w:tc>
        <w:tc>
          <w:tcPr>
            <w:tcW w:w="4300" w:type="dxa"/>
            <w:vAlign w:val="bottom"/>
          </w:tcPr>
          <w:p>
            <w:pPr>
              <w:jc w:val="center"/>
              <w:ind w:left="111"/>
              <w:spacing w:after="0"/>
              <w:rPr>
                <w:sz w:val="20"/>
                <w:szCs w:val="20"/>
                <w:color w:val="auto"/>
              </w:rPr>
            </w:pPr>
            <w:r>
              <w:rPr>
                <w:rFonts w:ascii="Arial" w:cs="Arial" w:eastAsia="Arial" w:hAnsi="Arial"/>
                <w:sz w:val="18"/>
                <w:szCs w:val="18"/>
                <w:color w:val="auto"/>
                <w:w w:val="90"/>
              </w:rPr>
              <w:t>(Registrant’s telephone number, including area code)</w:t>
            </w:r>
          </w:p>
        </w:tc>
        <w:tc>
          <w:tcPr>
            <w:tcW w:w="3660" w:type="dxa"/>
            <w:vAlign w:val="bottom"/>
          </w:tcPr>
          <w:p>
            <w:pPr>
              <w:spacing w:after="0"/>
              <w:rPr>
                <w:sz w:val="20"/>
                <w:szCs w:val="20"/>
                <w:color w:val="auto"/>
              </w:rPr>
            </w:pPr>
          </w:p>
        </w:tc>
      </w:tr>
      <w:tr>
        <w:trPr>
          <w:trHeight w:val="172"/>
        </w:trPr>
        <w:tc>
          <w:tcPr>
            <w:tcW w:w="34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61"/>
        </w:trPr>
        <w:tc>
          <w:tcPr>
            <w:tcW w:w="3460" w:type="dxa"/>
            <w:vAlign w:val="bottom"/>
            <w:shd w:val="clear" w:color="auto" w:fill="000000"/>
          </w:tcPr>
          <w:p>
            <w:pPr>
              <w:spacing w:after="0"/>
              <w:rPr>
                <w:sz w:val="5"/>
                <w:szCs w:val="5"/>
                <w:color w:val="auto"/>
              </w:rPr>
            </w:pPr>
          </w:p>
        </w:tc>
        <w:tc>
          <w:tcPr>
            <w:tcW w:w="4300" w:type="dxa"/>
            <w:vAlign w:val="bottom"/>
            <w:shd w:val="clear" w:color="auto" w:fill="000000"/>
          </w:tcPr>
          <w:p>
            <w:pPr>
              <w:spacing w:after="0"/>
              <w:rPr>
                <w:sz w:val="5"/>
                <w:szCs w:val="5"/>
                <w:color w:val="auto"/>
              </w:rPr>
            </w:pPr>
          </w:p>
        </w:tc>
        <w:tc>
          <w:tcPr>
            <w:tcW w:w="3660" w:type="dxa"/>
            <w:vAlign w:val="bottom"/>
            <w:shd w:val="clear" w:color="auto" w:fill="000000"/>
          </w:tcPr>
          <w:p>
            <w:pPr>
              <w:spacing w:after="0"/>
              <w:rPr>
                <w:sz w:val="5"/>
                <w:szCs w:val="5"/>
                <w:color w:val="auto"/>
              </w:rPr>
            </w:pPr>
          </w:p>
        </w:tc>
      </w:tr>
      <w:tr>
        <w:trPr>
          <w:trHeight w:val="615"/>
        </w:trPr>
        <w:tc>
          <w:tcPr>
            <w:tcW w:w="346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86"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06" w:lineRule="exact"/>
        <w:rPr>
          <w:sz w:val="20"/>
          <w:szCs w:val="20"/>
          <w:color w:val="auto"/>
        </w:rPr>
      </w:pPr>
    </w:p>
    <w:p>
      <w:pPr>
        <w:ind w:left="580"/>
        <w:spacing w:after="0"/>
        <w:rPr>
          <w:rFonts w:ascii="Arial" w:cs="Arial" w:eastAsia="Arial" w:hAnsi="Arial"/>
          <w:sz w:val="22"/>
          <w:szCs w:val="22"/>
          <w:b w:val="1"/>
          <w:bCs w:val="1"/>
          <w:u w:val="single" w:color="auto"/>
          <w:color w:val="0000EE"/>
        </w:rPr>
      </w:pPr>
      <w:hyperlink w:anchor="page3">
        <w:r>
          <w:rPr>
            <w:rFonts w:ascii="Arial" w:cs="Arial" w:eastAsia="Arial" w:hAnsi="Arial"/>
            <w:sz w:val="22"/>
            <w:szCs w:val="22"/>
            <w:b w:val="1"/>
            <w:bCs w:val="1"/>
            <w:u w:val="single" w:color="auto"/>
            <w:color w:val="0000EE"/>
          </w:rPr>
          <w:t>Item 7. Financial Statements and Exhibits.</w:t>
        </w:r>
      </w:hyperlink>
    </w:p>
    <w:p>
      <w:pPr>
        <w:spacing w:after="0" w:line="4" w:lineRule="exact"/>
        <w:rPr>
          <w:sz w:val="20"/>
          <w:szCs w:val="20"/>
          <w:color w:val="auto"/>
        </w:rPr>
      </w:pPr>
    </w:p>
    <w:p>
      <w:pPr>
        <w:ind w:left="580"/>
        <w:spacing w:after="0"/>
        <w:rPr>
          <w:rFonts w:ascii="Arial" w:cs="Arial" w:eastAsia="Arial" w:hAnsi="Arial"/>
          <w:sz w:val="22"/>
          <w:szCs w:val="22"/>
          <w:b w:val="1"/>
          <w:bCs w:val="1"/>
          <w:u w:val="single" w:color="auto"/>
          <w:color w:val="0000EE"/>
        </w:rPr>
      </w:pPr>
      <w:hyperlink w:anchor="page3">
        <w:r>
          <w:rPr>
            <w:rFonts w:ascii="Arial" w:cs="Arial" w:eastAsia="Arial" w:hAnsi="Arial"/>
            <w:sz w:val="22"/>
            <w:szCs w:val="22"/>
            <w:b w:val="1"/>
            <w:bCs w:val="1"/>
            <w:u w:val="single" w:color="auto"/>
            <w:color w:val="0000EE"/>
          </w:rPr>
          <w:t>Item 9. Regulation FD Disclosure</w:t>
        </w:r>
      </w:hyperlink>
    </w:p>
    <w:p>
      <w:pPr>
        <w:ind w:left="580"/>
        <w:spacing w:after="0" w:line="230" w:lineRule="auto"/>
        <w:rPr>
          <w:rFonts w:ascii="Arial" w:cs="Arial" w:eastAsia="Arial" w:hAnsi="Arial"/>
          <w:sz w:val="22"/>
          <w:szCs w:val="22"/>
          <w:b w:val="1"/>
          <w:bCs w:val="1"/>
          <w:u w:val="single" w:color="auto"/>
          <w:color w:val="0000EE"/>
        </w:rPr>
      </w:pPr>
      <w:hyperlink w:anchor="page3">
        <w:r>
          <w:rPr>
            <w:rFonts w:ascii="Arial" w:cs="Arial" w:eastAsia="Arial" w:hAnsi="Arial"/>
            <w:sz w:val="22"/>
            <w:szCs w:val="22"/>
            <w:b w:val="1"/>
            <w:bCs w:val="1"/>
            <w:u w:val="single" w:color="auto"/>
            <w:color w:val="0000EE"/>
          </w:rPr>
          <w:t>Item 12. Results of Operations and Financial Condition</w:t>
        </w:r>
      </w:hyperlink>
    </w:p>
    <w:p>
      <w:pPr>
        <w:ind w:left="580"/>
        <w:spacing w:after="0" w:line="231" w:lineRule="auto"/>
        <w:rPr>
          <w:rFonts w:ascii="Arial" w:cs="Arial" w:eastAsia="Arial" w:hAnsi="Arial"/>
          <w:sz w:val="22"/>
          <w:szCs w:val="22"/>
          <w:b w:val="1"/>
          <w:bCs w:val="1"/>
          <w:u w:val="single" w:color="auto"/>
          <w:color w:val="0000EE"/>
        </w:rPr>
      </w:pPr>
      <w:hyperlink w:anchor="page4">
        <w:r>
          <w:rPr>
            <w:rFonts w:ascii="Arial" w:cs="Arial" w:eastAsia="Arial" w:hAnsi="Arial"/>
            <w:sz w:val="22"/>
            <w:szCs w:val="22"/>
            <w:b w:val="1"/>
            <w:bCs w:val="1"/>
            <w:u w:val="single" w:color="auto"/>
            <w:color w:val="0000EE"/>
          </w:rPr>
          <w:t>SIGNATURES</w:t>
        </w:r>
      </w:hyperlink>
    </w:p>
    <w:p>
      <w:pPr>
        <w:ind w:left="580"/>
        <w:spacing w:after="0"/>
        <w:rPr>
          <w:sz w:val="20"/>
          <w:szCs w:val="20"/>
          <w:color w:val="auto"/>
        </w:rPr>
      </w:pPr>
      <w:r>
        <w:rPr>
          <w:rFonts w:ascii="Arial" w:cs="Arial" w:eastAsia="Arial" w:hAnsi="Arial"/>
          <w:sz w:val="22"/>
          <w:szCs w:val="22"/>
          <w:u w:val="single" w:color="auto"/>
          <w:color w:val="0000EE"/>
        </w:rPr>
        <w:t>Press Release dated February 12, 2004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Exhibits</w:t>
      </w:r>
      <w:r>
        <w:rPr>
          <w:rFonts w:ascii="Arial" w:cs="Arial" w:eastAsia="Arial" w:hAnsi="Arial"/>
          <w:sz w:val="18"/>
          <w:szCs w:val="18"/>
          <w:color w:val="auto"/>
        </w:rPr>
        <w:t>.</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99.1 Press Release of Waste Management, Inc. dated February 12, 2004 announcing results of operations for the year ended December 31, 2003.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Regulation FD Disclosure</w:t>
      </w:r>
    </w:p>
    <w:p>
      <w:pPr>
        <w:spacing w:after="0" w:line="189"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The Company held an analyst conference call on February 12, 2004 to discuss its fourth quarter 2003 financial results and 2004 guidance. On that call, A. Maurice Myers, Chairman, President and Chief Executive Officer of the Company, announced that he would adopt a trading plan in accordance with guidelines specified under Rule 10b5-1 under the Securities Exchange Act of 1934, as amended, and the Company’s policies with respect to insider trades. This means the plan would be adopted as soon as the Company’s trading window opens, which is expected to occur on February 16th. The plan will be used by Mr. Myers to diversify his Waste Management holdings as a part of estate and tax planning activities.</w:t>
      </w:r>
    </w:p>
    <w:p>
      <w:pPr>
        <w:spacing w:after="0" w:line="146"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Under Mr. Myers’ 10b5-1 plan, he will sell up to 187,000 shares he received as a restricted stock grant in 1999. The sales will be made over the next nine months pursuant to a predetermined formula. Additionally, Mr. Myers announced his intention to exercise options he owns in Waste Management common stock, holding the shares acquired in accordance with the Company’s stock ownership guidelines.</w:t>
      </w:r>
    </w:p>
    <w:p>
      <w:pPr>
        <w:spacing w:after="0" w:line="141" w:lineRule="exact"/>
        <w:rPr>
          <w:sz w:val="20"/>
          <w:szCs w:val="20"/>
          <w:color w:val="auto"/>
        </w:rPr>
      </w:pPr>
    </w:p>
    <w:p>
      <w:pPr>
        <w:ind w:right="140" w:firstLine="225"/>
        <w:spacing w:after="0" w:line="286" w:lineRule="auto"/>
        <w:rPr>
          <w:sz w:val="20"/>
          <w:szCs w:val="20"/>
          <w:color w:val="auto"/>
        </w:rPr>
      </w:pPr>
      <w:r>
        <w:rPr>
          <w:rFonts w:ascii="Arial" w:cs="Arial" w:eastAsia="Arial" w:hAnsi="Arial"/>
          <w:sz w:val="17"/>
          <w:szCs w:val="17"/>
          <w:color w:val="auto"/>
        </w:rPr>
        <w:t>Mr. Myers has previously announced that he will be retiring from Waste Management at the end of the term of his employment contract, which is in November of this year. He has stated that he intends to move from Houston, Texas, where the Company is headquartered. Texas has no state income tax and therefore, Mr. Myers’ tax planning includes recognizing income from stock sales and options exercises while still a resident of Texas.</w:t>
      </w:r>
    </w:p>
    <w:p>
      <w:pPr>
        <w:spacing w:after="0" w:line="125"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Rule 10b5-1 allows corporate insiders to establish prearranged stock trading plans when they are not in possession of material non-public information, and allows such prearranged trades to be made pursuant to the plan regardless of any subsequent material information that the insider may receive. 10b5-1 plans allow insiders to gradually change their investment portfolio to minimize the market effect of stock trades by spreading them out over a period of time and at the same time avoiding concerns about initiating trades while in possession of material nonpublic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Results of Operations and Financial Condition</w:t>
      </w:r>
    </w:p>
    <w:p>
      <w:pPr>
        <w:spacing w:after="0" w:line="189"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Company issued a press release on February 12, 2004 announcing its results of operations for the year ended December 31, 2003. A copy of that release is furnished herewith as Exhibit 99.1.</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2"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6220" w:type="dxa"/>
            <w:vAlign w:val="bottom"/>
            <w:gridSpan w:val="2"/>
          </w:tcPr>
          <w:p>
            <w:pPr>
              <w:ind w:left="1780"/>
              <w:spacing w:after="0"/>
              <w:rPr>
                <w:sz w:val="20"/>
                <w:szCs w:val="20"/>
                <w:color w:val="auto"/>
              </w:rPr>
            </w:pPr>
            <w:r>
              <w:rPr>
                <w:rFonts w:ascii="Arial" w:cs="Arial" w:eastAsia="Arial" w:hAnsi="Arial"/>
                <w:sz w:val="18"/>
                <w:szCs w:val="18"/>
                <w:color w:val="auto"/>
              </w:rPr>
              <w:t>WASTE MANAGEMENT, INC.</w:t>
            </w:r>
          </w:p>
        </w:tc>
        <w:tc>
          <w:tcPr>
            <w:tcW w:w="166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February 12, 2004</w:t>
            </w:r>
          </w:p>
        </w:tc>
        <w:tc>
          <w:tcPr>
            <w:tcW w:w="6220" w:type="dxa"/>
            <w:vAlign w:val="bottom"/>
            <w:gridSpan w:val="2"/>
          </w:tcPr>
          <w:p>
            <w:pPr>
              <w:ind w:left="1780"/>
              <w:spacing w:after="0"/>
              <w:rPr>
                <w:sz w:val="20"/>
                <w:szCs w:val="20"/>
                <w:color w:val="auto"/>
              </w:rPr>
            </w:pPr>
            <w:r>
              <w:rPr>
                <w:rFonts w:ascii="Arial" w:cs="Arial" w:eastAsia="Arial" w:hAnsi="Arial"/>
                <w:sz w:val="18"/>
                <w:szCs w:val="18"/>
                <w:color w:val="auto"/>
              </w:rPr>
              <w:t>By:  /s/ RICK L. WITTENBRAKER</w:t>
            </w:r>
          </w:p>
        </w:tc>
        <w:tc>
          <w:tcPr>
            <w:tcW w:w="166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6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w w:val="92"/>
              </w:rPr>
              <w:t>Senior Vice President, General Counsel and Assistant</w:t>
            </w:r>
          </w:p>
        </w:tc>
        <w:tc>
          <w:tcPr>
            <w:tcW w:w="166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rPr>
              <w:t>Secretary</w:t>
            </w:r>
          </w:p>
        </w:tc>
        <w:tc>
          <w:tcPr>
            <w:tcW w:w="1660" w:type="dxa"/>
            <w:vAlign w:val="bottom"/>
          </w:tcPr>
          <w:p>
            <w:pPr>
              <w:spacing w:after="0"/>
              <w:rPr>
                <w:sz w:val="20"/>
                <w:szCs w:val="20"/>
                <w:color w:val="auto"/>
              </w:rPr>
            </w:pPr>
          </w:p>
        </w:tc>
      </w:tr>
      <w:tr>
        <w:trPr>
          <w:trHeight w:val="608"/>
        </w:trPr>
        <w:tc>
          <w:tcPr>
            <w:tcW w:w="3540" w:type="dxa"/>
            <w:vAlign w:val="bottom"/>
          </w:tcPr>
          <w:p>
            <w:pPr>
              <w:spacing w:after="0"/>
              <w:rPr>
                <w:sz w:val="24"/>
                <w:szCs w:val="24"/>
                <w:color w:val="auto"/>
              </w:rPr>
            </w:pPr>
          </w:p>
        </w:tc>
        <w:tc>
          <w:tcPr>
            <w:tcW w:w="6220" w:type="dxa"/>
            <w:vAlign w:val="bottom"/>
            <w:gridSpan w:val="2"/>
          </w:tcPr>
          <w:p>
            <w:pPr>
              <w:jc w:val="right"/>
              <w:ind w:right="3850"/>
              <w:spacing w:after="0"/>
              <w:rPr>
                <w:sz w:val="20"/>
                <w:szCs w:val="20"/>
                <w:color w:val="auto"/>
              </w:rPr>
            </w:pPr>
            <w:r>
              <w:rPr>
                <w:rFonts w:ascii="Arial" w:cs="Arial" w:eastAsia="Arial" w:hAnsi="Arial"/>
                <w:sz w:val="18"/>
                <w:szCs w:val="18"/>
                <w:color w:val="auto"/>
              </w:rPr>
              <w:t>-3-</w:t>
            </w:r>
          </w:p>
        </w:tc>
        <w:tc>
          <w:tcPr>
            <w:tcW w:w="1660" w:type="dxa"/>
            <w:vAlign w:val="bottom"/>
          </w:tcPr>
          <w:p>
            <w:pPr>
              <w:spacing w:after="0"/>
              <w:rPr>
                <w:sz w:val="24"/>
                <w:szCs w:val="24"/>
                <w:color w:val="auto"/>
              </w:rPr>
            </w:pPr>
          </w:p>
        </w:tc>
      </w:tr>
      <w:tr>
        <w:trPr>
          <w:trHeight w:val="226"/>
        </w:trPr>
        <w:tc>
          <w:tcPr>
            <w:tcW w:w="354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tbl>
      <w:tblPr>
        <w:tblLayout w:type="fixed"/>
        <w:tblInd w:w="80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40" w:type="dxa"/>
            <w:vAlign w:val="bottom"/>
          </w:tcPr>
          <w:p>
            <w:pPr>
              <w:jc w:val="center"/>
              <w:ind w:right="874"/>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31"/>
        </w:trPr>
        <w:tc>
          <w:tcPr>
            <w:tcW w:w="6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24"/>
                <w:szCs w:val="24"/>
                <w:color w:val="auto"/>
              </w:rPr>
            </w:pPr>
          </w:p>
        </w:tc>
        <w:tc>
          <w:tcPr>
            <w:tcW w:w="6440" w:type="dxa"/>
            <w:vAlign w:val="bottom"/>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4"/>
                <w:szCs w:val="14"/>
                <w:color w:val="auto"/>
              </w:rPr>
            </w:pPr>
          </w:p>
        </w:tc>
        <w:tc>
          <w:tcPr>
            <w:tcW w:w="6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99.1</w:t>
            </w:r>
          </w:p>
        </w:tc>
        <w:tc>
          <w:tcPr>
            <w:tcW w:w="380" w:type="dxa"/>
            <w:vAlign w:val="bottom"/>
          </w:tcPr>
          <w:p>
            <w:pPr>
              <w:spacing w:after="0"/>
              <w:rPr>
                <w:sz w:val="16"/>
                <w:szCs w:val="16"/>
                <w:color w:val="auto"/>
              </w:rPr>
            </w:pPr>
          </w:p>
        </w:tc>
        <w:tc>
          <w:tcPr>
            <w:tcW w:w="6440" w:type="dxa"/>
            <w:vAlign w:val="bottom"/>
          </w:tcPr>
          <w:p>
            <w:pPr>
              <w:spacing w:after="0" w:line="195" w:lineRule="exact"/>
              <w:rPr>
                <w:sz w:val="20"/>
                <w:szCs w:val="20"/>
                <w:color w:val="auto"/>
              </w:rPr>
            </w:pPr>
            <w:r>
              <w:rPr>
                <w:rFonts w:ascii="Arial" w:cs="Arial" w:eastAsia="Arial" w:hAnsi="Arial"/>
                <w:sz w:val="18"/>
                <w:szCs w:val="18"/>
                <w:color w:val="auto"/>
                <w:w w:val="89"/>
              </w:rPr>
              <w:t>Press Release of Waste Management, Inc. dated February 12, 2004 announcing results of</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operations for the year ended December 31, 2003.</w:t>
            </w:r>
          </w:p>
        </w:tc>
        <w:tc>
          <w:tcPr>
            <w:tcW w:w="0" w:type="dxa"/>
            <w:vAlign w:val="bottom"/>
          </w:tcPr>
          <w:p>
            <w:pPr>
              <w:spacing w:after="0"/>
              <w:rPr>
                <w:sz w:val="1"/>
                <w:szCs w:val="1"/>
                <w:color w:val="auto"/>
              </w:rPr>
            </w:pPr>
          </w:p>
        </w:tc>
      </w:tr>
      <w:tr>
        <w:trPr>
          <w:trHeight w:val="392"/>
        </w:trPr>
        <w:tc>
          <w:tcPr>
            <w:tcW w:w="600" w:type="dxa"/>
            <w:vAlign w:val="bottom"/>
          </w:tcPr>
          <w:p>
            <w:pPr>
              <w:spacing w:after="0"/>
              <w:rPr>
                <w:sz w:val="24"/>
                <w:szCs w:val="24"/>
                <w:color w:val="auto"/>
              </w:rPr>
            </w:pPr>
          </w:p>
        </w:tc>
        <w:tc>
          <w:tcPr>
            <w:tcW w:w="6820" w:type="dxa"/>
            <w:vAlign w:val="bottom"/>
            <w:gridSpan w:val="2"/>
          </w:tcPr>
          <w:p>
            <w:pPr>
              <w:jc w:val="right"/>
              <w:ind w:right="35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9019"/>
          </w:cols>
          <w:pgMar w:left="1440" w:top="931"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3013075</wp:posOffset>
            </wp:positionH>
            <wp:positionV relativeFrom="page">
              <wp:posOffset>603250</wp:posOffset>
            </wp:positionV>
            <wp:extent cx="154368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43685" cy="54864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IMMEDIATE RELEASE</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ind w:left="10700"/>
        <w:spacing w:after="0"/>
        <w:rPr>
          <w:sz w:val="20"/>
          <w:szCs w:val="20"/>
          <w:color w:val="auto"/>
        </w:rPr>
      </w:pPr>
      <w:r>
        <w:rPr>
          <w:rFonts w:ascii="Arial" w:cs="Arial" w:eastAsia="Arial" w:hAnsi="Arial"/>
          <w:sz w:val="15"/>
          <w:szCs w:val="15"/>
          <w:b w:val="1"/>
          <w:bCs w:val="1"/>
          <w:color w:val="auto"/>
        </w:rPr>
        <w:t>Analysts:</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Cherie 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713.512.6548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Sarah Simpson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713.394.2154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#04-07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4th Quarter and Full Year 2003 Earnings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from Operations as a Percent of Revenue Continues Trend of Sequential Improvement</w:t>
      </w:r>
    </w:p>
    <w:p>
      <w:pPr>
        <w:spacing w:after="0" w:line="19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 xml:space="preserve">HOUSTON — February 12, 2004 — </w:t>
      </w:r>
      <w:r>
        <w:rPr>
          <w:rFonts w:ascii="Arial" w:cs="Arial" w:eastAsia="Arial" w:hAnsi="Arial"/>
          <w:sz w:val="17"/>
          <w:szCs w:val="17"/>
          <w:color w:val="auto"/>
        </w:rPr>
        <w:t>Waste Management, Inc. (NYSE: WMI) today announced financial results for its fourth quarter and for the year ended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December 31, 2003. Revenues for the quarter were $2.97 billion as compared with $2.81 billion in the year ago period. Net income before cumulative effect of change in accounting principle reported for the quarter was $226 million, or $0.39 per diluted share, compared with $236 million, or $0.39 per diluted share, for the fourth quarter 2002. The 2002 quarter included three significant items worth noting: a $43 million pre-tax gain on the sale of an investment, a $31 million tax expense reduction, and $26 million in pre-tax costs related to the settlement of a legal dispute. Combined, these three items improved fourth quarter 2002 diluted earnings per share by $0.07. The 2003 quarter included $17 million of pre-tax income related to a litigation settlement and a lower than previously anticipated effective tax rate, improving fourth quarter 2003 diluted earnings per share by approximately $0.04. Net income reported for the 2003 quarter was $183 million, or $0.31 per diluted share, after considering a $43 million unfavorable cumulative effect of change in accounting principle related to the application of Financial Accounting Standards Board Interpretation No. 46, </w:t>
      </w:r>
      <w:r>
        <w:rPr>
          <w:rFonts w:ascii="Arial" w:cs="Arial" w:eastAsia="Arial" w:hAnsi="Arial"/>
          <w:sz w:val="17"/>
          <w:szCs w:val="17"/>
          <w:i w:val="1"/>
          <w:iCs w:val="1"/>
          <w:color w:val="auto"/>
        </w:rPr>
        <w:t>Consolidation of Variable Interest Entities</w:t>
      </w:r>
      <w:r>
        <w:rPr>
          <w:rFonts w:ascii="Arial" w:cs="Arial" w:eastAsia="Arial" w:hAnsi="Arial"/>
          <w:sz w:val="17"/>
          <w:szCs w:val="17"/>
          <w:color w:val="auto"/>
        </w:rPr>
        <w:t xml:space="preserve"> (“FIN 46”) to special purpose type variable interest entities.</w:t>
      </w:r>
    </w:p>
    <w:p>
      <w:pPr>
        <w:spacing w:after="0" w:line="14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the full year 2003, Waste Management reported operating revenues of $11.57 billion, compared with $11.14 billion in 2002. Net income before cumulative effect of change in accounting principles for the year was $719 million, or $1.21 per diluted share, compared with $820 million and $1.33 for the year 2002. Net income after considering cumulative effect of change in accounting principles was $630 million for 2003 and $822 million for 2002.</w:t>
      </w:r>
    </w:p>
    <w:p>
      <w:pPr>
        <w:spacing w:after="0" w:line="10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In the first quarter of 2003, Waste Management adopted SFAS No.143 — </w:t>
      </w:r>
      <w:r>
        <w:rPr>
          <w:rFonts w:ascii="Arial" w:cs="Arial" w:eastAsia="Arial" w:hAnsi="Arial"/>
          <w:sz w:val="18"/>
          <w:szCs w:val="18"/>
          <w:i w:val="1"/>
          <w:iCs w:val="1"/>
          <w:color w:val="auto"/>
        </w:rPr>
        <w:t>Accounting for Asset Retirement Obligations</w:t>
      </w:r>
      <w:r>
        <w:rPr>
          <w:rFonts w:ascii="Arial" w:cs="Arial" w:eastAsia="Arial" w:hAnsi="Arial"/>
          <w:sz w:val="18"/>
          <w:szCs w:val="18"/>
          <w:color w:val="auto"/>
        </w:rPr>
        <w:t>, and also changed its accounting for loss contracts and for certain repair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ind w:right="160"/>
        <w:spacing w:after="0" w:line="264" w:lineRule="auto"/>
        <w:rPr>
          <w:sz w:val="20"/>
          <w:szCs w:val="20"/>
          <w:color w:val="auto"/>
        </w:rPr>
      </w:pPr>
      <w:r>
        <w:rPr>
          <w:rFonts w:ascii="Arial" w:cs="Arial" w:eastAsia="Arial" w:hAnsi="Arial"/>
          <w:sz w:val="18"/>
          <w:szCs w:val="18"/>
          <w:color w:val="auto"/>
        </w:rPr>
        <w:t>and maintenance activities at its waste-to-energy and Independent Power Production plants. If the accounting changes implemented during 2003 had been effective in 2002, diluted earnings per share in 2002 would have been lower than reported amounts by $0.02 for the fourth quarter of 2002 and $0.08 for the full year.</w:t>
      </w:r>
    </w:p>
    <w:p>
      <w:pPr>
        <w:spacing w:after="0" w:line="154"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“2003 was a year of great progress at Waste Management,” commented A. Maurice Myers, Chairman, President and Chief Executive Officer. “I believe we have terrific momentum heading into 2004, and we are focused on leveraging that momentum in the coming year. There were a number of significant accomplishments during the year. While revenues increased by $432 million, Selling, General and Administrative costs were reduced by $176 million, to</w:t>
      </w:r>
    </w:p>
    <w:p>
      <w:pPr>
        <w:ind w:right="20"/>
        <w:spacing w:after="0" w:line="290" w:lineRule="auto"/>
        <w:rPr>
          <w:sz w:val="20"/>
          <w:szCs w:val="20"/>
          <w:color w:val="auto"/>
        </w:rPr>
      </w:pPr>
      <w:r>
        <w:rPr>
          <w:rFonts w:ascii="Arial" w:cs="Arial" w:eastAsia="Arial" w:hAnsi="Arial"/>
          <w:sz w:val="17"/>
          <w:szCs w:val="17"/>
          <w:color w:val="auto"/>
        </w:rPr>
        <w:t>10.5% of revenue. We generated over $1 billion in adjusted free cash flow (a). And, through our pricing program we implemented and retained $13 million of monthly price increases, or $156 million of annualized increases, on our commercial and industrial open-market collection customer 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Fourth Quarter and Full Year</w:t>
      </w:r>
    </w:p>
    <w:p>
      <w:pPr>
        <w:spacing w:after="0" w:line="229" w:lineRule="exact"/>
        <w:rPr>
          <w:sz w:val="20"/>
          <w:szCs w:val="20"/>
          <w:color w:val="auto"/>
        </w:rPr>
      </w:pPr>
    </w:p>
    <w:p>
      <w:pPr>
        <w:ind w:left="680" w:right="20" w:hanging="168"/>
        <w:spacing w:after="0" w:line="308" w:lineRule="auto"/>
        <w:tabs>
          <w:tab w:leader="none" w:pos="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Operating cash flow of $640 million in the quarter and $1,926 million for the full year. The quarter and full year amounts include a favorable impact of $36 million and a net negative impact of $223 million, respectively, related to the payment of a class action settlement.</w:t>
      </w:r>
    </w:p>
    <w:p>
      <w:pPr>
        <w:spacing w:after="0" w:line="146" w:lineRule="exact"/>
        <w:rPr>
          <w:rFonts w:ascii="Arial" w:cs="Arial" w:eastAsia="Arial" w:hAnsi="Arial"/>
          <w:sz w:val="17"/>
          <w:szCs w:val="17"/>
          <w:color w:val="auto"/>
        </w:rPr>
      </w:pPr>
    </w:p>
    <w:p>
      <w:pPr>
        <w:ind w:left="680" w:right="60" w:hanging="168"/>
        <w:spacing w:after="0" w:line="308" w:lineRule="auto"/>
        <w:tabs>
          <w:tab w:leader="none" w:pos="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Free cash flow (a) of $268 million in the quarter and $800 million for the full year. Adjusted free cash flow (a), excluding the net cash impact of the payments related to the class action lawsuit settlement, was $232 million in the quarter and $1,023 million for the full year.</w:t>
      </w:r>
    </w:p>
    <w:p>
      <w:pPr>
        <w:spacing w:after="0" w:line="146" w:lineRule="exact"/>
        <w:rPr>
          <w:rFonts w:ascii="Arial" w:cs="Arial" w:eastAsia="Arial" w:hAnsi="Arial"/>
          <w:sz w:val="17"/>
          <w:szCs w:val="17"/>
          <w:color w:val="auto"/>
        </w:rPr>
      </w:pPr>
    </w:p>
    <w:p>
      <w:pPr>
        <w:ind w:left="680" w:hanging="168"/>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Capital expenditures of $402 million and $1,200 million for the quarter and the year, respectively.</w:t>
      </w:r>
    </w:p>
    <w:p>
      <w:pPr>
        <w:spacing w:after="0" w:line="225" w:lineRule="exact"/>
        <w:rPr>
          <w:rFonts w:ascii="Arial" w:cs="Arial" w:eastAsia="Arial" w:hAnsi="Arial"/>
          <w:sz w:val="18"/>
          <w:szCs w:val="18"/>
          <w:color w:val="auto"/>
        </w:rPr>
      </w:pPr>
    </w:p>
    <w:p>
      <w:pPr>
        <w:ind w:left="680" w:right="60" w:hanging="168"/>
        <w:spacing w:after="0" w:line="264"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Internal revenue growth on base business for the quarter of 0.7%, with all of that growth coming from price and a flat volume component. The price component excludes combined net positive impact of 0.2% related to higher fuel surcharges, higher recycling commodity prices, and lower electricity rates at Independent Power Production facilities.</w:t>
      </w:r>
    </w:p>
    <w:p>
      <w:pPr>
        <w:spacing w:after="0" w:line="181" w:lineRule="exact"/>
        <w:rPr>
          <w:rFonts w:ascii="Arial" w:cs="Arial" w:eastAsia="Arial" w:hAnsi="Arial"/>
          <w:sz w:val="18"/>
          <w:szCs w:val="18"/>
          <w:color w:val="auto"/>
        </w:rPr>
      </w:pPr>
    </w:p>
    <w:p>
      <w:pPr>
        <w:ind w:left="680" w:right="120" w:hanging="168"/>
        <w:spacing w:after="0" w:line="277"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connection with the WasteRoute program, the Company exceeded its goal of reducing 750 routes during 2003. Estimated gross savings from the program were $18 million in 2003.</w:t>
      </w:r>
    </w:p>
    <w:p>
      <w:pPr>
        <w:spacing w:after="0" w:line="170" w:lineRule="exact"/>
        <w:rPr>
          <w:rFonts w:ascii="Arial" w:cs="Arial" w:eastAsia="Arial" w:hAnsi="Arial"/>
          <w:sz w:val="18"/>
          <w:szCs w:val="18"/>
          <w:color w:val="auto"/>
        </w:rPr>
      </w:pPr>
    </w:p>
    <w:p>
      <w:pPr>
        <w:ind w:left="680" w:right="200" w:hanging="168"/>
        <w:spacing w:after="0" w:line="277"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Income from operations as a percent of revenue was 14.9% for the quarter, marking the third straight quarter of sequentially improving margins in 2003.</w:t>
      </w:r>
    </w:p>
    <w:p>
      <w:pPr>
        <w:spacing w:after="0" w:line="170" w:lineRule="exact"/>
        <w:rPr>
          <w:rFonts w:ascii="Arial" w:cs="Arial" w:eastAsia="Arial" w:hAnsi="Arial"/>
          <w:sz w:val="18"/>
          <w:szCs w:val="18"/>
          <w:color w:val="auto"/>
        </w:rPr>
      </w:pPr>
    </w:p>
    <w:p>
      <w:pPr>
        <w:ind w:left="680" w:hanging="168"/>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During the fourth quarter $298 million of common stock was repurchased, for a total of $574 million, or about 22 million shares, for the full year.</w:t>
      </w:r>
    </w:p>
    <w:p>
      <w:pPr>
        <w:spacing w:after="0" w:line="248" w:lineRule="exact"/>
        <w:rPr>
          <w:rFonts w:ascii="Arial" w:cs="Arial" w:eastAsia="Arial" w:hAnsi="Arial"/>
          <w:sz w:val="16"/>
          <w:szCs w:val="16"/>
          <w:color w:val="auto"/>
        </w:rPr>
      </w:pPr>
    </w:p>
    <w:p>
      <w:pPr>
        <w:ind w:left="680" w:hanging="168"/>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Acquired $561 million of annualized revenues, for $344 million total consideration.</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Myers added, “General economic indicators were largely positive during the course of the fourth quarter. Similarly, the volume component of our internal revenue growth was improved as compared to the negative trends we have seen in the prior quarters. The first quarter, our seasonally slowest quarter in terms of business volumes, is not looking very robust so far, with harsh winter storms in certain of our key markets. Our focus at this time remains on improving the performance of our bottom quartile performers, as measured by key performance metrics. As a team, we can and will continue our efforts to improve our efficiencies and reduce our costs while at the same time raising prices. However, it is generally believed that volumes in this industry lag broad economic results by six to nine months. An economic-related rebound to our volumes in 2004 would be an unplanned positive occurrence.”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2004 Outlook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announced the following in regard to its financial outlook for 2004:</w:t>
      </w:r>
    </w:p>
    <w:p>
      <w:pPr>
        <w:spacing w:after="0" w:line="225" w:lineRule="exact"/>
        <w:rPr>
          <w:sz w:val="20"/>
          <w:szCs w:val="20"/>
          <w:color w:val="auto"/>
        </w:rPr>
      </w:pPr>
    </w:p>
    <w:p>
      <w:pPr>
        <w:ind w:left="680" w:hanging="168"/>
        <w:spacing w:after="0"/>
        <w:tabs>
          <w:tab w:leader="none" w:pos="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Free cash flow (a) estimated in the range of $900 million to $1.0 billion.</w:t>
      </w:r>
    </w:p>
    <w:p>
      <w:pPr>
        <w:spacing w:after="0" w:line="225" w:lineRule="exact"/>
        <w:rPr>
          <w:rFonts w:ascii="Arial" w:cs="Arial" w:eastAsia="Arial" w:hAnsi="Arial"/>
          <w:sz w:val="18"/>
          <w:szCs w:val="18"/>
          <w:color w:val="auto"/>
        </w:rPr>
      </w:pPr>
    </w:p>
    <w:p>
      <w:pPr>
        <w:ind w:left="680" w:hanging="168"/>
        <w:spacing w:after="0"/>
        <w:tabs>
          <w:tab w:leader="none" w:pos="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Capital expenditures expected to be in the range of $1.15 to $1.25 billion.</w:t>
      </w:r>
    </w:p>
    <w:p>
      <w:pPr>
        <w:spacing w:after="0" w:line="225" w:lineRule="exact"/>
        <w:rPr>
          <w:rFonts w:ascii="Arial" w:cs="Arial" w:eastAsia="Arial" w:hAnsi="Arial"/>
          <w:sz w:val="18"/>
          <w:szCs w:val="18"/>
          <w:color w:val="auto"/>
        </w:rPr>
      </w:pPr>
    </w:p>
    <w:p>
      <w:pPr>
        <w:ind w:left="680" w:right="40" w:hanging="168"/>
        <w:spacing w:after="0" w:line="277" w:lineRule="auto"/>
        <w:tabs>
          <w:tab w:leader="none" w:pos="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revenue projected to be in a range from $11.9 to $12.0 billion. Internal revenue growth on base business expected to be 1.0%, substantially all price.</w:t>
      </w:r>
    </w:p>
    <w:p>
      <w:pPr>
        <w:spacing w:after="0" w:line="170" w:lineRule="exact"/>
        <w:rPr>
          <w:rFonts w:ascii="Arial" w:cs="Arial" w:eastAsia="Arial" w:hAnsi="Arial"/>
          <w:sz w:val="18"/>
          <w:szCs w:val="18"/>
          <w:color w:val="auto"/>
        </w:rPr>
      </w:pPr>
    </w:p>
    <w:p>
      <w:pPr>
        <w:ind w:left="680" w:hanging="168"/>
        <w:spacing w:after="0"/>
        <w:tabs>
          <w:tab w:leader="none" w:pos="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Diluted earnings per share projected to be within the current analysts’ range ($1.36 to $1.52).</w:t>
      </w:r>
    </w:p>
    <w:p>
      <w:pPr>
        <w:spacing w:after="0" w:line="225" w:lineRule="exact"/>
        <w:rPr>
          <w:rFonts w:ascii="Arial" w:cs="Arial" w:eastAsia="Arial" w:hAnsi="Arial"/>
          <w:sz w:val="18"/>
          <w:szCs w:val="18"/>
          <w:color w:val="auto"/>
        </w:rPr>
      </w:pPr>
    </w:p>
    <w:p>
      <w:pPr>
        <w:ind w:left="680" w:hanging="168"/>
        <w:spacing w:after="0"/>
        <w:tabs>
          <w:tab w:leader="none" w:pos="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Approximately $250 million expected to be spent on acquisitions.</w:t>
      </w:r>
    </w:p>
    <w:p>
      <w:pPr>
        <w:spacing w:after="0" w:line="225" w:lineRule="exact"/>
        <w:rPr>
          <w:rFonts w:ascii="Arial" w:cs="Arial" w:eastAsia="Arial" w:hAnsi="Arial"/>
          <w:sz w:val="18"/>
          <w:szCs w:val="18"/>
          <w:color w:val="auto"/>
        </w:rPr>
      </w:pPr>
    </w:p>
    <w:p>
      <w:pPr>
        <w:ind w:left="680" w:hanging="168"/>
        <w:spacing w:after="0"/>
        <w:tabs>
          <w:tab w:leader="none" w:pos="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Projected share repurchases in the range of $400 to $500 million.</w:t>
      </w:r>
    </w:p>
    <w:p>
      <w:pPr>
        <w:spacing w:after="0" w:line="225" w:lineRule="exact"/>
        <w:rPr>
          <w:rFonts w:ascii="Arial" w:cs="Arial" w:eastAsia="Arial" w:hAnsi="Arial"/>
          <w:sz w:val="18"/>
          <w:szCs w:val="18"/>
          <w:color w:val="auto"/>
        </w:rPr>
      </w:pPr>
    </w:p>
    <w:p>
      <w:pPr>
        <w:ind w:left="680" w:hanging="168"/>
        <w:spacing w:after="0"/>
        <w:tabs>
          <w:tab w:leader="none" w:pos="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Payment of $0.75 per share in dividends over the course of the year, at an approximate cash cost of $430 million.</w:t>
      </w:r>
    </w:p>
    <w:p>
      <w:pPr>
        <w:spacing w:after="0" w:line="225" w:lineRule="exact"/>
        <w:rPr>
          <w:rFonts w:ascii="Arial" w:cs="Arial" w:eastAsia="Arial" w:hAnsi="Arial"/>
          <w:sz w:val="18"/>
          <w:szCs w:val="18"/>
          <w:color w:val="auto"/>
        </w:rPr>
      </w:pPr>
    </w:p>
    <w:p>
      <w:pPr>
        <w:ind w:left="320" w:hanging="309"/>
        <w:spacing w:after="0" w:line="302" w:lineRule="auto"/>
        <w:tabs>
          <w:tab w:leader="none" w:pos="3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 included its free cash flow, which is a non-GAAP financial measure, herein because the amount of cash produced by the Company from non-financing activities that is available for uses such as the Company’s acquisition program, its share repurchase program, its scheduled debt reduction and the payment of dividends is important to the Company’s capital allocation process and its goal of providing returns to its shareholders. The Company believes that this measure, which is used internally by management, is important to its investors. Free cash flow is defined by the Company as:</w:t>
      </w:r>
    </w:p>
    <w:p>
      <w:pPr>
        <w:spacing w:after="0" w:line="154" w:lineRule="exact"/>
        <w:rPr>
          <w:rFonts w:ascii="Arial" w:cs="Arial" w:eastAsia="Arial" w:hAnsi="Arial"/>
          <w:sz w:val="16"/>
          <w:szCs w:val="16"/>
          <w:color w:val="auto"/>
        </w:rPr>
      </w:pPr>
    </w:p>
    <w:p>
      <w:pPr>
        <w:ind w:left="1260" w:hanging="180"/>
        <w:spacing w:after="0"/>
        <w:tabs>
          <w:tab w:leader="none" w:pos="1260" w:val="left"/>
        </w:tabs>
        <w:numPr>
          <w:ilvl w:val="2"/>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225" w:lineRule="exact"/>
        <w:rPr>
          <w:rFonts w:ascii="Arial" w:cs="Arial" w:eastAsia="Arial" w:hAnsi="Arial"/>
          <w:sz w:val="18"/>
          <w:szCs w:val="18"/>
          <w:color w:val="auto"/>
        </w:rPr>
      </w:pPr>
    </w:p>
    <w:p>
      <w:pPr>
        <w:ind w:left="1260" w:hanging="180"/>
        <w:spacing w:after="0"/>
        <w:tabs>
          <w:tab w:leader="none" w:pos="1260" w:val="left"/>
        </w:tabs>
        <w:numPr>
          <w:ilvl w:val="2"/>
          <w:numId w:val="2"/>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225" w:lineRule="exact"/>
        <w:rPr>
          <w:rFonts w:ascii="Arial" w:cs="Arial" w:eastAsia="Arial" w:hAnsi="Arial"/>
          <w:sz w:val="18"/>
          <w:szCs w:val="18"/>
          <w:color w:val="auto"/>
        </w:rPr>
      </w:pPr>
    </w:p>
    <w:p>
      <w:pPr>
        <w:ind w:left="1260" w:hanging="180"/>
        <w:spacing w:after="0"/>
        <w:tabs>
          <w:tab w:leader="none" w:pos="1260" w:val="left"/>
        </w:tabs>
        <w:numPr>
          <w:ilvl w:val="2"/>
          <w:numId w:val="2"/>
        </w:numPr>
        <w:rPr>
          <w:rFonts w:ascii="Arial" w:cs="Arial" w:eastAsia="Arial" w:hAnsi="Arial"/>
          <w:sz w:val="18"/>
          <w:szCs w:val="18"/>
          <w:color w:val="auto"/>
        </w:rPr>
      </w:pPr>
      <w:r>
        <w:rPr>
          <w:rFonts w:ascii="Arial" w:cs="Arial" w:eastAsia="Arial" w:hAnsi="Arial"/>
          <w:sz w:val="18"/>
          <w:szCs w:val="18"/>
          <w:color w:val="auto"/>
        </w:rPr>
        <w:t>Plus, proceeds from divestitures of businesses, net of cash divested, and other sales of assets</w:t>
      </w:r>
    </w:p>
    <w:p>
      <w:pPr>
        <w:spacing w:after="0" w:line="225" w:lineRule="exact"/>
        <w:rPr>
          <w:sz w:val="20"/>
          <w:szCs w:val="20"/>
          <w:color w:val="auto"/>
        </w:rPr>
      </w:pPr>
    </w:p>
    <w:p>
      <w:pPr>
        <w:ind w:left="220" w:right="240"/>
        <w:spacing w:after="0" w:line="277" w:lineRule="auto"/>
        <w:rPr>
          <w:sz w:val="20"/>
          <w:szCs w:val="20"/>
          <w:color w:val="auto"/>
        </w:rPr>
      </w:pPr>
      <w:r>
        <w:rPr>
          <w:rFonts w:ascii="Arial" w:cs="Arial" w:eastAsia="Arial" w:hAnsi="Arial"/>
          <w:sz w:val="18"/>
          <w:szCs w:val="18"/>
          <w:color w:val="auto"/>
        </w:rPr>
        <w:t>Adjusted free cash flow excludes the net cash impact of the payments related to the class action settlement. The Company’s definition of free cash flow and adjusted free cash flow may not be comparable to similarly titled measures presented by other companies.</w:t>
      </w:r>
    </w:p>
    <w:p>
      <w:pPr>
        <w:spacing w:after="0" w:line="1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has scheduled an investor and analyst conference call for later today to discuss the results of today’s earnings announcement and the 2004 guidance. The information in this press release should be read in conjunction with the information on the conference call. The call will begin at 10:00 a.m. eastern time, 9:00 a.m. central time, and is open to the public. To listen to the conference call, which will be broadcast live over the Internet, go to the Waste Management Website at http://www.wm.com, and select “Live Webcast: 4Q03 Earnings Report.” You may also listen to the conference call by telephone by contacting the conference call operator at (877) 710-6139, 5-10 minutes prior to the scheduled start time, and asking for the “Waste Management Conference Call — Call ID 4861246.” For those unable to listen to the live call, a replay will be available 24 hours a day beginning at approximately 1:00 p.m. central time February 12th through 1:00 p.m. on February 26th. To hear a replay of the call over the Internet, access the Waste Management Website at http://www.wm.com. To hear a telephonic replay of the call, dial (800) 642-1687 and enter reservation code 4861246.</w:t>
      </w:r>
    </w:p>
    <w:p>
      <w:pPr>
        <w:spacing w:after="0" w:line="1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Waste Management, Inc. is its industry’s leading provider of comprehensive waste management and environmental services. Based in Houston, the Company serves municipal, commercial, industrial, and residential customers throughout North America.</w:t>
      </w:r>
    </w:p>
    <w:p>
      <w:pPr>
        <w:spacing w:after="0" w:line="13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Certain statements contained in this press release include statements that are “forward-looking statements.” Outlined below are some of the risks that the Company faces and that could affect our financial statements for 2004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8" w:name="page9"/>
    <w:bookmarkEnd w:id="8"/>
    <w:p>
      <w:pPr>
        <w:ind w:right="180"/>
        <w:spacing w:after="0" w:line="259" w:lineRule="auto"/>
        <w:rPr>
          <w:sz w:val="20"/>
          <w:szCs w:val="20"/>
          <w:color w:val="auto"/>
        </w:rPr>
      </w:pPr>
      <w:r>
        <w:rPr>
          <w:rFonts w:ascii="Arial" w:cs="Arial" w:eastAsia="Arial" w:hAnsi="Arial"/>
          <w:sz w:val="18"/>
          <w:szCs w:val="18"/>
          <w:i w:val="1"/>
          <w:iCs w:val="1"/>
          <w:color w:val="auto"/>
        </w:rPr>
        <w:t>forward-looking statements, whether as a result of new information, future events or otherwise. In addition, the Company, from time to time, provides estimates of financial and other data relating to future periods. Such estimates and other information are the Company’s expectations at the point in time of issuance but may change at some future point in time. By issuing such estimates the Company has no obligation, and is not undertaking any obligation, to update such estimates or provide any other information relating to such estimates.</w:t>
      </w:r>
    </w:p>
    <w:p>
      <w:pPr>
        <w:spacing w:after="0" w:line="187" w:lineRule="exact"/>
        <w:rPr>
          <w:sz w:val="20"/>
          <w:szCs w:val="20"/>
          <w:color w:val="auto"/>
        </w:rPr>
      </w:pPr>
    </w:p>
    <w:p>
      <w:pPr>
        <w:ind w:left="680" w:hanging="16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potential liability for environmental damages resulting from our operations;</w:t>
      </w:r>
    </w:p>
    <w:p>
      <w:pPr>
        <w:spacing w:after="0" w:line="225" w:lineRule="exact"/>
        <w:rPr>
          <w:rFonts w:ascii="Arial" w:cs="Arial" w:eastAsia="Arial" w:hAnsi="Arial"/>
          <w:sz w:val="18"/>
          <w:szCs w:val="18"/>
          <w:color w:val="auto"/>
        </w:rPr>
      </w:pPr>
    </w:p>
    <w:p>
      <w:pPr>
        <w:ind w:left="680" w:right="120" w:hanging="168"/>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possible changes in our estimates of site remediation requirements, final capping, closure and post-closure obligations, compliance and regulatory developments;</w:t>
      </w:r>
    </w:p>
    <w:p>
      <w:pPr>
        <w:spacing w:after="0" w:line="170" w:lineRule="exact"/>
        <w:rPr>
          <w:rFonts w:ascii="Arial" w:cs="Arial" w:eastAsia="Arial" w:hAnsi="Arial"/>
          <w:sz w:val="18"/>
          <w:szCs w:val="18"/>
          <w:color w:val="auto"/>
        </w:rPr>
      </w:pPr>
    </w:p>
    <w:p>
      <w:pPr>
        <w:ind w:left="680" w:right="40" w:hanging="168"/>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170" w:lineRule="exact"/>
        <w:rPr>
          <w:rFonts w:ascii="Arial" w:cs="Arial" w:eastAsia="Arial" w:hAnsi="Arial"/>
          <w:sz w:val="18"/>
          <w:szCs w:val="18"/>
          <w:color w:val="auto"/>
        </w:rPr>
      </w:pPr>
    </w:p>
    <w:p>
      <w:pPr>
        <w:ind w:left="680" w:hanging="16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 of limitations or bans on disposal or transportation of out-of-state waste or certain categories of waste;</w:t>
      </w:r>
    </w:p>
    <w:p>
      <w:pPr>
        <w:spacing w:after="0" w:line="225" w:lineRule="exact"/>
        <w:rPr>
          <w:rFonts w:ascii="Arial" w:cs="Arial" w:eastAsia="Arial" w:hAnsi="Arial"/>
          <w:sz w:val="18"/>
          <w:szCs w:val="18"/>
          <w:color w:val="auto"/>
        </w:rPr>
      </w:pPr>
    </w:p>
    <w:p>
      <w:pPr>
        <w:ind w:left="680" w:right="520" w:hanging="168"/>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possible charges against earnings as a result of shut-down operations, development or expansion projects, uncompleted acquisitions or other events;</w:t>
      </w:r>
    </w:p>
    <w:p>
      <w:pPr>
        <w:spacing w:after="0" w:line="170" w:lineRule="exact"/>
        <w:rPr>
          <w:rFonts w:ascii="Arial" w:cs="Arial" w:eastAsia="Arial" w:hAnsi="Arial"/>
          <w:sz w:val="18"/>
          <w:szCs w:val="18"/>
          <w:color w:val="auto"/>
        </w:rPr>
      </w:pPr>
    </w:p>
    <w:p>
      <w:pPr>
        <w:ind w:left="680" w:hanging="168"/>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effects that trends toward requiring recycling, waste reduction at the source and prohibiting the disposal of certain types of wastes could have on volumes of waste going to landfills and waste-to-energy facilities;</w:t>
      </w:r>
    </w:p>
    <w:p>
      <w:pPr>
        <w:spacing w:after="0" w:line="170" w:lineRule="exact"/>
        <w:rPr>
          <w:rFonts w:ascii="Arial" w:cs="Arial" w:eastAsia="Arial" w:hAnsi="Arial"/>
          <w:sz w:val="18"/>
          <w:szCs w:val="18"/>
          <w:color w:val="auto"/>
        </w:rPr>
      </w:pPr>
    </w:p>
    <w:p>
      <w:pPr>
        <w:ind w:left="680" w:hanging="16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 the weather has on our quarter to quarter results, as well as the effect of extremely harsh weather on our operations;</w:t>
      </w:r>
    </w:p>
    <w:p>
      <w:pPr>
        <w:spacing w:after="0" w:line="225" w:lineRule="exact"/>
        <w:rPr>
          <w:rFonts w:ascii="Arial" w:cs="Arial" w:eastAsia="Arial" w:hAnsi="Arial"/>
          <w:sz w:val="18"/>
          <w:szCs w:val="18"/>
          <w:color w:val="auto"/>
        </w:rPr>
      </w:pPr>
    </w:p>
    <w:p>
      <w:pPr>
        <w:ind w:left="680" w:hanging="16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 that price fluctuations on commodity prices may have on our operating revenues;</w:t>
      </w:r>
    </w:p>
    <w:p>
      <w:pPr>
        <w:spacing w:after="0" w:line="225" w:lineRule="exact"/>
        <w:rPr>
          <w:rFonts w:ascii="Arial" w:cs="Arial" w:eastAsia="Arial" w:hAnsi="Arial"/>
          <w:sz w:val="18"/>
          <w:szCs w:val="18"/>
          <w:color w:val="auto"/>
        </w:rPr>
      </w:pPr>
    </w:p>
    <w:p>
      <w:pPr>
        <w:ind w:left="680" w:hanging="16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outcome of litigation or threatened litigation;</w:t>
      </w:r>
    </w:p>
    <w:p>
      <w:pPr>
        <w:spacing w:after="0" w:line="225" w:lineRule="exact"/>
        <w:rPr>
          <w:rFonts w:ascii="Arial" w:cs="Arial" w:eastAsia="Arial" w:hAnsi="Arial"/>
          <w:sz w:val="18"/>
          <w:szCs w:val="18"/>
          <w:color w:val="auto"/>
        </w:rPr>
      </w:pPr>
    </w:p>
    <w:p>
      <w:pPr>
        <w:ind w:left="680" w:hanging="16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 competition in our industry could have on our profitability;</w:t>
      </w:r>
    </w:p>
    <w:p>
      <w:pPr>
        <w:spacing w:after="0" w:line="225" w:lineRule="exact"/>
        <w:rPr>
          <w:rFonts w:ascii="Arial" w:cs="Arial" w:eastAsia="Arial" w:hAnsi="Arial"/>
          <w:sz w:val="18"/>
          <w:szCs w:val="18"/>
          <w:color w:val="auto"/>
        </w:rPr>
      </w:pPr>
    </w:p>
    <w:p>
      <w:pPr>
        <w:ind w:left="680" w:hanging="168"/>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possible diversions of management’s attention and increases in operating expenses due to efforts by labor unions to organize our employees;</w:t>
      </w:r>
    </w:p>
    <w:p>
      <w:pPr>
        <w:spacing w:after="0" w:line="236" w:lineRule="exact"/>
        <w:rPr>
          <w:rFonts w:ascii="Arial" w:cs="Arial" w:eastAsia="Arial" w:hAnsi="Arial"/>
          <w:sz w:val="17"/>
          <w:szCs w:val="17"/>
          <w:color w:val="auto"/>
        </w:rPr>
      </w:pPr>
    </w:p>
    <w:p>
      <w:pPr>
        <w:ind w:left="680" w:hanging="16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possible increases in operating expenses due to fuel price increases or fuel supply shortages;</w:t>
      </w:r>
    </w:p>
    <w:p>
      <w:pPr>
        <w:spacing w:after="0" w:line="225" w:lineRule="exact"/>
        <w:rPr>
          <w:rFonts w:ascii="Arial" w:cs="Arial" w:eastAsia="Arial" w:hAnsi="Arial"/>
          <w:sz w:val="18"/>
          <w:szCs w:val="18"/>
          <w:color w:val="auto"/>
        </w:rPr>
      </w:pPr>
    </w:p>
    <w:p>
      <w:pPr>
        <w:ind w:left="680" w:right="280" w:hanging="168"/>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effects of general economic conditions, including the impact of potential interest rate fluctuations and the ability of insurers to fully or timely meet their contractual commitments and of surety companies to continue to issue surety bonds;</w:t>
      </w:r>
    </w:p>
    <w:p>
      <w:pPr>
        <w:spacing w:after="0" w:line="170" w:lineRule="exact"/>
        <w:rPr>
          <w:rFonts w:ascii="Arial" w:cs="Arial" w:eastAsia="Arial" w:hAnsi="Arial"/>
          <w:sz w:val="18"/>
          <w:szCs w:val="18"/>
          <w:color w:val="auto"/>
        </w:rPr>
      </w:pPr>
    </w:p>
    <w:p>
      <w:pPr>
        <w:ind w:left="680" w:right="360" w:hanging="168"/>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need for additional capital if cash flows are less than we expect or capital expenditures are more than we expect, and the possibility that we cannot obtain additional capital on acceptable terms if needed;</w:t>
      </w:r>
    </w:p>
    <w:p>
      <w:pPr>
        <w:spacing w:after="0" w:line="170" w:lineRule="exact"/>
        <w:rPr>
          <w:rFonts w:ascii="Arial" w:cs="Arial" w:eastAsia="Arial" w:hAnsi="Arial"/>
          <w:sz w:val="18"/>
          <w:szCs w:val="18"/>
          <w:color w:val="auto"/>
        </w:rPr>
      </w:pPr>
    </w:p>
    <w:p>
      <w:pPr>
        <w:ind w:left="680" w:hanging="16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possible errors or problems upon implementation of new information technology systems; and</w:t>
      </w:r>
    </w:p>
    <w:p>
      <w:pPr>
        <w:spacing w:after="0" w:line="225" w:lineRule="exact"/>
        <w:rPr>
          <w:rFonts w:ascii="Arial" w:cs="Arial" w:eastAsia="Arial" w:hAnsi="Arial"/>
          <w:sz w:val="18"/>
          <w:szCs w:val="18"/>
          <w:color w:val="auto"/>
        </w:rPr>
      </w:pPr>
    </w:p>
    <w:p>
      <w:pPr>
        <w:ind w:left="680" w:right="60" w:hanging="168"/>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possible fluctuations in quarterly results of operations or adverse impacts on our results of operations as a result of the adoption of new accounting standards or interpretations.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2002, and in Item 2 of the Company’s Quarterly Report on Form 10-Q for the quarter ended September 30, 2003.</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23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3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2002</w:t>
            </w:r>
          </w:p>
        </w:tc>
        <w:tc>
          <w:tcPr>
            <w:tcW w:w="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4"/>
              </w:rPr>
              <w:t>2,968</w:t>
            </w: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4"/>
              </w:rPr>
              <w:t>2,812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Operating (exclusive of depreciation and amortization shown below)</w:t>
            </w: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1,917</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1,792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313</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Asset impairments and unusual items</w:t>
            </w: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2,527</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2,429</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EEEEEE"/>
          </w:tcPr>
          <w:p>
            <w:pPr>
              <w:spacing w:after="0"/>
              <w:rPr>
                <w:sz w:val="18"/>
                <w:szCs w:val="18"/>
                <w:color w:val="auto"/>
              </w:rPr>
            </w:pPr>
          </w:p>
        </w:tc>
        <w:tc>
          <w:tcPr>
            <w:tcW w:w="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441</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(110)</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Minority interest</w:t>
            </w:r>
          </w:p>
        </w:tc>
        <w:tc>
          <w:tcPr>
            <w:tcW w:w="2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income and other, net</w:t>
            </w:r>
          </w:p>
        </w:tc>
        <w:tc>
          <w:tcPr>
            <w:tcW w:w="280" w:type="dxa"/>
            <w:vAlign w:val="bottom"/>
            <w:shd w:val="clear" w:color="auto" w:fill="EEEEEE"/>
          </w:tcPr>
          <w:p>
            <w:pPr>
              <w:spacing w:after="0"/>
              <w:rPr>
                <w:sz w:val="18"/>
                <w:szCs w:val="18"/>
                <w:color w:val="auto"/>
              </w:rPr>
            </w:pPr>
          </w:p>
        </w:tc>
        <w:tc>
          <w:tcPr>
            <w:tcW w:w="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(104)</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337</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Cumulative effect of change in accounting principle, net of income tax benefit of $29 in 2003</w:t>
            </w:r>
          </w:p>
        </w:tc>
        <w:tc>
          <w:tcPr>
            <w:tcW w:w="28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183</w:t>
            </w: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0.39</w:t>
            </w: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Cumulative effect of change in accounting principle</w:t>
            </w:r>
          </w:p>
        </w:tc>
        <w:tc>
          <w:tcPr>
            <w:tcW w:w="28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(0.08)</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0.31</w:t>
            </w: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0.39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0.39</w:t>
            </w: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Cumulative effect of change in accounting principle</w:t>
            </w:r>
          </w:p>
        </w:tc>
        <w:tc>
          <w:tcPr>
            <w:tcW w:w="28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(0.08)</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0.31</w:t>
            </w: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0.39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Basic common shares outstanding</w:t>
            </w: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581.4</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602.4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Diluted common shares outstanding</w:t>
            </w:r>
          </w:p>
        </w:tc>
        <w:tc>
          <w:tcPr>
            <w:tcW w:w="280" w:type="dxa"/>
            <w:vAlign w:val="bottom"/>
            <w:shd w:val="clear" w:color="auto" w:fill="EEEEEE"/>
          </w:tcPr>
          <w:p>
            <w:pPr>
              <w:spacing w:after="0"/>
              <w:rPr>
                <w:sz w:val="18"/>
                <w:szCs w:val="18"/>
                <w:color w:val="auto"/>
              </w:rPr>
            </w:pPr>
          </w:p>
        </w:tc>
        <w:tc>
          <w:tcPr>
            <w:tcW w:w="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4"/>
              </w:rPr>
              <w:t>586.5</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4"/>
              </w:rPr>
              <w:t>604.7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w w:val="99"/>
              </w:rPr>
              <w:t>Pro forma income and earnings per common share assuming changes in accounting principles are applied</w:t>
            </w: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retroactively:</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40"/>
              <w:spacing w:after="0"/>
              <w:rPr>
                <w:sz w:val="20"/>
                <w:szCs w:val="20"/>
                <w:color w:val="auto"/>
              </w:rPr>
            </w:pPr>
            <w:r>
              <w:rPr>
                <w:rFonts w:ascii="Arial" w:cs="Arial" w:eastAsia="Arial" w:hAnsi="Arial"/>
                <w:sz w:val="18"/>
                <w:szCs w:val="18"/>
                <w:color w:val="auto"/>
              </w:rPr>
              <w:t>Basic earnings per common share before cumulative effect of changes in accounting principles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0.39</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Diluted earnings per common share before cumulative effect of changes in accounting principles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0.39</w:t>
            </w: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420" w:hanging="659"/>
        <w:spacing w:after="0" w:line="264" w:lineRule="auto"/>
        <w:tabs>
          <w:tab w:leader="none" w:pos="640" w:val="left"/>
        </w:tabs>
        <w:rPr>
          <w:sz w:val="20"/>
          <w:szCs w:val="20"/>
          <w:color w:val="auto"/>
        </w:rPr>
      </w:pPr>
      <w:r>
        <w:rPr>
          <w:rFonts w:ascii="Arial" w:cs="Arial" w:eastAsia="Arial" w:hAnsi="Arial"/>
          <w:sz w:val="18"/>
          <w:szCs w:val="18"/>
          <w:color w:val="auto"/>
        </w:rPr>
        <w:t>Note:</w:t>
        <w:tab/>
        <w:t>Effective April 1, 2002, certain costs and expenses that were previously included in selling, general and administrative expenses were reclassified to operating expenses as a result of the March 2002 reorganization and to conform with the 2003 presentation. For the three months ended December 31, 2002, $49 million was reclassified.</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540" w:top="931" w:right="5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38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Quarters Ended December 31,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3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2002</w:t>
            </w:r>
          </w:p>
        </w:tc>
        <w:tc>
          <w:tcPr>
            <w:tcW w:w="240" w:type="dxa"/>
            <w:vAlign w:val="bottom"/>
            <w:tcBorders>
              <w:bottom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7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EPS Calculation:</w:t>
            </w: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226</w:t>
            </w:r>
          </w:p>
        </w:tc>
        <w:tc>
          <w:tcPr>
            <w:tcW w:w="3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300" w:type="dxa"/>
            <w:vAlign w:val="bottom"/>
            <w:shd w:val="clear" w:color="auto" w:fill="EEEEEE"/>
          </w:tcPr>
          <w:p>
            <w:pPr>
              <w:spacing w:after="0"/>
              <w:rPr>
                <w:sz w:val="20"/>
                <w:szCs w:val="20"/>
                <w:color w:val="auto"/>
              </w:rPr>
            </w:pPr>
            <w:r>
              <w:rPr>
                <w:rFonts w:ascii="Arial" w:cs="Arial" w:eastAsia="Arial" w:hAnsi="Arial"/>
                <w:sz w:val="18"/>
                <w:szCs w:val="18"/>
                <w:color w:val="auto"/>
              </w:rPr>
              <w:t>Cumulative effect of change in accounting principle</w:t>
            </w:r>
          </w:p>
        </w:tc>
        <w:tc>
          <w:tcPr>
            <w:tcW w:w="3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(43)</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gridSpan w:val="2"/>
          </w:tcPr>
          <w:p>
            <w:pPr>
              <w:ind w:left="860"/>
              <w:spacing w:after="0"/>
              <w:rPr>
                <w:sz w:val="20"/>
                <w:szCs w:val="20"/>
                <w:color w:val="auto"/>
              </w:rPr>
            </w:pPr>
            <w:r>
              <w:rPr>
                <w:rFonts w:ascii="Arial" w:cs="Arial" w:eastAsia="Arial" w:hAnsi="Arial"/>
                <w:sz w:val="18"/>
                <w:szCs w:val="18"/>
                <w:color w:val="auto"/>
              </w:rPr>
              <w:t>Diluted net income</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3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7300" w:type="dxa"/>
            <w:vAlign w:val="bottom"/>
            <w:shd w:val="clear" w:color="auto" w:fill="EEEEEE"/>
          </w:tcPr>
          <w:p>
            <w:pPr>
              <w:spacing w:after="0"/>
              <w:rPr>
                <w:sz w:val="20"/>
                <w:szCs w:val="20"/>
                <w:color w:val="auto"/>
              </w:rPr>
            </w:pPr>
            <w:r>
              <w:rPr>
                <w:rFonts w:ascii="Arial" w:cs="Arial" w:eastAsia="Arial" w:hAnsi="Arial"/>
                <w:sz w:val="18"/>
                <w:szCs w:val="18"/>
                <w:color w:val="auto"/>
              </w:rPr>
              <w:t>Shares outstanding at end of period</w:t>
            </w: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576.1</w:t>
            </w: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594.6</w:t>
            </w:r>
          </w:p>
        </w:tc>
        <w:tc>
          <w:tcPr>
            <w:tcW w:w="24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Effect of weighting</w:t>
            </w:r>
          </w:p>
        </w:tc>
        <w:tc>
          <w:tcPr>
            <w:tcW w:w="3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300" w:type="dxa"/>
            <w:vAlign w:val="bottom"/>
            <w:shd w:val="clear" w:color="auto" w:fill="EEEEEE"/>
          </w:tcPr>
          <w:p>
            <w:pPr>
              <w:spacing w:after="0"/>
              <w:rPr>
                <w:sz w:val="20"/>
                <w:szCs w:val="20"/>
                <w:color w:val="auto"/>
              </w:rPr>
            </w:pPr>
            <w:r>
              <w:rPr>
                <w:rFonts w:ascii="Arial" w:cs="Arial" w:eastAsia="Arial" w:hAnsi="Arial"/>
                <w:sz w:val="18"/>
                <w:szCs w:val="18"/>
                <w:color w:val="auto"/>
              </w:rPr>
              <w:t>Basic common shares outstanding at end of period</w:t>
            </w: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581.4</w:t>
            </w: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602.4</w:t>
            </w:r>
          </w:p>
        </w:tc>
        <w:tc>
          <w:tcPr>
            <w:tcW w:w="24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7300" w:type="dxa"/>
            <w:vAlign w:val="bottom"/>
          </w:tcPr>
          <w:p>
            <w:pPr>
              <w:spacing w:after="0" w:line="201" w:lineRule="exact"/>
              <w:rPr>
                <w:sz w:val="20"/>
                <w:szCs w:val="20"/>
                <w:color w:val="auto"/>
              </w:rPr>
            </w:pPr>
            <w:r>
              <w:rPr>
                <w:rFonts w:ascii="Arial" w:cs="Arial" w:eastAsia="Arial" w:hAnsi="Arial"/>
                <w:sz w:val="18"/>
                <w:szCs w:val="18"/>
                <w:color w:val="auto"/>
                <w:w w:val="98"/>
              </w:rPr>
              <w:t>Adjustment — Dilutive effect of common stock options, stock warrants and other contingently</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7300" w:type="dxa"/>
            <w:vAlign w:val="bottom"/>
          </w:tcPr>
          <w:p>
            <w:pPr>
              <w:ind w:left="120"/>
              <w:spacing w:after="0"/>
              <w:rPr>
                <w:sz w:val="20"/>
                <w:szCs w:val="20"/>
                <w:color w:val="auto"/>
              </w:rPr>
            </w:pPr>
            <w:r>
              <w:rPr>
                <w:rFonts w:ascii="Arial" w:cs="Arial" w:eastAsia="Arial" w:hAnsi="Arial"/>
                <w:sz w:val="18"/>
                <w:szCs w:val="18"/>
                <w:color w:val="auto"/>
              </w:rPr>
              <w:t>issuable shares</w:t>
            </w:r>
          </w:p>
        </w:tc>
        <w:tc>
          <w:tcPr>
            <w:tcW w:w="36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300" w:type="dxa"/>
            <w:vAlign w:val="bottom"/>
            <w:shd w:val="clear" w:color="auto" w:fill="EEEEEE"/>
          </w:tcPr>
          <w:p>
            <w:pPr>
              <w:spacing w:after="0"/>
              <w:rPr>
                <w:sz w:val="20"/>
                <w:szCs w:val="20"/>
                <w:color w:val="auto"/>
              </w:rPr>
            </w:pPr>
            <w:r>
              <w:rPr>
                <w:rFonts w:ascii="Arial" w:cs="Arial" w:eastAsia="Arial" w:hAnsi="Arial"/>
                <w:sz w:val="18"/>
                <w:szCs w:val="18"/>
                <w:color w:val="auto"/>
              </w:rPr>
              <w:t>Diluted common shares outstanding at end of period</w:t>
            </w:r>
          </w:p>
        </w:tc>
        <w:tc>
          <w:tcPr>
            <w:tcW w:w="360" w:type="dxa"/>
            <w:vAlign w:val="bottom"/>
            <w:shd w:val="clear" w:color="auto" w:fill="EEEEEE"/>
          </w:tcPr>
          <w:p>
            <w:pPr>
              <w:spacing w:after="0"/>
              <w:rPr>
                <w:sz w:val="18"/>
                <w:szCs w:val="18"/>
                <w:color w:val="auto"/>
              </w:rPr>
            </w:pPr>
          </w:p>
        </w:tc>
        <w:tc>
          <w:tcPr>
            <w:tcW w:w="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4"/>
              </w:rPr>
              <w:t>586.</w:t>
            </w:r>
            <w:r>
              <w:rPr>
                <w:rFonts w:ascii="Arial" w:cs="Arial" w:eastAsia="Arial" w:hAnsi="Arial"/>
                <w:sz w:val="18"/>
                <w:szCs w:val="18"/>
                <w:u w:val="single" w:color="auto"/>
                <w:color w:val="auto"/>
                <w:w w:val="84"/>
              </w:rPr>
              <w:t>5</w:t>
            </w: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4"/>
              </w:rPr>
              <w:t>604.</w:t>
            </w:r>
            <w:r>
              <w:rPr>
                <w:rFonts w:ascii="Arial" w:cs="Arial" w:eastAsia="Arial" w:hAnsi="Arial"/>
                <w:sz w:val="18"/>
                <w:szCs w:val="18"/>
                <w:u w:val="single" w:color="auto"/>
                <w:color w:val="auto"/>
                <w:w w:val="84"/>
              </w:rPr>
              <w:t>7</w:t>
            </w:r>
          </w:p>
        </w:tc>
        <w:tc>
          <w:tcPr>
            <w:tcW w:w="24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ind w:left="860"/>
              <w:spacing w:after="0"/>
              <w:rPr>
                <w:sz w:val="20"/>
                <w:szCs w:val="20"/>
                <w:color w:val="auto"/>
              </w:rPr>
            </w:pPr>
            <w:r>
              <w:rPr>
                <w:rFonts w:ascii="Arial" w:cs="Arial" w:eastAsia="Arial" w:hAnsi="Arial"/>
                <w:sz w:val="18"/>
                <w:szCs w:val="18"/>
                <w:color w:val="auto"/>
              </w:rPr>
              <w:t>Basic earnings per common share:</w:t>
            </w: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3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360" w:type="dxa"/>
            <w:vAlign w:val="bottom"/>
            <w:shd w:val="clear" w:color="auto" w:fill="EEEEEE"/>
          </w:tcPr>
          <w:p>
            <w:pPr>
              <w:ind w:left="2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0.39</w:t>
            </w:r>
          </w:p>
        </w:tc>
        <w:tc>
          <w:tcPr>
            <w:tcW w:w="3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300" w:type="dxa"/>
            <w:vAlign w:val="bottom"/>
          </w:tcPr>
          <w:p>
            <w:pPr>
              <w:ind w:left="120"/>
              <w:spacing w:after="0"/>
              <w:rPr>
                <w:sz w:val="20"/>
                <w:szCs w:val="20"/>
                <w:color w:val="auto"/>
              </w:rPr>
            </w:pPr>
            <w:r>
              <w:rPr>
                <w:rFonts w:ascii="Arial" w:cs="Arial" w:eastAsia="Arial" w:hAnsi="Arial"/>
                <w:sz w:val="18"/>
                <w:szCs w:val="18"/>
                <w:color w:val="auto"/>
              </w:rPr>
              <w:t>Cumulative effect of change in accounting principle</w:t>
            </w:r>
          </w:p>
        </w:tc>
        <w:tc>
          <w:tcPr>
            <w:tcW w:w="36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(0.08)</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3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EEEEEE"/>
          </w:tcPr>
          <w:p>
            <w:pPr>
              <w:ind w:left="26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0.31</w:t>
            </w:r>
          </w:p>
        </w:tc>
        <w:tc>
          <w:tcPr>
            <w:tcW w:w="3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ind w:left="860"/>
              <w:spacing w:after="0"/>
              <w:rPr>
                <w:sz w:val="20"/>
                <w:szCs w:val="20"/>
                <w:color w:val="auto"/>
              </w:rPr>
            </w:pPr>
            <w:r>
              <w:rPr>
                <w:rFonts w:ascii="Arial" w:cs="Arial" w:eastAsia="Arial" w:hAnsi="Arial"/>
                <w:sz w:val="18"/>
                <w:szCs w:val="18"/>
                <w:color w:val="auto"/>
              </w:rPr>
              <w:t>Diluted earnings per common share:</w:t>
            </w: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3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360" w:type="dxa"/>
            <w:vAlign w:val="bottom"/>
            <w:shd w:val="clear" w:color="auto" w:fill="EEEEEE"/>
          </w:tcPr>
          <w:p>
            <w:pPr>
              <w:ind w:left="2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0.39</w:t>
            </w:r>
          </w:p>
        </w:tc>
        <w:tc>
          <w:tcPr>
            <w:tcW w:w="3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300" w:type="dxa"/>
            <w:vAlign w:val="bottom"/>
          </w:tcPr>
          <w:p>
            <w:pPr>
              <w:ind w:left="120"/>
              <w:spacing w:after="0"/>
              <w:rPr>
                <w:sz w:val="20"/>
                <w:szCs w:val="20"/>
                <w:color w:val="auto"/>
              </w:rPr>
            </w:pPr>
            <w:r>
              <w:rPr>
                <w:rFonts w:ascii="Arial" w:cs="Arial" w:eastAsia="Arial" w:hAnsi="Arial"/>
                <w:sz w:val="18"/>
                <w:szCs w:val="18"/>
                <w:color w:val="auto"/>
              </w:rPr>
              <w:t>Cumulative effect of change in accounting principle</w:t>
            </w:r>
          </w:p>
        </w:tc>
        <w:tc>
          <w:tcPr>
            <w:tcW w:w="36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(0.08)</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3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EEEEEE"/>
          </w:tcPr>
          <w:p>
            <w:pPr>
              <w:ind w:left="26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0.31</w:t>
            </w:r>
          </w:p>
        </w:tc>
        <w:tc>
          <w:tcPr>
            <w:tcW w:w="3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jc w:val="right"/>
              <w:ind w:right="227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1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80" w:type="dxa"/>
            <w:vAlign w:val="bottom"/>
            <w:tcBorders>
              <w:bottom w:val="single" w:sz="8" w:color="808080"/>
            </w:tcBorders>
          </w:tcPr>
          <w:p>
            <w:pPr>
              <w:spacing w:after="0"/>
              <w:rPr>
                <w:sz w:val="19"/>
                <w:szCs w:val="19"/>
                <w:color w:val="auto"/>
              </w:rPr>
            </w:pPr>
          </w:p>
        </w:tc>
        <w:tc>
          <w:tcPr>
            <w:tcW w:w="73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3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2002</w:t>
            </w: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7"/>
              </w:rPr>
              <w:t>11,574</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7"/>
              </w:rPr>
              <w:t>11,142</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Operating (exclusive of depreciation and amortization shown below)</w:t>
            </w:r>
          </w:p>
        </w:tc>
        <w:tc>
          <w:tcPr>
            <w:tcW w:w="2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7,517</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1,216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1,265</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2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Asset impairments and unusual items</w:t>
            </w:r>
          </w:p>
        </w:tc>
        <w:tc>
          <w:tcPr>
            <w:tcW w:w="2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10,034</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1,540</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(439)</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120"/>
              <w:spacing w:after="0"/>
              <w:rPr>
                <w:sz w:val="20"/>
                <w:szCs w:val="20"/>
                <w:color w:val="auto"/>
              </w:rPr>
            </w:pPr>
            <w:r>
              <w:rPr>
                <w:rFonts w:ascii="Arial" w:cs="Arial" w:eastAsia="Arial" w:hAnsi="Arial"/>
                <w:sz w:val="18"/>
                <w:szCs w:val="18"/>
                <w:color w:val="auto"/>
              </w:rPr>
              <w:t>Minority interest</w:t>
            </w:r>
          </w:p>
        </w:tc>
        <w:tc>
          <w:tcPr>
            <w:tcW w:w="2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income and other, net</w:t>
            </w:r>
          </w:p>
        </w:tc>
        <w:tc>
          <w:tcPr>
            <w:tcW w:w="2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1,123</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719</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spacing w:after="0" w:line="201" w:lineRule="exact"/>
              <w:rPr>
                <w:sz w:val="20"/>
                <w:szCs w:val="20"/>
                <w:color w:val="auto"/>
              </w:rPr>
            </w:pPr>
            <w:r>
              <w:rPr>
                <w:rFonts w:ascii="Arial" w:cs="Arial" w:eastAsia="Arial" w:hAnsi="Arial"/>
                <w:sz w:val="18"/>
                <w:szCs w:val="18"/>
                <w:color w:val="auto"/>
                <w:w w:val="97"/>
              </w:rPr>
              <w:t>Cumulative effect of changes in accounting principles, net of income tax benefit of $60 in 2003 and expense of $0 in</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gridSpan w:val="2"/>
          </w:tcPr>
          <w:p>
            <w:pPr>
              <w:ind w:left="140"/>
              <w:spacing w:after="0"/>
              <w:rPr>
                <w:sz w:val="20"/>
                <w:szCs w:val="20"/>
                <w:color w:val="auto"/>
              </w:rPr>
            </w:pPr>
            <w:r>
              <w:rPr>
                <w:rFonts w:ascii="Arial" w:cs="Arial" w:eastAsia="Arial" w:hAnsi="Arial"/>
                <w:sz w:val="18"/>
                <w:szCs w:val="18"/>
                <w:color w:val="auto"/>
              </w:rPr>
              <w:t>2002</w:t>
            </w:r>
          </w:p>
        </w:tc>
        <w:tc>
          <w:tcPr>
            <w:tcW w:w="2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630</w:t>
            </w:r>
          </w:p>
        </w:tc>
        <w:tc>
          <w:tcPr>
            <w:tcW w:w="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1.22</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120"/>
              <w:spacing w:after="0"/>
              <w:rPr>
                <w:sz w:val="20"/>
                <w:szCs w:val="20"/>
                <w:color w:val="auto"/>
              </w:rPr>
            </w:pPr>
            <w:r>
              <w:rPr>
                <w:rFonts w:ascii="Arial" w:cs="Arial" w:eastAsia="Arial" w:hAnsi="Arial"/>
                <w:sz w:val="18"/>
                <w:szCs w:val="18"/>
                <w:color w:val="auto"/>
              </w:rPr>
              <w:t>Cumulative effect of changes in accounting principles</w:t>
            </w:r>
          </w:p>
        </w:tc>
        <w:tc>
          <w:tcPr>
            <w:tcW w:w="2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(0.15)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1.21</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120"/>
              <w:spacing w:after="0"/>
              <w:rPr>
                <w:sz w:val="20"/>
                <w:szCs w:val="20"/>
                <w:color w:val="auto"/>
              </w:rPr>
            </w:pPr>
            <w:r>
              <w:rPr>
                <w:rFonts w:ascii="Arial" w:cs="Arial" w:eastAsia="Arial" w:hAnsi="Arial"/>
                <w:sz w:val="18"/>
                <w:szCs w:val="18"/>
                <w:color w:val="auto"/>
              </w:rPr>
              <w:t>Cumulative effect of changes in accounting principles</w:t>
            </w:r>
          </w:p>
        </w:tc>
        <w:tc>
          <w:tcPr>
            <w:tcW w:w="2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(0.15)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Basic common shares outstanding</w:t>
            </w: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EEEEEE"/>
          </w:tcPr>
          <w:p>
            <w:pPr>
              <w:spacing w:after="0"/>
              <w:rPr>
                <w:sz w:val="20"/>
                <w:szCs w:val="20"/>
                <w:color w:val="auto"/>
              </w:rPr>
            </w:pPr>
            <w:r>
              <w:rPr>
                <w:rFonts w:ascii="Arial" w:cs="Arial" w:eastAsia="Arial" w:hAnsi="Arial"/>
                <w:sz w:val="18"/>
                <w:szCs w:val="18"/>
                <w:color w:val="auto"/>
              </w:rPr>
              <w:t>Diluted common shares outstanding</w:t>
            </w: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592.5</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0"/>
        </w:trPr>
        <w:tc>
          <w:tcPr>
            <w:tcW w:w="8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EEEEEE"/>
          </w:tcPr>
          <w:p>
            <w:pPr>
              <w:spacing w:after="0"/>
              <w:rPr>
                <w:sz w:val="20"/>
                <w:szCs w:val="20"/>
                <w:color w:val="auto"/>
              </w:rPr>
            </w:pPr>
            <w:r>
              <w:rPr>
                <w:rFonts w:ascii="Arial" w:cs="Arial" w:eastAsia="Arial" w:hAnsi="Arial"/>
                <w:sz w:val="18"/>
                <w:szCs w:val="18"/>
                <w:color w:val="auto"/>
                <w:w w:val="93"/>
              </w:rPr>
              <w:t>Pro forma income and earnings per common share assuming changes in accounting principles are applied retroactively:</w:t>
            </w: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719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Basic earnings per common share before cumulative effect of changes in accounting principles</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1.22</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Diluted earnings per common share before cumulative effect of changes in accounting principles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1.21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Note:</w:t>
            </w:r>
          </w:p>
        </w:tc>
        <w:tc>
          <w:tcPr>
            <w:tcW w:w="10860" w:type="dxa"/>
            <w:vAlign w:val="bottom"/>
          </w:tcPr>
          <w:p>
            <w:pPr>
              <w:ind w:left="140"/>
              <w:spacing w:after="0"/>
              <w:rPr>
                <w:sz w:val="20"/>
                <w:szCs w:val="20"/>
                <w:color w:val="auto"/>
              </w:rPr>
            </w:pPr>
            <w:r>
              <w:rPr>
                <w:rFonts w:ascii="Arial" w:cs="Arial" w:eastAsia="Arial" w:hAnsi="Arial"/>
                <w:sz w:val="18"/>
                <w:szCs w:val="18"/>
                <w:color w:val="auto"/>
                <w:w w:val="90"/>
              </w:rPr>
              <w:t>Effective April 1, 2002, certain costs and expenses that were previously included in selling, general and administrative expenses were reclassified to</w:t>
            </w:r>
          </w:p>
        </w:tc>
      </w:tr>
      <w:tr>
        <w:trPr>
          <w:trHeight w:val="216"/>
        </w:trPr>
        <w:tc>
          <w:tcPr>
            <w:tcW w:w="560" w:type="dxa"/>
            <w:vAlign w:val="bottom"/>
          </w:tcPr>
          <w:p>
            <w:pPr>
              <w:spacing w:after="0"/>
              <w:rPr>
                <w:sz w:val="18"/>
                <w:szCs w:val="18"/>
                <w:color w:val="auto"/>
              </w:rPr>
            </w:pPr>
          </w:p>
        </w:tc>
        <w:tc>
          <w:tcPr>
            <w:tcW w:w="10860" w:type="dxa"/>
            <w:vAlign w:val="bottom"/>
          </w:tcPr>
          <w:p>
            <w:pPr>
              <w:ind w:left="140"/>
              <w:spacing w:after="0"/>
              <w:rPr>
                <w:sz w:val="20"/>
                <w:szCs w:val="20"/>
                <w:color w:val="auto"/>
              </w:rPr>
            </w:pPr>
            <w:r>
              <w:rPr>
                <w:rFonts w:ascii="Arial" w:cs="Arial" w:eastAsia="Arial" w:hAnsi="Arial"/>
                <w:sz w:val="18"/>
                <w:szCs w:val="18"/>
                <w:color w:val="auto"/>
                <w:w w:val="90"/>
              </w:rPr>
              <w:t>operating expenses as a result of the March 2002 reorganization and to conform with the 2003 presentation. For the year ended December 31, 2002,</w:t>
            </w:r>
          </w:p>
        </w:tc>
      </w:tr>
      <w:tr>
        <w:trPr>
          <w:trHeight w:val="230"/>
        </w:trPr>
        <w:tc>
          <w:tcPr>
            <w:tcW w:w="560" w:type="dxa"/>
            <w:vAlign w:val="bottom"/>
          </w:tcPr>
          <w:p>
            <w:pPr>
              <w:spacing w:after="0"/>
              <w:rPr>
                <w:sz w:val="20"/>
                <w:szCs w:val="20"/>
                <w:color w:val="auto"/>
              </w:rPr>
            </w:pPr>
          </w:p>
        </w:tc>
        <w:tc>
          <w:tcPr>
            <w:tcW w:w="10860" w:type="dxa"/>
            <w:vAlign w:val="bottom"/>
          </w:tcPr>
          <w:p>
            <w:pPr>
              <w:ind w:left="140"/>
              <w:spacing w:after="0"/>
              <w:rPr>
                <w:sz w:val="20"/>
                <w:szCs w:val="20"/>
                <w:color w:val="auto"/>
              </w:rPr>
            </w:pPr>
            <w:r>
              <w:rPr>
                <w:rFonts w:ascii="Arial" w:cs="Arial" w:eastAsia="Arial" w:hAnsi="Arial"/>
                <w:sz w:val="18"/>
                <w:szCs w:val="18"/>
                <w:color w:val="auto"/>
              </w:rPr>
              <w:t>$137 million related to the second, third, and fourth quarters of 2002 was reclassified.</w:t>
            </w:r>
          </w:p>
        </w:tc>
      </w:tr>
      <w:tr>
        <w:trPr>
          <w:trHeight w:val="392"/>
        </w:trPr>
        <w:tc>
          <w:tcPr>
            <w:tcW w:w="560" w:type="dxa"/>
            <w:vAlign w:val="bottom"/>
          </w:tcPr>
          <w:p>
            <w:pPr>
              <w:spacing w:after="0"/>
              <w:rPr>
                <w:sz w:val="24"/>
                <w:szCs w:val="24"/>
                <w:color w:val="auto"/>
              </w:rPr>
            </w:pPr>
          </w:p>
        </w:tc>
        <w:tc>
          <w:tcPr>
            <w:tcW w:w="10860" w:type="dxa"/>
            <w:vAlign w:val="bottom"/>
          </w:tcPr>
          <w:p>
            <w:pPr>
              <w:jc w:val="right"/>
              <w:ind w:right="5510"/>
              <w:spacing w:after="0"/>
              <w:rPr>
                <w:sz w:val="20"/>
                <w:szCs w:val="20"/>
                <w:color w:val="auto"/>
              </w:rPr>
            </w:pPr>
            <w:r>
              <w:rPr>
                <w:rFonts w:ascii="Arial" w:cs="Arial" w:eastAsia="Arial" w:hAnsi="Arial"/>
                <w:sz w:val="18"/>
                <w:szCs w:val="18"/>
                <w:color w:val="auto"/>
              </w:rPr>
              <w:t>(3)</w:t>
            </w:r>
          </w:p>
        </w:tc>
      </w:tr>
      <w:tr>
        <w:trPr>
          <w:trHeight w:val="226"/>
        </w:trPr>
        <w:tc>
          <w:tcPr>
            <w:tcW w:w="560" w:type="dxa"/>
            <w:vAlign w:val="bottom"/>
            <w:tcBorders>
              <w:bottom w:val="single" w:sz="8" w:color="808080"/>
            </w:tcBorders>
          </w:tcPr>
          <w:p>
            <w:pPr>
              <w:spacing w:after="0"/>
              <w:rPr>
                <w:sz w:val="19"/>
                <w:szCs w:val="19"/>
                <w:color w:val="auto"/>
              </w:rPr>
            </w:pPr>
          </w:p>
        </w:tc>
        <w:tc>
          <w:tcPr>
            <w:tcW w:w="10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3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2002</w:t>
            </w:r>
          </w:p>
        </w:tc>
        <w:tc>
          <w:tcPr>
            <w:tcW w:w="2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EPS Calculation:</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719</w:t>
            </w:r>
          </w:p>
        </w:tc>
        <w:tc>
          <w:tcPr>
            <w:tcW w:w="3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820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Adjustment — Interest on convertible securities, net of income taxes</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gridSpan w:val="2"/>
          </w:tcPr>
          <w:p>
            <w:pPr>
              <w:ind w:left="300"/>
              <w:spacing w:after="0"/>
              <w:rPr>
                <w:sz w:val="20"/>
                <w:szCs w:val="20"/>
                <w:color w:val="auto"/>
              </w:rPr>
            </w:pPr>
            <w:r>
              <w:rPr>
                <w:rFonts w:ascii="Arial" w:cs="Arial" w:eastAsia="Arial" w:hAnsi="Arial"/>
                <w:sz w:val="18"/>
                <w:szCs w:val="18"/>
                <w:color w:val="auto"/>
              </w:rPr>
              <w:t>Diluted income before cumulative effect of changes in accounting principles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Cumulative effect of changes in accounting principles</w:t>
            </w:r>
          </w:p>
        </w:tc>
        <w:tc>
          <w:tcPr>
            <w:tcW w:w="24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(89)</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gridSpan w:val="2"/>
          </w:tcPr>
          <w:p>
            <w:pPr>
              <w:ind w:left="300"/>
              <w:spacing w:after="0"/>
              <w:rPr>
                <w:sz w:val="20"/>
                <w:szCs w:val="20"/>
                <w:color w:val="auto"/>
              </w:rPr>
            </w:pPr>
            <w:r>
              <w:rPr>
                <w:rFonts w:ascii="Arial" w:cs="Arial" w:eastAsia="Arial" w:hAnsi="Arial"/>
                <w:sz w:val="18"/>
                <w:szCs w:val="18"/>
                <w:color w:val="auto"/>
              </w:rPr>
              <w:t>Diluted net income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3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Shares outstanding at end of period</w:t>
            </w: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8"/>
              </w:rPr>
              <w:t>576.1</w:t>
            </w: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594.6</w:t>
            </w:r>
          </w:p>
        </w:tc>
        <w:tc>
          <w:tcPr>
            <w:tcW w:w="2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Effect of weighting</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Basic common shares outstanding at end of period</w:t>
            </w: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8"/>
              </w:rPr>
              <w:t>589.0</w:t>
            </w: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613.4</w:t>
            </w:r>
          </w:p>
        </w:tc>
        <w:tc>
          <w:tcPr>
            <w:tcW w:w="2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Dilutive effect of common stock options, stock warrants and other contingently issuable shares</w:t>
            </w: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Dilutive effect of convertible subordinated notes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Diluted common shares outstanding at end of period</w:t>
            </w: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8"/>
              </w:rPr>
              <w:t>592.</w:t>
            </w:r>
            <w:r>
              <w:rPr>
                <w:rFonts w:ascii="Arial" w:cs="Arial" w:eastAsia="Arial" w:hAnsi="Arial"/>
                <w:sz w:val="18"/>
                <w:szCs w:val="18"/>
                <w:u w:val="single" w:color="auto"/>
                <w:color w:val="auto"/>
                <w:w w:val="88"/>
              </w:rPr>
              <w:t>5</w:t>
            </w: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617.</w:t>
            </w:r>
            <w:r>
              <w:rPr>
                <w:rFonts w:ascii="Arial" w:cs="Arial" w:eastAsia="Arial" w:hAnsi="Arial"/>
                <w:sz w:val="18"/>
                <w:szCs w:val="18"/>
                <w:u w:val="single" w:color="auto"/>
                <w:color w:val="auto"/>
                <w:w w:val="84"/>
              </w:rPr>
              <w:t>5</w:t>
            </w:r>
          </w:p>
        </w:tc>
        <w:tc>
          <w:tcPr>
            <w:tcW w:w="2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ind w:left="30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1.22</w:t>
            </w:r>
          </w:p>
        </w:tc>
        <w:tc>
          <w:tcPr>
            <w:tcW w:w="3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Cumulative effect of changes in accounting principles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(0.15)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3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ind w:left="30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1.21</w:t>
            </w:r>
          </w:p>
        </w:tc>
        <w:tc>
          <w:tcPr>
            <w:tcW w:w="3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Cumulative effect of changes in accounting principles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(0.15)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w:t>
            </w:r>
          </w:p>
        </w:tc>
        <w:tc>
          <w:tcPr>
            <w:tcW w:w="3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ind w:left="560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9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00" w:type="dxa"/>
            <w:vAlign w:val="bottom"/>
            <w:tcBorders>
              <w:bottom w:val="single" w:sz="8" w:color="808080"/>
            </w:tcBorders>
          </w:tcPr>
          <w:p>
            <w:pPr>
              <w:spacing w:after="0"/>
              <w:rPr>
                <w:sz w:val="19"/>
                <w:szCs w:val="19"/>
                <w:color w:val="auto"/>
              </w:rPr>
            </w:pPr>
          </w:p>
        </w:tc>
        <w:tc>
          <w:tcPr>
            <w:tcW w:w="86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tbl>
      <w:tblPr>
        <w:tblLayout w:type="fixed"/>
        <w:tblInd w:w="2000" w:type="dxa"/>
        <w:tblCellMar>
          <w:top w:w="0" w:type="dxa"/>
          <w:left w:w="0" w:type="dxa"/>
          <w:bottom w:w="0" w:type="dxa"/>
          <w:right w:w="0" w:type="dxa"/>
        </w:tblCellMar>
      </w:tblPr>
      <w:tr>
        <w:trPr>
          <w:trHeight w:val="216"/>
        </w:trPr>
        <w:tc>
          <w:tcPr>
            <w:tcW w:w="4740" w:type="dxa"/>
            <w:vAlign w:val="bottom"/>
          </w:tcPr>
          <w:p>
            <w:pPr>
              <w:jc w:val="center"/>
              <w:ind w:left="2590"/>
              <w:spacing w:after="0"/>
              <w:rPr>
                <w:sz w:val="20"/>
                <w:szCs w:val="20"/>
                <w:color w:val="auto"/>
              </w:rPr>
            </w:pPr>
            <w:r>
              <w:rPr>
                <w:rFonts w:ascii="Arial" w:cs="Arial" w:eastAsia="Arial" w:hAnsi="Arial"/>
                <w:sz w:val="18"/>
                <w:szCs w:val="18"/>
                <w:b w:val="1"/>
                <w:bCs w:val="1"/>
                <w:color w:val="auto"/>
                <w:w w:val="90"/>
              </w:rPr>
              <w:t>Waste Management, Inc.</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5"/>
          </w:tcPr>
          <w:p>
            <w:pPr>
              <w:jc w:val="center"/>
              <w:ind w:left="143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tcPr>
          <w:p>
            <w:pPr>
              <w:jc w:val="center"/>
              <w:ind w:left="2610"/>
              <w:spacing w:after="0"/>
              <w:rPr>
                <w:sz w:val="20"/>
                <w:szCs w:val="20"/>
                <w:color w:val="auto"/>
              </w:rPr>
            </w:pPr>
            <w:r>
              <w:rPr>
                <w:rFonts w:ascii="Arial" w:cs="Arial" w:eastAsia="Arial" w:hAnsi="Arial"/>
                <w:sz w:val="18"/>
                <w:szCs w:val="18"/>
                <w:b w:val="1"/>
                <w:bCs w:val="1"/>
                <w:color w:val="auto"/>
                <w:w w:val="95"/>
              </w:rPr>
              <w:t>(In Millions)</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1"/>
        </w:trPr>
        <w:tc>
          <w:tcPr>
            <w:tcW w:w="4740" w:type="dxa"/>
            <w:vAlign w:val="bottom"/>
          </w:tcPr>
          <w:p>
            <w:pPr>
              <w:spacing w:after="0"/>
              <w:rPr>
                <w:sz w:val="24"/>
                <w:szCs w:val="24"/>
                <w:color w:val="auto"/>
              </w:rPr>
            </w:pPr>
          </w:p>
        </w:tc>
        <w:tc>
          <w:tcPr>
            <w:tcW w:w="116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24"/>
                <w:szCs w:val="24"/>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2002</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160" w:type="dxa"/>
            <w:vAlign w:val="bottom"/>
            <w:gridSpan w:val="4"/>
          </w:tcPr>
          <w:p>
            <w:pPr>
              <w:ind w:left="200"/>
              <w:spacing w:after="0" w:line="142" w:lineRule="exact"/>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135</w:t>
            </w:r>
          </w:p>
        </w:tc>
        <w:tc>
          <w:tcPr>
            <w:tcW w:w="3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1,811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642</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23"/>
        </w:trPr>
        <w:tc>
          <w:tcPr>
            <w:tcW w:w="474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7"/>
              </w:rPr>
              <w:t>11,411</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87"/>
              </w:rPr>
              <w:t>10,612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5,266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Other intangible assets, net</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156</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20,656</w:t>
            </w: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87"/>
              </w:rPr>
              <w:t>19,856</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40" w:type="dxa"/>
            <w:vAlign w:val="bottom"/>
          </w:tcPr>
          <w:p>
            <w:pPr>
              <w:ind w:left="140"/>
              <w:spacing w:after="0" w:line="201" w:lineRule="exact"/>
              <w:rPr>
                <w:sz w:val="20"/>
                <w:szCs w:val="20"/>
                <w:color w:val="auto"/>
              </w:rPr>
            </w:pPr>
            <w:r>
              <w:rPr>
                <w:rFonts w:ascii="Arial" w:cs="Arial" w:eastAsia="Arial" w:hAnsi="Arial"/>
                <w:sz w:val="18"/>
                <w:szCs w:val="18"/>
                <w:color w:val="auto"/>
              </w:rPr>
              <w:t>Accounts payable, accrued liabilities, and deferred</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80"/>
              <w:spacing w:after="0"/>
              <w:rPr>
                <w:sz w:val="20"/>
                <w:szCs w:val="20"/>
                <w:color w:val="auto"/>
              </w:rPr>
            </w:pPr>
            <w:r>
              <w:rPr>
                <w:rFonts w:ascii="Arial" w:cs="Arial" w:eastAsia="Arial" w:hAnsi="Arial"/>
                <w:sz w:val="18"/>
                <w:szCs w:val="18"/>
                <w:color w:val="auto"/>
              </w:rPr>
              <w:t>revenues</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2,818</w:t>
            </w:r>
          </w:p>
        </w:tc>
        <w:tc>
          <w:tcPr>
            <w:tcW w:w="3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514</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474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7,997</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8,062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3,514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14,843</w:t>
            </w: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87"/>
              </w:rPr>
              <w:t>14,529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Minority interest in subsidiaries</w:t>
            </w:r>
          </w:p>
        </w:tc>
        <w:tc>
          <w:tcPr>
            <w:tcW w:w="2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5,563</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23"/>
        </w:trPr>
        <w:tc>
          <w:tcPr>
            <w:tcW w:w="474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20,656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19,856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restated to conform to 2003 presentation.</w:t>
      </w:r>
    </w:p>
    <w:p>
      <w:pPr>
        <w:spacing w:after="0" w:line="18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2003</w:t>
            </w:r>
          </w:p>
        </w:tc>
        <w:tc>
          <w:tcPr>
            <w:tcW w:w="3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2002</w:t>
            </w:r>
          </w:p>
        </w:tc>
        <w:tc>
          <w:tcPr>
            <w:tcW w:w="360" w:type="dxa"/>
            <w:vAlign w:val="bottom"/>
            <w:tcBorders>
              <w:bottom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630</w:t>
            </w:r>
          </w:p>
        </w:tc>
        <w:tc>
          <w:tcPr>
            <w:tcW w:w="3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822</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Cumulative effect of changes in accounting principles</w:t>
            </w: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1,265</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1,222</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394</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278</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4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6"/>
              </w:rPr>
              <w:t>Change in operating assets and liabilities, net of effects of acquisitions and divestitures</w:t>
            </w: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(452)</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gridSpan w:val="2"/>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2,153</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Arial" w:cs="Arial" w:eastAsia="Arial" w:hAnsi="Arial"/>
                <w:sz w:val="18"/>
                <w:szCs w:val="18"/>
                <w:color w:val="auto"/>
              </w:rPr>
              <w:t>Acquisitions of businesses, net of cash acquired</w:t>
            </w:r>
          </w:p>
        </w:tc>
        <w:tc>
          <w:tcPr>
            <w:tcW w:w="3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(337)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(162)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Capital expenditures</w:t>
            </w: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1"/>
              </w:rPr>
              <w:t>(1,200)</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7"/>
              </w:rPr>
              <w:t>(1,287)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940" w:type="dxa"/>
            <w:vAlign w:val="bottom"/>
          </w:tcPr>
          <w:p>
            <w:pPr>
              <w:ind w:left="120"/>
              <w:spacing w:after="0"/>
              <w:rPr>
                <w:sz w:val="20"/>
                <w:szCs w:val="20"/>
                <w:color w:val="auto"/>
              </w:rPr>
            </w:pPr>
            <w:r>
              <w:rPr>
                <w:rFonts w:ascii="Arial" w:cs="Arial" w:eastAsia="Arial" w:hAnsi="Arial"/>
                <w:sz w:val="18"/>
                <w:szCs w:val="18"/>
                <w:color w:val="auto"/>
              </w:rPr>
              <w:t>Net proceeds from restricted funds, business divestitures, asset sales and other</w:t>
            </w:r>
          </w:p>
        </w:tc>
        <w:tc>
          <w:tcPr>
            <w:tcW w:w="3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1"/>
              </w:rPr>
              <w:t>(1,084)</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(962)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gridSpan w:val="2"/>
          </w:tcPr>
          <w:p>
            <w:pPr>
              <w:ind w:left="86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New borrowings</w:t>
            </w: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894</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Arial" w:cs="Arial" w:eastAsia="Arial" w:hAnsi="Arial"/>
                <w:sz w:val="18"/>
                <w:szCs w:val="18"/>
                <w:color w:val="auto"/>
              </w:rPr>
              <w:t>Debt repayments</w:t>
            </w:r>
          </w:p>
        </w:tc>
        <w:tc>
          <w:tcPr>
            <w:tcW w:w="3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(563)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(1,591)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Common stock repurchases</w:t>
            </w: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(550)</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(982)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Arial" w:cs="Arial" w:eastAsia="Arial" w:hAnsi="Arial"/>
                <w:sz w:val="18"/>
                <w:szCs w:val="18"/>
                <w:color w:val="auto"/>
              </w:rPr>
              <w:t>Cash dividends</w:t>
            </w:r>
          </w:p>
        </w:tc>
        <w:tc>
          <w:tcPr>
            <w:tcW w:w="3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Exercise of common stock options and warrants</w:t>
            </w: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(973)</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7"/>
              </w:rPr>
              <w:t>(1,658)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gridSpan w:val="2"/>
          </w:tcPr>
          <w:p>
            <w:pPr>
              <w:ind w:left="860"/>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Decrease in cash and cash equivalents</w:t>
            </w: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3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264</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jc w:val="right"/>
              <w:ind w:right="191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8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80" w:type="dxa"/>
            <w:vAlign w:val="bottom"/>
            <w:tcBorders>
              <w:bottom w:val="single" w:sz="8" w:color="808080"/>
            </w:tcBorders>
          </w:tcPr>
          <w:p>
            <w:pPr>
              <w:spacing w:after="0"/>
              <w:rPr>
                <w:sz w:val="19"/>
                <w:szCs w:val="19"/>
                <w:color w:val="auto"/>
              </w:rPr>
            </w:pPr>
          </w:p>
        </w:tc>
        <w:tc>
          <w:tcPr>
            <w:tcW w:w="69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jc w:val="center"/>
        <w:ind w:right="-105"/>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105"/>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ind w:right="-105"/>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ind w:right="-105"/>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286"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5"/>
              </w:rPr>
              <w:t>Quarters Ended</w:t>
            </w: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7"/>
          </w:tcPr>
          <w:p>
            <w:pPr>
              <w:ind w:left="120"/>
              <w:spacing w:after="0" w:line="119"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6"/>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5"/>
          </w:tcPr>
          <w:p>
            <w:pPr>
              <w:jc w:val="right"/>
              <w:ind w:right="140"/>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2003</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2002</w:t>
            </w: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 by Lines of Business</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20"/>
              <w:spacing w:after="0"/>
              <w:rPr>
                <w:sz w:val="20"/>
                <w:szCs w:val="20"/>
                <w:color w:val="auto"/>
              </w:rPr>
            </w:pPr>
            <w:r>
              <w:rPr>
                <w:rFonts w:ascii="Arial" w:cs="Arial" w:eastAsia="Arial" w:hAnsi="Arial"/>
                <w:sz w:val="18"/>
                <w:szCs w:val="18"/>
                <w:color w:val="auto"/>
              </w:rPr>
              <w:t>NASW:</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Collection</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6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$1,985</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40" w:type="dxa"/>
            <w:vAlign w:val="bottom"/>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$1,984</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$1,909</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Landfill</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703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Transfer</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420</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372</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Wheelabrator</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Recycling and other</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Intercompany</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ind w:left="380"/>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6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$2,968</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40" w:type="dxa"/>
            <w:vAlign w:val="bottom"/>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$2,975</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$2,812</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Internal Growth of Operating Revenues from Comparable Prior Periods</w:t>
            </w: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Internal growth</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0.9%</w:t>
            </w: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5"/>
          </w:tcPr>
          <w:p>
            <w:pPr>
              <w:ind w:left="120"/>
              <w:spacing w:after="0"/>
              <w:rPr>
                <w:sz w:val="20"/>
                <w:szCs w:val="20"/>
                <w:color w:val="auto"/>
              </w:rPr>
            </w:pPr>
            <w:r>
              <w:rPr>
                <w:rFonts w:ascii="Arial" w:cs="Arial" w:eastAsia="Arial" w:hAnsi="Arial"/>
                <w:sz w:val="18"/>
                <w:szCs w:val="18"/>
                <w:color w:val="auto"/>
                <w:w w:val="99"/>
              </w:rPr>
              <w:t>Less: Price changes due to recycling commodities, electricity (IPP), and fuel surcharge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ind w:left="380"/>
              <w:spacing w:after="0"/>
              <w:rPr>
                <w:sz w:val="20"/>
                <w:szCs w:val="20"/>
                <w:color w:val="auto"/>
              </w:rPr>
            </w:pPr>
            <w:r>
              <w:rPr>
                <w:rFonts w:ascii="Arial" w:cs="Arial" w:eastAsia="Arial" w:hAnsi="Arial"/>
                <w:sz w:val="18"/>
                <w:szCs w:val="18"/>
                <w:color w:val="auto"/>
              </w:rPr>
              <w:t>Adjusted internal growth</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0.7%</w:t>
            </w: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Acquisition Summary (a)</w:t>
            </w: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Gross annualized revenue acquired</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2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vMerge w:val="restart"/>
          </w:tcPr>
          <w:p>
            <w:pPr>
              <w:ind w:left="120"/>
              <w:spacing w:after="0"/>
              <w:rPr>
                <w:sz w:val="20"/>
                <w:szCs w:val="20"/>
                <w:color w:val="auto"/>
              </w:rPr>
            </w:pPr>
            <w:r>
              <w:rPr>
                <w:rFonts w:ascii="Arial" w:cs="Arial" w:eastAsia="Arial" w:hAnsi="Arial"/>
                <w:sz w:val="18"/>
                <w:szCs w:val="18"/>
                <w:color w:val="auto"/>
              </w:rPr>
              <w:t>Total consideration</w:t>
            </w: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4"/>
            <w:vMerge w:val="continue"/>
          </w:tcPr>
          <w:p>
            <w:pPr>
              <w:spacing w:after="0"/>
              <w:rPr>
                <w:sz w:val="18"/>
                <w:szCs w:val="18"/>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4"/>
            <w:vMerge w:val="continue"/>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paid for acquisitions</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2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Recycling Segment Supplemental Data (b)</w:t>
            </w: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2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vMerge w:val="restart"/>
          </w:tcPr>
          <w:p>
            <w:pPr>
              <w:ind w:left="120"/>
              <w:spacing w:after="0"/>
              <w:rPr>
                <w:sz w:val="20"/>
                <w:szCs w:val="20"/>
                <w:color w:val="auto"/>
              </w:rPr>
            </w:pPr>
            <w:r>
              <w:rPr>
                <w:rFonts w:ascii="Arial" w:cs="Arial" w:eastAsia="Arial" w:hAnsi="Arial"/>
                <w:sz w:val="18"/>
                <w:szCs w:val="18"/>
                <w:color w:val="auto"/>
              </w:rPr>
              <w:t>Operating expenses (exclusive of depreciation and amortization)</w:t>
            </w: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4"/>
            <w:vMerge w:val="continue"/>
          </w:tcPr>
          <w:p>
            <w:pPr>
              <w:spacing w:after="0"/>
              <w:rPr>
                <w:sz w:val="18"/>
                <w:szCs w:val="18"/>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4"/>
            <w:vMerge w:val="continue"/>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260" w:type="dxa"/>
            <w:vAlign w:val="bottom"/>
            <w:gridSpan w:val="11"/>
          </w:tcPr>
          <w:p>
            <w:pPr>
              <w:ind w:left="140"/>
              <w:spacing w:after="0"/>
              <w:rPr>
                <w:sz w:val="20"/>
                <w:szCs w:val="20"/>
                <w:color w:val="auto"/>
              </w:rPr>
            </w:pPr>
            <w:r>
              <w:rPr>
                <w:rFonts w:ascii="Arial" w:cs="Arial" w:eastAsia="Arial" w:hAnsi="Arial"/>
                <w:sz w:val="14"/>
                <w:szCs w:val="14"/>
                <w:b w:val="1"/>
                <w:bCs w:val="1"/>
                <w:color w:val="auto"/>
              </w:rPr>
              <w:t>Quarters Ended December 31,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11"/>
          </w:tcPr>
          <w:p>
            <w:pPr>
              <w:jc w:val="right"/>
              <w:ind w:right="50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2003</w:t>
            </w: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2002</w:t>
            </w: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top w:val="single" w:sz="8" w:color="auto"/>
              <w:bottom w:val="single" w:sz="8" w:color="auto"/>
            </w:tcBorders>
            <w:gridSpan w:val="4"/>
          </w:tcPr>
          <w:p>
            <w:pPr>
              <w:jc w:val="right"/>
              <w:ind w:right="12"/>
              <w:spacing w:after="0" w:line="142" w:lineRule="exact"/>
              <w:rPr>
                <w:sz w:val="20"/>
                <w:szCs w:val="20"/>
                <w:color w:val="auto"/>
              </w:rPr>
            </w:pPr>
            <w:r>
              <w:rPr>
                <w:rFonts w:ascii="Arial" w:cs="Arial" w:eastAsia="Arial" w:hAnsi="Arial"/>
                <w:sz w:val="14"/>
                <w:szCs w:val="14"/>
                <w:b w:val="1"/>
                <w:bCs w:val="1"/>
                <w:color w:val="auto"/>
              </w:rPr>
              <w:t>2003</w:t>
            </w: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2002</w:t>
            </w: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Free Cash Flow Analysis (c)</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$ 640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$ 626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$ 1,926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6"/>
          </w:tcPr>
          <w:p>
            <w:pPr>
              <w:jc w:val="right"/>
              <w:ind w:right="20"/>
              <w:spacing w:after="0"/>
              <w:rPr>
                <w:sz w:val="20"/>
                <w:szCs w:val="20"/>
                <w:color w:val="auto"/>
              </w:rPr>
            </w:pPr>
            <w:r>
              <w:rPr>
                <w:rFonts w:ascii="Arial" w:cs="Arial" w:eastAsia="Arial" w:hAnsi="Arial"/>
                <w:sz w:val="18"/>
                <w:szCs w:val="18"/>
                <w:color w:val="auto"/>
              </w:rPr>
              <w:t>$ 2,153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84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(402)</w:t>
            </w:r>
          </w:p>
        </w:tc>
        <w:tc>
          <w:tcPr>
            <w:tcW w:w="340" w:type="dxa"/>
            <w:vAlign w:val="bottom"/>
            <w:shd w:val="clear" w:color="auto" w:fill="EEEEEE"/>
          </w:tcPr>
          <w:p>
            <w:pPr>
              <w:spacing w:after="0"/>
              <w:rPr>
                <w:sz w:val="18"/>
                <w:szCs w:val="18"/>
                <w:color w:val="auto"/>
              </w:rPr>
            </w:pPr>
          </w:p>
        </w:tc>
        <w:tc>
          <w:tcPr>
            <w:tcW w:w="760" w:type="dxa"/>
            <w:vAlign w:val="bottom"/>
            <w:gridSpan w:val="5"/>
            <w:shd w:val="clear" w:color="auto" w:fill="EEEEEE"/>
          </w:tcPr>
          <w:p>
            <w:pPr>
              <w:jc w:val="right"/>
              <w:ind w:right="60"/>
              <w:spacing w:after="0"/>
              <w:rPr>
                <w:sz w:val="20"/>
                <w:szCs w:val="20"/>
                <w:color w:val="auto"/>
              </w:rPr>
            </w:pPr>
            <w:r>
              <w:rPr>
                <w:rFonts w:ascii="Arial" w:cs="Arial" w:eastAsia="Arial" w:hAnsi="Arial"/>
                <w:sz w:val="18"/>
                <w:szCs w:val="18"/>
                <w:color w:val="auto"/>
              </w:rPr>
              <w:t>(373)</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40" w:type="dxa"/>
            <w:vAlign w:val="bottom"/>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(1,200)</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360" w:type="dxa"/>
            <w:vAlign w:val="bottom"/>
            <w:gridSpan w:val="7"/>
            <w:shd w:val="clear" w:color="auto" w:fill="EEEEEE"/>
          </w:tcPr>
          <w:p>
            <w:pPr>
              <w:jc w:val="right"/>
              <w:ind w:right="28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tcPr>
          <w:p>
            <w:pPr>
              <w:spacing w:after="0" w:line="201" w:lineRule="exact"/>
              <w:rPr>
                <w:sz w:val="20"/>
                <w:szCs w:val="20"/>
                <w:color w:val="auto"/>
              </w:rPr>
            </w:pPr>
            <w:r>
              <w:rPr>
                <w:rFonts w:ascii="Arial" w:cs="Arial" w:eastAsia="Arial" w:hAnsi="Arial"/>
                <w:sz w:val="18"/>
                <w:szCs w:val="18"/>
                <w:color w:val="auto"/>
                <w:w w:val="99"/>
              </w:rPr>
              <w:t>Proceeds from divestitures of businesses, net of cash divested, and other</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20" w:type="dxa"/>
            <w:vAlign w:val="bottom"/>
          </w:tcPr>
          <w:p>
            <w:pPr>
              <w:ind w:left="120"/>
              <w:spacing w:after="0"/>
              <w:rPr>
                <w:sz w:val="20"/>
                <w:szCs w:val="20"/>
                <w:color w:val="auto"/>
              </w:rPr>
            </w:pPr>
            <w:r>
              <w:rPr>
                <w:rFonts w:ascii="Arial" w:cs="Arial" w:eastAsia="Arial" w:hAnsi="Arial"/>
                <w:sz w:val="18"/>
                <w:szCs w:val="18"/>
                <w:color w:val="auto"/>
              </w:rPr>
              <w:t>sales of assets</w:t>
            </w:r>
          </w:p>
        </w:tc>
        <w:tc>
          <w:tcPr>
            <w:tcW w:w="160" w:type="dxa"/>
            <w:vAlign w:val="bottom"/>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175</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Free cash flow</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268</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$ 346</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800</w:t>
            </w: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40" w:type="dxa"/>
            <w:vAlign w:val="bottom"/>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$ 1,041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Pro forma adjustments:</w:t>
            </w: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Shareholder litigation payments, net of income tax and other</w:t>
            </w:r>
          </w:p>
        </w:tc>
        <w:tc>
          <w:tcPr>
            <w:tcW w:w="84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(36)</w:t>
            </w: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Adjusted free cash flow</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1,023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3208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7" w:lineRule="exact"/>
        <w:rPr>
          <w:sz w:val="20"/>
          <w:szCs w:val="20"/>
          <w:color w:val="auto"/>
        </w:rPr>
      </w:pPr>
    </w:p>
    <w:p>
      <w:pPr>
        <w:ind w:left="526" w:hanging="515"/>
        <w:spacing w:after="0"/>
        <w:tabs>
          <w:tab w:leader="none" w:pos="526"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225" w:lineRule="exact"/>
        <w:rPr>
          <w:rFonts w:ascii="Arial" w:cs="Arial" w:eastAsia="Arial" w:hAnsi="Arial"/>
          <w:sz w:val="18"/>
          <w:szCs w:val="18"/>
          <w:color w:val="auto"/>
        </w:rPr>
      </w:pPr>
    </w:p>
    <w:p>
      <w:pPr>
        <w:ind w:left="526" w:hanging="526"/>
        <w:spacing w:after="0"/>
        <w:tabs>
          <w:tab w:leader="none" w:pos="52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Information provided is after the elimination of intercompany revenues and related expenses.</w:t>
      </w:r>
    </w:p>
    <w:p>
      <w:pPr>
        <w:spacing w:after="0" w:line="225" w:lineRule="exact"/>
        <w:rPr>
          <w:rFonts w:ascii="Arial" w:cs="Arial" w:eastAsia="Arial" w:hAnsi="Arial"/>
          <w:sz w:val="18"/>
          <w:szCs w:val="18"/>
          <w:color w:val="auto"/>
        </w:rPr>
      </w:pPr>
    </w:p>
    <w:p>
      <w:pPr>
        <w:ind w:left="526" w:hanging="515"/>
        <w:spacing w:after="0" w:line="264" w:lineRule="auto"/>
        <w:tabs>
          <w:tab w:leader="none" w:pos="52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41" w:lineRule="exact"/>
        <w:rPr>
          <w:sz w:val="20"/>
          <w:szCs w:val="20"/>
          <w:color w:val="auto"/>
        </w:rPr>
      </w:pPr>
    </w:p>
    <w:p>
      <w:pPr>
        <w:jc w:val="center"/>
        <w:ind w:right="-105"/>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6"/>
          </w:cols>
          <w:pgMar w:left="254" w:top="931" w:right="359" w:bottom="1440" w:gutter="0" w:footer="0" w:header="0"/>
        </w:sectPr>
      </w:pPr>
    </w:p>
    <w:bookmarkStart w:id="16" w:name="page17"/>
    <w:bookmarkEnd w:id="16"/>
    <w:p>
      <w:pPr>
        <w:jc w:val="center"/>
        <w:ind w:right="-268"/>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268"/>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ind w:right="-268"/>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ind w:right="-268"/>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289"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Quarters Ended</w:t>
            </w: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1200" w:type="dxa"/>
            <w:vAlign w:val="bottom"/>
            <w:gridSpan w:val="3"/>
          </w:tcPr>
          <w:p>
            <w:pPr>
              <w:ind w:left="180"/>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1240" w:type="dxa"/>
            <w:vAlign w:val="bottom"/>
            <w:gridSpan w:val="4"/>
          </w:tcPr>
          <w:p>
            <w:pPr>
              <w:jc w:val="right"/>
              <w:ind w:right="200"/>
              <w:spacing w:after="0" w:line="119" w:lineRule="exact"/>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0"/>
                <w:szCs w:val="10"/>
                <w:color w:val="auto"/>
              </w:rPr>
            </w:pPr>
          </w:p>
        </w:tc>
        <w:tc>
          <w:tcPr>
            <w:tcW w:w="1280" w:type="dxa"/>
            <w:vAlign w:val="bottom"/>
            <w:gridSpan w:val="4"/>
          </w:tcPr>
          <w:p>
            <w:pPr>
              <w:jc w:val="right"/>
              <w:ind w:right="220"/>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2002</w:t>
            </w: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135</w:t>
            </w:r>
          </w:p>
        </w:tc>
        <w:tc>
          <w:tcPr>
            <w:tcW w:w="4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523</w:t>
            </w:r>
          </w:p>
        </w:tc>
        <w:tc>
          <w:tcPr>
            <w:tcW w:w="4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EEEEEE"/>
          </w:tcPr>
          <w:p>
            <w:pPr>
              <w:spacing w:after="0"/>
              <w:rPr>
                <w:sz w:val="20"/>
                <w:szCs w:val="20"/>
                <w:color w:val="auto"/>
              </w:rPr>
            </w:pPr>
            <w:r>
              <w:rPr>
                <w:rFonts w:ascii="Arial" w:cs="Arial" w:eastAsia="Arial" w:hAnsi="Arial"/>
                <w:sz w:val="18"/>
                <w:szCs w:val="18"/>
                <w:color w:val="auto"/>
              </w:rPr>
              <w:t>Debt-to-total capital ratio:</w:t>
            </w: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Long-term indebtedness, including current maturities</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8,511</w:t>
            </w:r>
          </w:p>
        </w:tc>
        <w:tc>
          <w:tcPr>
            <w:tcW w:w="4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8,560</w:t>
            </w:r>
          </w:p>
        </w:tc>
        <w:tc>
          <w:tcPr>
            <w:tcW w:w="4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8,293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equity</w:t>
            </w: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5,563</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5,606</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5,308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Arial" w:cs="Arial" w:eastAsia="Arial" w:hAnsi="Arial"/>
                <w:sz w:val="18"/>
                <w:szCs w:val="18"/>
                <w:color w:val="auto"/>
              </w:rPr>
              <w:t>Total capital</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14,074</w:t>
            </w:r>
          </w:p>
        </w:tc>
        <w:tc>
          <w:tcPr>
            <w:tcW w:w="4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14,166</w:t>
            </w:r>
          </w:p>
        </w:tc>
        <w:tc>
          <w:tcPr>
            <w:tcW w:w="4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13,601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EEEEEE"/>
          </w:tcPr>
          <w:p>
            <w:pPr>
              <w:spacing w:after="0"/>
              <w:rPr>
                <w:sz w:val="20"/>
                <w:szCs w:val="20"/>
                <w:color w:val="auto"/>
              </w:rPr>
            </w:pPr>
            <w:r>
              <w:rPr>
                <w:rFonts w:ascii="Arial" w:cs="Arial" w:eastAsia="Arial" w:hAnsi="Arial"/>
                <w:sz w:val="18"/>
                <w:szCs w:val="18"/>
                <w:color w:val="auto"/>
              </w:rPr>
              <w:t>Debt-to-total capital</w:t>
            </w:r>
          </w:p>
        </w:tc>
        <w:tc>
          <w:tcPr>
            <w:tcW w:w="2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60.5%</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60.4%</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Capitalized interest</w:t>
            </w:r>
          </w:p>
        </w:tc>
        <w:tc>
          <w:tcPr>
            <w:tcW w:w="280" w:type="dxa"/>
            <w:vAlign w:val="bottom"/>
            <w:vMerge w:val="restart"/>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Operational Data</w:t>
            </w: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Internalization of waste, based on disposal costs</w:t>
            </w:r>
          </w:p>
        </w:tc>
        <w:tc>
          <w:tcPr>
            <w:tcW w:w="2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63.6%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63.9%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EEEEEE"/>
          </w:tcPr>
          <w:p>
            <w:pPr>
              <w:spacing w:after="0"/>
              <w:rPr>
                <w:sz w:val="20"/>
                <w:szCs w:val="20"/>
                <w:color w:val="auto"/>
              </w:rPr>
            </w:pPr>
            <w:r>
              <w:rPr>
                <w:rFonts w:ascii="Arial" w:cs="Arial" w:eastAsia="Arial" w:hAnsi="Arial"/>
                <w:sz w:val="18"/>
                <w:szCs w:val="18"/>
                <w:color w:val="auto"/>
              </w:rPr>
              <w:t>Total landfill disposal volumes (tons in millions)</w:t>
            </w: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31.0</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Total Waste to Energy disposal volumes (tons in millions)</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EEEEEE"/>
          </w:tcPr>
          <w:p>
            <w:pPr>
              <w:spacing w:after="0"/>
              <w:rPr>
                <w:sz w:val="20"/>
                <w:szCs w:val="20"/>
                <w:color w:val="auto"/>
              </w:rPr>
            </w:pPr>
            <w:r>
              <w:rPr>
                <w:rFonts w:ascii="Arial" w:cs="Arial" w:eastAsia="Arial" w:hAnsi="Arial"/>
                <w:sz w:val="18"/>
                <w:szCs w:val="18"/>
                <w:color w:val="auto"/>
              </w:rPr>
              <w:t>Total disposal volumes (tons in millions)</w:t>
            </w:r>
          </w:p>
        </w:tc>
        <w:tc>
          <w:tcPr>
            <w:tcW w:w="280" w:type="dxa"/>
            <w:vAlign w:val="bottom"/>
            <w:shd w:val="clear" w:color="auto" w:fill="EEEEEE"/>
          </w:tcPr>
          <w:p>
            <w:pPr>
              <w:spacing w:after="0"/>
              <w:rPr>
                <w:sz w:val="18"/>
                <w:szCs w:val="18"/>
                <w:color w:val="auto"/>
              </w:rPr>
            </w:pPr>
          </w:p>
        </w:tc>
        <w:tc>
          <w:tcPr>
            <w:tcW w:w="5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31.3</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33.0</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Active landfills</w:t>
            </w: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EEEEEE"/>
          </w:tcPr>
          <w:p>
            <w:pPr>
              <w:spacing w:after="0"/>
              <w:rPr>
                <w:sz w:val="20"/>
                <w:szCs w:val="20"/>
                <w:color w:val="auto"/>
              </w:rPr>
            </w:pPr>
            <w:r>
              <w:rPr>
                <w:rFonts w:ascii="Arial" w:cs="Arial" w:eastAsia="Arial" w:hAnsi="Arial"/>
                <w:sz w:val="18"/>
                <w:szCs w:val="18"/>
                <w:color w:val="auto"/>
              </w:rPr>
              <w:t>Landfills reporting volume</w:t>
            </w: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265</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Landfills Included in Operating Groups:</w:t>
            </w: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Expense Under Current Method -</w:t>
            </w:r>
          </w:p>
        </w:tc>
        <w:tc>
          <w:tcPr>
            <w:tcW w:w="2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shd w:val="clear" w:color="auto" w:fill="EEEEEE"/>
          </w:tcPr>
          <w:p>
            <w:pPr>
              <w:spacing w:after="0"/>
              <w:rPr>
                <w:sz w:val="20"/>
                <w:szCs w:val="20"/>
                <w:color w:val="auto"/>
              </w:rPr>
            </w:pPr>
            <w:r>
              <w:rPr>
                <w:rFonts w:ascii="Arial" w:cs="Arial" w:eastAsia="Arial" w:hAnsi="Arial"/>
                <w:sz w:val="18"/>
                <w:szCs w:val="18"/>
                <w:color w:val="auto"/>
              </w:rPr>
              <w:t>Non — SFAS No. 143 amortization expense</w:t>
            </w:r>
          </w:p>
        </w:tc>
        <w:tc>
          <w:tcPr>
            <w:tcW w:w="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87.3</w:t>
            </w:r>
          </w:p>
        </w:tc>
        <w:tc>
          <w:tcPr>
            <w:tcW w:w="420" w:type="dxa"/>
            <w:vAlign w:val="bottom"/>
            <w:shd w:val="clear" w:color="auto" w:fill="EEEEEE"/>
          </w:tcPr>
          <w:p>
            <w:pPr>
              <w:spacing w:after="0"/>
              <w:rPr>
                <w:sz w:val="20"/>
                <w:szCs w:val="20"/>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98.5</w:t>
            </w:r>
          </w:p>
        </w:tc>
        <w:tc>
          <w:tcPr>
            <w:tcW w:w="4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Amortization expense related to SFAS No. 143 obligations</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amortization expense</w:t>
            </w: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99.2</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113.9</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Accretion and other related expense</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EEEEEE"/>
          </w:tcPr>
          <w:p>
            <w:pPr>
              <w:spacing w:after="0"/>
              <w:rPr>
                <w:sz w:val="20"/>
                <w:szCs w:val="20"/>
                <w:color w:val="auto"/>
              </w:rPr>
            </w:pPr>
            <w:r>
              <w:rPr>
                <w:rFonts w:ascii="Arial" w:cs="Arial" w:eastAsia="Arial" w:hAnsi="Arial"/>
                <w:sz w:val="18"/>
                <w:szCs w:val="18"/>
                <w:color w:val="auto"/>
              </w:rPr>
              <w:t>Landfill amortization, accretion and other related expense</w:t>
            </w:r>
          </w:p>
        </w:tc>
        <w:tc>
          <w:tcPr>
            <w:tcW w:w="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117.0</w:t>
            </w:r>
          </w:p>
        </w:tc>
        <w:tc>
          <w:tcPr>
            <w:tcW w:w="4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125.7</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Expense Under Historical Method -</w:t>
            </w: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Landfill amortization expense</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99.5</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EEEEEE"/>
          </w:tcPr>
          <w:p>
            <w:pPr>
              <w:spacing w:after="0"/>
              <w:rPr>
                <w:sz w:val="20"/>
                <w:szCs w:val="20"/>
                <w:color w:val="auto"/>
              </w:rPr>
            </w:pPr>
            <w:r>
              <w:rPr>
                <w:rFonts w:ascii="Arial" w:cs="Arial" w:eastAsia="Arial" w:hAnsi="Arial"/>
                <w:sz w:val="18"/>
                <w:szCs w:val="18"/>
                <w:color w:val="auto"/>
              </w:rPr>
              <w:t>Landfill final closure and post closure expense</w:t>
            </w: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(7.7)(a)</w:t>
            </w: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Landfill amortization and final closure and post closure</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13208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7" w:lineRule="exact"/>
        <w:rPr>
          <w:sz w:val="20"/>
          <w:szCs w:val="20"/>
          <w:color w:val="auto"/>
        </w:rPr>
      </w:pPr>
    </w:p>
    <w:p>
      <w:pPr>
        <w:ind w:left="529" w:right="120" w:hanging="529"/>
        <w:spacing w:after="0" w:line="277" w:lineRule="auto"/>
        <w:tabs>
          <w:tab w:leader="none" w:pos="52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($7.7) million includes a reduction in expense associated with the review of the estimated future closure and post-closure requirements of the Company’s landfills.</w:t>
      </w:r>
    </w:p>
    <w:p>
      <w:pPr>
        <w:spacing w:after="0" w:line="130" w:lineRule="exact"/>
        <w:rPr>
          <w:sz w:val="20"/>
          <w:szCs w:val="20"/>
          <w:color w:val="auto"/>
        </w:rPr>
      </w:pPr>
    </w:p>
    <w:p>
      <w:pPr>
        <w:jc w:val="center"/>
        <w:ind w:right="-268"/>
        <w:spacing w:after="0"/>
        <w:rPr>
          <w:sz w:val="20"/>
          <w:szCs w:val="20"/>
          <w:color w:val="auto"/>
        </w:rPr>
      </w:pPr>
      <w:r>
        <w:rPr>
          <w:rFonts w:ascii="Arial" w:cs="Arial" w:eastAsia="Arial" w:hAnsi="Arial"/>
          <w:sz w:val="18"/>
          <w:szCs w:val="18"/>
          <w:color w:val="auto"/>
        </w:rPr>
        <w:t>(8)</w:t>
      </w:r>
    </w:p>
    <w:sectPr>
      <w:pgSz w:w="11900" w:h="16838" w:orient="portrait"/>
      <w:cols w:equalWidth="0" w:num="1">
        <w:col w:w="11129"/>
      </w:cols>
      <w:pgMar w:left="251" w:top="9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lvl>
    <w:lvl w:ilvl="1">
      <w:lvlJc w:val="left"/>
      <w:lvlText w:val="•"/>
      <w:numFmt w:val="bullet"/>
      <w:start w:val="1"/>
    </w:lvl>
    <w:lvl w:ilvl="2">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2019-12-20T03:56:58Z</dcterms:created>
  <dcterms:modified xsi:type="dcterms:W3CDTF">2019-12-20T03:56:58Z</dcterms:modified>
</cp:coreProperties>
</file>