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December 19,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3660" w:type="dxa"/>
            <w:vAlign w:val="bottom"/>
          </w:tcPr>
          <w:p>
            <w:pPr>
              <w:jc w:val="center"/>
              <w:ind w:right="1899"/>
              <w:spacing w:after="0"/>
              <w:rPr>
                <w:sz w:val="20"/>
                <w:szCs w:val="20"/>
                <w:color w:val="auto"/>
              </w:rPr>
            </w:pPr>
            <w:r>
              <w:rPr>
                <w:rFonts w:ascii="Arial" w:cs="Arial" w:eastAsia="Arial" w:hAnsi="Arial"/>
                <w:sz w:val="18"/>
                <w:szCs w:val="18"/>
                <w:b w:val="1"/>
                <w:bCs w:val="1"/>
                <w:color w:val="auto"/>
                <w:w w:val="91"/>
              </w:rPr>
              <w:t>Delaware</w:t>
            </w:r>
          </w:p>
        </w:tc>
        <w:tc>
          <w:tcPr>
            <w:tcW w:w="2520" w:type="dxa"/>
            <w:vAlign w:val="bottom"/>
          </w:tcPr>
          <w:p>
            <w:pPr>
              <w:jc w:val="center"/>
              <w:ind w:right="282"/>
              <w:spacing w:after="0"/>
              <w:rPr>
                <w:sz w:val="20"/>
                <w:szCs w:val="20"/>
                <w:color w:val="auto"/>
              </w:rPr>
            </w:pPr>
            <w:r>
              <w:rPr>
                <w:rFonts w:ascii="Arial" w:cs="Arial" w:eastAsia="Arial" w:hAnsi="Arial"/>
                <w:sz w:val="18"/>
                <w:szCs w:val="18"/>
                <w:b w:val="1"/>
                <w:bCs w:val="1"/>
                <w:color w:val="auto"/>
                <w:w w:val="90"/>
              </w:rPr>
              <w:t>1-12154</w:t>
            </w:r>
          </w:p>
        </w:tc>
        <w:tc>
          <w:tcPr>
            <w:tcW w:w="3020" w:type="dxa"/>
            <w:vAlign w:val="bottom"/>
          </w:tcPr>
          <w:p>
            <w:pPr>
              <w:jc w:val="center"/>
              <w:ind w:left="1541"/>
              <w:spacing w:after="0"/>
              <w:rPr>
                <w:sz w:val="20"/>
                <w:szCs w:val="20"/>
                <w:color w:val="auto"/>
              </w:rPr>
            </w:pPr>
            <w:r>
              <w:rPr>
                <w:rFonts w:ascii="Arial" w:cs="Arial" w:eastAsia="Arial" w:hAnsi="Arial"/>
                <w:sz w:val="18"/>
                <w:szCs w:val="18"/>
                <w:b w:val="1"/>
                <w:bCs w:val="1"/>
                <w:color w:val="auto"/>
                <w:w w:val="91"/>
              </w:rPr>
              <w:t>73-1309529</w:t>
            </w:r>
          </w:p>
        </w:tc>
      </w:tr>
      <w:tr>
        <w:trPr>
          <w:trHeight w:val="149"/>
        </w:trPr>
        <w:tc>
          <w:tcPr>
            <w:tcW w:w="3660" w:type="dxa"/>
            <w:vAlign w:val="bottom"/>
          </w:tcPr>
          <w:p>
            <w:pPr>
              <w:jc w:val="center"/>
              <w:ind w:right="18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520" w:type="dxa"/>
            <w:vAlign w:val="bottom"/>
          </w:tcPr>
          <w:p>
            <w:pPr>
              <w:jc w:val="center"/>
              <w:ind w:right="282"/>
              <w:spacing w:after="0" w:line="149" w:lineRule="exact"/>
              <w:rPr>
                <w:sz w:val="20"/>
                <w:szCs w:val="20"/>
                <w:color w:val="auto"/>
              </w:rPr>
            </w:pPr>
            <w:r>
              <w:rPr>
                <w:rFonts w:ascii="Arial" w:cs="Arial" w:eastAsia="Arial" w:hAnsi="Arial"/>
                <w:sz w:val="14"/>
                <w:szCs w:val="14"/>
                <w:b w:val="1"/>
                <w:bCs w:val="1"/>
                <w:color w:val="auto"/>
                <w:w w:val="90"/>
              </w:rPr>
              <w:t>(Commission</w:t>
            </w:r>
          </w:p>
        </w:tc>
        <w:tc>
          <w:tcPr>
            <w:tcW w:w="3020" w:type="dxa"/>
            <w:vAlign w:val="bottom"/>
          </w:tcPr>
          <w:p>
            <w:pPr>
              <w:jc w:val="center"/>
              <w:ind w:left="154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660" w:type="dxa"/>
            <w:vAlign w:val="bottom"/>
          </w:tcPr>
          <w:p>
            <w:pPr>
              <w:jc w:val="center"/>
              <w:ind w:right="1879"/>
              <w:spacing w:after="0"/>
              <w:rPr>
                <w:sz w:val="20"/>
                <w:szCs w:val="20"/>
                <w:color w:val="auto"/>
              </w:rPr>
            </w:pPr>
            <w:r>
              <w:rPr>
                <w:rFonts w:ascii="Arial" w:cs="Arial" w:eastAsia="Arial" w:hAnsi="Arial"/>
                <w:sz w:val="14"/>
                <w:szCs w:val="14"/>
                <w:b w:val="1"/>
                <w:bCs w:val="1"/>
                <w:color w:val="auto"/>
                <w:w w:val="94"/>
              </w:rPr>
              <w:t>of Incorporation)</w:t>
            </w:r>
          </w:p>
        </w:tc>
        <w:tc>
          <w:tcPr>
            <w:tcW w:w="2520" w:type="dxa"/>
            <w:vAlign w:val="bottom"/>
          </w:tcPr>
          <w:p>
            <w:pPr>
              <w:jc w:val="center"/>
              <w:ind w:right="282"/>
              <w:spacing w:after="0"/>
              <w:rPr>
                <w:sz w:val="20"/>
                <w:szCs w:val="20"/>
                <w:color w:val="auto"/>
              </w:rPr>
            </w:pPr>
            <w:r>
              <w:rPr>
                <w:rFonts w:ascii="Arial" w:cs="Arial" w:eastAsia="Arial" w:hAnsi="Arial"/>
                <w:sz w:val="14"/>
                <w:szCs w:val="14"/>
                <w:b w:val="1"/>
                <w:bCs w:val="1"/>
                <w:color w:val="auto"/>
                <w:w w:val="98"/>
              </w:rPr>
              <w:t>File Number)</w:t>
            </w:r>
          </w:p>
        </w:tc>
        <w:tc>
          <w:tcPr>
            <w:tcW w:w="3020" w:type="dxa"/>
            <w:vAlign w:val="bottom"/>
          </w:tcPr>
          <w:p>
            <w:pPr>
              <w:jc w:val="center"/>
              <w:ind w:left="1541"/>
              <w:spacing w:after="0"/>
              <w:rPr>
                <w:sz w:val="20"/>
                <w:szCs w:val="20"/>
                <w:color w:val="auto"/>
              </w:rPr>
            </w:pPr>
            <w:r>
              <w:rPr>
                <w:rFonts w:ascii="Arial" w:cs="Arial" w:eastAsia="Arial" w:hAnsi="Arial"/>
                <w:sz w:val="14"/>
                <w:szCs w:val="14"/>
                <w:b w:val="1"/>
                <w:bCs w:val="1"/>
                <w:color w:val="auto"/>
                <w:w w:val="95"/>
              </w:rPr>
              <w:t>identification number)</w:t>
            </w:r>
          </w:p>
        </w:tc>
      </w:tr>
      <w:tr>
        <w:trPr>
          <w:trHeight w:val="439"/>
        </w:trPr>
        <w:tc>
          <w:tcPr>
            <w:tcW w:w="3660" w:type="dxa"/>
            <w:vAlign w:val="bottom"/>
          </w:tcPr>
          <w:p>
            <w:pPr>
              <w:jc w:val="center"/>
              <w:ind w:right="59"/>
              <w:spacing w:after="0"/>
              <w:rPr>
                <w:sz w:val="20"/>
                <w:szCs w:val="20"/>
                <w:color w:val="auto"/>
              </w:rPr>
            </w:pPr>
            <w:r>
              <w:rPr>
                <w:rFonts w:ascii="Arial" w:cs="Arial" w:eastAsia="Arial" w:hAnsi="Arial"/>
                <w:sz w:val="18"/>
                <w:szCs w:val="18"/>
                <w:b w:val="1"/>
                <w:bCs w:val="1"/>
                <w:color w:val="auto"/>
                <w:w w:val="90"/>
              </w:rPr>
              <w:t>1001 Fannin, Suite 4000</w:t>
            </w:r>
          </w:p>
        </w:tc>
        <w:tc>
          <w:tcPr>
            <w:tcW w:w="252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25"/>
        </w:trPr>
        <w:tc>
          <w:tcPr>
            <w:tcW w:w="3660" w:type="dxa"/>
            <w:vAlign w:val="bottom"/>
          </w:tcPr>
          <w:p>
            <w:pPr>
              <w:jc w:val="center"/>
              <w:ind w:right="39"/>
              <w:spacing w:after="0"/>
              <w:rPr>
                <w:sz w:val="20"/>
                <w:szCs w:val="20"/>
                <w:color w:val="auto"/>
              </w:rPr>
            </w:pPr>
            <w:r>
              <w:rPr>
                <w:rFonts w:ascii="Arial" w:cs="Arial" w:eastAsia="Arial" w:hAnsi="Arial"/>
                <w:sz w:val="18"/>
                <w:szCs w:val="18"/>
                <w:b w:val="1"/>
                <w:bCs w:val="1"/>
                <w:color w:val="auto"/>
                <w:w w:val="88"/>
              </w:rPr>
              <w:t>Houston, Texas</w:t>
            </w:r>
          </w:p>
        </w:tc>
        <w:tc>
          <w:tcPr>
            <w:tcW w:w="2520" w:type="dxa"/>
            <w:vAlign w:val="bottom"/>
          </w:tcPr>
          <w:p>
            <w:pPr>
              <w:spacing w:after="0"/>
              <w:rPr>
                <w:sz w:val="19"/>
                <w:szCs w:val="19"/>
                <w:color w:val="auto"/>
              </w:rPr>
            </w:pPr>
          </w:p>
        </w:tc>
        <w:tc>
          <w:tcPr>
            <w:tcW w:w="3020" w:type="dxa"/>
            <w:vAlign w:val="bottom"/>
          </w:tcPr>
          <w:p>
            <w:pPr>
              <w:jc w:val="right"/>
              <w:ind w:right="1381"/>
              <w:spacing w:after="0"/>
              <w:rPr>
                <w:sz w:val="20"/>
                <w:szCs w:val="20"/>
                <w:color w:val="auto"/>
              </w:rPr>
            </w:pPr>
            <w:r>
              <w:rPr>
                <w:rFonts w:ascii="Arial" w:cs="Arial" w:eastAsia="Arial" w:hAnsi="Arial"/>
                <w:sz w:val="18"/>
                <w:szCs w:val="18"/>
                <w:b w:val="1"/>
                <w:bCs w:val="1"/>
                <w:color w:val="auto"/>
              </w:rPr>
              <w:t>77002</w:t>
            </w:r>
          </w:p>
        </w:tc>
      </w:tr>
      <w:tr>
        <w:trPr>
          <w:trHeight w:val="186"/>
        </w:trPr>
        <w:tc>
          <w:tcPr>
            <w:tcW w:w="366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520" w:type="dxa"/>
            <w:vAlign w:val="bottom"/>
          </w:tcPr>
          <w:p>
            <w:pPr>
              <w:spacing w:after="0"/>
              <w:rPr>
                <w:sz w:val="16"/>
                <w:szCs w:val="16"/>
                <w:color w:val="auto"/>
              </w:rPr>
            </w:pPr>
          </w:p>
        </w:tc>
        <w:tc>
          <w:tcPr>
            <w:tcW w:w="3020" w:type="dxa"/>
            <w:vAlign w:val="bottom"/>
          </w:tcPr>
          <w:p>
            <w:pPr>
              <w:jc w:val="center"/>
              <w:ind w:right="24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On December 19, 2014, Waste Management, Inc. (the “Company”) announced that it will redeem the entire outstanding principal amount of its 6.375% Senior Notes due March 2015, 7.125% Senior Notes due December 2017 and 7.375% Senior Notes due March 2019 (the “Notes”). The redemption date for the Notes is January 20, 2015. The aggregate principal amount of the Notes outstanding is $946.8 million. The redemption price for each series of Notes will include a make-whole premium, which will be calculated three business days prior to the redemption date in accordance with the terms of the Notes and related indenture, plus accrued and unpaid interest on the Notes up to, but excluding, the redemption date. The Company plans to use cash on hand to fund the redemption of the Notes, pending consideration of potential debt refinancings.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copy of the press release announcing the redemption is filed as Exhibit 99.1 hereto and incorporated herein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Number</w:t>
      </w:r>
    </w:p>
    <w:p>
      <w:pPr>
        <w:spacing w:after="0" w:line="10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December 19, 2014 regarding Notes Redemption.</w:t>
      </w:r>
    </w:p>
    <w:p>
      <w:pPr>
        <w:sectPr>
          <w:pgSz w:w="11900" w:h="16838" w:orient="portrait"/>
          <w:cols w:equalWidth="0" w:num="1">
            <w:col w:w="11420"/>
          </w:cols>
          <w:pgMar w:left="240" w:top="270" w:right="23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19, 2014</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 Courtney A. Tippy</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Title: Corporate Secretary</w:t>
      </w:r>
    </w:p>
    <w:p>
      <w:pPr>
        <w:sectPr>
          <w:pgSz w:w="11900" w:h="16838" w:orient="portrait"/>
          <w:cols w:equalWidth="0" w:num="1">
            <w:col w:w="10740"/>
          </w:cols>
          <w:pgMar w:left="240" w:top="270" w:right="919" w:bottom="1440" w:gutter="0" w:footer="0" w:header="0"/>
        </w:sectPr>
      </w:pPr>
    </w:p>
    <w:bookmarkStart w:id="3" w:name="page4"/>
    <w:bookmarkEnd w:id="3"/>
    <w:p>
      <w:pPr>
        <w:jc w:val="right"/>
        <w:ind w:right="39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10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December 19, 2014 regarding Notes Redemption.</w:t>
      </w:r>
    </w:p>
    <w:p>
      <w:pPr>
        <w:sectPr>
          <w:pgSz w:w="11900" w:h="16838" w:orient="portrait"/>
          <w:cols w:equalWidth="0" w:num="1">
            <w:col w:w="10219"/>
          </w:cols>
          <w:pgMar w:left="2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ectPr>
          <w:pgSz w:w="11900" w:h="16838" w:orient="portrait"/>
          <w:cols w:equalWidth="0" w:num="1">
            <w:col w:w="11420"/>
          </w:cols>
          <w:pgMar w:left="240" w:top="121" w:right="239" w:bottom="1440" w:gutter="0" w:footer="0" w:header="0"/>
        </w:sectPr>
      </w:pPr>
    </w:p>
    <w:p>
      <w:pPr>
        <w:spacing w:after="0" w:line="238" w:lineRule="exact"/>
        <w:rPr>
          <w:sz w:val="20"/>
          <w:szCs w:val="20"/>
          <w:color w:val="auto"/>
        </w:rPr>
      </w:pPr>
    </w:p>
    <w:p>
      <w:pPr>
        <w:ind w:right="240"/>
        <w:spacing w:after="0" w:line="256" w:lineRule="auto"/>
        <w:rPr>
          <w:sz w:val="20"/>
          <w:szCs w:val="20"/>
          <w:color w:val="auto"/>
        </w:rPr>
      </w:pPr>
      <w:r>
        <w:rPr>
          <w:rFonts w:ascii="Arial" w:cs="Arial" w:eastAsia="Arial" w:hAnsi="Arial"/>
          <w:sz w:val="22"/>
          <w:szCs w:val="22"/>
          <w:b w:val="1"/>
          <w:bCs w:val="1"/>
          <w:color w:val="auto"/>
        </w:rPr>
        <w:t>Waste Management Announces the Redemption of Senior Notes Due in 2015, 2017, and 2019</w:t>
      </w:r>
    </w:p>
    <w:p>
      <w:pPr>
        <w:spacing w:after="0" w:line="9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b w:val="1"/>
          <w:bCs w:val="1"/>
          <w:color w:val="auto"/>
        </w:rPr>
        <w:t xml:space="preserve">HOUSTON — December 19, 2014 </w:t>
      </w:r>
      <w:r>
        <w:rPr>
          <w:rFonts w:ascii="Arial" w:cs="Arial" w:eastAsia="Arial" w:hAnsi="Arial"/>
          <w:sz w:val="17"/>
          <w:szCs w:val="17"/>
          <w:color w:val="auto"/>
        </w:rPr>
        <w:t>— Waste Management, Inc. (NYSE:WM) announced today that it will</w:t>
      </w:r>
      <w:r>
        <w:rPr>
          <w:rFonts w:ascii="Arial" w:cs="Arial" w:eastAsia="Arial" w:hAnsi="Arial"/>
          <w:sz w:val="17"/>
          <w:szCs w:val="17"/>
          <w:b w:val="1"/>
          <w:bCs w:val="1"/>
          <w:color w:val="auto"/>
        </w:rPr>
        <w:t xml:space="preserve"> </w:t>
      </w:r>
      <w:r>
        <w:rPr>
          <w:rFonts w:ascii="Arial" w:cs="Arial" w:eastAsia="Arial" w:hAnsi="Arial"/>
          <w:sz w:val="17"/>
          <w:szCs w:val="17"/>
          <w:color w:val="auto"/>
        </w:rPr>
        <w:t>redeem the entire outstanding principal amount of its 6.375% Senior Notes due March 2015, 7.125% Senior Notes due December 2017, and 7.375% Senior Notes due March 2019 (the “Notes”). The redemption date for the Notes is January 20, 2015. The aggregate principal amount of the Notes outstanding is $946.8 million. The redemption price for each series of Notes will include a make-whole premium, which will be calculated three business days prior to the redemption date in accordance with the terms of the Notes and related indenture, plus accrued and unpaid interest on the Notes up to, but excluding, the redemption date. Waste Management plans to use cash on hand to fund the redemption of the Notes, pending consideration of potential debt refinancings.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Notices of redemption are being sent to all currently registered holders of the Notes by the Trustee, The Bank of New York Mellon Trust Company, N.A. For more information, holders of the Notes may call The Bank of New York Mellon at 1-800-254-2826.</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This press release is not an offer to sell or a solicitation of an offer to buy any securities.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35"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This press release contains forward-looking statements that involve risks and uncertainties. Factors that could cause actual results to differ materially from those expressed or implied by the forward-looking statements in this press release are discussed in our most recent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WASTE MANAGEMENT</w:t>
      </w:r>
    </w:p>
    <w:p>
      <w:pPr>
        <w:spacing w:after="0" w:line="13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Waste Management, Inc.,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7"/>
          <w:szCs w:val="17"/>
          <w:u w:val="single" w:color="auto"/>
          <w:color w:val="auto"/>
        </w:rPr>
        <w:t>www.wm.com</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www.thinkgreen.com</w:t>
      </w:r>
      <w:r>
        <w:rPr>
          <w:rFonts w:ascii="Arial" w:cs="Arial" w:eastAsia="Arial" w:hAnsi="Arial"/>
          <w:sz w:val="17"/>
          <w:szCs w:val="17"/>
          <w:color w:val="auto"/>
        </w:rPr>
        <w:t>.</w:t>
      </w:r>
    </w:p>
    <w:p>
      <w:pPr>
        <w:spacing w:after="0" w:line="19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 site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www.wm.com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Ed Egl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713.265.1656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eegl@wm.com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Toni Beck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713.394-5093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tbeck3@wm.com</w:t>
      </w:r>
    </w:p>
    <w:sectPr>
      <w:pgSz w:w="11900" w:h="16838" w:orient="portrait"/>
      <w:cols w:equalWidth="0" w:num="2">
        <w:col w:w="7880" w:space="240"/>
        <w:col w:w="3300"/>
      </w:cols>
      <w:pgMar w:left="24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2019-12-06T00:20:09Z</dcterms:created>
  <dcterms:modified xsi:type="dcterms:W3CDTF">2019-12-06T00:20:09Z</dcterms:modified>
</cp:coreProperties>
</file>