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760730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11-K</w:t>
      </w:r>
    </w:p>
    <w:p>
      <w:pPr>
        <w:spacing w:after="0" w:line="199"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185" w:lineRule="exact"/>
        <w:rPr>
          <w:sz w:val="24"/>
          <w:szCs w:val="24"/>
          <w:color w:val="auto"/>
        </w:rPr>
      </w:pPr>
    </w:p>
    <w:p>
      <w:pPr>
        <w:ind w:left="1320" w:right="459" w:hanging="622"/>
        <w:spacing w:after="0" w:line="256" w:lineRule="auto"/>
        <w:tabs>
          <w:tab w:leader="none" w:pos="131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71"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9" w:lineRule="exact"/>
        <w:rPr>
          <w:sz w:val="24"/>
          <w:szCs w:val="24"/>
          <w:color w:val="auto"/>
        </w:rPr>
      </w:pPr>
    </w:p>
    <w:p>
      <w:pPr>
        <w:ind w:left="1320" w:right="1359" w:hanging="622"/>
        <w:spacing w:after="0" w:line="256" w:lineRule="auto"/>
        <w:tabs>
          <w:tab w:leader="none" w:pos="1319"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171" w:lineRule="exact"/>
        <w:rPr>
          <w:sz w:val="24"/>
          <w:szCs w:val="24"/>
          <w:color w:val="auto"/>
        </w:rPr>
      </w:pPr>
    </w:p>
    <w:p>
      <w:pPr>
        <w:ind w:left="1340"/>
        <w:spacing w:after="0"/>
        <w:tabs>
          <w:tab w:leader="none" w:pos="45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-7620</wp:posOffset>
            </wp:positionV>
            <wp:extent cx="1237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1-12154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WASTE MANAGEMENT RETIREMENT SAVINGS PLAN</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811530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117475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160020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20" w:type="dxa"/>
            <w:vAlign w:val="bottom"/>
            <w:gridSpan w:val="3"/>
          </w:tcPr>
          <w:p>
            <w:pPr>
              <w:jc w:val="center"/>
              <w:ind w:right="1380"/>
              <w:spacing w:after="0"/>
              <w:rPr>
                <w:sz w:val="20"/>
                <w:szCs w:val="20"/>
                <w:color w:val="auto"/>
              </w:rPr>
            </w:pPr>
            <w:r>
              <w:rPr>
                <w:rFonts w:ascii="Arial" w:cs="Arial" w:eastAsia="Arial" w:hAnsi="Arial"/>
                <w:sz w:val="18"/>
                <w:szCs w:val="18"/>
                <w:color w:val="auto"/>
                <w:w w:val="97"/>
              </w:rPr>
              <w:t>WASTE MANAGEMENT RETIREMENT SAVINGS PLAN</w:t>
            </w:r>
          </w:p>
        </w:tc>
        <w:tc>
          <w:tcPr>
            <w:tcW w:w="86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85"/>
        </w:trPr>
        <w:tc>
          <w:tcPr>
            <w:tcW w:w="1520" w:type="dxa"/>
            <w:vAlign w:val="bottom"/>
          </w:tcPr>
          <w:p>
            <w:pPr>
              <w:spacing w:after="0"/>
              <w:rPr>
                <w:sz w:val="24"/>
                <w:szCs w:val="24"/>
                <w:color w:val="auto"/>
              </w:rPr>
            </w:pPr>
          </w:p>
        </w:tc>
        <w:tc>
          <w:tcPr>
            <w:tcW w:w="6540" w:type="dxa"/>
            <w:vAlign w:val="bottom"/>
            <w:gridSpan w:val="4"/>
          </w:tcPr>
          <w:p>
            <w:pPr>
              <w:jc w:val="center"/>
              <w:ind w:right="660"/>
              <w:spacing w:after="0"/>
              <w:rPr>
                <w:sz w:val="20"/>
                <w:szCs w:val="20"/>
                <w:color w:val="auto"/>
              </w:rPr>
            </w:pPr>
            <w:r>
              <w:rPr>
                <w:rFonts w:ascii="Arial" w:cs="Arial" w:eastAsia="Arial" w:hAnsi="Arial"/>
                <w:sz w:val="18"/>
                <w:szCs w:val="18"/>
                <w:color w:val="auto"/>
                <w:w w:val="97"/>
              </w:rPr>
              <w:t>INDEX TO FINANCIAL STATEMENTS AND SUPPLEMENTAL SCHEDULE</w:t>
            </w:r>
          </w:p>
        </w:tc>
        <w:tc>
          <w:tcPr>
            <w:tcW w:w="860" w:type="dxa"/>
            <w:vAlign w:val="bottom"/>
          </w:tcPr>
          <w:p>
            <w:pPr>
              <w:spacing w:after="0"/>
              <w:rPr>
                <w:sz w:val="24"/>
                <w:szCs w:val="24"/>
                <w:color w:val="auto"/>
              </w:rPr>
            </w:pPr>
          </w:p>
        </w:tc>
      </w:tr>
      <w:tr>
        <w:trPr>
          <w:trHeight w:val="20"/>
        </w:trPr>
        <w:tc>
          <w:tcPr>
            <w:tcW w:w="1520" w:type="dxa"/>
            <w:vAlign w:val="bottom"/>
          </w:tcPr>
          <w:p>
            <w:pPr>
              <w:spacing w:after="0" w:line="20" w:lineRule="exact"/>
              <w:rPr>
                <w:sz w:val="1"/>
                <w:szCs w:val="1"/>
                <w:color w:val="auto"/>
              </w:rPr>
            </w:pPr>
          </w:p>
        </w:tc>
        <w:tc>
          <w:tcPr>
            <w:tcW w:w="588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66"/>
        </w:trPr>
        <w:tc>
          <w:tcPr>
            <w:tcW w:w="8060" w:type="dxa"/>
            <w:vAlign w:val="bottom"/>
            <w:gridSpan w:val="5"/>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Report of Independent Registered Public Accounting Firm</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8060" w:type="dxa"/>
            <w:vAlign w:val="bottom"/>
            <w:gridSpan w:val="5"/>
          </w:tcPr>
          <w:p>
            <w:pPr>
              <w:ind w:left="20"/>
              <w:spacing w:after="0"/>
              <w:rPr>
                <w:sz w:val="20"/>
                <w:szCs w:val="20"/>
                <w:color w:val="auto"/>
              </w:rPr>
            </w:pPr>
            <w:r>
              <w:rPr>
                <w:rFonts w:ascii="Arial" w:cs="Arial" w:eastAsia="Arial" w:hAnsi="Arial"/>
                <w:sz w:val="18"/>
                <w:szCs w:val="18"/>
                <w:color w:val="auto"/>
              </w:rPr>
              <w:t>Audited Financial Statements</w:t>
            </w:r>
          </w:p>
        </w:tc>
        <w:tc>
          <w:tcPr>
            <w:tcW w:w="860" w:type="dxa"/>
            <w:vAlign w:val="bottom"/>
          </w:tcPr>
          <w:p>
            <w:pPr>
              <w:spacing w:after="0"/>
              <w:rPr>
                <w:sz w:val="24"/>
                <w:szCs w:val="24"/>
                <w:color w:val="auto"/>
              </w:rPr>
            </w:pPr>
          </w:p>
        </w:tc>
      </w:tr>
      <w:tr>
        <w:trPr>
          <w:trHeight w:val="418"/>
        </w:trPr>
        <w:tc>
          <w:tcPr>
            <w:tcW w:w="8060" w:type="dxa"/>
            <w:vAlign w:val="bottom"/>
            <w:gridSpan w:val="5"/>
          </w:tcPr>
          <w:p>
            <w:pPr>
              <w:ind w:left="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Net Assets Available for Benefits as of December 31, 2019 and 2018</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060" w:type="dxa"/>
            <w:vAlign w:val="bottom"/>
            <w:gridSpan w:val="5"/>
          </w:tcPr>
          <w:p>
            <w:pPr>
              <w:ind w:left="1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 of Changes in Net Assets Available for Benefits for the Year Ended December 31, 2019</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060" w:type="dxa"/>
            <w:vAlign w:val="bottom"/>
            <w:gridSpan w:val="5"/>
          </w:tcPr>
          <w:p>
            <w:pPr>
              <w:ind w:left="1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Financial Statements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8060" w:type="dxa"/>
            <w:vAlign w:val="bottom"/>
            <w:gridSpan w:val="5"/>
          </w:tcPr>
          <w:p>
            <w:pPr>
              <w:ind w:left="20"/>
              <w:spacing w:after="0"/>
              <w:rPr>
                <w:sz w:val="20"/>
                <w:szCs w:val="20"/>
                <w:color w:val="auto"/>
              </w:rPr>
            </w:pPr>
            <w:r>
              <w:rPr>
                <w:rFonts w:ascii="Arial" w:cs="Arial" w:eastAsia="Arial" w:hAnsi="Arial"/>
                <w:sz w:val="18"/>
                <w:szCs w:val="18"/>
                <w:color w:val="auto"/>
              </w:rPr>
              <w:t>Supplemental Schedule</w:t>
            </w:r>
          </w:p>
        </w:tc>
        <w:tc>
          <w:tcPr>
            <w:tcW w:w="860" w:type="dxa"/>
            <w:vAlign w:val="bottom"/>
          </w:tcPr>
          <w:p>
            <w:pPr>
              <w:spacing w:after="0"/>
              <w:rPr>
                <w:sz w:val="24"/>
                <w:szCs w:val="24"/>
                <w:color w:val="auto"/>
              </w:rPr>
            </w:pPr>
          </w:p>
        </w:tc>
      </w:tr>
      <w:tr>
        <w:trPr>
          <w:trHeight w:val="432"/>
        </w:trPr>
        <w:tc>
          <w:tcPr>
            <w:tcW w:w="8060" w:type="dxa"/>
            <w:vAlign w:val="bottom"/>
            <w:gridSpan w:val="5"/>
          </w:tcPr>
          <w:p>
            <w:pPr>
              <w:ind w:left="1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Schedule H, Line 4(i) - Schedule of Assets (Held at End of Year)</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640"/>
        </w:trPr>
        <w:tc>
          <w:tcPr>
            <w:tcW w:w="1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Administrative Committee of the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Waste Management Retirement Savings Plan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have audited the accompanying statements of net assets available for benefits of the Waste Management Retirement Savings Plan (the Plan) as of December 31, 2019 and 2018, and the related statement of changes in net assets available for benefits for the year ended December 31, 2019, and the related notes and schedule (collectively referred to as the financial statements). In our opinion, the financial statements present fairly, in all material respects, the net assets available for benefits of the Plan as of December 31, 2019 and 2018, and the changes in net assets available for benefits for the year ended December 31, 2019, in conformity with accounting principles generally accepted in the United States of America.</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These financial statements are the responsibility of Plan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Exchange Commission and the PCAOB.</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Supplementary Information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supplementary information in the accompanying schedule of assets (held at end of year) as of December 31, 2019 has been subjected to audit procedures performed in conjunction with the audit of the Plan’s financial statements. The supplementary information is the responsibility of Plan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supplementary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Plan’s auditor since 2014.</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18,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 and 2018</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70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26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INVESTMENTS:</w:t>
            </w: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Investments at fair value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$ 2,413,130,238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$ 1,961,647,448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Arial" w:cs="Arial" w:eastAsia="Arial" w:hAnsi="Arial"/>
                <w:sz w:val="18"/>
                <w:szCs w:val="18"/>
                <w:color w:val="auto"/>
              </w:rPr>
              <w:t>Investments at contract value</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348,709,075</w:t>
            </w: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314,468,515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investments</w:t>
            </w:r>
          </w:p>
        </w:tc>
        <w:tc>
          <w:tcPr>
            <w:tcW w:w="1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2,761,839,313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2,276,115,963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1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Arial" w:cs="Arial" w:eastAsia="Arial" w:hAnsi="Arial"/>
                <w:sz w:val="18"/>
                <w:szCs w:val="18"/>
                <w:color w:val="auto"/>
              </w:rPr>
              <w:t>Employee contributions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3,232,147</w:t>
            </w: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2,874,007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Employer contributions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2,080,416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Arial" w:cs="Arial" w:eastAsia="Arial" w:hAnsi="Arial"/>
                <w:sz w:val="18"/>
                <w:szCs w:val="18"/>
                <w:color w:val="auto"/>
              </w:rPr>
              <w:t>Notes receivable from participants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81,936,892</w:t>
            </w: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75,642,812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Settlements pending</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24,938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Arial" w:cs="Arial" w:eastAsia="Arial" w:hAnsi="Arial"/>
                <w:sz w:val="18"/>
                <w:szCs w:val="18"/>
                <w:color w:val="auto"/>
              </w:rPr>
              <w:t>Other</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5,017</w:t>
            </w: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11,902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receivables</w:t>
            </w:r>
          </w:p>
        </w:tc>
        <w:tc>
          <w:tcPr>
            <w:tcW w:w="1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87,279,410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80,418,518</w:t>
            </w:r>
          </w:p>
        </w:tc>
        <w:tc>
          <w:tcPr>
            <w:tcW w:w="0" w:type="dxa"/>
            <w:vAlign w:val="bottom"/>
          </w:tcPr>
          <w:p>
            <w:pPr>
              <w:spacing w:after="0"/>
              <w:rPr>
                <w:sz w:val="1"/>
                <w:szCs w:val="1"/>
                <w:color w:val="auto"/>
              </w:rPr>
            </w:pPr>
          </w:p>
        </w:tc>
      </w:tr>
      <w:tr>
        <w:trPr>
          <w:trHeight w:val="209"/>
        </w:trPr>
        <w:tc>
          <w:tcPr>
            <w:tcW w:w="480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14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$ 2,849,118,723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$ 2,356,534,481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40" w:type="dxa"/>
            <w:vAlign w:val="bottom"/>
          </w:tcPr>
          <w:p>
            <w:pPr>
              <w:jc w:val="center"/>
              <w:ind w:left="1710"/>
              <w:spacing w:after="0"/>
              <w:rPr>
                <w:sz w:val="20"/>
                <w:szCs w:val="20"/>
                <w:color w:val="auto"/>
              </w:rPr>
            </w:pPr>
            <w:r>
              <w:rPr>
                <w:rFonts w:ascii="Arial" w:cs="Arial" w:eastAsia="Arial" w:hAnsi="Arial"/>
                <w:sz w:val="18"/>
                <w:szCs w:val="18"/>
                <w:color w:val="auto"/>
                <w:w w:val="88"/>
              </w:rPr>
              <w:t>Waste Management Retirement Savings Plan</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40" w:type="dxa"/>
            <w:vAlign w:val="bottom"/>
          </w:tcPr>
          <w:p>
            <w:pPr>
              <w:jc w:val="center"/>
              <w:ind w:left="173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40" w:type="dxa"/>
            <w:vAlign w:val="bottom"/>
          </w:tcPr>
          <w:p>
            <w:pPr>
              <w:jc w:val="center"/>
              <w:ind w:left="1730"/>
              <w:spacing w:after="0"/>
              <w:rPr>
                <w:sz w:val="20"/>
                <w:szCs w:val="20"/>
                <w:color w:val="auto"/>
              </w:rPr>
            </w:pPr>
            <w:r>
              <w:rPr>
                <w:rFonts w:ascii="Arial" w:cs="Arial" w:eastAsia="Arial" w:hAnsi="Arial"/>
                <w:sz w:val="18"/>
                <w:szCs w:val="18"/>
                <w:color w:val="auto"/>
                <w:w w:val="89"/>
              </w:rPr>
              <w:t>Year Ended December 31, 2019</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Contributions: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w:t>
            </w:r>
          </w:p>
        </w:tc>
        <w:tc>
          <w:tcPr>
            <w:tcW w:w="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134,566,850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Employer</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80,210,061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Rollover</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226,205,189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Net appreciation in Plan investments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440,079,574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Dividends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29,934,680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Interest income on notes receivable from participants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4,455,713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additions</w:t>
            </w:r>
          </w:p>
        </w:tc>
        <w:tc>
          <w:tcPr>
            <w:tcW w:w="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700,785,358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DEDUCTIONS FROM NET ASSETS AVAILABLE FOR BENEFITS: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Benefits paid to participants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206,311,698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Administrative expenses</w:t>
            </w:r>
          </w:p>
        </w:tc>
        <w:tc>
          <w:tcPr>
            <w:tcW w:w="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1,889,418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deductions</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208,201,116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492,584,242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Beginning of year</w:t>
            </w:r>
          </w:p>
        </w:tc>
        <w:tc>
          <w:tcPr>
            <w:tcW w:w="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2,356,534,481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End of year</w:t>
            </w:r>
          </w:p>
        </w:tc>
        <w:tc>
          <w:tcPr>
            <w:tcW w:w="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2,849,118,723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Plan</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Plan is a defined contribution plan sponsored by Waste Management, Inc. (the “Company” or “WM”), and eligible affiliates (as defined in the Plan) (collectively “Waste Management”) for the benefit of eligible employees and their beneficiaries. The Plan is subject to the provisions of the Employee Retirement Income Security Act of 1974, as amended (“ERISA”).</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Administrative Committee of the Waste Management Employee Benefit Plans (the “Administrative Committee”) has been named to serve as administrator and fiduciary of the Plan. Bank of America, N.A. (“Bank of America”) serves as trustee of the Plan pursuant to a Defined Contribution Plan Trust Agreement and also serves as the Plan’s third-party recordkeeper.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Employees (as defined by the Plan) are eligible to participate in the Plan following completion of a 90-day period of service (as defined by the Plan).</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Individuals who are ineligible to participate in the Plan consist of (a) leased employees; (b) employees whose employment is governed by a collective bargaining agreement that does not provide for participation in the Plan for such individual;</w:t>
      </w:r>
    </w:p>
    <w:p>
      <w:pPr>
        <w:jc w:val="both"/>
        <w:ind w:left="60" w:right="59" w:hanging="10"/>
        <w:spacing w:after="0" w:line="271" w:lineRule="auto"/>
        <w:tabs>
          <w:tab w:leader="none" w:pos="33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individuals providing services to the Company and who are designated as independent contractors; (d) employees performing services on a seasonal or temporary basis; (e) any individual who is not regularly employed in, or a citizen of, the United States and (f) individuals who are participants in certain other pension, retirement, profit-sharing, stock bonus, thrift or savings plans maintained by Waste Management. Certain United States citizens employed by foreign affiliates of the Company may participate in the Plan under certain provisions specified by the Plan.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Contributions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Participants are permitted to contribute as much as 50% of their eligible annual compensation, as defined by the Plan, and 80% of their annual incentive plan bonus, subject to annual contribution limitations established by the Internal Revenue Service (“Employee Contribution”). In addition, participants that are age 50 or older are eligible to make pre-tax catch-up contributions not to exceed certain limits described in the Plan document. After-tax contributions are permitted by the Plan. Participants may also contribute amounts representing distributions from other qualified plans (“Rollover Contributions”).</w:t>
      </w:r>
    </w:p>
    <w:p>
      <w:pPr>
        <w:spacing w:after="0" w:line="16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With respect to each participant whose employment is not governed by a collective bargaining agreement, Waste Management matches 100% of each participant’s Employee Contribution up to 3% of the participant’s eligible annual compensation, as defined by the Plan, plus 50% of the participant’s Employee Contribution on the next 3% of the participant’s eligible annual compensation. Any such employee who is hired on or after January 1, 2018 will be automatically enrolled in the Plan at a contribution rate of 3% of eligible compensation, unless changed by the employee.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With respect to each participant whose employment relationship is covered by a collective bargaining agreement, the amount of contributions by Waste Management, if any, is provided for in the applicable collective bargaining agreement.</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Options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Plan offers participants diversified investment options. During 2019, the Plan offered (a) 12 common collective trust funds (including eight target retirement-date funds); (b) five mutual funds; (c) a WM common stock fund (which is an Employee Stock Ownership Plan); (d) a stable value fund, which includes direct investments in fully benefit-responsive contracts and investments in common collective trust funds, managed by Galliard Capital Management (“Galliard”) and</w:t>
      </w:r>
    </w:p>
    <w:p>
      <w:pPr>
        <w:spacing w:after="0" w:line="1" w:lineRule="exact"/>
        <w:rPr>
          <w:sz w:val="20"/>
          <w:szCs w:val="20"/>
          <w:color w:val="auto"/>
        </w:rPr>
      </w:pPr>
    </w:p>
    <w:p>
      <w:pPr>
        <w:jc w:val="both"/>
        <w:ind w:left="60" w:right="59" w:hanging="10"/>
        <w:spacing w:after="0" w:line="273" w:lineRule="auto"/>
        <w:tabs>
          <w:tab w:leader="none" w:pos="324" w:val="left"/>
        </w:tabs>
        <w:numPr>
          <w:ilvl w:val="0"/>
          <w:numId w:val="4"/>
        </w:numPr>
        <w:rPr>
          <w:rFonts w:ascii="Arial" w:cs="Arial" w:eastAsia="Arial" w:hAnsi="Arial"/>
          <w:sz w:val="17"/>
          <w:szCs w:val="17"/>
          <w:color w:val="auto"/>
        </w:rPr>
      </w:pPr>
      <w:r>
        <w:rPr>
          <w:rFonts w:ascii="Arial" w:cs="Arial" w:eastAsia="Arial" w:hAnsi="Arial"/>
          <w:sz w:val="17"/>
          <w:szCs w:val="17"/>
          <w:color w:val="auto"/>
        </w:rPr>
        <w:t>a self-directed brokerage account, which allows participants to select various securities sold on the New York Stock Exchange, American Stock Exchange and NASDAQ.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spacing w:after="0" w:line="1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If a participant invests in the WM common stock fund, the participant can elect to receive in cash any dividends paid on the common stock in the participant’s account. If a participant does not make such an election, dividends will automatically be reinvested in the WM common stock fund. Each participant who has invested in the WM common stock fund has the right to vote the shares of stock in his or her account with respect to any matter that comes before the shareholders for a vote.</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With respect to the self-directed brokerage account, several restrictions apply and a minimum balance is required to participate. Additionally, if a participant invests in the self-directed brokerage account, the participant has the right to vote the shares of securities held in the participant’s account.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Participant Accounts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Each participant’s account is credited with the participant’s Employee Contribution, Rollover Contribution and any Employer Contribution and an allocation of investment income and loss and expenses. Investment income and loss is allocated to a participant’s account based upon a participant’s proportionate share of the funds within the Plan.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Payment of Benefits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their accounts. Distributions are made by a single lump-sum payment or direct rollover. Distributions of accounts invested in WM common stock may be taken in whole shares of common stock or cash.</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Participants may make withdrawals from their contributions, including certain earnings on those contributions, in the event of proven financial hardship of the participant.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Receivable from Participants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2019 and 2018.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of a participant’s vested accounts (excluding any amounts invested in the self-directed brokerage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account) immediately preceding the loan grant date. In no event shall a loan exceed $50,000, reduced by the greater of</w:t>
      </w:r>
    </w:p>
    <w:p>
      <w:pPr>
        <w:spacing w:after="0" w:line="46" w:lineRule="exact"/>
        <w:rPr>
          <w:sz w:val="20"/>
          <w:szCs w:val="20"/>
          <w:color w:val="auto"/>
        </w:rPr>
      </w:pPr>
    </w:p>
    <w:p>
      <w:pPr>
        <w:jc w:val="both"/>
        <w:ind w:left="60" w:right="59" w:hanging="10"/>
        <w:spacing w:after="0" w:line="281" w:lineRule="auto"/>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w:t>
      </w:r>
    </w:p>
    <w:p>
      <w:pPr>
        <w:spacing w:after="0" w:line="1" w:lineRule="exact"/>
        <w:rPr>
          <w:rFonts w:ascii="Arial" w:cs="Arial" w:eastAsia="Arial" w:hAnsi="Arial"/>
          <w:sz w:val="16"/>
          <w:szCs w:val="16"/>
          <w:color w:val="auto"/>
        </w:rPr>
      </w:pPr>
    </w:p>
    <w:p>
      <w:pPr>
        <w:jc w:val="both"/>
        <w:ind w:left="60" w:right="59" w:hanging="10"/>
        <w:spacing w:after="0" w:line="281" w:lineRule="auto"/>
        <w:tabs>
          <w:tab w:leader="none" w:pos="316"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result from a participant’s defaulting on a loan. Interest rates and repayment terms are established by the Administrative Committee. Such loans shall be repaid by payroll deduction or any other method approved by the Administrative Committee. The Administrative Committee requires that: (a) no more than one loan per year be taken by a participant;</w:t>
      </w:r>
    </w:p>
    <w:p>
      <w:pPr>
        <w:spacing w:after="0" w:line="1" w:lineRule="exact"/>
        <w:rPr>
          <w:rFonts w:ascii="Arial" w:cs="Arial" w:eastAsia="Arial" w:hAnsi="Arial"/>
          <w:sz w:val="16"/>
          <w:szCs w:val="16"/>
          <w:color w:val="auto"/>
        </w:rPr>
      </w:pPr>
    </w:p>
    <w:p>
      <w:pPr>
        <w:ind w:left="320" w:hanging="270"/>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repayments be made no less frequently than quarterly; (c) loans be repaid over a period not to exceed 54 months and</w:t>
      </w:r>
    </w:p>
    <w:p>
      <w:pPr>
        <w:spacing w:after="0" w:line="32" w:lineRule="exact"/>
        <w:rPr>
          <w:rFonts w:ascii="Arial" w:cs="Arial" w:eastAsia="Arial" w:hAnsi="Arial"/>
          <w:sz w:val="16"/>
          <w:szCs w:val="16"/>
          <w:color w:val="auto"/>
        </w:rPr>
      </w:pPr>
    </w:p>
    <w:p>
      <w:pPr>
        <w:jc w:val="both"/>
        <w:ind w:left="60" w:right="59" w:hanging="10"/>
        <w:spacing w:after="0" w:line="255" w:lineRule="auto"/>
        <w:tabs>
          <w:tab w:leader="none" w:pos="326"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Administrative Expenses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Administrative expenses of the Plan are generally allocated among participants. Loan administration fees and certain other expenses are charged directly to the account balance of the applicable participant. In 2019, Waste Management elected to pay certain audit and legal fees of the Plan.</w:t>
      </w:r>
    </w:p>
    <w:p>
      <w:pPr>
        <w:spacing w:after="0" w:line="180" w:lineRule="exact"/>
        <w:rPr>
          <w:sz w:val="20"/>
          <w:szCs w:val="20"/>
          <w:color w:val="auto"/>
        </w:rPr>
      </w:pPr>
    </w:p>
    <w:p>
      <w:pPr>
        <w:ind w:left="60" w:right="6279" w:hanging="10"/>
        <w:spacing w:after="0" w:line="503" w:lineRule="auto"/>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jc w:val="both"/>
        <w:ind w:left="60" w:right="59"/>
        <w:spacing w:after="0" w:line="263"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(“GAAP”). Benefits are recorded when paid to participants.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preparation of financial statements in conformity with GAAP requires the Plan’s management to make estimates and assumptions that affect the reported amounts of net assets available for benefits as of the date of the financial statements and the changes in net assets available for benefits during the reporting period and, when applicable, disclosures of contingent assets and liabilities as of the date of the financial statements. Actual results could differ materially from the estimates and assumptions used in the preparation of the financial statements.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Corporate stocks, mutual funds and publicly-traded partnership interests held by the Plan are stated at fair value based on quoted market prices as of the financial statement date. The fair values of the common collective trust funds held by the Plan are generally based on net asset values established by the issuer of the common collective trust funds based on fair values of the underlying assets. The investment options available within the Plan include a stable value fund that invests in fully benefit-responsive synthetic guaranteed investment contracts (“Synthetic GICs”). These investments held by the stable value fund are presented at contract value in the Statements of Net Assets Available for Benefits. See Note 3 for further discussion of Synthetic GICs. Short-term investments (included in amounts reported as common collective trust funds herein) are stated at cost, which approximates fair value.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Plan records purchases and sales of securities on a trade-date basis and dividends on the ex-dividend date. Interest income is recorded on the accrual basis.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could materially affect the amounts reported in the Statements of Net Assets Available for Benefits and participant account balances. See additional discussion of investments in the stable value fund in Note 3.</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Accounting Standards Pending Adoption</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 xml:space="preserve">In August 2018, the Financial Accounting Standards Board (FASB) issued Accounting Standards Update (ASU) No. 2018-13, </w:t>
      </w:r>
      <w:r>
        <w:rPr>
          <w:rFonts w:ascii="Arial" w:cs="Arial" w:eastAsia="Arial" w:hAnsi="Arial"/>
          <w:sz w:val="17"/>
          <w:szCs w:val="17"/>
          <w:i w:val="1"/>
          <w:iCs w:val="1"/>
          <w:color w:val="auto"/>
        </w:rPr>
        <w:t>Fair Value Measurement (Topic 820): Disclosure Framework – Changes to the Disclosure Requirements for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w:t>
      </w:r>
      <w:r>
        <w:rPr>
          <w:rFonts w:ascii="Arial" w:cs="Arial" w:eastAsia="Arial" w:hAnsi="Arial"/>
          <w:sz w:val="17"/>
          <w:szCs w:val="17"/>
          <w:color w:val="auto"/>
        </w:rPr>
        <w:t>The ASU modifies the disclosure requirements of fair value measurements in Accounting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Codification (ASC) Topic 820. The ASU is effective for all reporting periods beginning after December 15, 2019, with early adoption permitted. An entity may elect to early adopt any removed or modified disclosures upon issuance of this update and delay the adoption of the additional disclosures until the effective date. The Company is evaluating the impact of the adoption of this ASU on the Plan financial statements.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When necessary, reclassifications are made to the prior year financial information to conform to the current year presentation.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Investment in Stable Value Fund</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Plan includes a stable value fund that invests in fully benefit-responsive Synthetic GICs. Synthetic GICs are comprised of (a) individual assets or investments placed in a trust and (b) wrapper contracts that guarantee that participant transactions will be executed at contract value. The investment portfolio of a Synthetic GIC, when coupled with a wrapper contract, provides a specified rate of return for a specific period of time. Through the use of Synthetic GICs, the stable value fund aims to protect principal while providing a higher rate of return than shorter maturity investments, such as money market funds or certificates of deposit. Contract value represents principal, plus accrued interest less withdrawals and is the relevant measure as this is the amount received by participants when they initiate permitted transactions under the terms of the Plan.</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interest crediting rates for Synthetic GICs are calculated on a quarterly basis using the contract value, market value, yield and duration of the underlying securities, but cannot be less than zero.</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Synthetic GICs generally are evergreen contracts that contain termination provisions, allowing the fund or the contract issuer to terminate with notice, at any time at fair value, and providing for automatic termination of the contract if the contract value or the fair value of the underlying portfolio equals zero. The issuer is obligated to pay the excess contract value when the fair value of the underlying portfolio equals zero.</w:t>
      </w:r>
    </w:p>
    <w:p>
      <w:pPr>
        <w:spacing w:after="0" w:line="18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There are certain events not initiated by the Plan participants that could limit the ability of the Plan to transact with the issuer at contract value. Examples of such events include, but are not limited to: material amendments to the Plan documents or administration; changes to the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Additionally, the fund also invests in a common collective trust fund, Wells Fargo/BlackRock Short Term Investment Fund S, which invests in highly liquid assets and is used for daily liquidity needs.</w:t>
      </w:r>
    </w:p>
    <w:p>
      <w:pPr>
        <w:spacing w:after="0" w:line="170" w:lineRule="exact"/>
        <w:rPr>
          <w:sz w:val="20"/>
          <w:szCs w:val="20"/>
          <w:color w:val="auto"/>
        </w:rPr>
      </w:pPr>
    </w:p>
    <w:p>
      <w:pPr>
        <w:jc w:val="both"/>
        <w:ind w:left="60" w:right="59"/>
        <w:spacing w:after="0" w:line="220" w:lineRule="exact"/>
        <w:rPr>
          <w:sz w:val="20"/>
          <w:szCs w:val="20"/>
          <w:color w:val="auto"/>
        </w:rPr>
      </w:pPr>
      <w:r>
        <w:rPr>
          <w:rFonts w:ascii="Arial" w:cs="Arial" w:eastAsia="Arial" w:hAnsi="Arial"/>
          <w:sz w:val="16"/>
          <w:szCs w:val="16"/>
          <w:color w:val="auto"/>
        </w:rPr>
        <w:t>Risks arise when entering into any investment contract due to the potential inability of the issuer to meet the terms of the contract. In addition, security</w:t>
      </w:r>
      <w:r>
        <w:rPr>
          <w:rFonts w:ascii="MS PGothic" w:cs="MS PGothic" w:eastAsia="MS PGothic" w:hAnsi="MS PGothic"/>
          <w:sz w:val="16"/>
          <w:szCs w:val="16"/>
          <w:color w:val="auto"/>
        </w:rPr>
        <w:t>‐</w:t>
      </w:r>
      <w:r>
        <w:rPr>
          <w:rFonts w:ascii="Arial" w:cs="Arial" w:eastAsia="Arial" w:hAnsi="Arial"/>
          <w:sz w:val="16"/>
          <w:szCs w:val="16"/>
          <w:color w:val="auto"/>
        </w:rPr>
        <w:t>backed investment contracts and separate account guaranteed investment contracts have the risk of default or the lack of liquidity of the underlying portfolio assets. The credit risk of each issuer is evaluated and monitored through the portfolio manager’s credit analysis. The credit analysis includes, but is not limited to, asset quality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and liquidity, management quality, surplus adequacy, and profitability. The Plan requires that the issuers of each contract have a minimum quality rating as of the contract effective date and that all underlying portfolio assets be rated investment grade at the time of purchase.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For purposes of the Plan’s financial reporting, fair value is defined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jc w:val="both"/>
        <w:ind w:left="300" w:right="59"/>
        <w:spacing w:after="0" w:line="286" w:lineRule="auto"/>
        <w:rPr>
          <w:sz w:val="20"/>
          <w:szCs w:val="20"/>
          <w:color w:val="auto"/>
        </w:rPr>
      </w:pPr>
      <w:r>
        <w:rPr>
          <w:rFonts w:ascii="Arial" w:cs="Arial" w:eastAsia="Arial" w:hAnsi="Arial"/>
          <w:sz w:val="17"/>
          <w:szCs w:val="17"/>
          <w:i w:val="1"/>
          <w:iCs w:val="1"/>
          <w:color w:val="auto"/>
        </w:rPr>
        <w:t xml:space="preserve">Level 2 — </w:t>
      </w:r>
      <w:r>
        <w:rPr>
          <w:rFonts w:ascii="Arial" w:cs="Arial" w:eastAsia="Arial" w:hAnsi="Arial"/>
          <w:sz w:val="17"/>
          <w:szCs w:val="17"/>
          <w:color w:val="auto"/>
        </w:rPr>
        <w:t>Observable inputs other than quoted prices in active markets for identical assets and liabilities, quoted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identical or similar assets or liabilities in inactive markets, or other inputs that are observable or can be corroborated by observable market data for substantially the full term of the assets or liabilities.</w:t>
      </w:r>
    </w:p>
    <w:p>
      <w:pPr>
        <w:spacing w:after="0" w:line="165" w:lineRule="exact"/>
        <w:rPr>
          <w:sz w:val="20"/>
          <w:szCs w:val="20"/>
          <w:color w:val="auto"/>
        </w:rPr>
      </w:pPr>
    </w:p>
    <w:p>
      <w:pPr>
        <w:jc w:val="both"/>
        <w:ind w:left="300" w:right="59"/>
        <w:spacing w:after="0" w:line="342" w:lineRule="auto"/>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Inputs that are generally unobservable and typically reflect the Plan’s estimate of assumptions that market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would use in pricing the asset or liability. The Plan had no Level 3 assets as of December 31, 2019 or 2018.</w:t>
      </w:r>
    </w:p>
    <w:p>
      <w:pPr>
        <w:spacing w:after="0" w:line="12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by level, within the fair value hierarchy, a summary of investments of the Plan as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measured at fair value on a recurring basis: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Quoted Prices in Active Markets (Level 1):</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Mutual funds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818,896,358</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804,437,381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WM common stock</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251,031,798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198,709,256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Self-directed brokerage accounts</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52,975,947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40,078,958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Subtotal Level 1</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1,122,904,103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1,043,225,595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Significant Other Observable Inputs (Level 2):</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Self-directed brokerage accounts — FedFund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7,408,381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7,508,532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Stable Value fund — short-term investment fund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5,703,977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17,993,862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FedFund</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1,803,911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Subtotal Level 2</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14,916,269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26,026,175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Investments Measured at Net Asset Value (a):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Common collective trust funds</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1,275,309,866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892,395,678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Subtotal Investments Measured at Net Asset Value</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1,275,309,866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892,395,678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gridSpan w:val="2"/>
          </w:tcPr>
          <w:p>
            <w:pPr>
              <w:ind w:left="640"/>
              <w:spacing w:after="0"/>
              <w:rPr>
                <w:sz w:val="20"/>
                <w:szCs w:val="20"/>
                <w:color w:val="auto"/>
              </w:rPr>
            </w:pPr>
            <w:r>
              <w:rPr>
                <w:rFonts w:ascii="Arial" w:cs="Arial" w:eastAsia="Arial" w:hAnsi="Arial"/>
                <w:sz w:val="18"/>
                <w:szCs w:val="18"/>
                <w:color w:val="auto"/>
              </w:rPr>
              <w:t>Total Investments at Fair Value</w:t>
            </w:r>
          </w:p>
        </w:tc>
        <w:tc>
          <w:tcPr>
            <w:tcW w:w="1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2,413,130,238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1,961,647,448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75"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Certain investments that are measured at fair value using the net asset value per share (or its equivalent) practical expedient have not been categorized in the fair value hierarchy. The fair value amounts presented in this table are intended to permit reconciliation of the fair value hierarchy to the amounts presented in the Statements of Net Assets Available for Benefits. As of December 31, 2019 and 2018, there were no redemption restrictions on the investments held at net asset value other than possible advance notice requirements.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Federal Income Taxes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Plan has received a determination letter from the Internal Revenue Service (“IRS”) dated April 30, 2015, stating that the Plan, as amended and restated as of January 1, 2015, was in compliance with the applicable requirements of the Internal Revenue Code (the "Code"), which were timely adopted by the Plan sponsor subsequent to receipt of the determination letter. The Plan sponsor has adopted a further amendment and restatement of the Plan and subsequent amendments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6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GAAP requires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2019, there are no uncertain tax positions taken or expected to be taken. The Plan is subject to routine audits by taxing jurisdictions; however, there are currently no audits for any tax periods in progress. The Plan administrator believes it is no longer subject to income tax examinations for years prior to 2016.</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Reconciliation of Financial Statements to Form 5500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2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415"/>
              <w:spacing w:after="0"/>
              <w:rPr>
                <w:sz w:val="20"/>
                <w:szCs w:val="20"/>
                <w:color w:val="auto"/>
              </w:rPr>
            </w:pPr>
            <w:r>
              <w:rPr>
                <w:rFonts w:ascii="Arial" w:cs="Arial" w:eastAsia="Arial" w:hAnsi="Arial"/>
                <w:sz w:val="14"/>
                <w:szCs w:val="14"/>
                <w:b w:val="1"/>
                <w:bCs w:val="1"/>
                <w:color w:val="auto"/>
              </w:rPr>
              <w:t>2018</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9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$ 2,849,118,723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2,356,534,481</w:t>
            </w: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Amounts pending distribution to participants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(1,803,611)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(523,429)</w:t>
            </w:r>
          </w:p>
        </w:tc>
      </w:tr>
      <w:tr>
        <w:trPr>
          <w:trHeight w:val="209"/>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Form 5500</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$ 2,847,315,112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2,356,011,052</w:t>
            </w:r>
          </w:p>
        </w:tc>
      </w:tr>
      <w:tr>
        <w:trPr>
          <w:trHeight w:val="20"/>
        </w:trPr>
        <w:tc>
          <w:tcPr>
            <w:tcW w:w="5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is a reconciliation of the net decrease in net assets available for benefits per the financial statements to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Form 5500 for the year ended December 31, 2019:</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492,584,242</w:t>
            </w:r>
          </w:p>
        </w:tc>
      </w:tr>
      <w:tr>
        <w:trPr>
          <w:trHeight w:val="216"/>
        </w:trPr>
        <w:tc>
          <w:tcPr>
            <w:tcW w:w="7560" w:type="dxa"/>
            <w:vAlign w:val="bottom"/>
          </w:tcPr>
          <w:p>
            <w:pPr>
              <w:ind w:left="220"/>
              <w:spacing w:after="0"/>
              <w:rPr>
                <w:sz w:val="20"/>
                <w:szCs w:val="20"/>
                <w:color w:val="auto"/>
              </w:rPr>
            </w:pPr>
            <w:r>
              <w:rPr>
                <w:rFonts w:ascii="Arial" w:cs="Arial" w:eastAsia="Arial" w:hAnsi="Arial"/>
                <w:sz w:val="18"/>
                <w:szCs w:val="18"/>
                <w:color w:val="auto"/>
              </w:rPr>
              <w:t>Amounts pending distribution to participants as of December 31, 2018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523,429</w:t>
            </w:r>
          </w:p>
        </w:tc>
      </w:tr>
      <w:tr>
        <w:trPr>
          <w:trHeight w:val="216"/>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pending distribution to participants as of December 31, 2019</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(1,803,611)</w:t>
            </w:r>
          </w:p>
        </w:tc>
      </w:tr>
      <w:tr>
        <w:trPr>
          <w:trHeight w:val="210"/>
        </w:trPr>
        <w:tc>
          <w:tcPr>
            <w:tcW w:w="7560" w:type="dxa"/>
            <w:vAlign w:val="bottom"/>
          </w:tcPr>
          <w:p>
            <w:pPr>
              <w:spacing w:after="0"/>
              <w:rPr>
                <w:sz w:val="20"/>
                <w:szCs w:val="20"/>
                <w:color w:val="auto"/>
              </w:rPr>
            </w:pPr>
            <w:r>
              <w:rPr>
                <w:rFonts w:ascii="Arial" w:cs="Arial" w:eastAsia="Arial" w:hAnsi="Arial"/>
                <w:sz w:val="18"/>
                <w:szCs w:val="18"/>
                <w:color w:val="auto"/>
              </w:rPr>
              <w:t>Net increase in assets available for benefits per the Form 5500</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491,304,060</w:t>
            </w: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Plan Termination</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Related-Party Transactions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Bank of America serves as the trustee and third-party recordkeeper of the Plan. Merrill Lynch, Pierce, Fenner &amp; Smith Incorporated, a Bank of America Company, provides securities brokerage services for the self-directed brokerage account. State Street Bank and Trust Company serves as the independent fiduciary for the WM common stock fund. The Plan also holds notes receivable representing participant loans. The stable value fund is managed by Galliard, a subsidiary of Wells Fargo Bank, N.A., custodian for the fund. These transactions qualify as party-in-interest transactions. Additionally, a portion of the Plan’s assets are invested in WM common stock. As WM is the Plan sponsor, transactions involving WM common stock also qualify as party-in-interest transactions. The Plan sponsor believes that all of these transactions are exempt from the prohibited transactions rules.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Subsequent Events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January 2020, the World Health Organization declared a novel strain of coronavirus (“COVID-19”) a Public Health Emergency of International Concern and subsequently declared COVID-19 a global pandemic in March 2020. The challenges posed by the COVID-19 pandemic on the global economy increased rapidly at the end of the first quarter of 2020, resulting in general market declines and impacting the business of Waste Management, as Plan sponsor, together with its operating subsidiaries, in most geographies and across a variety of our customer types. Steps taken by national and local governments to slow the spread of the virus, including travel bans, prohibitions on group events and gatherings, shutdowns of certain businesses, curfews, shelter-in-place orders and recommendations to practice social distancing have resulted in revenue declines at landfills, as well as decreased service levels from industrial and commercial collection customers. Additionally, the cost to service residential customers has increased as stay-at-home orders have increased the waste collected in this line of business. We expect the COVID-19 pandemic to have a negative impact on overall economic conditions and Waste Management’s financial position, results of operations and cash flows in the near term. The ultimate impacts of COVID-19 on the Plan as well as Waste Management’s long-term outlook for its business will depend on future developments, including the duration of the pandemic and the related length of its impact on the global economy. These factors and their impacts on the Plan and Waste Management’s business, financial condition, results of operations and cash flows are uncertain and cannot be predicted at this time.</w:t>
      </w:r>
    </w:p>
    <w:p>
      <w:pPr>
        <w:spacing w:after="0" w:line="16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March 27, 2020 the Coronavirus Aid, Relief, and Economic Security Act (the “CARES Act”)) was signed into law, which includes provisions relating to retirement plans. Effective April 6, 2020, the Plan implemented the CARES Act’s COVID-19 related distribution provisions. In addition, effective April 16, 2020, the Plan implemented the CARES Act’s COVID-19 related loan forbearance provisions. The plan sponsor continues to review and evaluate the impact of the CARES Act upon the Plan and may make additional changes in light of the other provisions of the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0" w:type="dxa"/>
            <w:vAlign w:val="bottom"/>
            <w:gridSpan w:val="4"/>
          </w:tcPr>
          <w:p>
            <w:pPr>
              <w:jc w:val="center"/>
              <w:ind w:right="1239"/>
              <w:spacing w:after="0"/>
              <w:rPr>
                <w:sz w:val="20"/>
                <w:szCs w:val="20"/>
                <w:color w:val="auto"/>
              </w:rPr>
            </w:pPr>
            <w:r>
              <w:rPr>
                <w:rFonts w:ascii="Arial" w:cs="Arial" w:eastAsia="Arial" w:hAnsi="Arial"/>
                <w:sz w:val="18"/>
                <w:szCs w:val="18"/>
                <w:color w:val="auto"/>
                <w:w w:val="88"/>
              </w:rPr>
              <w:t>Waste Management Retirement Savings Plan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500" w:type="dxa"/>
            <w:vAlign w:val="bottom"/>
            <w:gridSpan w:val="6"/>
          </w:tcPr>
          <w:p>
            <w:pPr>
              <w:jc w:val="center"/>
              <w:ind w:left="1311"/>
              <w:spacing w:after="0"/>
              <w:rPr>
                <w:sz w:val="20"/>
                <w:szCs w:val="20"/>
                <w:color w:val="auto"/>
              </w:rPr>
            </w:pPr>
            <w:r>
              <w:rPr>
                <w:rFonts w:ascii="Arial" w:cs="Arial" w:eastAsia="Arial" w:hAnsi="Arial"/>
                <w:sz w:val="18"/>
                <w:szCs w:val="18"/>
                <w:color w:val="auto"/>
                <w:w w:val="90"/>
              </w:rPr>
              <w:t>Schedule H, Line 4(i) - Schedule of Assets (Held at End of Year)</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w w:val="92"/>
              </w:rPr>
              <w:t>EIN: 73-1309529</w:t>
            </w:r>
          </w:p>
        </w:tc>
        <w:tc>
          <w:tcPr>
            <w:tcW w:w="2900" w:type="dxa"/>
            <w:vAlign w:val="bottom"/>
          </w:tcPr>
          <w:p>
            <w:pPr>
              <w:ind w:left="300"/>
              <w:spacing w:after="0"/>
              <w:rPr>
                <w:sz w:val="20"/>
                <w:szCs w:val="20"/>
                <w:color w:val="auto"/>
              </w:rPr>
            </w:pPr>
            <w:r>
              <w:rPr>
                <w:rFonts w:ascii="Arial" w:cs="Arial" w:eastAsia="Arial" w:hAnsi="Arial"/>
                <w:sz w:val="18"/>
                <w:szCs w:val="18"/>
                <w:color w:val="auto"/>
              </w:rPr>
              <w:t>Plan: 001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2"/>
          </w:tcPr>
          <w:p>
            <w:pPr>
              <w:jc w:val="center"/>
              <w:ind w:right="1819"/>
              <w:spacing w:after="0"/>
              <w:rPr>
                <w:sz w:val="20"/>
                <w:szCs w:val="20"/>
                <w:color w:val="auto"/>
              </w:rPr>
            </w:pPr>
            <w:r>
              <w:rPr>
                <w:rFonts w:ascii="Arial" w:cs="Arial" w:eastAsia="Arial" w:hAnsi="Arial"/>
                <w:sz w:val="18"/>
                <w:szCs w:val="18"/>
                <w:color w:val="auto"/>
                <w:w w:val="89"/>
              </w:rPr>
              <w:t>December 31, 2019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270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Identity of Issue</w:t>
            </w: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Investment</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Current Value</w:t>
            </w:r>
          </w:p>
        </w:tc>
      </w:tr>
      <w:tr>
        <w:trPr>
          <w:trHeight w:val="210"/>
        </w:trPr>
        <w:tc>
          <w:tcPr>
            <w:tcW w:w="20" w:type="dxa"/>
            <w:vAlign w:val="bottom"/>
          </w:tcPr>
          <w:p>
            <w:pPr>
              <w:spacing w:after="0"/>
              <w:rPr>
                <w:sz w:val="18"/>
                <w:szCs w:val="18"/>
                <w:color w:val="auto"/>
              </w:rPr>
            </w:pPr>
          </w:p>
        </w:tc>
        <w:tc>
          <w:tcPr>
            <w:tcW w:w="2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BlackRock</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Liquidity Fund - FedFund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1,803,911</w:t>
            </w: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*Waste Management, Inc.</w:t>
            </w:r>
          </w:p>
        </w:tc>
        <w:tc>
          <w:tcPr>
            <w:tcW w:w="4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Common Stock</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251,031,798</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Wilmington Trust, N.A.</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BlackRock Russell 1000 Value Index Fund 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101,767,721</w:t>
            </w:r>
          </w:p>
        </w:tc>
      </w:tr>
      <w:tr>
        <w:trPr>
          <w:trHeight w:val="216"/>
        </w:trPr>
        <w:tc>
          <w:tcPr>
            <w:tcW w:w="2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T. Rowe Price Trust Company</w:t>
            </w:r>
          </w:p>
        </w:tc>
        <w:tc>
          <w:tcPr>
            <w:tcW w:w="4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T. Rowe Price Blue Chip Growth Trust 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186,300,666</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Wilmington Trust, N.A.</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Lord Abbott Total Return Fund II BP</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136,956,397</w:t>
            </w:r>
          </w:p>
        </w:tc>
      </w:tr>
      <w:tr>
        <w:trPr>
          <w:trHeight w:val="216"/>
        </w:trPr>
        <w:tc>
          <w:tcPr>
            <w:tcW w:w="2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JPMCB SmartRetirement DRE Income Fund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41,120,782</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JPMCB SmartRetirement DRE 2020 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147,587,380</w:t>
            </w:r>
          </w:p>
        </w:tc>
      </w:tr>
      <w:tr>
        <w:trPr>
          <w:trHeight w:val="216"/>
        </w:trPr>
        <w:tc>
          <w:tcPr>
            <w:tcW w:w="2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JPMCB SmartRetirement DRE 2025 Fund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52,954,371</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JPMCB SmartRetirement DRE 2030 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293,611,130</w:t>
            </w:r>
          </w:p>
        </w:tc>
      </w:tr>
      <w:tr>
        <w:trPr>
          <w:trHeight w:val="216"/>
        </w:trPr>
        <w:tc>
          <w:tcPr>
            <w:tcW w:w="2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JPMCB SmartRetirement DRE 2035 Fund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50,147,902</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JPMCB SmartRetirement DRE 2040 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150,872,968</w:t>
            </w:r>
          </w:p>
        </w:tc>
      </w:tr>
      <w:tr>
        <w:trPr>
          <w:trHeight w:val="216"/>
        </w:trPr>
        <w:tc>
          <w:tcPr>
            <w:tcW w:w="2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JPMCB SmartRetirement DRE 2045 Fund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41,267,199</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JPMCB SmartRetirement DRE 2050 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44,975,745</w:t>
            </w:r>
          </w:p>
        </w:tc>
      </w:tr>
      <w:tr>
        <w:trPr>
          <w:trHeight w:val="216"/>
        </w:trPr>
        <w:tc>
          <w:tcPr>
            <w:tcW w:w="20" w:type="dxa"/>
            <w:vAlign w:val="bottom"/>
          </w:tcPr>
          <w:p>
            <w:pPr>
              <w:spacing w:after="0"/>
              <w:rPr>
                <w:sz w:val="18"/>
                <w:szCs w:val="18"/>
                <w:color w:val="auto"/>
              </w:rPr>
            </w:pP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JPMorgan Chase Bank, N.A.</w:t>
            </w:r>
          </w:p>
        </w:tc>
        <w:tc>
          <w:tcPr>
            <w:tcW w:w="4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JPMCB SmartRetirement DRE 2055 Fund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27,747,605</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 Vanguard Group, Inc.</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8"/>
              </w:rPr>
              <w:t>Vanguard Institutional Total Stock Market Index 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430,605,179</w:t>
            </w:r>
          </w:p>
        </w:tc>
      </w:tr>
      <w:tr>
        <w:trPr>
          <w:trHeight w:val="216"/>
        </w:trPr>
        <w:tc>
          <w:tcPr>
            <w:tcW w:w="2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The Vanguard Group, Inc.</w:t>
            </w:r>
          </w:p>
        </w:tc>
        <w:tc>
          <w:tcPr>
            <w:tcW w:w="4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Vanguard S&amp;P Small-Cap 600 Index Fund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178,144,432</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American Funds</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American Funds EuroPacific Growth Fund Class R6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165,193,392</w:t>
            </w:r>
          </w:p>
        </w:tc>
      </w:tr>
      <w:tr>
        <w:trPr>
          <w:trHeight w:val="216"/>
        </w:trPr>
        <w:tc>
          <w:tcPr>
            <w:tcW w:w="20" w:type="dxa"/>
            <w:vAlign w:val="bottom"/>
          </w:tcPr>
          <w:p>
            <w:pPr>
              <w:spacing w:after="0"/>
              <w:rPr>
                <w:sz w:val="18"/>
                <w:szCs w:val="18"/>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Dimensional Fund Advisors</w:t>
            </w:r>
          </w:p>
        </w:tc>
        <w:tc>
          <w:tcPr>
            <w:tcW w:w="4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DFA Emerging Markets Core Equity Portfolio</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44,953,355</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*Galliard Capital Management, Inc.</w:t>
            </w:r>
          </w:p>
        </w:tc>
        <w:tc>
          <w:tcPr>
            <w:tcW w:w="4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Stable Value Fund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354,413,052</w:t>
            </w:r>
          </w:p>
        </w:tc>
      </w:tr>
      <w:tr>
        <w:trPr>
          <w:trHeight w:val="202"/>
        </w:trPr>
        <w:tc>
          <w:tcPr>
            <w:tcW w:w="20" w:type="dxa"/>
            <w:vAlign w:val="bottom"/>
          </w:tcPr>
          <w:p>
            <w:pPr>
              <w:spacing w:after="0"/>
              <w:rPr>
                <w:sz w:val="17"/>
                <w:szCs w:val="17"/>
                <w:color w:val="auto"/>
              </w:rPr>
            </w:pPr>
          </w:p>
        </w:tc>
        <w:tc>
          <w:tcPr>
            <w:tcW w:w="4600" w:type="dxa"/>
            <w:vAlign w:val="bottom"/>
            <w:gridSpan w:val="5"/>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Incorporated</w:t>
            </w:r>
          </w:p>
        </w:tc>
        <w:tc>
          <w:tcPr>
            <w:tcW w:w="460" w:type="dxa"/>
            <w:vAlign w:val="bottom"/>
            <w:tcBorders>
              <w:bottom w:val="single" w:sz="8" w:color="CCEEFF"/>
            </w:tcBorders>
          </w:tcPr>
          <w:p>
            <w:pPr>
              <w:spacing w:after="0"/>
              <w:rPr>
                <w:sz w:val="20"/>
                <w:szCs w:val="20"/>
                <w:color w:val="auto"/>
              </w:rPr>
            </w:pPr>
          </w:p>
        </w:tc>
        <w:tc>
          <w:tcPr>
            <w:tcW w:w="43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Self-Directed Brokerage Accounts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60,384,328</w:t>
            </w:r>
          </w:p>
        </w:tc>
      </w:tr>
      <w:tr>
        <w:trPr>
          <w:trHeight w:val="209"/>
        </w:trPr>
        <w:tc>
          <w:tcPr>
            <w:tcW w:w="20" w:type="dxa"/>
            <w:vAlign w:val="bottom"/>
          </w:tcPr>
          <w:p>
            <w:pPr>
              <w:spacing w:after="0"/>
              <w:rPr>
                <w:sz w:val="18"/>
                <w:szCs w:val="18"/>
                <w:color w:val="auto"/>
              </w:rPr>
            </w:pPr>
          </w:p>
        </w:tc>
        <w:tc>
          <w:tcPr>
            <w:tcW w:w="2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Investments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2,761,839,313</w:t>
            </w:r>
          </w:p>
        </w:tc>
      </w:tr>
      <w:tr>
        <w:trPr>
          <w:trHeight w:val="202"/>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340" w:type="dxa"/>
            <w:vAlign w:val="bottom"/>
            <w:gridSpan w:val="3"/>
          </w:tcPr>
          <w:p>
            <w:pPr>
              <w:ind w:left="140"/>
              <w:spacing w:after="0" w:line="201" w:lineRule="exact"/>
              <w:rPr>
                <w:sz w:val="20"/>
                <w:szCs w:val="20"/>
                <w:color w:val="auto"/>
              </w:rPr>
            </w:pPr>
            <w:r>
              <w:rPr>
                <w:rFonts w:ascii="Arial" w:cs="Arial" w:eastAsia="Arial" w:hAnsi="Arial"/>
                <w:sz w:val="18"/>
                <w:szCs w:val="18"/>
                <w:color w:val="auto"/>
                <w:w w:val="96"/>
              </w:rPr>
              <w:t>Various maturity dates with interest rates ranging from</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2720" w:type="dxa"/>
            <w:vAlign w:val="bottom"/>
            <w:gridSpan w:val="3"/>
          </w:tcPr>
          <w:p>
            <w:pPr>
              <w:ind w:left="20"/>
              <w:spacing w:after="0"/>
              <w:rPr>
                <w:sz w:val="20"/>
                <w:szCs w:val="20"/>
                <w:color w:val="auto"/>
              </w:rPr>
            </w:pPr>
            <w:r>
              <w:rPr>
                <w:rFonts w:ascii="Arial" w:cs="Arial" w:eastAsia="Arial" w:hAnsi="Arial"/>
                <w:sz w:val="18"/>
                <w:szCs w:val="18"/>
                <w:color w:val="auto"/>
                <w:w w:val="96"/>
              </w:rPr>
              <w:t>*Notes receivable from participants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ind w:left="140"/>
              <w:spacing w:after="0"/>
              <w:rPr>
                <w:sz w:val="20"/>
                <w:szCs w:val="20"/>
                <w:color w:val="auto"/>
              </w:rPr>
            </w:pPr>
            <w:r>
              <w:rPr>
                <w:rFonts w:ascii="Arial" w:cs="Arial" w:eastAsia="Arial" w:hAnsi="Arial"/>
                <w:sz w:val="18"/>
                <w:szCs w:val="18"/>
                <w:color w:val="auto"/>
                <w:w w:val="89"/>
              </w:rPr>
              <w:t>4.25% to 6.50%</w:t>
            </w:r>
          </w:p>
        </w:tc>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81,936,892</w:t>
            </w: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2,843,776,205</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Party-in-interest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100" w:type="dxa"/>
            <w:vAlign w:val="bottom"/>
          </w:tcPr>
          <w:p>
            <w:pPr>
              <w:ind w:left="27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5"/>
        </w:trPr>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Exhibit</w:t>
            </w:r>
          </w:p>
        </w:tc>
        <w:tc>
          <w:tcPr>
            <w:tcW w:w="8100" w:type="dxa"/>
            <w:vAlign w:val="bottom"/>
            <w:vMerge w:val="restart"/>
          </w:tcPr>
          <w:p>
            <w:pPr>
              <w:ind w:left="3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Number</w:t>
            </w:r>
          </w:p>
        </w:tc>
        <w:tc>
          <w:tcPr>
            <w:tcW w:w="8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23.1</w:t>
            </w:r>
          </w:p>
        </w:tc>
        <w:tc>
          <w:tcPr>
            <w:tcW w:w="180" w:type="dxa"/>
            <w:vAlign w:val="bottom"/>
          </w:tcPr>
          <w:p>
            <w:pPr>
              <w:spacing w:after="0"/>
              <w:rPr>
                <w:sz w:val="19"/>
                <w:szCs w:val="19"/>
                <w:color w:val="auto"/>
              </w:rPr>
            </w:pPr>
          </w:p>
        </w:tc>
        <w:tc>
          <w:tcPr>
            <w:tcW w:w="8100" w:type="dxa"/>
            <w:vAlign w:val="bottom"/>
            <w:tcBorders>
              <w:top w:val="single" w:sz="8" w:color="auto"/>
            </w:tcBorders>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Consent of Independent Registered Public Accounting Firm</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w:t>
      </w:r>
      <w:r>
        <w:rPr>
          <w:rFonts w:ascii="Arial" w:cs="Arial" w:eastAsia="Arial" w:hAnsi="Arial"/>
          <w:sz w:val="18"/>
          <w:szCs w:val="18"/>
          <w:i w:val="1"/>
          <w:iCs w:val="1"/>
          <w:color w:val="auto"/>
        </w:rPr>
        <w:t xml:space="preserve"> </w:t>
      </w:r>
      <w:r>
        <w:rPr>
          <w:rFonts w:ascii="Arial" w:cs="Arial" w:eastAsia="Arial" w:hAnsi="Arial"/>
          <w:sz w:val="18"/>
          <w:szCs w:val="18"/>
          <w:color w:val="auto"/>
        </w:rPr>
        <w:t>caused this annual report to be signed on its behalf by the undersigned 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6040" w:type="dxa"/>
            <w:vAlign w:val="bottom"/>
            <w:gridSpan w:val="2"/>
          </w:tcPr>
          <w:p>
            <w:pPr>
              <w:ind w:left="1440"/>
              <w:spacing w:after="0"/>
              <w:rPr>
                <w:sz w:val="20"/>
                <w:szCs w:val="20"/>
                <w:color w:val="auto"/>
              </w:rPr>
            </w:pPr>
            <w:r>
              <w:rPr>
                <w:rFonts w:ascii="Arial" w:cs="Arial" w:eastAsia="Arial" w:hAnsi="Arial"/>
                <w:sz w:val="18"/>
                <w:szCs w:val="18"/>
                <w:color w:val="auto"/>
              </w:rPr>
              <w:t>WASTE MANAGEMENT RETIREMENT SAVINGS PLAN</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Date: June 18, 2020</w:t>
            </w:r>
          </w:p>
        </w:tc>
        <w:tc>
          <w:tcPr>
            <w:tcW w:w="6040" w:type="dxa"/>
            <w:vAlign w:val="bottom"/>
            <w:gridSpan w:val="2"/>
          </w:tcPr>
          <w:p>
            <w:pPr>
              <w:ind w:left="1440"/>
              <w:spacing w:after="0"/>
              <w:rPr>
                <w:sz w:val="20"/>
                <w:szCs w:val="20"/>
                <w:color w:val="auto"/>
              </w:rPr>
            </w:pPr>
            <w:r>
              <w:rPr>
                <w:rFonts w:ascii="Arial" w:cs="Arial" w:eastAsia="Arial" w:hAnsi="Arial"/>
                <w:sz w:val="18"/>
                <w:szCs w:val="18"/>
                <w:color w:val="auto"/>
              </w:rPr>
              <w:t>By:  /s/ Gordon Blasius</w:t>
            </w:r>
          </w:p>
        </w:tc>
      </w:tr>
      <w:tr>
        <w:trPr>
          <w:trHeight w:val="195"/>
        </w:trPr>
        <w:tc>
          <w:tcPr>
            <w:tcW w:w="2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Gordon Blasius</w:t>
            </w:r>
          </w:p>
        </w:tc>
      </w:tr>
      <w:tr>
        <w:trPr>
          <w:trHeight w:val="216"/>
        </w:trPr>
        <w:tc>
          <w:tcPr>
            <w:tcW w:w="2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Member, Administrative Committee of the Waste</w:t>
            </w:r>
          </w:p>
        </w:tc>
      </w:tr>
      <w:tr>
        <w:trPr>
          <w:trHeight w:val="230"/>
        </w:trPr>
        <w:tc>
          <w:tcPr>
            <w:tcW w:w="2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Management Employee Benefit Plans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(Form S-8 No. 333-184156 and Post-Effective Amendment No. 1 thereto) pertaining to the Waste Management Retirement Savings Plan of our report dated June 18, 2020, with respect to the financial statements and supplemental schedule of the Waste Management Retirement Savings Plan included in this Annual Report (Form 11-K)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3"/>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4"/>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2020-06-18T10:41:19Z</dcterms:created>
  <dcterms:modified xsi:type="dcterms:W3CDTF">2020-06-18T10:41:19Z</dcterms:modified>
</cp:coreProperties>
</file>