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Waste Management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94106L109</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94106L109</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360" w:type="dxa"/>
            <w:vAlign w:val="bottom"/>
          </w:tcPr>
          <w:p>
            <w:pPr>
              <w:ind w:left="60"/>
              <w:spacing w:after="0"/>
              <w:rPr>
                <w:sz w:val="20"/>
                <w:szCs w:val="20"/>
                <w:color w:val="auto"/>
              </w:rPr>
            </w:pPr>
            <w:r>
              <w:rPr>
                <w:rFonts w:ascii="Arial" w:cs="Arial" w:eastAsia="Arial" w:hAnsi="Arial"/>
                <w:sz w:val="18"/>
                <w:szCs w:val="18"/>
                <w:color w:val="auto"/>
                <w:w w:val="99"/>
              </w:rPr>
              <w:t>CHECK THE APPROPRIATE [LINE] IF A MEMBER OF A GROUP</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5360" w:type="dxa"/>
            <w:vAlign w:val="bottom"/>
          </w:tcPr>
          <w:p>
            <w:pPr>
              <w:ind w:left="1240"/>
              <w:spacing w:after="0"/>
              <w:rPr>
                <w:sz w:val="20"/>
                <w:szCs w:val="20"/>
                <w:color w:val="auto"/>
              </w:rPr>
            </w:pPr>
            <w:r>
              <w:rPr>
                <w:rFonts w:ascii="Arial" w:cs="Arial" w:eastAsia="Arial" w:hAnsi="Arial"/>
                <w:sz w:val="18"/>
                <w:szCs w:val="18"/>
                <w:color w:val="auto"/>
              </w:rPr>
              <w:t>A.</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93"/>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3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36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788,954</w:t>
      </w:r>
    </w:p>
    <w:p>
      <w:pPr>
        <w:ind w:left="100" w:right="785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46,000</w:t>
      </w:r>
    </w:p>
    <w:p>
      <w:pPr>
        <w:ind w:left="100" w:right="77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24,142,783</w:t>
      </w:r>
    </w:p>
    <w:p>
      <w:pPr>
        <w:ind w:left="140" w:right="7459" w:hanging="132"/>
        <w:spacing w:after="0" w:line="501"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837,507</w:t>
      </w: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24,980,290</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5.59%</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1001 Fannin, Suite 4000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94106L109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24,980,290</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788,954</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46,000</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24,142,783 (iv) shared power to dispose or to direct the disposition of: 837,507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651,774 shares or .14% of the Common Stock outstanding of the Company as a result of its serving as investment manager of collective trust accounts.</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322,913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20"/>
      </w:cols>
      <w:pgMar w:left="24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2019-12-16T10:47:11Z</dcterms:created>
  <dcterms:modified xsi:type="dcterms:W3CDTF">2019-12-16T10:47:11Z</dcterms:modified>
</cp:coreProperties>
</file>