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294005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today announcing its financial results for the third quarter of 2024, a copy of which is furnished as Exhibit 99.1 to this Form 8-K. The Company is conducting an audio webcast to discuss these results beginning at 9:00 a.m. Central Time on October 29, 2024. </w:t>
      </w:r>
      <w:r>
        <w:rPr>
          <w:rFonts w:ascii="Times New Roman" w:cs="Times New Roman" w:eastAsia="Times New Roman" w:hAnsi="Times New Roman"/>
          <w:sz w:val="18"/>
          <w:szCs w:val="18"/>
          <w:color w:val="0A0A0A"/>
        </w:rPr>
        <w:t>Listeners can access the live audio webcast by visiting investors.wm.com and selecting “Events &amp; Presentations”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website menu. A 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6635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1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28, 2024</w:t>
      </w:r>
    </w:p>
    <w:p>
      <w:pPr>
        <w:spacing w:after="0" w:line="225" w:lineRule="exact"/>
        <w:rPr>
          <w:sz w:val="20"/>
          <w:szCs w:val="20"/>
          <w:color w:val="auto"/>
        </w:rPr>
      </w:pPr>
    </w:p>
    <w:p>
      <w:pPr>
        <w:ind w:left="5560" w:right="3920" w:hanging="5552"/>
        <w:spacing w:after="0" w:line="783" w:lineRule="auto"/>
        <w:tabs>
          <w:tab w:leader="none" w:pos="7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2024</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00" w:lineRule="exact"/>
        <w:rPr>
          <w:sz w:val="20"/>
          <w:szCs w:val="20"/>
          <w:color w:val="auto"/>
        </w:rPr>
      </w:pPr>
    </w:p>
    <w:p>
      <w:pPr>
        <w:spacing w:after="0" w:line="203" w:lineRule="exact"/>
        <w:rPr>
          <w:sz w:val="20"/>
          <w:szCs w:val="20"/>
          <w:color w:val="auto"/>
        </w:rPr>
      </w:pPr>
    </w:p>
    <w:p>
      <w:pPr>
        <w:ind w:left="820"/>
        <w:spacing w:after="0"/>
        <w:rPr>
          <w:sz w:val="20"/>
          <w:szCs w:val="20"/>
          <w:color w:val="auto"/>
        </w:rPr>
      </w:pPr>
      <w:r>
        <w:rPr>
          <w:rFonts w:ascii="Arial" w:cs="Arial" w:eastAsia="Arial" w:hAnsi="Arial"/>
          <w:sz w:val="40"/>
          <w:szCs w:val="40"/>
          <w:color w:val="7AB800"/>
        </w:rPr>
        <w:t>WM Announces Third Quarter 2024 Earnings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Strong Organic Revenue Growth and Cost Optimization Drive Record Results</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Company Now Expects to Deliver Adjusted Operating EBITDA Near the Upper End of 2024</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Guidance</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Accretive Acquisitions, Sustainability Investments, and Continued Growth from Core Solid Waste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Position WM for Another Strong Year in 2025</w:t>
      </w:r>
    </w:p>
    <w:p>
      <w:pPr>
        <w:spacing w:after="0" w:line="383"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7"/>
          <w:szCs w:val="17"/>
          <w:b w:val="1"/>
          <w:bCs w:val="1"/>
          <w:color w:val="auto"/>
        </w:rPr>
        <w:t>— Oct. 28</w:t>
      </w:r>
      <w:r>
        <w:rPr>
          <w:rFonts w:ascii="Arial" w:cs="Arial" w:eastAsia="Arial" w:hAnsi="Arial"/>
          <w:sz w:val="16"/>
          <w:szCs w:val="16"/>
          <w:b w:val="1"/>
          <w:bCs w:val="1"/>
          <w:color w:val="auto"/>
        </w:rPr>
        <w:t xml:space="preserve">, 2024 </w:t>
      </w:r>
      <w:r>
        <w:rPr>
          <w:rFonts w:ascii="Arial" w:cs="Arial" w:eastAsia="Arial" w:hAnsi="Arial"/>
          <w:sz w:val="17"/>
          <w:szCs w:val="17"/>
          <w:color w:val="auto"/>
        </w:rPr>
        <w:t>— WM (NYSE: WM) today announced financial results for the quarter ended September 30,</w:t>
      </w:r>
      <w:r>
        <w:rPr>
          <w:rFonts w:ascii="Arial" w:cs="Arial" w:eastAsia="Arial" w:hAnsi="Arial"/>
          <w:sz w:val="16"/>
          <w:szCs w:val="16"/>
          <w:b w:val="1"/>
          <w:bCs w:val="1"/>
          <w:color w:val="auto"/>
        </w:rPr>
        <w:t xml:space="preserve"> </w:t>
      </w:r>
      <w:r>
        <w:rPr>
          <w:rFonts w:ascii="Arial" w:cs="Arial" w:eastAsia="Arial" w:hAnsi="Arial"/>
          <w:sz w:val="17"/>
          <w:szCs w:val="17"/>
          <w:color w:val="auto"/>
        </w:rPr>
        <w:t>2024.</w:t>
      </w:r>
    </w:p>
    <w:p>
      <w:pPr>
        <w:spacing w:after="0" w:line="200" w:lineRule="exact"/>
        <w:rPr>
          <w:sz w:val="20"/>
          <w:szCs w:val="20"/>
          <w:color w:val="auto"/>
        </w:rPr>
      </w:pP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80" w:type="dxa"/>
            <w:vAlign w:val="bottom"/>
            <w:gridSpan w:val="6"/>
          </w:tcPr>
          <w:p>
            <w:pPr>
              <w:jc w:val="center"/>
              <w:ind w:right="800"/>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Pr>
          <w:p>
            <w:pPr>
              <w:spacing w:after="0"/>
              <w:rPr>
                <w:sz w:val="17"/>
                <w:szCs w:val="17"/>
                <w:color w:val="auto"/>
              </w:rPr>
            </w:pPr>
          </w:p>
        </w:tc>
        <w:tc>
          <w:tcPr>
            <w:tcW w:w="250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r>
      <w:tr>
        <w:trPr>
          <w:trHeight w:val="176"/>
        </w:trPr>
        <w:tc>
          <w:tcPr>
            <w:tcW w:w="2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gridSpan w:val="5"/>
          </w:tcPr>
          <w:p>
            <w:pPr>
              <w:jc w:val="center"/>
              <w:ind w:right="1180"/>
              <w:spacing w:after="0" w:line="176" w:lineRule="exact"/>
              <w:rPr>
                <w:sz w:val="20"/>
                <w:szCs w:val="20"/>
                <w:color w:val="auto"/>
              </w:rPr>
            </w:pPr>
            <w:r>
              <w:rPr>
                <w:rFonts w:ascii="Arial" w:cs="Arial" w:eastAsia="Arial" w:hAnsi="Arial"/>
                <w:sz w:val="16"/>
                <w:szCs w:val="16"/>
                <w:b w:val="1"/>
                <w:bCs w:val="1"/>
                <w:color w:val="auto"/>
              </w:rPr>
              <w:t>September 30, 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6"/>
          </w:tcPr>
          <w:p>
            <w:pPr>
              <w:jc w:val="center"/>
              <w:ind w:right="600"/>
              <w:spacing w:after="0" w:line="176" w:lineRule="exact"/>
              <w:rPr>
                <w:sz w:val="20"/>
                <w:szCs w:val="20"/>
                <w:color w:val="auto"/>
              </w:rPr>
            </w:pPr>
            <w:r>
              <w:rPr>
                <w:rFonts w:ascii="Arial" w:cs="Arial" w:eastAsia="Arial" w:hAnsi="Arial"/>
                <w:sz w:val="16"/>
                <w:szCs w:val="16"/>
                <w:b w:val="1"/>
                <w:bCs w:val="1"/>
                <w:color w:val="auto"/>
              </w:rPr>
              <w:t>September 30, 2023</w:t>
            </w:r>
          </w:p>
        </w:tc>
      </w:tr>
      <w:tr>
        <w:trPr>
          <w:trHeight w:val="169"/>
        </w:trPr>
        <w:tc>
          <w:tcPr>
            <w:tcW w:w="2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line="169" w:lineRule="exact"/>
              <w:rPr>
                <w:sz w:val="20"/>
                <w:szCs w:val="20"/>
                <w:color w:val="auto"/>
              </w:rPr>
            </w:pPr>
            <w:r>
              <w:rPr>
                <w:rFonts w:ascii="Arial" w:cs="Arial" w:eastAsia="Arial" w:hAnsi="Arial"/>
                <w:sz w:val="16"/>
                <w:szCs w:val="16"/>
                <w:b w:val="1"/>
                <w:bCs w:val="1"/>
                <w:color w:val="auto"/>
              </w:rPr>
              <w:t>(in</w:t>
            </w:r>
          </w:p>
        </w:tc>
        <w:tc>
          <w:tcPr>
            <w:tcW w:w="152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rPr>
              <w:t>millions, except per</w:t>
            </w:r>
          </w:p>
        </w:tc>
        <w:tc>
          <w:tcPr>
            <w:tcW w:w="118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share</w:t>
            </w:r>
          </w:p>
        </w:tc>
        <w:tc>
          <w:tcPr>
            <w:tcW w:w="740" w:type="dxa"/>
            <w:vAlign w:val="bottom"/>
          </w:tcPr>
          <w:p>
            <w:pPr>
              <w:spacing w:after="0"/>
              <w:rPr>
                <w:sz w:val="14"/>
                <w:szCs w:val="14"/>
                <w:color w:val="auto"/>
              </w:rPr>
            </w:pPr>
          </w:p>
        </w:tc>
        <w:tc>
          <w:tcPr>
            <w:tcW w:w="380" w:type="dxa"/>
            <w:vAlign w:val="bottom"/>
          </w:tcPr>
          <w:p>
            <w:pPr>
              <w:spacing w:after="0" w:line="169" w:lineRule="exact"/>
              <w:rPr>
                <w:sz w:val="20"/>
                <w:szCs w:val="20"/>
                <w:color w:val="auto"/>
              </w:rPr>
            </w:pPr>
            <w:r>
              <w:rPr>
                <w:rFonts w:ascii="Arial" w:cs="Arial" w:eastAsia="Arial" w:hAnsi="Arial"/>
                <w:sz w:val="16"/>
                <w:szCs w:val="16"/>
                <w:b w:val="1"/>
                <w:bCs w:val="1"/>
                <w:color w:val="auto"/>
              </w:rPr>
              <w:t>(in</w:t>
            </w:r>
          </w:p>
        </w:tc>
        <w:tc>
          <w:tcPr>
            <w:tcW w:w="152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6"/>
                <w:szCs w:val="16"/>
                <w:b w:val="1"/>
                <w:bCs w:val="1"/>
                <w:color w:val="auto"/>
              </w:rPr>
              <w:t>millions, except per</w:t>
            </w:r>
          </w:p>
        </w:tc>
        <w:tc>
          <w:tcPr>
            <w:tcW w:w="60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share</w:t>
            </w:r>
          </w:p>
        </w:tc>
      </w:tr>
      <w:tr>
        <w:trPr>
          <w:trHeight w:val="169"/>
        </w:trPr>
        <w:tc>
          <w:tcPr>
            <w:tcW w:w="2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3"/>
          </w:tcPr>
          <w:p>
            <w:pPr>
              <w:jc w:val="center"/>
              <w:ind w:right="699"/>
              <w:spacing w:after="0" w:line="169" w:lineRule="exact"/>
              <w:rPr>
                <w:sz w:val="20"/>
                <w:szCs w:val="20"/>
                <w:color w:val="auto"/>
              </w:rPr>
            </w:pPr>
            <w:r>
              <w:rPr>
                <w:rFonts w:ascii="Arial" w:cs="Arial" w:eastAsia="Arial" w:hAnsi="Arial"/>
                <w:sz w:val="16"/>
                <w:szCs w:val="16"/>
                <w:b w:val="1"/>
                <w:bCs w:val="1"/>
                <w:color w:val="auto"/>
                <w:w w:val="99"/>
              </w:rPr>
              <w:t>amounts)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4"/>
          </w:tcPr>
          <w:p>
            <w:pPr>
              <w:jc w:val="center"/>
              <w:ind w:right="679"/>
              <w:spacing w:after="0" w:line="169" w:lineRule="exact"/>
              <w:rPr>
                <w:sz w:val="20"/>
                <w:szCs w:val="20"/>
                <w:color w:val="auto"/>
              </w:rPr>
            </w:pPr>
            <w:r>
              <w:rPr>
                <w:rFonts w:ascii="Arial" w:cs="Arial" w:eastAsia="Arial" w:hAnsi="Arial"/>
                <w:sz w:val="16"/>
                <w:szCs w:val="16"/>
                <w:b w:val="1"/>
                <w:bCs w:val="1"/>
                <w:color w:val="auto"/>
                <w:w w:val="99"/>
              </w:rPr>
              <w:t>amounts)</w:t>
            </w:r>
          </w:p>
        </w:tc>
        <w:tc>
          <w:tcPr>
            <w:tcW w:w="22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70"/>
        </w:trPr>
        <w:tc>
          <w:tcPr>
            <w:tcW w:w="2260" w:type="dxa"/>
            <w:vAlign w:val="bottom"/>
          </w:tcPr>
          <w:p>
            <w:pPr>
              <w:spacing w:after="0"/>
              <w:rPr>
                <w:sz w:val="24"/>
                <w:szCs w:val="24"/>
                <w:color w:val="auto"/>
              </w:rPr>
            </w:pPr>
          </w:p>
        </w:tc>
        <w:tc>
          <w:tcPr>
            <w:tcW w:w="1300" w:type="dxa"/>
            <w:vAlign w:val="bottom"/>
            <w:gridSpan w:val="3"/>
          </w:tcPr>
          <w:p>
            <w:pPr>
              <w:ind w:left="360"/>
              <w:spacing w:after="0"/>
              <w:rPr>
                <w:sz w:val="20"/>
                <w:szCs w:val="20"/>
                <w:color w:val="auto"/>
              </w:rPr>
            </w:pPr>
            <w:r>
              <w:rPr>
                <w:rFonts w:ascii="Arial" w:cs="Arial" w:eastAsia="Arial" w:hAnsi="Arial"/>
                <w:sz w:val="16"/>
                <w:szCs w:val="16"/>
                <w:color w:val="auto"/>
              </w:rPr>
              <w:t>As Reported</w:t>
            </w:r>
          </w:p>
        </w:tc>
        <w:tc>
          <w:tcPr>
            <w:tcW w:w="2300" w:type="dxa"/>
            <w:vAlign w:val="bottom"/>
            <w:gridSpan w:val="4"/>
          </w:tcPr>
          <w:p>
            <w:pPr>
              <w:ind w:left="72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1500" w:type="dxa"/>
            <w:vAlign w:val="bottom"/>
            <w:gridSpan w:val="3"/>
          </w:tcPr>
          <w:p>
            <w:pPr>
              <w:ind w:left="580"/>
              <w:spacing w:after="0"/>
              <w:rPr>
                <w:sz w:val="20"/>
                <w:szCs w:val="20"/>
                <w:color w:val="auto"/>
              </w:rPr>
            </w:pPr>
            <w:r>
              <w:rPr>
                <w:rFonts w:ascii="Arial" w:cs="Arial" w:eastAsia="Arial" w:hAnsi="Arial"/>
                <w:sz w:val="16"/>
                <w:szCs w:val="16"/>
                <w:color w:val="auto"/>
              </w:rPr>
              <w:t>As Reported</w:t>
            </w:r>
          </w:p>
        </w:tc>
        <w:tc>
          <w:tcPr>
            <w:tcW w:w="20" w:type="dxa"/>
            <w:vAlign w:val="bottom"/>
          </w:tcPr>
          <w:p>
            <w:pPr>
              <w:spacing w:after="0"/>
              <w:rPr>
                <w:sz w:val="24"/>
                <w:szCs w:val="24"/>
                <w:color w:val="auto"/>
              </w:rPr>
            </w:pPr>
          </w:p>
        </w:tc>
        <w:tc>
          <w:tcPr>
            <w:tcW w:w="1720" w:type="dxa"/>
            <w:vAlign w:val="bottom"/>
            <w:gridSpan w:val="4"/>
          </w:tcPr>
          <w:p>
            <w:pPr>
              <w:ind w:left="700"/>
              <w:spacing w:after="0"/>
              <w:rPr>
                <w:sz w:val="20"/>
                <w:szCs w:val="20"/>
                <w:color w:val="auto"/>
              </w:rPr>
            </w:pPr>
            <w:r>
              <w:rPr>
                <w:rFonts w:ascii="Arial" w:cs="Arial" w:eastAsia="Arial" w:hAnsi="Arial"/>
                <w:sz w:val="16"/>
                <w:szCs w:val="16"/>
                <w:color w:val="auto"/>
                <w:w w:val="93"/>
              </w:rPr>
              <w:t>As Adjusted</w:t>
            </w:r>
            <w:r>
              <w:rPr>
                <w:rFonts w:ascii="Arial" w:cs="Arial" w:eastAsia="Arial" w:hAnsi="Arial"/>
                <w:sz w:val="26"/>
                <w:szCs w:val="26"/>
                <w:color w:val="auto"/>
                <w:w w:val="93"/>
                <w:vertAlign w:val="superscript"/>
              </w:rPr>
              <w:t>(a)</w:t>
            </w:r>
          </w:p>
        </w:tc>
      </w:tr>
      <w:tr>
        <w:trPr>
          <w:trHeight w:val="313"/>
        </w:trPr>
        <w:tc>
          <w:tcPr>
            <w:tcW w:w="2260" w:type="dxa"/>
            <w:vAlign w:val="bottom"/>
          </w:tcPr>
          <w:p>
            <w:pPr>
              <w:spacing w:after="0"/>
              <w:rPr>
                <w:sz w:val="20"/>
                <w:szCs w:val="20"/>
                <w:color w:val="auto"/>
              </w:rPr>
            </w:pPr>
            <w:r>
              <w:rPr>
                <w:rFonts w:ascii="Arial" w:cs="Arial" w:eastAsia="Arial" w:hAnsi="Arial"/>
                <w:sz w:val="16"/>
                <w:szCs w:val="16"/>
                <w:color w:val="auto"/>
              </w:rPr>
              <w:t>Revenue</w:t>
            </w:r>
          </w:p>
        </w:tc>
        <w:tc>
          <w:tcPr>
            <w:tcW w:w="1300" w:type="dxa"/>
            <w:vAlign w:val="bottom"/>
            <w:gridSpan w:val="3"/>
          </w:tcPr>
          <w:p>
            <w:pPr>
              <w:jc w:val="center"/>
              <w:ind w:left="239"/>
              <w:spacing w:after="0"/>
              <w:rPr>
                <w:sz w:val="20"/>
                <w:szCs w:val="20"/>
                <w:color w:val="auto"/>
              </w:rPr>
            </w:pPr>
            <w:r>
              <w:rPr>
                <w:rFonts w:ascii="Arial" w:cs="Arial" w:eastAsia="Arial" w:hAnsi="Arial"/>
                <w:sz w:val="16"/>
                <w:szCs w:val="16"/>
                <w:color w:val="auto"/>
              </w:rPr>
              <w:t>$5,609</w:t>
            </w:r>
          </w:p>
        </w:tc>
        <w:tc>
          <w:tcPr>
            <w:tcW w:w="1500" w:type="dxa"/>
            <w:vAlign w:val="bottom"/>
            <w:gridSpan w:val="3"/>
          </w:tcPr>
          <w:p>
            <w:pPr>
              <w:jc w:val="center"/>
              <w:ind w:left="879"/>
              <w:spacing w:after="0"/>
              <w:rPr>
                <w:sz w:val="20"/>
                <w:szCs w:val="20"/>
                <w:color w:val="auto"/>
              </w:rPr>
            </w:pPr>
            <w:r>
              <w:rPr>
                <w:rFonts w:ascii="Arial" w:cs="Arial" w:eastAsia="Arial" w:hAnsi="Arial"/>
                <w:sz w:val="16"/>
                <w:szCs w:val="16"/>
                <w:color w:val="auto"/>
              </w:rPr>
              <w:t>$5,609</w:t>
            </w:r>
          </w:p>
        </w:tc>
        <w:tc>
          <w:tcPr>
            <w:tcW w:w="800" w:type="dxa"/>
            <w:vAlign w:val="bottom"/>
          </w:tcPr>
          <w:p>
            <w:pPr>
              <w:spacing w:after="0"/>
              <w:rPr>
                <w:sz w:val="24"/>
                <w:szCs w:val="24"/>
                <w:color w:val="auto"/>
              </w:rPr>
            </w:pPr>
          </w:p>
        </w:tc>
        <w:tc>
          <w:tcPr>
            <w:tcW w:w="1500" w:type="dxa"/>
            <w:vAlign w:val="bottom"/>
            <w:gridSpan w:val="3"/>
          </w:tcPr>
          <w:p>
            <w:pPr>
              <w:jc w:val="center"/>
              <w:ind w:left="459"/>
              <w:spacing w:after="0"/>
              <w:rPr>
                <w:sz w:val="20"/>
                <w:szCs w:val="20"/>
                <w:color w:val="auto"/>
              </w:rPr>
            </w:pPr>
            <w:r>
              <w:rPr>
                <w:rFonts w:ascii="Arial" w:cs="Arial" w:eastAsia="Arial" w:hAnsi="Arial"/>
                <w:sz w:val="16"/>
                <w:szCs w:val="16"/>
                <w:color w:val="auto"/>
                <w:w w:val="98"/>
              </w:rPr>
              <w:t>$5,198</w:t>
            </w:r>
          </w:p>
        </w:tc>
        <w:tc>
          <w:tcPr>
            <w:tcW w:w="1520" w:type="dxa"/>
            <w:vAlign w:val="bottom"/>
            <w:gridSpan w:val="4"/>
          </w:tcPr>
          <w:p>
            <w:pPr>
              <w:jc w:val="center"/>
              <w:ind w:left="859"/>
              <w:spacing w:after="0"/>
              <w:rPr>
                <w:sz w:val="20"/>
                <w:szCs w:val="20"/>
                <w:color w:val="auto"/>
              </w:rPr>
            </w:pPr>
            <w:r>
              <w:rPr>
                <w:rFonts w:ascii="Arial" w:cs="Arial" w:eastAsia="Arial" w:hAnsi="Arial"/>
                <w:sz w:val="16"/>
                <w:szCs w:val="16"/>
                <w:color w:val="auto"/>
              </w:rPr>
              <w:t>$5,198</w:t>
            </w:r>
          </w:p>
        </w:tc>
        <w:tc>
          <w:tcPr>
            <w:tcW w:w="220" w:type="dxa"/>
            <w:vAlign w:val="bottom"/>
          </w:tcPr>
          <w:p>
            <w:pPr>
              <w:spacing w:after="0"/>
              <w:rPr>
                <w:sz w:val="24"/>
                <w:szCs w:val="24"/>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300" w:type="dxa"/>
            <w:vAlign w:val="bottom"/>
            <w:gridSpan w:val="3"/>
          </w:tcPr>
          <w:p>
            <w:pPr>
              <w:jc w:val="center"/>
              <w:ind w:left="219"/>
              <w:spacing w:after="0"/>
              <w:rPr>
                <w:sz w:val="20"/>
                <w:szCs w:val="20"/>
                <w:color w:val="auto"/>
              </w:rPr>
            </w:pPr>
            <w:r>
              <w:rPr>
                <w:rFonts w:ascii="Arial" w:cs="Arial" w:eastAsia="Arial" w:hAnsi="Arial"/>
                <w:sz w:val="16"/>
                <w:szCs w:val="16"/>
                <w:color w:val="auto"/>
                <w:w w:val="98"/>
              </w:rPr>
              <w:t>$1,119</w:t>
            </w:r>
          </w:p>
        </w:tc>
        <w:tc>
          <w:tcPr>
            <w:tcW w:w="1500" w:type="dxa"/>
            <w:vAlign w:val="bottom"/>
            <w:gridSpan w:val="3"/>
          </w:tcPr>
          <w:p>
            <w:pPr>
              <w:jc w:val="center"/>
              <w:ind w:left="879"/>
              <w:spacing w:after="0"/>
              <w:rPr>
                <w:sz w:val="20"/>
                <w:szCs w:val="20"/>
                <w:color w:val="auto"/>
              </w:rPr>
            </w:pPr>
            <w:r>
              <w:rPr>
                <w:rFonts w:ascii="Arial" w:cs="Arial" w:eastAsia="Arial" w:hAnsi="Arial"/>
                <w:sz w:val="16"/>
                <w:szCs w:val="16"/>
                <w:color w:val="auto"/>
              </w:rPr>
              <w:t>$1,153</w:t>
            </w:r>
          </w:p>
        </w:tc>
        <w:tc>
          <w:tcPr>
            <w:tcW w:w="800" w:type="dxa"/>
            <w:vAlign w:val="bottom"/>
          </w:tcPr>
          <w:p>
            <w:pPr>
              <w:spacing w:after="0"/>
              <w:rPr>
                <w:sz w:val="24"/>
                <w:szCs w:val="24"/>
                <w:color w:val="auto"/>
              </w:rPr>
            </w:pPr>
          </w:p>
        </w:tc>
        <w:tc>
          <w:tcPr>
            <w:tcW w:w="1500" w:type="dxa"/>
            <w:vAlign w:val="bottom"/>
            <w:gridSpan w:val="3"/>
          </w:tcPr>
          <w:p>
            <w:pPr>
              <w:jc w:val="center"/>
              <w:ind w:left="459"/>
              <w:spacing w:after="0"/>
              <w:rPr>
                <w:sz w:val="20"/>
                <w:szCs w:val="20"/>
                <w:color w:val="auto"/>
              </w:rPr>
            </w:pPr>
            <w:r>
              <w:rPr>
                <w:rFonts w:ascii="Arial" w:cs="Arial" w:eastAsia="Arial" w:hAnsi="Arial"/>
                <w:sz w:val="16"/>
                <w:szCs w:val="16"/>
                <w:color w:val="auto"/>
                <w:w w:val="98"/>
              </w:rPr>
              <w:t>$1,021</w:t>
            </w:r>
          </w:p>
        </w:tc>
        <w:tc>
          <w:tcPr>
            <w:tcW w:w="1520" w:type="dxa"/>
            <w:vAlign w:val="bottom"/>
            <w:gridSpan w:val="4"/>
          </w:tcPr>
          <w:p>
            <w:pPr>
              <w:jc w:val="center"/>
              <w:ind w:left="859"/>
              <w:spacing w:after="0"/>
              <w:rPr>
                <w:sz w:val="20"/>
                <w:szCs w:val="20"/>
                <w:color w:val="auto"/>
              </w:rPr>
            </w:pPr>
            <w:r>
              <w:rPr>
                <w:rFonts w:ascii="Arial" w:cs="Arial" w:eastAsia="Arial" w:hAnsi="Arial"/>
                <w:sz w:val="16"/>
                <w:szCs w:val="16"/>
                <w:color w:val="auto"/>
              </w:rPr>
              <w:t>$1,022</w:t>
            </w:r>
          </w:p>
        </w:tc>
        <w:tc>
          <w:tcPr>
            <w:tcW w:w="220" w:type="dxa"/>
            <w:vAlign w:val="bottom"/>
          </w:tcPr>
          <w:p>
            <w:pPr>
              <w:spacing w:after="0"/>
              <w:rPr>
                <w:sz w:val="24"/>
                <w:szCs w:val="24"/>
                <w:color w:val="auto"/>
              </w:rPr>
            </w:pPr>
          </w:p>
        </w:tc>
      </w:tr>
      <w:tr>
        <w:trPr>
          <w:trHeight w:val="565"/>
        </w:trPr>
        <w:tc>
          <w:tcPr>
            <w:tcW w:w="2260" w:type="dxa"/>
            <w:vAlign w:val="bottom"/>
          </w:tcPr>
          <w:p>
            <w:pPr>
              <w:spacing w:after="0"/>
              <w:rPr>
                <w:sz w:val="20"/>
                <w:szCs w:val="20"/>
                <w:color w:val="auto"/>
              </w:rPr>
            </w:pPr>
            <w:r>
              <w:rPr>
                <w:rFonts w:ascii="Arial" w:cs="Arial" w:eastAsia="Arial" w:hAnsi="Arial"/>
                <w:sz w:val="16"/>
                <w:szCs w:val="16"/>
                <w:color w:val="auto"/>
              </w:rPr>
              <w:t>Operating EBITDA</w:t>
            </w:r>
            <w:r>
              <w:rPr>
                <w:rFonts w:ascii="Arial" w:cs="Arial" w:eastAsia="Arial" w:hAnsi="Arial"/>
                <w:sz w:val="26"/>
                <w:szCs w:val="26"/>
                <w:color w:val="auto"/>
                <w:vertAlign w:val="superscript"/>
              </w:rPr>
              <w:t>(b)</w:t>
            </w:r>
          </w:p>
        </w:tc>
        <w:tc>
          <w:tcPr>
            <w:tcW w:w="1300" w:type="dxa"/>
            <w:vAlign w:val="bottom"/>
            <w:gridSpan w:val="3"/>
          </w:tcPr>
          <w:p>
            <w:pPr>
              <w:jc w:val="center"/>
              <w:ind w:left="239"/>
              <w:spacing w:after="0"/>
              <w:rPr>
                <w:sz w:val="20"/>
                <w:szCs w:val="20"/>
                <w:color w:val="auto"/>
              </w:rPr>
            </w:pPr>
            <w:r>
              <w:rPr>
                <w:rFonts w:ascii="Arial" w:cs="Arial" w:eastAsia="Arial" w:hAnsi="Arial"/>
                <w:sz w:val="16"/>
                <w:szCs w:val="16"/>
                <w:color w:val="auto"/>
              </w:rPr>
              <w:t>$1,677</w:t>
            </w:r>
          </w:p>
        </w:tc>
        <w:tc>
          <w:tcPr>
            <w:tcW w:w="1500" w:type="dxa"/>
            <w:vAlign w:val="bottom"/>
            <w:gridSpan w:val="3"/>
          </w:tcPr>
          <w:p>
            <w:pPr>
              <w:jc w:val="center"/>
              <w:ind w:left="879"/>
              <w:spacing w:after="0"/>
              <w:rPr>
                <w:sz w:val="20"/>
                <w:szCs w:val="20"/>
                <w:color w:val="auto"/>
              </w:rPr>
            </w:pPr>
            <w:r>
              <w:rPr>
                <w:rFonts w:ascii="Arial" w:cs="Arial" w:eastAsia="Arial" w:hAnsi="Arial"/>
                <w:sz w:val="16"/>
                <w:szCs w:val="16"/>
                <w:color w:val="auto"/>
              </w:rPr>
              <w:t>$1,711</w:t>
            </w:r>
          </w:p>
        </w:tc>
        <w:tc>
          <w:tcPr>
            <w:tcW w:w="800" w:type="dxa"/>
            <w:vAlign w:val="bottom"/>
          </w:tcPr>
          <w:p>
            <w:pPr>
              <w:spacing w:after="0"/>
              <w:rPr>
                <w:sz w:val="24"/>
                <w:szCs w:val="24"/>
                <w:color w:val="auto"/>
              </w:rPr>
            </w:pPr>
          </w:p>
        </w:tc>
        <w:tc>
          <w:tcPr>
            <w:tcW w:w="1500" w:type="dxa"/>
            <w:vAlign w:val="bottom"/>
            <w:gridSpan w:val="3"/>
          </w:tcPr>
          <w:p>
            <w:pPr>
              <w:jc w:val="center"/>
              <w:ind w:left="459"/>
              <w:spacing w:after="0"/>
              <w:rPr>
                <w:sz w:val="20"/>
                <w:szCs w:val="20"/>
                <w:color w:val="auto"/>
              </w:rPr>
            </w:pPr>
            <w:r>
              <w:rPr>
                <w:rFonts w:ascii="Arial" w:cs="Arial" w:eastAsia="Arial" w:hAnsi="Arial"/>
                <w:sz w:val="16"/>
                <w:szCs w:val="16"/>
                <w:color w:val="auto"/>
                <w:w w:val="98"/>
              </w:rPr>
              <w:t>$1,540</w:t>
            </w:r>
          </w:p>
        </w:tc>
        <w:tc>
          <w:tcPr>
            <w:tcW w:w="1520" w:type="dxa"/>
            <w:vAlign w:val="bottom"/>
            <w:gridSpan w:val="4"/>
          </w:tcPr>
          <w:p>
            <w:pPr>
              <w:jc w:val="center"/>
              <w:ind w:left="859"/>
              <w:spacing w:after="0"/>
              <w:rPr>
                <w:sz w:val="20"/>
                <w:szCs w:val="20"/>
                <w:color w:val="auto"/>
              </w:rPr>
            </w:pPr>
            <w:r>
              <w:rPr>
                <w:rFonts w:ascii="Arial" w:cs="Arial" w:eastAsia="Arial" w:hAnsi="Arial"/>
                <w:sz w:val="16"/>
                <w:szCs w:val="16"/>
                <w:color w:val="auto"/>
              </w:rPr>
              <w:t>$1,541</w:t>
            </w:r>
          </w:p>
        </w:tc>
        <w:tc>
          <w:tcPr>
            <w:tcW w:w="220" w:type="dxa"/>
            <w:vAlign w:val="bottom"/>
          </w:tcPr>
          <w:p>
            <w:pPr>
              <w:spacing w:after="0"/>
              <w:rPr>
                <w:sz w:val="24"/>
                <w:szCs w:val="24"/>
                <w:color w:val="auto"/>
              </w:rPr>
            </w:pPr>
          </w:p>
        </w:tc>
      </w:tr>
      <w:tr>
        <w:trPr>
          <w:trHeight w:val="313"/>
        </w:trPr>
        <w:tc>
          <w:tcPr>
            <w:tcW w:w="2260" w:type="dxa"/>
            <w:vAlign w:val="bottom"/>
          </w:tcPr>
          <w:p>
            <w:pPr>
              <w:spacing w:after="0"/>
              <w:rPr>
                <w:sz w:val="20"/>
                <w:szCs w:val="20"/>
                <w:color w:val="auto"/>
              </w:rPr>
            </w:pPr>
            <w:r>
              <w:rPr>
                <w:rFonts w:ascii="Arial" w:cs="Arial" w:eastAsia="Arial" w:hAnsi="Arial"/>
                <w:sz w:val="16"/>
                <w:szCs w:val="16"/>
                <w:color w:val="auto"/>
              </w:rPr>
              <w:t>Operating EBITDA Margin</w:t>
            </w:r>
          </w:p>
        </w:tc>
        <w:tc>
          <w:tcPr>
            <w:tcW w:w="1300" w:type="dxa"/>
            <w:vAlign w:val="bottom"/>
            <w:gridSpan w:val="3"/>
          </w:tcPr>
          <w:p>
            <w:pPr>
              <w:jc w:val="center"/>
              <w:ind w:left="239"/>
              <w:spacing w:after="0"/>
              <w:rPr>
                <w:sz w:val="20"/>
                <w:szCs w:val="20"/>
                <w:color w:val="auto"/>
              </w:rPr>
            </w:pPr>
            <w:r>
              <w:rPr>
                <w:rFonts w:ascii="Arial" w:cs="Arial" w:eastAsia="Arial" w:hAnsi="Arial"/>
                <w:sz w:val="16"/>
                <w:szCs w:val="16"/>
                <w:color w:val="auto"/>
              </w:rPr>
              <w:t>29.9%</w:t>
            </w:r>
          </w:p>
        </w:tc>
        <w:tc>
          <w:tcPr>
            <w:tcW w:w="1500" w:type="dxa"/>
            <w:vAlign w:val="bottom"/>
            <w:gridSpan w:val="3"/>
          </w:tcPr>
          <w:p>
            <w:pPr>
              <w:jc w:val="center"/>
              <w:ind w:left="879"/>
              <w:spacing w:after="0"/>
              <w:rPr>
                <w:sz w:val="20"/>
                <w:szCs w:val="20"/>
                <w:color w:val="auto"/>
              </w:rPr>
            </w:pPr>
            <w:r>
              <w:rPr>
                <w:rFonts w:ascii="Arial" w:cs="Arial" w:eastAsia="Arial" w:hAnsi="Arial"/>
                <w:sz w:val="16"/>
                <w:szCs w:val="16"/>
                <w:color w:val="auto"/>
              </w:rPr>
              <w:t>30.5%</w:t>
            </w:r>
          </w:p>
        </w:tc>
        <w:tc>
          <w:tcPr>
            <w:tcW w:w="800" w:type="dxa"/>
            <w:vAlign w:val="bottom"/>
          </w:tcPr>
          <w:p>
            <w:pPr>
              <w:spacing w:after="0"/>
              <w:rPr>
                <w:sz w:val="24"/>
                <w:szCs w:val="24"/>
                <w:color w:val="auto"/>
              </w:rPr>
            </w:pPr>
          </w:p>
        </w:tc>
        <w:tc>
          <w:tcPr>
            <w:tcW w:w="1500" w:type="dxa"/>
            <w:vAlign w:val="bottom"/>
            <w:gridSpan w:val="3"/>
          </w:tcPr>
          <w:p>
            <w:pPr>
              <w:jc w:val="center"/>
              <w:ind w:left="479"/>
              <w:spacing w:after="0"/>
              <w:rPr>
                <w:sz w:val="20"/>
                <w:szCs w:val="20"/>
                <w:color w:val="auto"/>
              </w:rPr>
            </w:pPr>
            <w:r>
              <w:rPr>
                <w:rFonts w:ascii="Arial" w:cs="Arial" w:eastAsia="Arial" w:hAnsi="Arial"/>
                <w:sz w:val="16"/>
                <w:szCs w:val="16"/>
                <w:color w:val="auto"/>
              </w:rPr>
              <w:t>29.6%</w:t>
            </w:r>
          </w:p>
        </w:tc>
        <w:tc>
          <w:tcPr>
            <w:tcW w:w="1520" w:type="dxa"/>
            <w:vAlign w:val="bottom"/>
            <w:gridSpan w:val="4"/>
          </w:tcPr>
          <w:p>
            <w:pPr>
              <w:jc w:val="center"/>
              <w:ind w:left="859"/>
              <w:spacing w:after="0"/>
              <w:rPr>
                <w:sz w:val="20"/>
                <w:szCs w:val="20"/>
                <w:color w:val="auto"/>
              </w:rPr>
            </w:pPr>
            <w:r>
              <w:rPr>
                <w:rFonts w:ascii="Arial" w:cs="Arial" w:eastAsia="Arial" w:hAnsi="Arial"/>
                <w:sz w:val="16"/>
                <w:szCs w:val="16"/>
                <w:color w:val="auto"/>
              </w:rPr>
              <w:t>29.6%</w:t>
            </w:r>
          </w:p>
        </w:tc>
        <w:tc>
          <w:tcPr>
            <w:tcW w:w="220" w:type="dxa"/>
            <w:vAlign w:val="bottom"/>
          </w:tcPr>
          <w:p>
            <w:pPr>
              <w:spacing w:after="0"/>
              <w:rPr>
                <w:sz w:val="24"/>
                <w:szCs w:val="24"/>
                <w:color w:val="auto"/>
              </w:rPr>
            </w:pPr>
          </w:p>
        </w:tc>
      </w:tr>
      <w:tr>
        <w:trPr>
          <w:trHeight w:val="565"/>
        </w:trPr>
        <w:tc>
          <w:tcPr>
            <w:tcW w:w="226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tc>
        <w:tc>
          <w:tcPr>
            <w:tcW w:w="1300" w:type="dxa"/>
            <w:vAlign w:val="bottom"/>
            <w:gridSpan w:val="3"/>
          </w:tcPr>
          <w:p>
            <w:pPr>
              <w:jc w:val="center"/>
              <w:ind w:left="219"/>
              <w:spacing w:after="0"/>
              <w:rPr>
                <w:sz w:val="20"/>
                <w:szCs w:val="20"/>
                <w:color w:val="auto"/>
              </w:rPr>
            </w:pPr>
            <w:r>
              <w:rPr>
                <w:rFonts w:ascii="Arial" w:cs="Arial" w:eastAsia="Arial" w:hAnsi="Arial"/>
                <w:sz w:val="16"/>
                <w:szCs w:val="16"/>
                <w:color w:val="auto"/>
              </w:rPr>
              <w:t>$760</w:t>
            </w:r>
          </w:p>
        </w:tc>
        <w:tc>
          <w:tcPr>
            <w:tcW w:w="1500" w:type="dxa"/>
            <w:vAlign w:val="bottom"/>
            <w:gridSpan w:val="3"/>
          </w:tcPr>
          <w:p>
            <w:pPr>
              <w:jc w:val="center"/>
              <w:ind w:left="859"/>
              <w:spacing w:after="0"/>
              <w:rPr>
                <w:sz w:val="20"/>
                <w:szCs w:val="20"/>
                <w:color w:val="auto"/>
              </w:rPr>
            </w:pPr>
            <w:r>
              <w:rPr>
                <w:rFonts w:ascii="Arial" w:cs="Arial" w:eastAsia="Arial" w:hAnsi="Arial"/>
                <w:sz w:val="16"/>
                <w:szCs w:val="16"/>
                <w:color w:val="auto"/>
              </w:rPr>
              <w:t>$790</w:t>
            </w:r>
          </w:p>
        </w:tc>
        <w:tc>
          <w:tcPr>
            <w:tcW w:w="800" w:type="dxa"/>
            <w:vAlign w:val="bottom"/>
          </w:tcPr>
          <w:p>
            <w:pPr>
              <w:spacing w:after="0"/>
              <w:rPr>
                <w:sz w:val="24"/>
                <w:szCs w:val="24"/>
                <w:color w:val="auto"/>
              </w:rPr>
            </w:pPr>
          </w:p>
        </w:tc>
        <w:tc>
          <w:tcPr>
            <w:tcW w:w="1500" w:type="dxa"/>
            <w:vAlign w:val="bottom"/>
            <w:gridSpan w:val="3"/>
          </w:tcPr>
          <w:p>
            <w:pPr>
              <w:jc w:val="center"/>
              <w:ind w:left="459"/>
              <w:spacing w:after="0"/>
              <w:rPr>
                <w:sz w:val="20"/>
                <w:szCs w:val="20"/>
                <w:color w:val="auto"/>
              </w:rPr>
            </w:pPr>
            <w:r>
              <w:rPr>
                <w:rFonts w:ascii="Arial" w:cs="Arial" w:eastAsia="Arial" w:hAnsi="Arial"/>
                <w:sz w:val="16"/>
                <w:szCs w:val="16"/>
                <w:color w:val="auto"/>
              </w:rPr>
              <w:t>$663</w:t>
            </w:r>
          </w:p>
        </w:tc>
        <w:tc>
          <w:tcPr>
            <w:tcW w:w="1520" w:type="dxa"/>
            <w:vAlign w:val="bottom"/>
            <w:gridSpan w:val="4"/>
          </w:tcPr>
          <w:p>
            <w:pPr>
              <w:jc w:val="center"/>
              <w:ind w:left="879"/>
              <w:spacing w:after="0"/>
              <w:rPr>
                <w:sz w:val="20"/>
                <w:szCs w:val="20"/>
                <w:color w:val="auto"/>
              </w:rPr>
            </w:pPr>
            <w:r>
              <w:rPr>
                <w:rFonts w:ascii="Arial" w:cs="Arial" w:eastAsia="Arial" w:hAnsi="Arial"/>
                <w:sz w:val="16"/>
                <w:szCs w:val="16"/>
                <w:color w:val="auto"/>
              </w:rPr>
              <w:t>$664</w:t>
            </w:r>
          </w:p>
        </w:tc>
        <w:tc>
          <w:tcPr>
            <w:tcW w:w="220" w:type="dxa"/>
            <w:vAlign w:val="bottom"/>
          </w:tcPr>
          <w:p>
            <w:pPr>
              <w:spacing w:after="0"/>
              <w:rPr>
                <w:sz w:val="24"/>
                <w:szCs w:val="24"/>
                <w:color w:val="auto"/>
              </w:rPr>
            </w:pPr>
          </w:p>
        </w:tc>
      </w:tr>
      <w:tr>
        <w:trPr>
          <w:trHeight w:val="313"/>
        </w:trPr>
        <w:tc>
          <w:tcPr>
            <w:tcW w:w="2260" w:type="dxa"/>
            <w:vAlign w:val="bottom"/>
          </w:tcPr>
          <w:p>
            <w:pPr>
              <w:spacing w:after="0"/>
              <w:rPr>
                <w:sz w:val="20"/>
                <w:szCs w:val="20"/>
                <w:color w:val="auto"/>
              </w:rPr>
            </w:pPr>
            <w:r>
              <w:rPr>
                <w:rFonts w:ascii="Arial" w:cs="Arial" w:eastAsia="Arial" w:hAnsi="Arial"/>
                <w:sz w:val="16"/>
                <w:szCs w:val="16"/>
                <w:color w:val="auto"/>
              </w:rPr>
              <w:t>Diluted EPS</w:t>
            </w:r>
          </w:p>
        </w:tc>
        <w:tc>
          <w:tcPr>
            <w:tcW w:w="1300" w:type="dxa"/>
            <w:vAlign w:val="bottom"/>
            <w:gridSpan w:val="3"/>
          </w:tcPr>
          <w:p>
            <w:pPr>
              <w:jc w:val="center"/>
              <w:ind w:left="219"/>
              <w:spacing w:after="0"/>
              <w:rPr>
                <w:sz w:val="20"/>
                <w:szCs w:val="20"/>
                <w:color w:val="auto"/>
              </w:rPr>
            </w:pPr>
            <w:r>
              <w:rPr>
                <w:rFonts w:ascii="Arial" w:cs="Arial" w:eastAsia="Arial" w:hAnsi="Arial"/>
                <w:sz w:val="16"/>
                <w:szCs w:val="16"/>
                <w:color w:val="auto"/>
                <w:w w:val="99"/>
              </w:rPr>
              <w:t>$1.88</w:t>
            </w:r>
          </w:p>
        </w:tc>
        <w:tc>
          <w:tcPr>
            <w:tcW w:w="1500" w:type="dxa"/>
            <w:vAlign w:val="bottom"/>
            <w:gridSpan w:val="3"/>
          </w:tcPr>
          <w:p>
            <w:pPr>
              <w:jc w:val="center"/>
              <w:ind w:left="879"/>
              <w:spacing w:after="0"/>
              <w:rPr>
                <w:sz w:val="20"/>
                <w:szCs w:val="20"/>
                <w:color w:val="auto"/>
              </w:rPr>
            </w:pPr>
            <w:r>
              <w:rPr>
                <w:rFonts w:ascii="Arial" w:cs="Arial" w:eastAsia="Arial" w:hAnsi="Arial"/>
                <w:sz w:val="16"/>
                <w:szCs w:val="16"/>
                <w:color w:val="auto"/>
              </w:rPr>
              <w:t>$1.96</w:t>
            </w:r>
          </w:p>
        </w:tc>
        <w:tc>
          <w:tcPr>
            <w:tcW w:w="800" w:type="dxa"/>
            <w:vAlign w:val="bottom"/>
          </w:tcPr>
          <w:p>
            <w:pPr>
              <w:spacing w:after="0"/>
              <w:rPr>
                <w:sz w:val="24"/>
                <w:szCs w:val="24"/>
                <w:color w:val="auto"/>
              </w:rPr>
            </w:pPr>
          </w:p>
        </w:tc>
        <w:tc>
          <w:tcPr>
            <w:tcW w:w="1500" w:type="dxa"/>
            <w:vAlign w:val="bottom"/>
            <w:gridSpan w:val="3"/>
          </w:tcPr>
          <w:p>
            <w:pPr>
              <w:jc w:val="center"/>
              <w:ind w:left="459"/>
              <w:spacing w:after="0"/>
              <w:rPr>
                <w:sz w:val="20"/>
                <w:szCs w:val="20"/>
                <w:color w:val="auto"/>
              </w:rPr>
            </w:pPr>
            <w:r>
              <w:rPr>
                <w:rFonts w:ascii="Arial" w:cs="Arial" w:eastAsia="Arial" w:hAnsi="Arial"/>
                <w:sz w:val="16"/>
                <w:szCs w:val="16"/>
                <w:color w:val="auto"/>
                <w:w w:val="99"/>
              </w:rPr>
              <w:t>$1.63</w:t>
            </w:r>
          </w:p>
        </w:tc>
        <w:tc>
          <w:tcPr>
            <w:tcW w:w="1520" w:type="dxa"/>
            <w:vAlign w:val="bottom"/>
            <w:gridSpan w:val="4"/>
          </w:tcPr>
          <w:p>
            <w:pPr>
              <w:jc w:val="center"/>
              <w:ind w:left="879"/>
              <w:spacing w:after="0"/>
              <w:rPr>
                <w:sz w:val="20"/>
                <w:szCs w:val="20"/>
                <w:color w:val="auto"/>
              </w:rPr>
            </w:pPr>
            <w:r>
              <w:rPr>
                <w:rFonts w:ascii="Arial" w:cs="Arial" w:eastAsia="Arial" w:hAnsi="Arial"/>
                <w:sz w:val="16"/>
                <w:szCs w:val="16"/>
                <w:color w:val="auto"/>
                <w:w w:val="99"/>
              </w:rPr>
              <w:t>$1.63</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b w:val="1"/>
          <w:bCs w:val="1"/>
          <w:color w:val="auto"/>
        </w:rPr>
        <w:t>FOR MORE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178"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b w:val="1"/>
          <w:bCs w:val="1"/>
          <w:color w:val="auto"/>
        </w:rPr>
        <w:t>Web site www.wm.com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ind w:right="260"/>
        <w:spacing w:after="0" w:line="250" w:lineRule="auto"/>
        <w:rPr>
          <w:sz w:val="20"/>
          <w:szCs w:val="20"/>
          <w:color w:val="auto"/>
        </w:rPr>
      </w:pPr>
      <w:r>
        <w:rPr>
          <w:rFonts w:ascii="Arial" w:cs="Arial" w:eastAsia="Arial" w:hAnsi="Arial"/>
          <w:sz w:val="18"/>
          <w:szCs w:val="18"/>
          <w:color w:val="auto"/>
        </w:rPr>
        <w:t>713.265.1656 eegl@wm.com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Toni Werner media@wm.com</w:t>
      </w:r>
    </w:p>
    <w:p>
      <w:pPr>
        <w:spacing w:after="0" w:line="3267" w:lineRule="exact"/>
        <w:rPr>
          <w:sz w:val="20"/>
          <w:szCs w:val="20"/>
          <w:color w:val="auto"/>
        </w:rPr>
      </w:pPr>
    </w:p>
    <w:p>
      <w:pPr>
        <w:sectPr>
          <w:pgSz w:w="11900" w:h="16838" w:orient="portrait"/>
          <w:cols w:equalWidth="0" w:num="2">
            <w:col w:w="9560" w:space="220"/>
            <w:col w:w="1460"/>
          </w:cols>
          <w:pgMar w:left="320" w:top="368" w:right="339" w:bottom="1440" w:gutter="0" w:footer="0" w:header="0"/>
          <w:type w:val="continuous"/>
        </w:sectPr>
      </w:pPr>
    </w:p>
    <w:p>
      <w:pPr>
        <w:spacing w:after="0" w:line="229" w:lineRule="exact"/>
        <w:rPr>
          <w:sz w:val="20"/>
          <w:szCs w:val="20"/>
          <w:color w:val="auto"/>
        </w:rPr>
      </w:pPr>
    </w:p>
    <w:p>
      <w:pPr>
        <w:jc w:val="both"/>
        <w:ind w:right="1680"/>
        <w:spacing w:after="0" w:line="253" w:lineRule="auto"/>
        <w:rPr>
          <w:sz w:val="20"/>
          <w:szCs w:val="20"/>
          <w:color w:val="auto"/>
        </w:rPr>
      </w:pPr>
      <w:r>
        <w:rPr>
          <w:rFonts w:ascii="Arial" w:cs="Arial" w:eastAsia="Arial" w:hAnsi="Arial"/>
          <w:sz w:val="18"/>
          <w:szCs w:val="18"/>
          <w:color w:val="auto"/>
        </w:rPr>
        <w:t>“The Company’s third quarter results again demonstrated the dedication of our people, the consistency of our business model, and the strength of our operations,” said Jim Fish, WM’s President and Chief Executive Officer. “Our investments in technology, our fleet, and our asset network, combined with our disciplined pricing programs, are expanding the spread between price growth and our cost to serve. This led to adjusted operating EBITDA growth of 11% and record margin of 30.5% for the quarter.”</w:t>
      </w:r>
      <w:r>
        <w:rPr>
          <w:rFonts w:ascii="Arial" w:cs="Arial" w:eastAsia="Arial" w:hAnsi="Arial"/>
          <w:sz w:val="29"/>
          <w:szCs w:val="29"/>
          <w:color w:val="auto"/>
          <w:vertAlign w:val="superscript"/>
        </w:rPr>
        <w:t>(a)</w:t>
      </w:r>
    </w:p>
    <w:p>
      <w:pPr>
        <w:spacing w:after="0" w:line="31" w:lineRule="exact"/>
        <w:rPr>
          <w:sz w:val="20"/>
          <w:szCs w:val="20"/>
          <w:color w:val="auto"/>
        </w:rPr>
      </w:pPr>
    </w:p>
    <w:p>
      <w:pPr>
        <w:jc w:val="both"/>
        <w:ind w:right="1700"/>
        <w:spacing w:after="0" w:line="253" w:lineRule="auto"/>
        <w:rPr>
          <w:sz w:val="20"/>
          <w:szCs w:val="20"/>
          <w:color w:val="auto"/>
        </w:rPr>
      </w:pPr>
      <w:r>
        <w:rPr>
          <w:rFonts w:ascii="Arial" w:cs="Arial" w:eastAsia="Arial" w:hAnsi="Arial"/>
          <w:sz w:val="18"/>
          <w:szCs w:val="18"/>
          <w:color w:val="auto"/>
        </w:rPr>
        <w:t>Fish continued, “Our strong results have been led by our Collection and Disposal business where our focused efforts on frontline retention, optimization of our cost structure, and providing differentiated service to our customers have fueled earnings growth. Additionally, we continue to make headway on our sustainability growth investments and planning for the successful integration of the Stericycle business. We have a lot of momentum for a strong finish to the year, which will position us to deliver another year of outsized growth in 2025.”</w:t>
      </w:r>
      <w:r>
        <w:rPr>
          <w:rFonts w:ascii="Arial" w:cs="Arial" w:eastAsia="Arial" w:hAnsi="Arial"/>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KEY HIGHLIGHTS FOR THE THIRD QUARTER OF 2024</w:t>
      </w:r>
    </w:p>
    <w:p>
      <w:pPr>
        <w:spacing w:after="0" w:line="207" w:lineRule="exact"/>
        <w:rPr>
          <w:sz w:val="20"/>
          <w:szCs w:val="20"/>
          <w:color w:val="auto"/>
        </w:rPr>
      </w:pPr>
    </w:p>
    <w:p>
      <w:pPr>
        <w:jc w:val="both"/>
        <w:ind w:left="540" w:right="599" w:hanging="262"/>
        <w:spacing w:after="0" w:line="186" w:lineRule="auto"/>
        <w:tabs>
          <w:tab w:leader="none" w:pos="54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Total Company revenue grew 7.9% driven by core price of 6.5%.</w:t>
      </w:r>
      <w:r>
        <w:rPr>
          <w:rFonts w:ascii="Arial" w:cs="Arial" w:eastAsia="Arial" w:hAnsi="Arial"/>
          <w:sz w:val="29"/>
          <w:szCs w:val="29"/>
          <w:color w:val="auto"/>
          <w:vertAlign w:val="superscript"/>
        </w:rPr>
        <w:t>(d)</w:t>
      </w:r>
      <w:r>
        <w:rPr>
          <w:rFonts w:ascii="Arial" w:cs="Arial" w:eastAsia="Arial" w:hAnsi="Arial"/>
          <w:sz w:val="18"/>
          <w:szCs w:val="18"/>
          <w:color w:val="auto"/>
        </w:rPr>
        <w:t xml:space="preserve"> In addition to strong execution on pricing, revenue grew above expectations due to higher market prices for the recyclable commodities we sell and a notable increase in landfill volumes. The Company expects full year revenue growth to be about 6%, which is above the high end of prior guidance of 5.75%.</w:t>
      </w:r>
      <w:r>
        <w:rPr>
          <w:rFonts w:ascii="Arial" w:cs="Arial" w:eastAsia="Arial" w:hAnsi="Arial"/>
          <w:sz w:val="29"/>
          <w:szCs w:val="29"/>
          <w:color w:val="auto"/>
          <w:vertAlign w:val="superscript"/>
        </w:rPr>
        <w:t>(g)</w:t>
      </w:r>
    </w:p>
    <w:p>
      <w:pPr>
        <w:spacing w:after="0" w:line="4" w:lineRule="exact"/>
        <w:rPr>
          <w:rFonts w:ascii="Arial" w:cs="Arial" w:eastAsia="Arial" w:hAnsi="Arial"/>
          <w:sz w:val="36"/>
          <w:szCs w:val="36"/>
          <w:color w:val="auto"/>
          <w:vertAlign w:val="superscript"/>
        </w:rPr>
      </w:pPr>
    </w:p>
    <w:p>
      <w:pPr>
        <w:jc w:val="both"/>
        <w:ind w:left="540" w:right="579" w:hanging="262"/>
        <w:spacing w:after="0" w:line="21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operating EBITDA grew $170 million in the quarter driven by the Company’s Collection and Disposal business. Adjusted operating EBITDA margin grew 90 basis points to a record high of 30.5%. This strong result puts the Company on track to deliver about $6.5 billion in adjusted operating EBITDA in 2024, which is near the upper end of its guidance range.</w:t>
      </w:r>
      <w:r>
        <w:rPr>
          <w:rFonts w:ascii="Arial" w:cs="Arial" w:eastAsia="Arial" w:hAnsi="Arial"/>
          <w:sz w:val="29"/>
          <w:szCs w:val="29"/>
          <w:color w:val="auto"/>
          <w:vertAlign w:val="superscript"/>
        </w:rPr>
        <w:t>(a)(e)(g)</w:t>
      </w:r>
    </w:p>
    <w:p>
      <w:pPr>
        <w:spacing w:after="0" w:line="3" w:lineRule="exact"/>
        <w:rPr>
          <w:rFonts w:ascii="Arial" w:cs="Arial" w:eastAsia="Arial" w:hAnsi="Arial"/>
          <w:sz w:val="18"/>
          <w:szCs w:val="18"/>
          <w:color w:val="auto"/>
        </w:rPr>
      </w:pPr>
    </w:p>
    <w:p>
      <w:pPr>
        <w:jc w:val="both"/>
        <w:ind w:left="540" w:right="599" w:hanging="26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continues to prioritize technology and automation to optimize its cost structure and enhance operational efficiency. This is evident in operating expenses as a percentage of revenue improving 70 basis points to 60.6% in the third quarter. This is the fourth consecutive quarter this measure has been below 61%.</w:t>
      </w:r>
    </w:p>
    <w:p>
      <w:pPr>
        <w:spacing w:after="0" w:line="2" w:lineRule="exact"/>
        <w:rPr>
          <w:rFonts w:ascii="Arial" w:cs="Arial" w:eastAsia="Arial" w:hAnsi="Arial"/>
          <w:sz w:val="18"/>
          <w:szCs w:val="18"/>
          <w:color w:val="auto"/>
        </w:rPr>
      </w:pPr>
    </w:p>
    <w:p>
      <w:pPr>
        <w:ind w:left="540" w:right="599" w:hanging="262"/>
        <w:spacing w:after="0" w:line="19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SG&amp;A expenses were 9.4% of revenue, or 8.9% on an adjusted basis, reflecting continued discipline in cost control.</w:t>
      </w:r>
      <w:r>
        <w:rPr>
          <w:rFonts w:ascii="Arial" w:cs="Arial" w:eastAsia="Arial" w:hAnsi="Arial"/>
          <w:sz w:val="29"/>
          <w:szCs w:val="29"/>
          <w:color w:val="auto"/>
          <w:vertAlign w:val="superscript"/>
        </w:rPr>
        <w:t>(a)</w:t>
      </w:r>
    </w:p>
    <w:p>
      <w:pPr>
        <w:spacing w:after="0" w:line="1" w:lineRule="exact"/>
        <w:rPr>
          <w:rFonts w:ascii="Arial" w:cs="Arial" w:eastAsia="Arial" w:hAnsi="Arial"/>
          <w:sz w:val="18"/>
          <w:szCs w:val="18"/>
          <w:color w:val="auto"/>
        </w:rPr>
      </w:pPr>
    </w:p>
    <w:p>
      <w:pPr>
        <w:jc w:val="both"/>
        <w:ind w:left="540" w:right="579" w:hanging="262"/>
        <w:spacing w:after="0" w:line="20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completed eight recycling projects in the quarter and has now completed 24 out of its 39 planned automation and new market projects. Completed projects have added 1.5 million tons of annual recycling capacity across North America.</w:t>
      </w:r>
      <w:r>
        <w:rPr>
          <w:rFonts w:ascii="Arial" w:cs="Arial" w:eastAsia="Arial" w:hAnsi="Arial"/>
          <w:sz w:val="29"/>
          <w:szCs w:val="29"/>
          <w:color w:val="auto"/>
          <w:vertAlign w:val="superscript"/>
        </w:rPr>
        <w:t>(f)</w:t>
      </w:r>
    </w:p>
    <w:p>
      <w:pPr>
        <w:jc w:val="both"/>
        <w:ind w:left="540" w:right="599" w:hanging="262"/>
        <w:spacing w:after="0" w:line="21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brought three of its 20 planned renewable natural gas projects into service, including one brought online earlier this year, and currently expects four additional projects to be commissioned by year-end. The Company anticipates that these seven projects will contribute approximately six million MMBtu of annual production next year.</w:t>
      </w:r>
      <w:r>
        <w:rPr>
          <w:rFonts w:ascii="Arial" w:cs="Arial" w:eastAsia="Arial" w:hAnsi="Arial"/>
          <w:sz w:val="29"/>
          <w:szCs w:val="29"/>
          <w:color w:val="auto"/>
          <w:vertAlign w:val="superscript"/>
        </w:rPr>
        <w:t>(f)</w:t>
      </w:r>
    </w:p>
    <w:p>
      <w:pPr>
        <w:spacing w:after="0" w:line="3" w:lineRule="exact"/>
        <w:rPr>
          <w:rFonts w:ascii="Arial" w:cs="Arial" w:eastAsia="Arial" w:hAnsi="Arial"/>
          <w:sz w:val="18"/>
          <w:szCs w:val="18"/>
          <w:color w:val="auto"/>
        </w:rPr>
      </w:pPr>
    </w:p>
    <w:p>
      <w:pPr>
        <w:ind w:left="540" w:right="599" w:hanging="26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first nine months of the year, the Company generated $3.88 billion of net cash provided by operating activities, an increase of 16.2% from the prior year.</w:t>
      </w:r>
    </w:p>
    <w:p>
      <w:pPr>
        <w:spacing w:after="0" w:line="1" w:lineRule="exact"/>
        <w:rPr>
          <w:rFonts w:ascii="Arial" w:cs="Arial" w:eastAsia="Arial" w:hAnsi="Arial"/>
          <w:sz w:val="18"/>
          <w:szCs w:val="18"/>
          <w:color w:val="auto"/>
        </w:rPr>
      </w:pPr>
    </w:p>
    <w:p>
      <w:pPr>
        <w:ind w:left="540" w:right="579" w:hanging="26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expects total capital expenditures to be $3.15 to $3.25 billion, with about $950 million targeted at sustainability growth investments.</w:t>
      </w:r>
    </w:p>
    <w:p>
      <w:pPr>
        <w:spacing w:after="0" w:line="1" w:lineRule="exact"/>
        <w:rPr>
          <w:rFonts w:ascii="Arial" w:cs="Arial" w:eastAsia="Arial" w:hAnsi="Arial"/>
          <w:sz w:val="18"/>
          <w:szCs w:val="18"/>
          <w:color w:val="auto"/>
        </w:rPr>
      </w:pPr>
    </w:p>
    <w:p>
      <w:pPr>
        <w:jc w:val="both"/>
        <w:ind w:left="540" w:right="599" w:hanging="262"/>
        <w:spacing w:after="0" w:line="20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operating cash flow growth combined with disciplined capital spending led to a 20.0% increase in free cash flow on a year-to-date basis. These results put the Company on track to achieve the high end of its guidance of $2.15 billion in free cash flow in 2024.</w:t>
      </w:r>
      <w:r>
        <w:rPr>
          <w:rFonts w:ascii="Arial" w:cs="Arial" w:eastAsia="Arial" w:hAnsi="Arial"/>
          <w:sz w:val="29"/>
          <w:szCs w:val="29"/>
          <w:color w:val="auto"/>
          <w:vertAlign w:val="superscript"/>
        </w:rPr>
        <w:t>(a)(g)</w:t>
      </w:r>
    </w:p>
    <w:p>
      <w:pPr>
        <w:jc w:val="both"/>
        <w:ind w:left="540" w:right="599" w:hanging="26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invested $790 million on acquisitions in 2024, largely for solid waste businesses. The acquired businesses have contributed $108 million of revenue growth in 2024. Additionally, the Company continues to work through regulatory approval processes to support its planned acquisition of Stericycle. The acquisition is expected to close in the fourth quarter of 2024. Integration planning processes are moving forward as expected.</w:t>
      </w:r>
    </w:p>
    <w:p>
      <w:pPr>
        <w:spacing w:after="0" w:line="3" w:lineRule="exact"/>
        <w:rPr>
          <w:rFonts w:ascii="Arial" w:cs="Arial" w:eastAsia="Arial" w:hAnsi="Arial"/>
          <w:sz w:val="18"/>
          <w:szCs w:val="18"/>
          <w:color w:val="auto"/>
        </w:rPr>
      </w:pPr>
    </w:p>
    <w:p>
      <w:pPr>
        <w:jc w:val="both"/>
        <w:ind w:left="540" w:right="599" w:hanging="262"/>
        <w:spacing w:after="0" w:line="242"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WM released its 2024 Sustainability Report during the third quarter, focused on three core ambitions - material is repurposed, energy is renewable, and communities are thriving. The report details the Company’s sustainability ambitions and progress toward its goals.</w:t>
      </w:r>
    </w:p>
    <w:p>
      <w:pPr>
        <w:spacing w:after="0" w:line="166" w:lineRule="exact"/>
        <w:rPr>
          <w:sz w:val="20"/>
          <w:szCs w:val="20"/>
          <w:color w:val="auto"/>
        </w:rPr>
      </w:pPr>
    </w:p>
    <w:p>
      <w:pPr>
        <w:jc w:val="both"/>
        <w:ind w:right="599"/>
        <w:spacing w:after="0" w:line="244" w:lineRule="auto"/>
        <w:rPr>
          <w:sz w:val="20"/>
          <w:szCs w:val="20"/>
          <w:color w:val="auto"/>
        </w:rPr>
      </w:pPr>
      <w:r>
        <w:rPr>
          <w:rFonts w:ascii="Arial" w:cs="Arial" w:eastAsia="Arial" w:hAnsi="Arial"/>
          <w:sz w:val="18"/>
          <w:szCs w:val="18"/>
          <w:color w:val="auto"/>
        </w:rPr>
        <w:t>Fish concluded, “We came into this year expecting strong execution across several fronts, and through the first nine months we have delivered results that exceeded our own high expectations. As we look ahead to 2025, we anticipate continued growth in our solid waste business, increased contributions from our sustainability growth investments, and the successful integration of the Stericycle business to come together to create a significant step change in revenue, earnings, and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5" w:name="page6"/>
    <w:bookmarkEnd w:id="5"/>
    <w:p>
      <w:pPr>
        <w:ind w:left="660" w:right="579"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28" w:lineRule="exact"/>
        <w:rPr>
          <w:rFonts w:ascii="Arial" w:cs="Arial" w:eastAsia="Arial" w:hAnsi="Arial"/>
          <w:sz w:val="16"/>
          <w:szCs w:val="16"/>
          <w:color w:val="auto"/>
        </w:rPr>
      </w:pPr>
    </w:p>
    <w:p>
      <w:pPr>
        <w:ind w:left="660" w:right="579"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Management defines operating EBITDA as GAAP income from operations before depreciation and amortization; this measure may not be comparable to similarly titled measures reported by other companies.</w:t>
      </w:r>
    </w:p>
    <w:p>
      <w:pPr>
        <w:spacing w:after="0" w:line="128" w:lineRule="exact"/>
        <w:rPr>
          <w:rFonts w:ascii="Arial" w:cs="Arial" w:eastAsia="Arial" w:hAnsi="Arial"/>
          <w:sz w:val="16"/>
          <w:szCs w:val="16"/>
          <w:color w:val="auto"/>
        </w:rPr>
      </w:pPr>
    </w:p>
    <w:p>
      <w:pPr>
        <w:ind w:left="660" w:right="599"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purposes of this press release, all references to “Net income” refer to the financial statement line item “Net income attributable to Waste Management, Inc.”</w:t>
      </w:r>
    </w:p>
    <w:p>
      <w:pPr>
        <w:spacing w:after="0" w:line="128" w:lineRule="exact"/>
        <w:rPr>
          <w:rFonts w:ascii="Arial" w:cs="Arial" w:eastAsia="Arial" w:hAnsi="Arial"/>
          <w:sz w:val="16"/>
          <w:szCs w:val="16"/>
          <w:color w:val="auto"/>
        </w:rPr>
      </w:pPr>
    </w:p>
    <w:p>
      <w:pPr>
        <w:jc w:val="both"/>
        <w:ind w:left="660" w:right="579" w:hanging="328"/>
        <w:spacing w:after="0" w:line="25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50" w:lineRule="exact"/>
        <w:rPr>
          <w:rFonts w:ascii="Arial" w:cs="Arial" w:eastAsia="Arial" w:hAnsi="Arial"/>
          <w:sz w:val="16"/>
          <w:szCs w:val="16"/>
          <w:color w:val="auto"/>
        </w:rPr>
      </w:pPr>
    </w:p>
    <w:p>
      <w:pPr>
        <w:jc w:val="both"/>
        <w:ind w:left="660" w:right="599" w:hanging="328"/>
        <w:spacing w:after="0" w:line="25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fourth quarter of 2023, the Company updated its reportable segments to enhance transparency regarding its financial performance and underscore its commitment to sustainability through substantial planned and ongoing investments in its Recycling Processing and Sales and WM Renewable Energy businesses. The Company reports through four segments, referred to as (i) Collection and Disposal – East Tier; (ii) Collection and Disposal – West Tier; (iii) Recycling Processing and Sales and (iv) WM Renewable Energy. The Company’s East and West Tiers along with certain ancillary services not managed through its Tier segments form its “Collection and Disposal” business.</w:t>
      </w:r>
    </w:p>
    <w:p>
      <w:pPr>
        <w:spacing w:after="0" w:line="154" w:lineRule="exact"/>
        <w:rPr>
          <w:rFonts w:ascii="Arial" w:cs="Arial" w:eastAsia="Arial" w:hAnsi="Arial"/>
          <w:sz w:val="16"/>
          <w:szCs w:val="16"/>
          <w:color w:val="auto"/>
        </w:rPr>
      </w:pPr>
    </w:p>
    <w:p>
      <w:pPr>
        <w:jc w:val="both"/>
        <w:ind w:left="660" w:right="599" w:hanging="328"/>
        <w:spacing w:after="0" w:line="24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The Company’s blended average price received for single stream recycled commodity price sold during the quarter was about $101 per ton compared to about $58 per ton in the prior year period, and the full-year expectation for received pricing remains approximately $90 per ton. In the third quarter, the average price received for Renewable Fuel Standard credits sold during the quarter was $3.08 compared to $2.65 in the prior year period, and the average price received for natural gas sold during the quarter was $1.80 per MMBtu compared to $2.11 per MMBtu in the prior year period. The average price received for electricity was about $60 per megawatt hour in the third quarter compared to about $65 per megawatt hour in the prior year period.</w:t>
      </w:r>
    </w:p>
    <w:p>
      <w:pPr>
        <w:spacing w:after="0" w:line="170" w:lineRule="exact"/>
        <w:rPr>
          <w:rFonts w:ascii="Arial" w:cs="Arial" w:eastAsia="Arial" w:hAnsi="Arial"/>
          <w:sz w:val="18"/>
          <w:szCs w:val="18"/>
          <w:color w:val="auto"/>
        </w:rPr>
      </w:pPr>
    </w:p>
    <w:p>
      <w:pPr>
        <w:ind w:left="660" w:right="599"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Company’s 2024 financial guidance and outlook excludes (i) transaction and advisory costs incurred in connection with the acquisition of Stericycle and (ii) post-closing financial contributions related to the acquisition of Stericycle.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-3766185</wp:posOffset>
            </wp:positionV>
            <wp:extent cx="6060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 conference call at 10 a.m. ET on October 29, 2024 to discuss the third quarter 2024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within this press release will be referenced and should be considered in conjunction with the call.</w:t>
      </w:r>
    </w:p>
    <w:p>
      <w:pPr>
        <w:spacing w:after="0" w:line="180" w:lineRule="exact"/>
        <w:rPr>
          <w:sz w:val="20"/>
          <w:szCs w:val="20"/>
          <w:color w:val="auto"/>
        </w:rPr>
      </w:pPr>
    </w:p>
    <w:p>
      <w:pPr>
        <w:jc w:val="both"/>
        <w:ind w:right="579"/>
        <w:spacing w:after="0" w:line="253" w:lineRule="auto"/>
        <w:rPr>
          <w:sz w:val="20"/>
          <w:szCs w:val="20"/>
          <w:color w:val="auto"/>
        </w:rPr>
      </w:pPr>
      <w:r>
        <w:rPr>
          <w:rFonts w:ascii="Arial" w:cs="Arial" w:eastAsia="Arial" w:hAnsi="Arial"/>
          <w:sz w:val="18"/>
          <w:szCs w:val="18"/>
          <w:color w:val="auto"/>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spacing w:after="0" w:line="155" w:lineRule="exact"/>
        <w:rPr>
          <w:sz w:val="20"/>
          <w:szCs w:val="20"/>
          <w:color w:val="auto"/>
        </w:rPr>
      </w:pPr>
    </w:p>
    <w:p>
      <w:pPr>
        <w:jc w:val="both"/>
        <w:ind w:right="579"/>
        <w:spacing w:after="0" w:line="271" w:lineRule="auto"/>
        <w:rPr>
          <w:sz w:val="20"/>
          <w:szCs w:val="20"/>
          <w:color w:val="auto"/>
        </w:rPr>
      </w:pPr>
      <w:r>
        <w:rPr>
          <w:rFonts w:ascii="Arial" w:cs="Arial" w:eastAsia="Arial" w:hAnsi="Arial"/>
          <w:sz w:val="18"/>
          <w:szCs w:val="18"/>
          <w:color w:val="auto"/>
        </w:rPr>
        <w:t>Conference call participants should register to obtain their dial in and passcode details. This streamlined process improves security and eliminates wait times when joining the call.</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WM</w:t>
      </w:r>
    </w:p>
    <w:p>
      <w:pPr>
        <w:spacing w:after="0" w:line="21" w:lineRule="exact"/>
        <w:rPr>
          <w:sz w:val="20"/>
          <w:szCs w:val="20"/>
          <w:color w:val="auto"/>
        </w:rPr>
      </w:pPr>
    </w:p>
    <w:p>
      <w:pPr>
        <w:jc w:val="both"/>
        <w:ind w:right="579"/>
        <w:spacing w:after="0" w:line="250" w:lineRule="auto"/>
        <w:rPr>
          <w:sz w:val="20"/>
          <w:szCs w:val="20"/>
          <w:color w:val="auto"/>
        </w:rPr>
      </w:pPr>
      <w:r>
        <w:rPr>
          <w:rFonts w:ascii="Arial" w:cs="Arial" w:eastAsia="Arial" w:hAnsi="Arial"/>
          <w:sz w:val="16"/>
          <w:szCs w:val="16"/>
          <w:color w:val="auto"/>
        </w:rPr>
        <w:t>WM (</w:t>
      </w:r>
      <w:r>
        <w:rPr>
          <w:rFonts w:ascii="Arial" w:cs="Arial" w:eastAsia="Arial" w:hAnsi="Arial"/>
          <w:sz w:val="16"/>
          <w:szCs w:val="16"/>
          <w:u w:val="single" w:color="auto"/>
          <w:color w:val="auto"/>
        </w:rPr>
        <w:t>WM.com</w:t>
      </w:r>
      <w:r>
        <w:rPr>
          <w:rFonts w:ascii="Arial" w:cs="Arial" w:eastAsia="Arial" w:hAnsi="Arial"/>
          <w:sz w:val="16"/>
          <w:szCs w:val="16"/>
          <w:color w:val="auto"/>
        </w:rPr>
        <w:t>)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92" w:right="1440" w:bottom="1440" w:gutter="0" w:footer="0" w:header="0"/>
        </w:sectPr>
      </w:pPr>
    </w:p>
    <w:bookmarkStart w:id="6" w:name="page7"/>
    <w:bookmarkEnd w:id="6"/>
    <w:p>
      <w:pPr>
        <w:jc w:val="both"/>
        <w:ind w:right="579"/>
        <w:spacing w:after="0" w:line="259" w:lineRule="auto"/>
        <w:rPr>
          <w:sz w:val="20"/>
          <w:szCs w:val="20"/>
          <w:color w:val="auto"/>
        </w:rPr>
      </w:pPr>
      <w:r>
        <w:rPr>
          <w:rFonts w:ascii="Arial" w:cs="Arial" w:eastAsia="Arial" w:hAnsi="Arial"/>
          <w:sz w:val="16"/>
          <w:szCs w:val="16"/>
          <w:color w:val="auto"/>
        </w:rPr>
        <w:t xml:space="preserve">largest recycler of post-consumer materials and is a leader in beneficial use of landfill gas, with a growing network of renewable natural gas plants and the most landfill gas-to-electricity plants in North America. WM's fleet includes more than 12,000 natural gas trucks – the largest heavy-duty natural gas truck fleet of its kind in North America. To learn more about WM and the company's sustainability progress and solutions, visit </w:t>
      </w:r>
      <w:r>
        <w:rPr>
          <w:rFonts w:ascii="Arial" w:cs="Arial" w:eastAsia="Arial" w:hAnsi="Arial"/>
          <w:sz w:val="16"/>
          <w:szCs w:val="16"/>
          <w:u w:val="single" w:color="auto"/>
          <w:color w:val="auto"/>
        </w:rPr>
        <w:t>Sustainability.WM.com</w:t>
      </w:r>
      <w:r>
        <w:rPr>
          <w:rFonts w:ascii="Arial" w:cs="Arial" w:eastAsia="Arial" w:hAnsi="Arial"/>
          <w:sz w:val="16"/>
          <w:szCs w:val="16"/>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 w:lineRule="exact"/>
        <w:rPr>
          <w:sz w:val="20"/>
          <w:szCs w:val="20"/>
          <w:color w:val="auto"/>
        </w:rPr>
      </w:pPr>
    </w:p>
    <w:p>
      <w:pPr>
        <w:jc w:val="both"/>
        <w:ind w:right="579"/>
        <w:spacing w:after="0" w:line="247" w:lineRule="auto"/>
        <w:rPr>
          <w:sz w:val="20"/>
          <w:szCs w:val="20"/>
          <w:color w:val="auto"/>
        </w:rPr>
      </w:pPr>
      <w:r>
        <w:rPr>
          <w:rFonts w:ascii="Arial" w:cs="Arial" w:eastAsia="Arial" w:hAnsi="Arial"/>
          <w:sz w:val="16"/>
          <w:szCs w:val="16"/>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regarding future performance or financial results of our business; achievement of financial guidance or outlook; growth and strength of our business; drivers of performance, including pricing programs, cost optimization and other initiatives; consummation and integration of the Stericycle acquisition related results and benefits; and timing of sustainability investments, upgrades and project completions and related results and benefits.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including the planned Stericycle acquisition, or new lines of business; failure to identify acquisition targets, consummate and integrate acquisitions, including our planned integration of Stericycle; our ability to consummate and finance the Stericycle acquisition and achieve the anticipated benefits therefrom, including cost synergies; legal, regulatory and other matters that may affect the costs and timing of our ability to complete, integrate and deliver all of the expected benefits of the planned Stericycle acquisition;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manage cybersecurity incidents or comply with privacy regulations; inability to adapt and manage the benefits and risks of artificial intelligence; negative outcomes of litigation or governmental proceedings including those acquired through transactions, including the Stericycle acquisition; and operations or management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ind w:right="579"/>
        <w:spacing w:after="0" w:line="250" w:lineRule="auto"/>
        <w:rPr>
          <w:sz w:val="20"/>
          <w:szCs w:val="20"/>
          <w:color w:val="auto"/>
        </w:rPr>
      </w:pPr>
      <w:r>
        <w:rPr>
          <w:rFonts w:ascii="Arial" w:cs="Arial" w:eastAsia="Arial" w:hAnsi="Arial"/>
          <w:sz w:val="16"/>
          <w:szCs w:val="16"/>
          <w:color w:val="auto"/>
        </w:rPr>
        <w:t>To supplement its financial information, the Company has presented, and/or may discuss on the conference call, adjusted earnings per diluted share, adjusted net income, adjusted income from operations, adjusted operating EBITDA and margin, adjusted SG&amp;A expenses and free cash flow.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7" w:name="page8"/>
    <w:bookmarkEnd w:id="7"/>
    <w:p>
      <w:pPr>
        <w:jc w:val="both"/>
        <w:ind w:right="599"/>
        <w:spacing w:after="0" w:line="286" w:lineRule="auto"/>
        <w:rPr>
          <w:sz w:val="20"/>
          <w:szCs w:val="20"/>
          <w:color w:val="auto"/>
        </w:rPr>
      </w:pPr>
      <w:r>
        <w:rPr>
          <w:rFonts w:ascii="Arial" w:cs="Arial" w:eastAsia="Arial" w:hAnsi="Arial"/>
          <w:sz w:val="16"/>
          <w:szCs w:val="16"/>
          <w:color w:val="auto"/>
        </w:rPr>
        <w:t>that the Company does not believe reflect its fundamental business performance and are not representative or indicative of its results of operations.</w:t>
      </w:r>
    </w:p>
    <w:p>
      <w:pPr>
        <w:spacing w:after="0" w:line="129" w:lineRule="exact"/>
        <w:rPr>
          <w:sz w:val="20"/>
          <w:szCs w:val="20"/>
          <w:color w:val="auto"/>
        </w:rPr>
      </w:pPr>
    </w:p>
    <w:p>
      <w:pPr>
        <w:jc w:val="both"/>
        <w:ind w:right="579"/>
        <w:spacing w:after="0" w:line="256" w:lineRule="auto"/>
        <w:rPr>
          <w:sz w:val="20"/>
          <w:szCs w:val="20"/>
          <w:color w:val="auto"/>
        </w:rPr>
      </w:pPr>
      <w:r>
        <w:rPr>
          <w:rFonts w:ascii="Arial" w:cs="Arial" w:eastAsia="Arial" w:hAnsi="Arial"/>
          <w:sz w:val="16"/>
          <w:szCs w:val="16"/>
          <w:color w:val="auto"/>
        </w:rPr>
        <w:t>In addition, the Company’s projected adjusted operating EBITDA and margin is anticipated to be adjusted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53" w:lineRule="exact"/>
        <w:rPr>
          <w:sz w:val="20"/>
          <w:szCs w:val="20"/>
          <w:color w:val="auto"/>
        </w:rPr>
      </w:pPr>
    </w:p>
    <w:p>
      <w:pPr>
        <w:jc w:val="both"/>
        <w:ind w:right="579"/>
        <w:spacing w:after="0" w:line="252" w:lineRule="auto"/>
        <w:rPr>
          <w:sz w:val="20"/>
          <w:szCs w:val="20"/>
          <w:color w:val="auto"/>
        </w:rPr>
      </w:pPr>
      <w:r>
        <w:rPr>
          <w:rFonts w:ascii="Arial" w:cs="Arial" w:eastAsia="Arial" w:hAnsi="Arial"/>
          <w:sz w:val="16"/>
          <w:szCs w:val="16"/>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56" w:lineRule="exact"/>
        <w:rPr>
          <w:sz w:val="20"/>
          <w:szCs w:val="20"/>
          <w:color w:val="auto"/>
        </w:rPr>
      </w:pPr>
    </w:p>
    <w:p>
      <w:pPr>
        <w:jc w:val="both"/>
        <w:ind w:right="599"/>
        <w:spacing w:after="0" w:line="266" w:lineRule="auto"/>
        <w:rPr>
          <w:sz w:val="20"/>
          <w:szCs w:val="20"/>
          <w:color w:val="auto"/>
        </w:rPr>
      </w:pPr>
      <w:r>
        <w:rPr>
          <w:rFonts w:ascii="Arial" w:cs="Arial" w:eastAsia="Arial" w:hAnsi="Arial"/>
          <w:sz w:val="16"/>
          <w:szCs w:val="16"/>
          <w:color w:val="auto"/>
        </w:rPr>
        <w:t>The quantitative reconciliations of non-GAAP measures to the most comparable GAAP measures are included in the accompanying schedules, with the exception of projected adjusted operating EBITDA and margin. Non-GAAP measures should not be considered a substitute for financial measures presented in accordance with GAAP.</w:t>
      </w:r>
    </w:p>
    <w:p>
      <w:pPr>
        <w:spacing w:after="0" w:line="15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5,198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3,188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9,460</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4,177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net income (losses) of unconsolidated entities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5.35</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401.5</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404.0</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401.5</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405.8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405.9</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407.6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20" w:right="300"/>
        <w:spacing w:after="0" w:line="253" w:lineRule="auto"/>
        <w:rPr>
          <w:sz w:val="20"/>
          <w:szCs w:val="20"/>
          <w:color w:val="auto"/>
        </w:rPr>
      </w:pPr>
      <w:r>
        <w:rPr>
          <w:rFonts w:ascii="Times New Roman" w:cs="Times New Roman" w:eastAsia="Times New Roman" w:hAnsi="Times New Roman"/>
          <w:sz w:val="18"/>
          <w:szCs w:val="18"/>
          <w:color w:val="auto"/>
        </w:rPr>
        <w:t>Cash and cash equivalents Receivables, net Other</w:t>
      </w:r>
    </w:p>
    <w:p>
      <w:pPr>
        <w:spacing w:after="0" w:line="2" w:lineRule="exact"/>
        <w:rPr>
          <w:sz w:val="20"/>
          <w:szCs w:val="20"/>
          <w:color w:val="auto"/>
        </w:rPr>
      </w:pPr>
    </w:p>
    <w:p>
      <w:pPr>
        <w:ind w:right="260" w:firstLine="216"/>
        <w:spacing w:after="0" w:line="257" w:lineRule="auto"/>
        <w:rPr>
          <w:sz w:val="20"/>
          <w:szCs w:val="20"/>
          <w:color w:val="auto"/>
        </w:rPr>
      </w:pPr>
      <w:r>
        <w:rPr>
          <w:rFonts w:ascii="Times New Roman" w:cs="Times New Roman" w:eastAsia="Times New Roman" w:hAnsi="Times New Roman"/>
          <w:sz w:val="18"/>
          <w:szCs w:val="18"/>
          <w:color w:val="auto"/>
        </w:rPr>
        <w:t>Total current assets Property and equipment, net Goodwill</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Other intangible assets, net Other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40" w:type="dxa"/>
        <w:tblCellMar>
          <w:top w:w="0" w:type="dxa"/>
          <w:left w:w="0" w:type="dxa"/>
          <w:bottom w:w="0" w:type="dxa"/>
          <w:right w:w="0" w:type="dxa"/>
        </w:tblCellMar>
      </w:tblPr>
      <w:tr>
        <w:trPr>
          <w:trHeight w:val="238"/>
        </w:trPr>
        <w:tc>
          <w:tcPr>
            <w:tcW w:w="526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60" w:type="dxa"/>
            <w:vAlign w:val="bottom"/>
            <w:gridSpan w:val="2"/>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6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980" w:type="dxa"/>
            <w:vAlign w:val="bottom"/>
          </w:tcPr>
          <w:p>
            <w:pPr>
              <w:spacing w:after="0"/>
              <w:rPr>
                <w:sz w:val="24"/>
                <w:szCs w:val="24"/>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91"/>
        </w:trPr>
        <w:tc>
          <w:tcPr>
            <w:tcW w:w="49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16,968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-1562735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-1279525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-1005205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-713740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-439420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-156845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-125095</wp:posOffset>
            </wp:positionV>
            <wp:extent cx="170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300" w:space="720"/>
            <w:col w:w="822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2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4,103</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3,892</w:t>
            </w:r>
          </w:p>
        </w:tc>
        <w:tc>
          <w:tcPr>
            <w:tcW w:w="80" w:type="dxa"/>
            <w:vAlign w:val="bottom"/>
          </w:tcPr>
          <w:p>
            <w:pPr>
              <w:spacing w:after="0"/>
              <w:rPr>
                <w:sz w:val="18"/>
                <w:szCs w:val="18"/>
                <w:color w:val="auto"/>
              </w:rPr>
            </w:pPr>
          </w:p>
        </w:tc>
      </w:tr>
      <w:tr>
        <w:trPr>
          <w:trHeight w:val="22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r>
      <w:tr>
        <w:trPr>
          <w:trHeight w:val="21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15,977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15,895</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5,806</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6,903</w:t>
            </w:r>
          </w:p>
        </w:tc>
        <w:tc>
          <w:tcPr>
            <w:tcW w:w="80" w:type="dxa"/>
            <w:vAlign w:val="bottom"/>
            <w:shd w:val="clear" w:color="auto" w:fill="CCEEFF"/>
          </w:tcPr>
          <w:p>
            <w:pPr>
              <w:spacing w:after="0"/>
              <w:rPr>
                <w:sz w:val="18"/>
                <w:szCs w:val="18"/>
                <w:color w:val="auto"/>
              </w:rPr>
            </w:pPr>
          </w:p>
        </w:tc>
      </w:tr>
      <w:tr>
        <w:trPr>
          <w:trHeight w:val="229"/>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2,147</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r>
      <w:tr>
        <w:trPr>
          <w:trHeight w:val="23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(1,853)</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borrowings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10,914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repayments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(16,991)</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gridSpan w:val="2"/>
          </w:tcPr>
          <w:p>
            <w:pPr>
              <w:spacing w:after="0"/>
              <w:rPr>
                <w:sz w:val="18"/>
                <w:szCs w:val="18"/>
                <w:color w:val="auto"/>
              </w:rPr>
            </w:pPr>
          </w:p>
        </w:tc>
      </w:tr>
      <w:tr>
        <w:trPr>
          <w:trHeight w:val="22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9"/>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7"/>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4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3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9"/>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9"/>
                <w:szCs w:val="19"/>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0"/>
                <w:szCs w:val="20"/>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shd w:val="clear" w:color="auto" w:fill="CCEEFF"/>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19"/>
                <w:szCs w:val="19"/>
                <w:color w:val="auto"/>
              </w:rPr>
            </w:pPr>
          </w:p>
        </w:tc>
      </w:tr>
      <w:tr>
        <w:trPr>
          <w:trHeight w:val="209"/>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8"/>
                <w:szCs w:val="18"/>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9"/>
                <w:szCs w:val="19"/>
                <w:color w:val="auto"/>
              </w:rPr>
            </w:pPr>
          </w:p>
        </w:tc>
      </w:tr>
      <w:tr>
        <w:trPr>
          <w:trHeight w:val="21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r>
      <w:tr>
        <w:trPr>
          <w:trHeight w:val="22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1"/>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4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3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gridSpan w:val="2"/>
          </w:tcPr>
          <w:p>
            <w:pPr>
              <w:spacing w:after="0"/>
              <w:rPr>
                <w:sz w:val="16"/>
                <w:szCs w:val="16"/>
                <w:color w:val="auto"/>
              </w:rPr>
            </w:pPr>
          </w:p>
        </w:tc>
      </w:tr>
      <w:tr>
        <w:trPr>
          <w:trHeight w:val="229"/>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9"/>
                <w:szCs w:val="19"/>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0"/>
                <w:szCs w:val="20"/>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2,326</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shd w:val="clear" w:color="auto" w:fill="CCEEFF"/>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tcPr>
          <w:p>
            <w:pPr>
              <w:spacing w:after="0"/>
              <w:rPr>
                <w:sz w:val="19"/>
                <w:szCs w:val="19"/>
                <w:color w:val="auto"/>
              </w:rPr>
            </w:pPr>
          </w:p>
        </w:tc>
      </w:tr>
      <w:tr>
        <w:trPr>
          <w:trHeight w:val="210"/>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2,452</w:t>
            </w:r>
          </w:p>
        </w:tc>
        <w:tc>
          <w:tcPr>
            <w:tcW w:w="80" w:type="dxa"/>
            <w:vAlign w:val="bottom"/>
          </w:tcPr>
          <w:p>
            <w:pPr>
              <w:spacing w:after="0"/>
              <w:rPr>
                <w:sz w:val="18"/>
                <w:szCs w:val="18"/>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shd w:val="clear" w:color="auto" w:fill="CCEEFF"/>
          </w:tcPr>
          <w:p>
            <w:pPr>
              <w:spacing w:after="0"/>
              <w:rPr>
                <w:sz w:val="19"/>
                <w:szCs w:val="19"/>
                <w:color w:val="auto"/>
              </w:rPr>
            </w:pPr>
          </w:p>
        </w:tc>
      </w:tr>
      <w:tr>
        <w:trPr>
          <w:trHeight w:val="21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r>
      <w:tr>
        <w:trPr>
          <w:trHeight w:val="22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Period-to-Period Change for the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Period-to-Period Change for the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2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2024 vs. 2023</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September 30, 2024 vs. 2023</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6"/>
        </w:trPr>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100" w:type="dxa"/>
            <w:vAlign w:val="bottom"/>
            <w:gridSpan w:val="2"/>
          </w:tcPr>
          <w:p>
            <w:pPr>
              <w:spacing w:after="0"/>
              <w:rPr>
                <w:sz w:val="16"/>
                <w:szCs w:val="16"/>
                <w:color w:val="auto"/>
              </w:rPr>
            </w:pPr>
          </w:p>
        </w:tc>
      </w:tr>
      <w:tr>
        <w:trPr>
          <w:trHeight w:val="202"/>
        </w:trPr>
        <w:tc>
          <w:tcPr>
            <w:tcW w:w="2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60"/>
        </w:trPr>
        <w:tc>
          <w:tcPr>
            <w:tcW w:w="2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16"/>
                <w:szCs w:val="16"/>
                <w:b w:val="1"/>
                <w:bCs w:val="1"/>
                <w:color w:val="auto"/>
                <w:w w:val="96"/>
              </w:rPr>
              <w:t>Business</w:t>
            </w:r>
            <w:r>
              <w:rPr>
                <w:rFonts w:ascii="Times New Roman" w:cs="Times New Roman" w:eastAsia="Times New Roman" w:hAnsi="Times New Roman"/>
                <w:sz w:val="26"/>
                <w:szCs w:val="26"/>
                <w:b w:val="1"/>
                <w:bCs w:val="1"/>
                <w:color w:val="auto"/>
                <w:w w:val="96"/>
                <w:vertAlign w:val="superscript"/>
              </w:rPr>
              <w:t>(a)</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16"/>
                <w:szCs w:val="16"/>
                <w:b w:val="1"/>
                <w:bCs w:val="1"/>
                <w:color w:val="auto"/>
                <w:w w:val="95"/>
              </w:rPr>
              <w:t>Company</w:t>
            </w:r>
            <w:r>
              <w:rPr>
                <w:rFonts w:ascii="Times New Roman" w:cs="Times New Roman" w:eastAsia="Times New Roman" w:hAnsi="Times New Roman"/>
                <w:sz w:val="26"/>
                <w:szCs w:val="26"/>
                <w:b w:val="1"/>
                <w:bCs w:val="1"/>
                <w:color w:val="auto"/>
                <w:w w:val="95"/>
                <w:vertAlign w:val="superscript"/>
              </w:rPr>
              <w:t>(b)</w:t>
            </w:r>
          </w:p>
        </w:tc>
        <w:tc>
          <w:tcPr>
            <w:tcW w:w="1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16"/>
                <w:szCs w:val="16"/>
                <w:b w:val="1"/>
                <w:bCs w:val="1"/>
                <w:color w:val="auto"/>
                <w:w w:val="93"/>
              </w:rPr>
              <w:t>Business</w:t>
            </w:r>
            <w:r>
              <w:rPr>
                <w:rFonts w:ascii="Times New Roman" w:cs="Times New Roman" w:eastAsia="Times New Roman" w:hAnsi="Times New Roman"/>
                <w:sz w:val="26"/>
                <w:szCs w:val="26"/>
                <w:b w:val="1"/>
                <w:bCs w:val="1"/>
                <w:color w:val="auto"/>
                <w:w w:val="93"/>
                <w:vertAlign w:val="superscript"/>
              </w:rPr>
              <w:t>(a)</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16"/>
                <w:szCs w:val="16"/>
                <w:b w:val="1"/>
                <w:bCs w:val="1"/>
                <w:color w:val="auto"/>
                <w:w w:val="95"/>
              </w:rPr>
              <w:t>Company</w:t>
            </w:r>
            <w:r>
              <w:rPr>
                <w:rFonts w:ascii="Times New Roman" w:cs="Times New Roman" w:eastAsia="Times New Roman" w:hAnsi="Times New Roman"/>
                <w:sz w:val="26"/>
                <w:szCs w:val="26"/>
                <w:b w:val="1"/>
                <w:bCs w:val="1"/>
                <w:color w:val="auto"/>
                <w:w w:val="95"/>
                <w:vertAlign w:val="superscript"/>
              </w:rPr>
              <w:t>(b)</w:t>
            </w:r>
          </w:p>
        </w:tc>
        <w:tc>
          <w:tcPr>
            <w:tcW w:w="100" w:type="dxa"/>
            <w:vAlign w:val="bottom"/>
            <w:tcBorders>
              <w:bottom w:val="single" w:sz="8" w:color="CCEEFF"/>
            </w:tcBorders>
            <w:gridSpan w:val="2"/>
          </w:tcPr>
          <w:p>
            <w:pPr>
              <w:spacing w:after="0"/>
              <w:rPr>
                <w:sz w:val="22"/>
                <w:szCs w:val="22"/>
                <w:color w:val="auto"/>
              </w:rPr>
            </w:pPr>
          </w:p>
        </w:tc>
      </w:tr>
      <w:tr>
        <w:trPr>
          <w:trHeight w:val="19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Collection and Disposal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Recycling Processing and Sales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6"/>
        </w:trPr>
        <w:tc>
          <w:tcPr>
            <w:tcW w:w="240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WM Renewable Energy</w:t>
            </w:r>
            <w:r>
              <w:rPr>
                <w:rFonts w:ascii="Times New Roman" w:cs="Times New Roman" w:eastAsia="Times New Roman" w:hAnsi="Times New Roman"/>
                <w:sz w:val="26"/>
                <w:szCs w:val="26"/>
                <w:color w:val="auto"/>
                <w:vertAlign w:val="superscript"/>
              </w:rPr>
              <w:t>(c)</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8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Energy surcharge and mandated</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400" w:type="dxa"/>
            <w:vAlign w:val="bottom"/>
          </w:tcPr>
          <w:p>
            <w:pPr>
              <w:ind w:left="180"/>
              <w:spacing w:after="0" w:line="223" w:lineRule="exact"/>
              <w:rPr>
                <w:sz w:val="20"/>
                <w:szCs w:val="20"/>
                <w:color w:val="auto"/>
              </w:rPr>
            </w:pPr>
            <w:r>
              <w:rPr>
                <w:rFonts w:ascii="Times New Roman" w:cs="Times New Roman" w:eastAsia="Times New Roman" w:hAnsi="Times New Roman"/>
                <w:sz w:val="16"/>
                <w:szCs w:val="16"/>
                <w:color w:val="auto"/>
              </w:rPr>
              <w:t>Total average yield</w:t>
            </w:r>
            <w:r>
              <w:rPr>
                <w:rFonts w:ascii="Times New Roman" w:cs="Times New Roman" w:eastAsia="Times New Roman" w:hAnsi="Times New Roman"/>
                <w:sz w:val="25"/>
                <w:szCs w:val="25"/>
                <w:color w:val="auto"/>
                <w:vertAlign w:val="superscript"/>
              </w:rPr>
              <w:t>(d)</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9"/>
                <w:szCs w:val="19"/>
                <w:color w:val="auto"/>
              </w:rPr>
            </w:pPr>
          </w:p>
        </w:tc>
      </w:tr>
      <w:tr>
        <w:trPr>
          <w:trHeight w:val="243"/>
        </w:trPr>
        <w:tc>
          <w:tcPr>
            <w:tcW w:w="24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6"/>
                <w:szCs w:val="16"/>
                <w:color w:val="auto"/>
              </w:rPr>
              <w:t>Volume</w:t>
            </w:r>
            <w:r>
              <w:rPr>
                <w:rFonts w:ascii="Times New Roman" w:cs="Times New Roman" w:eastAsia="Times New Roman" w:hAnsi="Times New Roman"/>
                <w:sz w:val="26"/>
                <w:szCs w:val="26"/>
                <w:color w:val="auto"/>
                <w:vertAlign w:val="superscript"/>
              </w:rPr>
              <w:t>(e)</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21"/>
                <w:szCs w:val="21"/>
                <w:color w:val="auto"/>
              </w:rPr>
            </w:pPr>
          </w:p>
        </w:tc>
      </w:tr>
      <w:tr>
        <w:trPr>
          <w:trHeight w:val="196"/>
        </w:trPr>
        <w:tc>
          <w:tcPr>
            <w:tcW w:w="2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Internal revenue growth</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20" w:type="dxa"/>
            <w:vAlign w:val="bottom"/>
          </w:tcPr>
          <w:p>
            <w:pPr>
              <w:spacing w:after="0"/>
              <w:rPr>
                <w:sz w:val="17"/>
                <w:szCs w:val="17"/>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7"/>
                <w:szCs w:val="17"/>
                <w:color w:val="auto"/>
              </w:rPr>
            </w:pPr>
          </w:p>
        </w:tc>
      </w:tr>
      <w:tr>
        <w:trPr>
          <w:trHeight w:val="203"/>
        </w:trPr>
        <w:tc>
          <w:tcPr>
            <w:tcW w:w="2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Divestitures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7"/>
                <w:szCs w:val="17"/>
                <w:color w:val="auto"/>
              </w:rPr>
            </w:pPr>
          </w:p>
        </w:tc>
      </w:tr>
      <w:tr>
        <w:trPr>
          <w:trHeight w:val="196"/>
        </w:trPr>
        <w:tc>
          <w:tcPr>
            <w:tcW w:w="2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jc w:val="center"/>
        <w:ind w:left="5500"/>
        <w:spacing w:after="0"/>
        <w:rPr>
          <w:sz w:val="20"/>
          <w:szCs w:val="20"/>
          <w:color w:val="auto"/>
        </w:rPr>
      </w:pPr>
      <w:r>
        <w:rPr>
          <w:rFonts w:ascii="Times New Roman" w:cs="Times New Roman" w:eastAsia="Times New Roman" w:hAnsi="Times New Roman"/>
          <w:sz w:val="17"/>
          <w:szCs w:val="17"/>
          <w:b w:val="1"/>
          <w:bCs w:val="1"/>
          <w:color w:val="auto"/>
        </w:rPr>
        <w:t>Period-to-Period Change for the</w:t>
      </w:r>
    </w:p>
    <w:p>
      <w:pPr>
        <w:spacing w:after="0" w:line="4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September 30, 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1722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ind w:left="5600"/>
        <w:spacing w:after="0" w:line="221" w:lineRule="auto"/>
        <w:rPr>
          <w:sz w:val="20"/>
          <w:szCs w:val="20"/>
          <w:color w:val="auto"/>
        </w:rPr>
      </w:pPr>
      <w:r>
        <w:rPr>
          <w:rFonts w:ascii="Times New Roman" w:cs="Times New Roman" w:eastAsia="Times New Roman" w:hAnsi="Times New Roman"/>
          <w:sz w:val="18"/>
          <w:szCs w:val="18"/>
          <w:b w:val="1"/>
          <w:bCs w:val="1"/>
          <w:color w:val="auto"/>
        </w:rPr>
        <w:t>As a % of Related Business</w:t>
      </w:r>
      <w:r>
        <w:rPr>
          <w:rFonts w:ascii="Times New Roman" w:cs="Times New Roman" w:eastAsia="Times New Roman" w:hAnsi="Times New Roman"/>
          <w:sz w:val="29"/>
          <w:szCs w:val="29"/>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-8890</wp:posOffset>
            </wp:positionV>
            <wp:extent cx="1722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ind w:left="5780"/>
        <w:spacing w:after="0" w:line="183" w:lineRule="auto"/>
        <w:tabs>
          <w:tab w:leader="none" w:pos="7100" w:val="left"/>
        </w:tabs>
        <w:rPr>
          <w:sz w:val="20"/>
          <w:szCs w:val="20"/>
          <w:color w:val="auto"/>
        </w:rPr>
      </w:pPr>
      <w:r>
        <w:rPr>
          <w:rFonts w:ascii="Times New Roman" w:cs="Times New Roman" w:eastAsia="Times New Roman" w:hAnsi="Times New Roman"/>
          <w:sz w:val="18"/>
          <w:szCs w:val="18"/>
          <w:b w:val="1"/>
          <w:bCs w:val="1"/>
          <w:color w:val="auto"/>
        </w:rPr>
        <w:t>Yield</w:t>
      </w:r>
      <w:r>
        <w:rPr>
          <w:sz w:val="20"/>
          <w:szCs w:val="20"/>
          <w:color w:val="auto"/>
        </w:rPr>
        <w:tab/>
      </w: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(f)</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Period-to-Period Change for the</w:t>
      </w:r>
    </w:p>
    <w:p>
      <w:pPr>
        <w:spacing w:after="0" w:line="4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14605</wp:posOffset>
            </wp:positionV>
            <wp:extent cx="17233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2339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As a % of Related Business</w:t>
      </w:r>
      <w:r>
        <w:rPr>
          <w:rFonts w:ascii="Times New Roman" w:cs="Times New Roman" w:eastAsia="Times New Roman" w:hAnsi="Times New Roman"/>
          <w:sz w:val="29"/>
          <w:szCs w:val="29"/>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-34925</wp:posOffset>
            </wp:positionV>
            <wp:extent cx="17233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23390" cy="8890"/>
                    </a:xfrm>
                    <a:prstGeom prst="rect">
                      <a:avLst/>
                    </a:prstGeom>
                    <a:noFill/>
                  </pic:spPr>
                </pic:pic>
              </a:graphicData>
            </a:graphic>
          </wp:anchor>
        </w:drawing>
      </w:r>
    </w:p>
    <w:p>
      <w:pPr>
        <w:ind w:left="30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Yield</w:t>
      </w:r>
      <w:r>
        <w:rPr>
          <w:sz w:val="20"/>
          <w:szCs w:val="20"/>
          <w:color w:val="auto"/>
        </w:rPr>
        <w:tab/>
      </w:r>
      <w:r>
        <w:rPr>
          <w:rFonts w:ascii="Times New Roman" w:cs="Times New Roman" w:eastAsia="Times New Roman" w:hAnsi="Times New Roman"/>
          <w:sz w:val="18"/>
          <w:szCs w:val="18"/>
          <w:b w:val="1"/>
          <w:bCs w:val="1"/>
          <w:color w:val="auto"/>
        </w:rPr>
        <w:t>Volume</w:t>
      </w:r>
    </w:p>
    <w:p>
      <w:pPr>
        <w:spacing w:after="0" w:line="27" w:lineRule="exact"/>
        <w:rPr>
          <w:sz w:val="20"/>
          <w:szCs w:val="20"/>
          <w:color w:val="auto"/>
        </w:rPr>
      </w:pPr>
    </w:p>
    <w:p>
      <w:pPr>
        <w:sectPr>
          <w:pgSz w:w="11900" w:h="16838" w:orient="portrait"/>
          <w:cols w:equalWidth="0" w:num="2">
            <w:col w:w="7980" w:space="500"/>
            <w:col w:w="27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3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5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1480" w:type="dxa"/>
            <w:vAlign w:val="bottom"/>
            <w:gridSpan w:val="2"/>
            <w:shd w:val="clear" w:color="auto" w:fill="CCEEFF"/>
          </w:tcPr>
          <w:p>
            <w:pPr>
              <w:ind w:left="1000"/>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50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1480" w:type="dxa"/>
            <w:vAlign w:val="bottom"/>
            <w:gridSpan w:val="2"/>
            <w:shd w:val="clear" w:color="auto" w:fill="CCEEFF"/>
          </w:tcPr>
          <w:p>
            <w:pPr>
              <w:ind w:left="1000"/>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14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4.8</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5.1</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5.1</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6.0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5.1</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5.6</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3.1</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3.6</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4.1%</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5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380" w:type="dxa"/>
            <w:vAlign w:val="bottom"/>
          </w:tcPr>
          <w:p>
            <w:pPr>
              <w:spacing w:after="0"/>
              <w:rPr>
                <w:sz w:val="24"/>
                <w:szCs w:val="24"/>
                <w:color w:val="auto"/>
              </w:rPr>
            </w:pPr>
          </w:p>
        </w:tc>
        <w:tc>
          <w:tcPr>
            <w:tcW w:w="25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5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25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divested</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Free cash flow without sustainability growth investments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depletable tons (in millions)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consummated during the period, net of cash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 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 from prior periods, net of cash acquired</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Landfill Depletion and Accretion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depletion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1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474</w:t>
            </w:r>
          </w:p>
        </w:tc>
        <w:tc>
          <w:tcPr>
            <w:tcW w:w="42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costs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340"/>
              <w:spacing w:after="0" w:line="256" w:lineRule="exact"/>
              <w:rPr>
                <w:sz w:val="20"/>
                <w:szCs w:val="20"/>
                <w:color w:val="auto"/>
              </w:rPr>
            </w:pPr>
            <w:r>
              <w:rPr>
                <w:rFonts w:ascii="Times New Roman" w:cs="Times New Roman" w:eastAsia="Times New Roman" w:hAnsi="Times New Roman"/>
                <w:sz w:val="18"/>
                <w:szCs w:val="18"/>
                <w:color w:val="auto"/>
              </w:rPr>
              <w:t>Total landfill depletion expense</w:t>
            </w:r>
            <w:r>
              <w:rPr>
                <w:rFonts w:ascii="Times New Roman" w:cs="Times New Roman" w:eastAsia="Times New Roman" w:hAnsi="Times New Roman"/>
                <w:sz w:val="29"/>
                <w:szCs w:val="29"/>
                <w:color w:val="auto"/>
                <w:vertAlign w:val="superscript"/>
              </w:rPr>
              <w:t>(c)</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8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Landfill depletion and accretion expense</w:t>
            </w:r>
          </w:p>
        </w:tc>
        <w:tc>
          <w:tcPr>
            <w:tcW w:w="114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both the third quarter of 2024 and the nine months ended September 30, 2024, the increase in landfill depletion expense was driven by changes in amortization rates from revisions in landfill and volume increases, partially offset by the closure of a landfill in our East 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220" w:type="dxa"/>
            <w:vAlign w:val="bottom"/>
          </w:tcPr>
          <w:p>
            <w:pPr>
              <w:spacing w:after="0"/>
              <w:rPr>
                <w:sz w:val="16"/>
                <w:szCs w:val="16"/>
                <w:color w:val="auto"/>
              </w:rPr>
            </w:pPr>
          </w:p>
        </w:tc>
        <w:tc>
          <w:tcPr>
            <w:tcW w:w="1240" w:type="dxa"/>
            <w:vAlign w:val="bottom"/>
            <w:gridSpan w:val="2"/>
          </w:tcPr>
          <w:p>
            <w:pPr>
              <w:jc w:val="right"/>
              <w:ind w:right="56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16"/>
                <w:szCs w:val="16"/>
                <w:color w:val="auto"/>
              </w:rPr>
            </w:pPr>
          </w:p>
        </w:tc>
        <w:tc>
          <w:tcPr>
            <w:tcW w:w="1340" w:type="dxa"/>
            <w:vAlign w:val="bottom"/>
            <w:gridSpan w:val="2"/>
          </w:tcPr>
          <w:p>
            <w:pPr>
              <w:jc w:val="center"/>
              <w:ind w:right="42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6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22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Pr>
          <w:p>
            <w:pPr>
              <w:spacing w:after="0"/>
              <w:rPr>
                <w:sz w:val="23"/>
                <w:szCs w:val="23"/>
                <w:color w:val="auto"/>
              </w:rPr>
            </w:pPr>
          </w:p>
        </w:tc>
        <w:tc>
          <w:tcPr>
            <w:tcW w:w="1340" w:type="dxa"/>
            <w:vAlign w:val="bottom"/>
            <w:gridSpan w:val="2"/>
          </w:tcPr>
          <w:p>
            <w:pPr>
              <w:jc w:val="center"/>
              <w:ind w:right="42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60" w:type="dxa"/>
            <w:vAlign w:val="bottom"/>
          </w:tcPr>
          <w:p>
            <w:pPr>
              <w:spacing w:after="0"/>
              <w:rPr>
                <w:sz w:val="23"/>
                <w:szCs w:val="23"/>
                <w:color w:val="auto"/>
              </w:rPr>
            </w:pPr>
          </w:p>
        </w:tc>
        <w:tc>
          <w:tcPr>
            <w:tcW w:w="1280" w:type="dxa"/>
            <w:vAlign w:val="bottom"/>
            <w:gridSpan w:val="2"/>
          </w:tcPr>
          <w:p>
            <w:pPr>
              <w:jc w:val="center"/>
              <w:ind w:right="38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Stericycle transaction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98"/>
        </w:trPr>
        <w:tc>
          <w:tcPr>
            <w:tcW w:w="3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from divestment, asset impairments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unusual items, net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134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300" w:type="dxa"/>
            <w:vAlign w:val="bottom"/>
            <w:tcBorders>
              <w:top w:val="single" w:sz="8" w:color="CCEEFF"/>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87"/>
              </w:rPr>
              <w:t>(b)</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2023</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220" w:type="dxa"/>
            <w:vAlign w:val="bottom"/>
          </w:tcPr>
          <w:p>
            <w:pPr>
              <w:spacing w:after="0"/>
              <w:rPr>
                <w:sz w:val="16"/>
                <w:szCs w:val="16"/>
                <w:color w:val="auto"/>
              </w:rPr>
            </w:pPr>
          </w:p>
        </w:tc>
        <w:tc>
          <w:tcPr>
            <w:tcW w:w="1240" w:type="dxa"/>
            <w:vAlign w:val="bottom"/>
            <w:gridSpan w:val="2"/>
          </w:tcPr>
          <w:p>
            <w:pPr>
              <w:jc w:val="right"/>
              <w:ind w:right="56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16"/>
                <w:szCs w:val="16"/>
                <w:color w:val="auto"/>
              </w:rPr>
            </w:pPr>
          </w:p>
        </w:tc>
        <w:tc>
          <w:tcPr>
            <w:tcW w:w="1340" w:type="dxa"/>
            <w:vAlign w:val="bottom"/>
            <w:gridSpan w:val="2"/>
          </w:tcPr>
          <w:p>
            <w:pPr>
              <w:jc w:val="center"/>
              <w:ind w:right="42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6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22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Pr>
          <w:p>
            <w:pPr>
              <w:spacing w:after="0"/>
              <w:rPr>
                <w:sz w:val="23"/>
                <w:szCs w:val="23"/>
                <w:color w:val="auto"/>
              </w:rPr>
            </w:pPr>
          </w:p>
        </w:tc>
        <w:tc>
          <w:tcPr>
            <w:tcW w:w="1340" w:type="dxa"/>
            <w:vAlign w:val="bottom"/>
            <w:gridSpan w:val="2"/>
          </w:tcPr>
          <w:p>
            <w:pPr>
              <w:jc w:val="center"/>
              <w:ind w:right="42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60" w:type="dxa"/>
            <w:vAlign w:val="bottom"/>
          </w:tcPr>
          <w:p>
            <w:pPr>
              <w:spacing w:after="0"/>
              <w:rPr>
                <w:sz w:val="23"/>
                <w:szCs w:val="23"/>
                <w:color w:val="auto"/>
              </w:rPr>
            </w:pPr>
          </w:p>
        </w:tc>
        <w:tc>
          <w:tcPr>
            <w:tcW w:w="1280" w:type="dxa"/>
            <w:vAlign w:val="bottom"/>
            <w:gridSpan w:val="2"/>
          </w:tcPr>
          <w:p>
            <w:pPr>
              <w:jc w:val="center"/>
              <w:ind w:right="42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w:t>
            </w:r>
          </w:p>
        </w:tc>
        <w:tc>
          <w:tcPr>
            <w:tcW w:w="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300" w:type="dxa"/>
            <w:vAlign w:val="bottom"/>
            <w:tcBorders>
              <w:bottom w:val="single" w:sz="8" w:color="CCEEFF"/>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87"/>
              </w:rPr>
              <w:t>(b)</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519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w:t>
            </w: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0" w:lineRule="exact"/>
        <w:rPr>
          <w:sz w:val="20"/>
          <w:szCs w:val="20"/>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third quarter 2024 and 2023 adjusted effective tax rates were 23.3% and 24.1%,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12"/>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Recycling</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0"/>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Collection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Processing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5"/>
        </w:trPr>
        <w:tc>
          <w:tcPr>
            <w:tcW w:w="3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20" w:type="dxa"/>
            <w:vAlign w:val="bottom"/>
            <w:gridSpan w:val="4"/>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and Disposal</w:t>
            </w:r>
            <w:r>
              <w:rPr>
                <w:rFonts w:ascii="Times New Roman" w:cs="Times New Roman" w:eastAsia="Times New Roman" w:hAnsi="Times New Roman"/>
                <w:sz w:val="29"/>
                <w:szCs w:val="29"/>
                <w:b w:val="1"/>
                <w:bCs w:val="1"/>
                <w:color w:val="auto"/>
                <w:vertAlign w:val="superscript"/>
              </w:rPr>
              <w:t>(a)(b)</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center"/>
              <w:ind w:right="340"/>
              <w:spacing w:after="0" w:line="276" w:lineRule="exact"/>
              <w:rPr>
                <w:sz w:val="20"/>
                <w:szCs w:val="20"/>
                <w:color w:val="auto"/>
              </w:rPr>
            </w:pPr>
            <w:r>
              <w:rPr>
                <w:rFonts w:ascii="Times New Roman" w:cs="Times New Roman" w:eastAsia="Times New Roman" w:hAnsi="Times New Roman"/>
                <w:sz w:val="18"/>
                <w:szCs w:val="18"/>
                <w:b w:val="1"/>
                <w:bCs w:val="1"/>
                <w:color w:val="auto"/>
                <w:w w:val="94"/>
              </w:rPr>
              <w:t>and Sales</w:t>
            </w:r>
            <w:r>
              <w:rPr>
                <w:rFonts w:ascii="Times New Roman" w:cs="Times New Roman" w:eastAsia="Times New Roman" w:hAnsi="Times New Roman"/>
                <w:sz w:val="29"/>
                <w:szCs w:val="29"/>
                <w:b w:val="1"/>
                <w:bCs w:val="1"/>
                <w:color w:val="auto"/>
                <w:w w:val="94"/>
                <w:vertAlign w:val="superscript"/>
              </w:rPr>
              <w:t>(a)</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360"/>
              <w:spacing w:after="0" w:line="276" w:lineRule="exact"/>
              <w:rPr>
                <w:sz w:val="20"/>
                <w:szCs w:val="20"/>
                <w:color w:val="auto"/>
              </w:rPr>
            </w:pPr>
            <w:r>
              <w:rPr>
                <w:rFonts w:ascii="Times New Roman" w:cs="Times New Roman" w:eastAsia="Times New Roman" w:hAnsi="Times New Roman"/>
                <w:sz w:val="18"/>
                <w:szCs w:val="18"/>
                <w:b w:val="1"/>
                <w:bCs w:val="1"/>
                <w:color w:val="auto"/>
                <w:w w:val="92"/>
              </w:rPr>
              <w:t>Energy</w:t>
            </w:r>
            <w:r>
              <w:rPr>
                <w:rFonts w:ascii="Times New Roman" w:cs="Times New Roman" w:eastAsia="Times New Roman" w:hAnsi="Times New Roman"/>
                <w:sz w:val="29"/>
                <w:szCs w:val="29"/>
                <w:b w:val="1"/>
                <w:bCs w:val="1"/>
                <w:color w:val="auto"/>
                <w:w w:val="92"/>
                <w:vertAlign w:val="superscript"/>
              </w:rPr>
              <w:t>(b)</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40" w:type="dxa"/>
            <w:vAlign w:val="bottom"/>
          </w:tcPr>
          <w:p>
            <w:pPr>
              <w:spacing w:after="0"/>
              <w:rPr>
                <w:sz w:val="23"/>
                <w:szCs w:val="23"/>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5,609</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1,426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1,119</w:t>
            </w:r>
          </w:p>
        </w:tc>
      </w:tr>
      <w:tr>
        <w:trPr>
          <w:trHeight w:val="22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 as reported</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Stericycle transaction costs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r>
      <w:tr>
        <w:trPr>
          <w:trHeight w:val="198"/>
        </w:trPr>
        <w:tc>
          <w:tcPr>
            <w:tcW w:w="3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from divestment, asset impairments and</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48"/>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unusual items, net</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36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tcPr>
          <w:p>
            <w:pPr>
              <w:spacing w:after="0"/>
              <w:rPr>
                <w:sz w:val="18"/>
                <w:szCs w:val="18"/>
                <w:color w:val="auto"/>
              </w:rPr>
            </w:pPr>
          </w:p>
        </w:tc>
      </w:tr>
      <w:tr>
        <w:trPr>
          <w:trHeight w:val="223"/>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1,899</w:t>
            </w:r>
          </w:p>
        </w:tc>
        <w:tc>
          <w:tcPr>
            <w:tcW w:w="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 margin, as reported</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r>
      <w:tr>
        <w:trPr>
          <w:trHeight w:val="450"/>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2"/>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87"/>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Recycling</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WM</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0"/>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Collection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Processing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5"/>
        </w:trPr>
        <w:tc>
          <w:tcPr>
            <w:tcW w:w="3620" w:type="dxa"/>
            <w:vAlign w:val="bottom"/>
          </w:tcPr>
          <w:p>
            <w:pPr>
              <w:spacing w:after="0"/>
              <w:rPr>
                <w:sz w:val="23"/>
                <w:szCs w:val="23"/>
                <w:color w:val="auto"/>
              </w:rPr>
            </w:pPr>
          </w:p>
        </w:tc>
        <w:tc>
          <w:tcPr>
            <w:tcW w:w="1820" w:type="dxa"/>
            <w:vAlign w:val="bottom"/>
            <w:gridSpan w:val="6"/>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and Disposal</w:t>
            </w:r>
            <w:r>
              <w:rPr>
                <w:rFonts w:ascii="Times New Roman" w:cs="Times New Roman" w:eastAsia="Times New Roman" w:hAnsi="Times New Roman"/>
                <w:sz w:val="29"/>
                <w:szCs w:val="29"/>
                <w:b w:val="1"/>
                <w:bCs w:val="1"/>
                <w:color w:val="auto"/>
                <w:vertAlign w:val="superscript"/>
              </w:rPr>
              <w:t>(a)(b)</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center"/>
              <w:ind w:right="380"/>
              <w:spacing w:after="0" w:line="276" w:lineRule="exact"/>
              <w:rPr>
                <w:sz w:val="20"/>
                <w:szCs w:val="20"/>
                <w:color w:val="auto"/>
              </w:rPr>
            </w:pPr>
            <w:r>
              <w:rPr>
                <w:rFonts w:ascii="Times New Roman" w:cs="Times New Roman" w:eastAsia="Times New Roman" w:hAnsi="Times New Roman"/>
                <w:sz w:val="18"/>
                <w:szCs w:val="18"/>
                <w:b w:val="1"/>
                <w:bCs w:val="1"/>
                <w:color w:val="auto"/>
                <w:w w:val="94"/>
              </w:rPr>
              <w:t>and Sales</w:t>
            </w:r>
            <w:r>
              <w:rPr>
                <w:rFonts w:ascii="Times New Roman" w:cs="Times New Roman" w:eastAsia="Times New Roman" w:hAnsi="Times New Roman"/>
                <w:sz w:val="29"/>
                <w:szCs w:val="29"/>
                <w:b w:val="1"/>
                <w:bCs w:val="1"/>
                <w:color w:val="auto"/>
                <w:w w:val="94"/>
                <w:vertAlign w:val="superscript"/>
              </w:rPr>
              <w:t>(a)</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380"/>
              <w:spacing w:after="0" w:line="276" w:lineRule="exact"/>
              <w:rPr>
                <w:sz w:val="20"/>
                <w:szCs w:val="20"/>
                <w:color w:val="auto"/>
              </w:rPr>
            </w:pPr>
            <w:r>
              <w:rPr>
                <w:rFonts w:ascii="Times New Roman" w:cs="Times New Roman" w:eastAsia="Times New Roman" w:hAnsi="Times New Roman"/>
                <w:sz w:val="18"/>
                <w:szCs w:val="18"/>
                <w:b w:val="1"/>
                <w:bCs w:val="1"/>
                <w:color w:val="auto"/>
                <w:w w:val="95"/>
              </w:rPr>
              <w:t>Energy</w:t>
            </w:r>
            <w:r>
              <w:rPr>
                <w:rFonts w:ascii="Times New Roman" w:cs="Times New Roman" w:eastAsia="Times New Roman" w:hAnsi="Times New Roman"/>
                <w:sz w:val="29"/>
                <w:szCs w:val="29"/>
                <w:b w:val="1"/>
                <w:bCs w:val="1"/>
                <w:color w:val="auto"/>
                <w:w w:val="95"/>
                <w:vertAlign w:val="superscript"/>
              </w:rPr>
              <w:t>(b)</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40" w:type="dxa"/>
            <w:vAlign w:val="bottom"/>
          </w:tcPr>
          <w:p>
            <w:pPr>
              <w:spacing w:after="0"/>
              <w:rPr>
                <w:sz w:val="23"/>
                <w:szCs w:val="23"/>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5,198</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1,259</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1,021</w:t>
            </w: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519</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 as reported</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7"/>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 margin, as reported</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0"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amounts in income from operations for the three months ended September 30, 2024 and 2023 are $29 million and $16 million,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businesses for landfill gas. The total amount of royalties in income from operations for the three months ended September 30, 2024 and 2023, are $13 million and $10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10"/>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19"/>
                <w:szCs w:val="19"/>
                <w:color w:val="auto"/>
              </w:rPr>
            </w:pPr>
          </w:p>
        </w:tc>
        <w:tc>
          <w:tcPr>
            <w:tcW w:w="2480" w:type="dxa"/>
            <w:vAlign w:val="bottom"/>
            <w:gridSpan w:val="3"/>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55"/>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 Margin</w:t>
            </w: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5,198</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Stericycle transaction costs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adjusted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gridSpan w:val="4"/>
            <w:shd w:val="clear" w:color="auto" w:fill="CCEEFF"/>
          </w:tcPr>
          <w:p>
            <w:pPr>
              <w:jc w:val="right"/>
              <w:ind w:right="120"/>
              <w:spacing w:after="0" w:line="223" w:lineRule="exact"/>
              <w:rPr>
                <w:sz w:val="20"/>
                <w:szCs w:val="20"/>
                <w:color w:val="auto"/>
              </w:rPr>
            </w:pPr>
            <w:r>
              <w:rPr>
                <w:rFonts w:ascii="Times New Roman" w:cs="Times New Roman" w:eastAsia="Times New Roman" w:hAnsi="Times New Roman"/>
                <w:sz w:val="14"/>
                <w:szCs w:val="14"/>
                <w:b w:val="1"/>
                <w:bCs w:val="1"/>
                <w:color w:val="auto"/>
              </w:rPr>
              <w:t>8.9</w:t>
            </w:r>
            <w:r>
              <w:rPr>
                <w:rFonts w:ascii="Times New Roman" w:cs="Times New Roman" w:eastAsia="Times New Roman" w:hAnsi="Times New Roman"/>
                <w:sz w:val="25"/>
                <w:szCs w:val="25"/>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14"/>
                <w:szCs w:val="14"/>
                <w:b w:val="1"/>
                <w:bCs w:val="1"/>
                <w:color w:val="auto"/>
              </w:rPr>
              <w:t>9.0</w:t>
            </w:r>
            <w:r>
              <w:rPr>
                <w:rFonts w:ascii="Times New Roman" w:cs="Times New Roman" w:eastAsia="Times New Roman" w:hAnsi="Times New Roman"/>
                <w:sz w:val="25"/>
                <w:szCs w:val="25"/>
                <w:b w:val="1"/>
                <w:bCs w:val="1"/>
                <w:color w:val="auto"/>
                <w:vertAlign w:val="superscript"/>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2024 Projected Free Cash Flow Reconciliation</w:t>
            </w:r>
            <w:r>
              <w:rPr>
                <w:rFonts w:ascii="Times New Roman" w:cs="Times New Roman" w:eastAsia="Times New Roman" w:hAnsi="Times New Roman"/>
                <w:sz w:val="29"/>
                <w:szCs w:val="29"/>
                <w:b w:val="1"/>
                <w:bCs w:val="1"/>
                <w:i w:val="1"/>
                <w:iCs w:val="1"/>
                <w:color w:val="auto"/>
                <w:vertAlign w:val="superscript"/>
              </w:rPr>
              <w:t>(a)</w:t>
            </w: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Scenario 1</w:t>
            </w:r>
          </w:p>
        </w:tc>
        <w:tc>
          <w:tcPr>
            <w:tcW w:w="60" w:type="dxa"/>
            <w:vAlign w:val="bottom"/>
          </w:tcPr>
          <w:p>
            <w:pPr>
              <w:spacing w:after="0"/>
              <w:rPr>
                <w:sz w:val="24"/>
                <w:szCs w:val="24"/>
                <w:color w:val="auto"/>
              </w:rPr>
            </w:pP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Scenario 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without sustainability growth investments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2024.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60" w:type="dxa"/>
            <w:vAlign w:val="bottom"/>
          </w:tcPr>
          <w:p>
            <w:pPr>
              <w:spacing w:after="0"/>
              <w:rPr>
                <w:sz w:val="19"/>
                <w:szCs w:val="19"/>
                <w:color w:val="auto"/>
              </w:rPr>
            </w:pPr>
          </w:p>
        </w:tc>
      </w:tr>
      <w:tr>
        <w:trPr>
          <w:trHeight w:val="187"/>
        </w:trPr>
        <w:tc>
          <w:tcPr>
            <w:tcW w:w="5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 in</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454"/>
        </w:trPr>
        <w:tc>
          <w:tcPr>
            <w:tcW w:w="5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60" w:type="dxa"/>
            <w:vAlign w:val="bottom"/>
          </w:tcPr>
          <w:p>
            <w:pPr>
              <w:spacing w:after="0"/>
              <w:rPr>
                <w:sz w:val="19"/>
                <w:szCs w:val="19"/>
                <w:color w:val="auto"/>
              </w:rPr>
            </w:pPr>
          </w:p>
        </w:tc>
      </w:tr>
      <w:tr>
        <w:trPr>
          <w:trHeight w:val="187"/>
        </w:trPr>
        <w:tc>
          <w:tcPr>
            <w:tcW w:w="5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 in</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657"/>
        </w:trPr>
        <w:tc>
          <w:tcPr>
            <w:tcW w:w="5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2024-10-28T21:10:02Z</dcterms:created>
  <dcterms:modified xsi:type="dcterms:W3CDTF">2024-10-28T21:10:02Z</dcterms:modified>
</cp:coreProperties>
</file>